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D9D2B" w14:textId="77777777" w:rsidR="00C65B01" w:rsidRPr="00175D8B" w:rsidRDefault="00C65B01" w:rsidP="00C65B01">
      <w:pPr>
        <w:spacing w:before="120" w:after="0" w:line="278" w:lineRule="auto"/>
        <w:jc w:val="center"/>
        <w:rPr>
          <w:rFonts w:eastAsia="Aptos" w:cs="Aptos"/>
          <w:b/>
          <w:bCs/>
          <w:color w:val="000000" w:themeColor="text1"/>
          <w:sz w:val="48"/>
          <w:szCs w:val="48"/>
        </w:rPr>
      </w:pPr>
    </w:p>
    <w:p w14:paraId="43D3464C" w14:textId="77777777" w:rsidR="00C65B01" w:rsidRPr="00175D8B" w:rsidRDefault="00C65B01" w:rsidP="00C65B01">
      <w:pPr>
        <w:spacing w:before="120" w:after="0" w:line="278" w:lineRule="auto"/>
        <w:jc w:val="center"/>
        <w:rPr>
          <w:rFonts w:eastAsia="Aptos" w:cs="Aptos"/>
          <w:b/>
          <w:bCs/>
          <w:color w:val="000000" w:themeColor="text1"/>
          <w:sz w:val="48"/>
          <w:szCs w:val="48"/>
        </w:rPr>
      </w:pPr>
      <w:r w:rsidRPr="00175D8B">
        <w:rPr>
          <w:rFonts w:eastAsia="Aptos" w:cs="Aptos"/>
          <w:b/>
          <w:bCs/>
          <w:color w:val="000000" w:themeColor="text1"/>
          <w:sz w:val="48"/>
          <w:szCs w:val="48"/>
        </w:rPr>
        <w:t>CLIMATE AND DISASTER RESILIENT</w:t>
      </w:r>
    </w:p>
    <w:p w14:paraId="1B3CBCFC" w14:textId="77777777" w:rsidR="00C65B01" w:rsidRPr="00175D8B" w:rsidRDefault="00C65B01" w:rsidP="00C65B01">
      <w:pPr>
        <w:spacing w:before="120" w:after="0" w:line="278" w:lineRule="auto"/>
        <w:jc w:val="center"/>
        <w:rPr>
          <w:rFonts w:eastAsia="Aptos" w:cs="Aptos"/>
          <w:b/>
          <w:bCs/>
          <w:color w:val="000000" w:themeColor="text1"/>
          <w:sz w:val="48"/>
          <w:szCs w:val="48"/>
        </w:rPr>
      </w:pPr>
      <w:r w:rsidRPr="00175D8B">
        <w:rPr>
          <w:rFonts w:eastAsia="Aptos" w:cs="Aptos"/>
          <w:b/>
          <w:bCs/>
          <w:color w:val="000000" w:themeColor="text1"/>
          <w:sz w:val="48"/>
          <w:szCs w:val="48"/>
        </w:rPr>
        <w:t xml:space="preserve"> CITIES PROJECT</w:t>
      </w:r>
    </w:p>
    <w:p w14:paraId="042ACE31" w14:textId="77777777" w:rsidR="00C65B01" w:rsidRPr="00175D8B" w:rsidRDefault="00C65B01" w:rsidP="00C65B01">
      <w:pPr>
        <w:spacing w:before="120" w:after="0" w:line="278" w:lineRule="auto"/>
        <w:jc w:val="center"/>
        <w:rPr>
          <w:rFonts w:eastAsia="Aptos" w:cs="Aptos"/>
          <w:b/>
          <w:bCs/>
          <w:color w:val="000000" w:themeColor="text1"/>
          <w:sz w:val="48"/>
          <w:szCs w:val="48"/>
        </w:rPr>
      </w:pPr>
    </w:p>
    <w:p w14:paraId="7934DB94" w14:textId="77777777" w:rsidR="00C65B01" w:rsidRPr="00175D8B" w:rsidRDefault="00C65B01" w:rsidP="00C65B01">
      <w:pPr>
        <w:spacing w:before="120" w:after="0" w:line="278" w:lineRule="auto"/>
        <w:jc w:val="center"/>
        <w:rPr>
          <w:rFonts w:eastAsia="Aptos" w:cs="Aptos"/>
          <w:b/>
          <w:bCs/>
          <w:color w:val="000000" w:themeColor="text1"/>
          <w:sz w:val="48"/>
          <w:szCs w:val="48"/>
        </w:rPr>
      </w:pPr>
      <w:r w:rsidRPr="00175D8B">
        <w:rPr>
          <w:rFonts w:eastAsia="Aptos" w:cs="Aptos"/>
          <w:b/>
          <w:bCs/>
          <w:color w:val="000000" w:themeColor="text1"/>
          <w:sz w:val="48"/>
          <w:szCs w:val="48"/>
        </w:rPr>
        <w:t>SAKARYA PROVINCE ENVIRONMENTAL AND SOCIAL MANAGEMENT PLAN</w:t>
      </w:r>
    </w:p>
    <w:p w14:paraId="7BD8BC4A" w14:textId="77777777" w:rsidR="00C65B01" w:rsidRPr="00175D8B" w:rsidRDefault="00C65B01" w:rsidP="00C65B01">
      <w:pPr>
        <w:spacing w:before="120" w:after="0" w:line="278" w:lineRule="auto"/>
        <w:jc w:val="center"/>
        <w:rPr>
          <w:rFonts w:eastAsia="Aptos" w:cs="Aptos"/>
          <w:b/>
          <w:bCs/>
          <w:color w:val="000000" w:themeColor="text1"/>
          <w:sz w:val="48"/>
          <w:szCs w:val="48"/>
        </w:rPr>
      </w:pPr>
    </w:p>
    <w:p w14:paraId="57CA1B01" w14:textId="77777777" w:rsidR="00952F22" w:rsidRPr="00175D8B" w:rsidRDefault="00952F22" w:rsidP="00C65B01">
      <w:pPr>
        <w:spacing w:before="120" w:after="0" w:line="278" w:lineRule="auto"/>
        <w:jc w:val="center"/>
        <w:rPr>
          <w:rFonts w:eastAsia="Aptos" w:cs="Aptos"/>
          <w:b/>
          <w:bCs/>
          <w:color w:val="000000" w:themeColor="text1"/>
          <w:sz w:val="48"/>
          <w:szCs w:val="48"/>
        </w:rPr>
      </w:pPr>
    </w:p>
    <w:p w14:paraId="0B180A65" w14:textId="77777777" w:rsidR="00C65B01" w:rsidRPr="00175D8B" w:rsidRDefault="00C65B01" w:rsidP="00C65B01">
      <w:pPr>
        <w:spacing w:before="120" w:after="0" w:line="278" w:lineRule="auto"/>
        <w:jc w:val="center"/>
        <w:rPr>
          <w:rFonts w:eastAsia="Aptos" w:cs="Aptos"/>
          <w:b/>
          <w:bCs/>
          <w:color w:val="000000" w:themeColor="text1"/>
          <w:sz w:val="48"/>
          <w:szCs w:val="48"/>
        </w:rPr>
      </w:pPr>
    </w:p>
    <w:p w14:paraId="34538E46" w14:textId="0430635F" w:rsidR="00C65B01" w:rsidRPr="00175D8B" w:rsidRDefault="00952F22" w:rsidP="00C65B01">
      <w:pPr>
        <w:spacing w:before="120" w:after="0" w:line="278" w:lineRule="auto"/>
        <w:jc w:val="center"/>
        <w:rPr>
          <w:rFonts w:eastAsia="Aptos" w:cs="Aptos"/>
          <w:b/>
          <w:bCs/>
          <w:color w:val="000000" w:themeColor="text1"/>
          <w:sz w:val="48"/>
          <w:szCs w:val="48"/>
        </w:rPr>
      </w:pPr>
      <w:r>
        <w:rPr>
          <w:rFonts w:eastAsia="Aptos" w:cs="Aptos"/>
          <w:b/>
          <w:bCs/>
          <w:color w:val="000000" w:themeColor="text1"/>
          <w:sz w:val="48"/>
          <w:szCs w:val="48"/>
        </w:rPr>
        <w:t>FEBRUARY</w:t>
      </w:r>
      <w:r w:rsidR="00C65B01" w:rsidRPr="00175D8B">
        <w:rPr>
          <w:rFonts w:eastAsia="Aptos" w:cs="Aptos"/>
          <w:b/>
          <w:bCs/>
          <w:color w:val="000000" w:themeColor="text1"/>
          <w:sz w:val="48"/>
          <w:szCs w:val="48"/>
        </w:rPr>
        <w:t>, 202</w:t>
      </w:r>
      <w:r w:rsidR="004A48BF">
        <w:rPr>
          <w:rFonts w:eastAsia="Aptos" w:cs="Aptos"/>
          <w:b/>
          <w:bCs/>
          <w:color w:val="000000" w:themeColor="text1"/>
          <w:sz w:val="48"/>
          <w:szCs w:val="48"/>
        </w:rPr>
        <w:t>6</w:t>
      </w:r>
    </w:p>
    <w:p w14:paraId="71685000" w14:textId="13503B4D" w:rsidR="00021E0D" w:rsidRPr="00175D8B" w:rsidRDefault="00021E0D" w:rsidP="00C65B01">
      <w:pPr>
        <w:spacing w:after="160" w:line="278" w:lineRule="auto"/>
        <w:jc w:val="left"/>
        <w:rPr>
          <w:rFonts w:eastAsia="Aptos" w:cs="Aptos"/>
          <w:b/>
          <w:bCs/>
          <w:color w:val="000000" w:themeColor="text1"/>
          <w:sz w:val="48"/>
          <w:szCs w:val="48"/>
        </w:rPr>
      </w:pPr>
    </w:p>
    <w:p w14:paraId="46609E85" w14:textId="77777777" w:rsidR="007C6114" w:rsidRPr="00175D8B" w:rsidRDefault="007C6114" w:rsidP="00C65B01">
      <w:pPr>
        <w:spacing w:after="160" w:line="278" w:lineRule="auto"/>
        <w:jc w:val="left"/>
        <w:rPr>
          <w:rFonts w:eastAsia="Aptos" w:cs="Aptos"/>
          <w:b/>
          <w:bCs/>
          <w:color w:val="000000" w:themeColor="text1"/>
          <w:sz w:val="48"/>
          <w:szCs w:val="48"/>
        </w:rPr>
      </w:pPr>
    </w:p>
    <w:p w14:paraId="30DBBFEC" w14:textId="77777777" w:rsidR="007C6114" w:rsidRPr="00175D8B" w:rsidRDefault="007C6114" w:rsidP="00C65B01">
      <w:pPr>
        <w:spacing w:after="160" w:line="278" w:lineRule="auto"/>
        <w:jc w:val="left"/>
        <w:rPr>
          <w:rFonts w:eastAsia="Aptos" w:cs="Aptos"/>
          <w:b/>
          <w:bCs/>
          <w:color w:val="000000" w:themeColor="text1"/>
          <w:sz w:val="48"/>
          <w:szCs w:val="48"/>
        </w:rPr>
      </w:pPr>
    </w:p>
    <w:p w14:paraId="3AD8E80B" w14:textId="77777777" w:rsidR="007C6114" w:rsidRPr="00175D8B" w:rsidRDefault="007C6114" w:rsidP="00C65B01">
      <w:pPr>
        <w:spacing w:after="160" w:line="278" w:lineRule="auto"/>
        <w:jc w:val="left"/>
        <w:rPr>
          <w:rFonts w:eastAsia="Aptos" w:cs="Aptos"/>
          <w:b/>
          <w:bCs/>
          <w:color w:val="000000" w:themeColor="text1"/>
          <w:sz w:val="48"/>
          <w:szCs w:val="48"/>
        </w:rPr>
      </w:pPr>
    </w:p>
    <w:p w14:paraId="0631AACC" w14:textId="77777777" w:rsidR="007C6114" w:rsidRPr="00175D8B" w:rsidRDefault="007C6114" w:rsidP="00C65B01">
      <w:pPr>
        <w:spacing w:after="160" w:line="278" w:lineRule="auto"/>
        <w:jc w:val="left"/>
        <w:rPr>
          <w:rFonts w:eastAsia="Aptos" w:cs="Aptos"/>
          <w:b/>
          <w:bCs/>
          <w:color w:val="000000" w:themeColor="text1"/>
          <w:sz w:val="48"/>
          <w:szCs w:val="48"/>
        </w:rPr>
      </w:pPr>
    </w:p>
    <w:p w14:paraId="78D1F97C" w14:textId="4519FE1D" w:rsidR="00DF1963" w:rsidRPr="00175D8B" w:rsidRDefault="00DF1963" w:rsidP="00DF1963">
      <w:pPr>
        <w:spacing w:after="160" w:line="278" w:lineRule="auto"/>
        <w:jc w:val="left"/>
        <w:rPr>
          <w:rFonts w:eastAsia="Aptos" w:cs="Aptos"/>
          <w:b/>
          <w:bCs/>
          <w:color w:val="000000" w:themeColor="text1"/>
          <w:sz w:val="48"/>
          <w:szCs w:val="48"/>
        </w:rPr>
      </w:pPr>
      <w:r w:rsidRPr="00175D8B">
        <w:rPr>
          <w:rFonts w:eastAsia="Aptos" w:cs="Aptos"/>
          <w:b/>
          <w:bCs/>
          <w:color w:val="000000" w:themeColor="text1"/>
          <w:sz w:val="48"/>
          <w:szCs w:val="48"/>
        </w:rPr>
        <w:br w:type="page"/>
      </w:r>
    </w:p>
    <w:sdt>
      <w:sdtPr>
        <w:rPr>
          <w:rFonts w:eastAsiaTheme="minorHAnsi" w:cstheme="minorBidi"/>
          <w:kern w:val="2"/>
          <w:sz w:val="22"/>
          <w:szCs w:val="22"/>
          <w:lang w:val="en-US" w:eastAsia="en-US"/>
          <w14:ligatures w14:val="standardContextual"/>
        </w:rPr>
        <w:id w:val="596455143"/>
        <w:docPartObj>
          <w:docPartGallery w:val="Table of Contents"/>
          <w:docPartUnique/>
        </w:docPartObj>
      </w:sdtPr>
      <w:sdtEndPr>
        <w:rPr>
          <w:b/>
          <w:bCs/>
          <w:noProof/>
        </w:rPr>
      </w:sdtEndPr>
      <w:sdtContent>
        <w:p w14:paraId="42BD2FFB" w14:textId="5E75A223" w:rsidR="00C239D8" w:rsidRPr="006C58C5" w:rsidRDefault="0090127F" w:rsidP="002550A6">
          <w:pPr>
            <w:pStyle w:val="TBal"/>
            <w:spacing w:before="0" w:after="100"/>
            <w:rPr>
              <w:rFonts w:cs="Times New Roman"/>
              <w:b/>
              <w:sz w:val="28"/>
              <w:szCs w:val="22"/>
            </w:rPr>
          </w:pPr>
          <w:r w:rsidRPr="006C58C5">
            <w:rPr>
              <w:rFonts w:cs="Times New Roman"/>
              <w:b/>
              <w:sz w:val="28"/>
              <w:szCs w:val="22"/>
            </w:rPr>
            <w:t>Table of Content</w:t>
          </w:r>
        </w:p>
        <w:p w14:paraId="44F2B7C6" w14:textId="5BE7EC4E" w:rsidR="00392FA6" w:rsidRDefault="00C239D8">
          <w:pPr>
            <w:pStyle w:val="T1"/>
            <w:tabs>
              <w:tab w:val="left" w:pos="440"/>
            </w:tabs>
            <w:rPr>
              <w:rFonts w:asciiTheme="minorHAnsi" w:eastAsiaTheme="minorEastAsia" w:hAnsiTheme="minorHAnsi" w:cstheme="minorBidi"/>
              <w:b w:val="0"/>
              <w:bCs w:val="0"/>
              <w:caps w:val="0"/>
              <w:noProof/>
              <w:kern w:val="0"/>
              <w:sz w:val="22"/>
              <w:szCs w:val="22"/>
              <w:lang w:val="tr-TR" w:eastAsia="tr-TR"/>
              <w14:ligatures w14:val="none"/>
            </w:rPr>
          </w:pPr>
          <w:r w:rsidRPr="008D3770">
            <w:rPr>
              <w:rFonts w:ascii="Aptos" w:hAnsi="Aptos" w:cs="Times New Roman"/>
            </w:rPr>
            <w:fldChar w:fldCharType="begin"/>
          </w:r>
          <w:r w:rsidRPr="008D3770">
            <w:rPr>
              <w:rFonts w:ascii="Aptos" w:hAnsi="Aptos" w:cs="Times New Roman"/>
            </w:rPr>
            <w:instrText xml:space="preserve"> TOC \o "1-3" \h \z \u </w:instrText>
          </w:r>
          <w:r w:rsidRPr="008D3770">
            <w:rPr>
              <w:rFonts w:ascii="Aptos" w:hAnsi="Aptos" w:cs="Times New Roman"/>
            </w:rPr>
            <w:fldChar w:fldCharType="separate"/>
          </w:r>
          <w:hyperlink w:anchor="_Toc220672767" w:history="1">
            <w:r w:rsidR="00392FA6" w:rsidRPr="00B335EC">
              <w:rPr>
                <w:rStyle w:val="Kpr"/>
                <w:noProof/>
              </w:rPr>
              <w:t>1.</w:t>
            </w:r>
            <w:r w:rsidR="00392FA6">
              <w:rPr>
                <w:rFonts w:asciiTheme="minorHAnsi" w:eastAsiaTheme="minorEastAsia" w:hAnsiTheme="minorHAnsi" w:cstheme="minorBidi"/>
                <w:b w:val="0"/>
                <w:bCs w:val="0"/>
                <w:caps w:val="0"/>
                <w:noProof/>
                <w:kern w:val="0"/>
                <w:sz w:val="22"/>
                <w:szCs w:val="22"/>
                <w:lang w:val="tr-TR" w:eastAsia="tr-TR"/>
                <w14:ligatures w14:val="none"/>
              </w:rPr>
              <w:tab/>
            </w:r>
            <w:r w:rsidR="00392FA6" w:rsidRPr="00B335EC">
              <w:rPr>
                <w:rStyle w:val="Kpr"/>
                <w:noProof/>
              </w:rPr>
              <w:t>PROJECT DESCRIPTION</w:t>
            </w:r>
            <w:r w:rsidR="00392FA6">
              <w:rPr>
                <w:noProof/>
                <w:webHidden/>
              </w:rPr>
              <w:tab/>
            </w:r>
            <w:r w:rsidR="00392FA6">
              <w:rPr>
                <w:noProof/>
                <w:webHidden/>
              </w:rPr>
              <w:fldChar w:fldCharType="begin"/>
            </w:r>
            <w:r w:rsidR="00392FA6">
              <w:rPr>
                <w:noProof/>
                <w:webHidden/>
              </w:rPr>
              <w:instrText xml:space="preserve"> PAGEREF _Toc220672767 \h </w:instrText>
            </w:r>
            <w:r w:rsidR="00392FA6">
              <w:rPr>
                <w:noProof/>
                <w:webHidden/>
              </w:rPr>
            </w:r>
            <w:r w:rsidR="00392FA6">
              <w:rPr>
                <w:noProof/>
                <w:webHidden/>
              </w:rPr>
              <w:fldChar w:fldCharType="separate"/>
            </w:r>
            <w:r w:rsidR="004F7F3D">
              <w:rPr>
                <w:noProof/>
                <w:webHidden/>
              </w:rPr>
              <w:t>12</w:t>
            </w:r>
            <w:r w:rsidR="00392FA6">
              <w:rPr>
                <w:noProof/>
                <w:webHidden/>
              </w:rPr>
              <w:fldChar w:fldCharType="end"/>
            </w:r>
          </w:hyperlink>
        </w:p>
        <w:p w14:paraId="2E80FAED" w14:textId="4DF206BE"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768" w:history="1">
            <w:r w:rsidRPr="00B335EC">
              <w:rPr>
                <w:rStyle w:val="Kpr"/>
                <w:noProof/>
              </w:rPr>
              <w:t>1.1</w:t>
            </w:r>
            <w:r>
              <w:rPr>
                <w:rFonts w:eastAsiaTheme="minorEastAsia" w:cstheme="minorBidi"/>
                <w:b w:val="0"/>
                <w:bCs w:val="0"/>
                <w:noProof/>
                <w:kern w:val="0"/>
                <w:sz w:val="22"/>
                <w:szCs w:val="22"/>
                <w:lang w:val="tr-TR" w:eastAsia="tr-TR"/>
                <w14:ligatures w14:val="none"/>
              </w:rPr>
              <w:tab/>
            </w:r>
            <w:r w:rsidRPr="00B335EC">
              <w:rPr>
                <w:rStyle w:val="Kpr"/>
                <w:noProof/>
              </w:rPr>
              <w:t>Objectives of the Climate and Disaster Resilient Cities Project</w:t>
            </w:r>
            <w:r>
              <w:rPr>
                <w:noProof/>
                <w:webHidden/>
              </w:rPr>
              <w:tab/>
            </w:r>
            <w:r>
              <w:rPr>
                <w:noProof/>
                <w:webHidden/>
              </w:rPr>
              <w:fldChar w:fldCharType="begin"/>
            </w:r>
            <w:r>
              <w:rPr>
                <w:noProof/>
                <w:webHidden/>
              </w:rPr>
              <w:instrText xml:space="preserve"> PAGEREF _Toc220672768 \h </w:instrText>
            </w:r>
            <w:r>
              <w:rPr>
                <w:noProof/>
                <w:webHidden/>
              </w:rPr>
            </w:r>
            <w:r>
              <w:rPr>
                <w:noProof/>
                <w:webHidden/>
              </w:rPr>
              <w:fldChar w:fldCharType="separate"/>
            </w:r>
            <w:r w:rsidR="004F7F3D">
              <w:rPr>
                <w:noProof/>
                <w:webHidden/>
              </w:rPr>
              <w:t>14</w:t>
            </w:r>
            <w:r>
              <w:rPr>
                <w:noProof/>
                <w:webHidden/>
              </w:rPr>
              <w:fldChar w:fldCharType="end"/>
            </w:r>
          </w:hyperlink>
        </w:p>
        <w:p w14:paraId="25272154" w14:textId="1312C401"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771" w:history="1">
            <w:r w:rsidRPr="00B335EC">
              <w:rPr>
                <w:rStyle w:val="Kpr"/>
                <w:noProof/>
              </w:rPr>
              <w:t>1.2.</w:t>
            </w:r>
            <w:r>
              <w:rPr>
                <w:rFonts w:eastAsiaTheme="minorEastAsia" w:cstheme="minorBidi"/>
                <w:b w:val="0"/>
                <w:bCs w:val="0"/>
                <w:noProof/>
                <w:kern w:val="0"/>
                <w:sz w:val="22"/>
                <w:szCs w:val="22"/>
                <w:lang w:val="tr-TR" w:eastAsia="tr-TR"/>
                <w14:ligatures w14:val="none"/>
              </w:rPr>
              <w:tab/>
            </w:r>
            <w:r w:rsidRPr="00B335EC">
              <w:rPr>
                <w:rStyle w:val="Kpr"/>
                <w:noProof/>
              </w:rPr>
              <w:t>Potential Sub-Projects and Project Activities in Sakarya</w:t>
            </w:r>
            <w:r>
              <w:rPr>
                <w:noProof/>
                <w:webHidden/>
              </w:rPr>
              <w:tab/>
            </w:r>
            <w:r>
              <w:rPr>
                <w:noProof/>
                <w:webHidden/>
              </w:rPr>
              <w:fldChar w:fldCharType="begin"/>
            </w:r>
            <w:r>
              <w:rPr>
                <w:noProof/>
                <w:webHidden/>
              </w:rPr>
              <w:instrText xml:space="preserve"> PAGEREF _Toc220672771 \h </w:instrText>
            </w:r>
            <w:r>
              <w:rPr>
                <w:noProof/>
                <w:webHidden/>
              </w:rPr>
            </w:r>
            <w:r>
              <w:rPr>
                <w:noProof/>
                <w:webHidden/>
              </w:rPr>
              <w:fldChar w:fldCharType="separate"/>
            </w:r>
            <w:r w:rsidR="004F7F3D">
              <w:rPr>
                <w:noProof/>
                <w:webHidden/>
              </w:rPr>
              <w:t>15</w:t>
            </w:r>
            <w:r>
              <w:rPr>
                <w:noProof/>
                <w:webHidden/>
              </w:rPr>
              <w:fldChar w:fldCharType="end"/>
            </w:r>
          </w:hyperlink>
        </w:p>
        <w:p w14:paraId="69365513" w14:textId="3B7133AE"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772" w:history="1">
            <w:r w:rsidRPr="00B335EC">
              <w:rPr>
                <w:rStyle w:val="Kpr"/>
                <w:noProof/>
              </w:rPr>
              <w:t>1.3.</w:t>
            </w:r>
            <w:r>
              <w:rPr>
                <w:rFonts w:eastAsiaTheme="minorEastAsia" w:cstheme="minorBidi"/>
                <w:b w:val="0"/>
                <w:bCs w:val="0"/>
                <w:noProof/>
                <w:kern w:val="0"/>
                <w:sz w:val="22"/>
                <w:szCs w:val="22"/>
                <w:lang w:val="tr-TR" w:eastAsia="tr-TR"/>
                <w14:ligatures w14:val="none"/>
              </w:rPr>
              <w:tab/>
            </w:r>
            <w:r w:rsidRPr="00B335EC">
              <w:rPr>
                <w:rStyle w:val="Kpr"/>
                <w:noProof/>
              </w:rPr>
              <w:t>Project Benefits and Positive Impacts</w:t>
            </w:r>
            <w:r>
              <w:rPr>
                <w:noProof/>
                <w:webHidden/>
              </w:rPr>
              <w:tab/>
            </w:r>
            <w:r>
              <w:rPr>
                <w:noProof/>
                <w:webHidden/>
              </w:rPr>
              <w:fldChar w:fldCharType="begin"/>
            </w:r>
            <w:r>
              <w:rPr>
                <w:noProof/>
                <w:webHidden/>
              </w:rPr>
              <w:instrText xml:space="preserve"> PAGEREF _Toc220672772 \h </w:instrText>
            </w:r>
            <w:r>
              <w:rPr>
                <w:noProof/>
                <w:webHidden/>
              </w:rPr>
            </w:r>
            <w:r>
              <w:rPr>
                <w:noProof/>
                <w:webHidden/>
              </w:rPr>
              <w:fldChar w:fldCharType="separate"/>
            </w:r>
            <w:r w:rsidR="004F7F3D">
              <w:rPr>
                <w:noProof/>
                <w:webHidden/>
              </w:rPr>
              <w:t>16</w:t>
            </w:r>
            <w:r>
              <w:rPr>
                <w:noProof/>
                <w:webHidden/>
              </w:rPr>
              <w:fldChar w:fldCharType="end"/>
            </w:r>
          </w:hyperlink>
        </w:p>
        <w:p w14:paraId="646AB7A1" w14:textId="3C513506" w:rsidR="00392FA6" w:rsidRDefault="00392FA6">
          <w:pPr>
            <w:pStyle w:val="T1"/>
            <w:tabs>
              <w:tab w:val="left" w:pos="440"/>
            </w:tabs>
            <w:rPr>
              <w:rFonts w:asciiTheme="minorHAnsi" w:eastAsiaTheme="minorEastAsia" w:hAnsiTheme="minorHAnsi" w:cstheme="minorBidi"/>
              <w:b w:val="0"/>
              <w:bCs w:val="0"/>
              <w:caps w:val="0"/>
              <w:noProof/>
              <w:kern w:val="0"/>
              <w:sz w:val="22"/>
              <w:szCs w:val="22"/>
              <w:lang w:val="tr-TR" w:eastAsia="tr-TR"/>
              <w14:ligatures w14:val="none"/>
            </w:rPr>
          </w:pPr>
          <w:hyperlink w:anchor="_Toc220672773" w:history="1">
            <w:r w:rsidRPr="00B335EC">
              <w:rPr>
                <w:rStyle w:val="Kpr"/>
                <w:noProof/>
              </w:rPr>
              <w:t>2.</w:t>
            </w:r>
            <w:r>
              <w:rPr>
                <w:rFonts w:asciiTheme="minorHAnsi" w:eastAsiaTheme="minorEastAsia" w:hAnsiTheme="minorHAnsi" w:cstheme="minorBidi"/>
                <w:b w:val="0"/>
                <w:bCs w:val="0"/>
                <w:caps w:val="0"/>
                <w:noProof/>
                <w:kern w:val="0"/>
                <w:sz w:val="22"/>
                <w:szCs w:val="22"/>
                <w:lang w:val="tr-TR" w:eastAsia="tr-TR"/>
                <w14:ligatures w14:val="none"/>
              </w:rPr>
              <w:tab/>
            </w:r>
            <w:r w:rsidRPr="00B335EC">
              <w:rPr>
                <w:rStyle w:val="Kpr"/>
                <w:noProof/>
              </w:rPr>
              <w:t>ENVIRONMENTAL AND SOCIAL BASELINE AND PROJECT AREA CONDITIONS</w:t>
            </w:r>
            <w:r>
              <w:rPr>
                <w:noProof/>
                <w:webHidden/>
              </w:rPr>
              <w:tab/>
            </w:r>
            <w:r>
              <w:rPr>
                <w:noProof/>
                <w:webHidden/>
              </w:rPr>
              <w:fldChar w:fldCharType="begin"/>
            </w:r>
            <w:r>
              <w:rPr>
                <w:noProof/>
                <w:webHidden/>
              </w:rPr>
              <w:instrText xml:space="preserve"> PAGEREF _Toc220672773 \h </w:instrText>
            </w:r>
            <w:r>
              <w:rPr>
                <w:noProof/>
                <w:webHidden/>
              </w:rPr>
            </w:r>
            <w:r>
              <w:rPr>
                <w:noProof/>
                <w:webHidden/>
              </w:rPr>
              <w:fldChar w:fldCharType="separate"/>
            </w:r>
            <w:r w:rsidR="004F7F3D">
              <w:rPr>
                <w:noProof/>
                <w:webHidden/>
              </w:rPr>
              <w:t>18</w:t>
            </w:r>
            <w:r>
              <w:rPr>
                <w:noProof/>
                <w:webHidden/>
              </w:rPr>
              <w:fldChar w:fldCharType="end"/>
            </w:r>
          </w:hyperlink>
        </w:p>
        <w:p w14:paraId="6D1393BF" w14:textId="5EFCE8AB"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774" w:history="1">
            <w:r w:rsidRPr="00B335EC">
              <w:rPr>
                <w:rStyle w:val="Kpr"/>
                <w:noProof/>
              </w:rPr>
              <w:t>2.1.</w:t>
            </w:r>
            <w:r>
              <w:rPr>
                <w:rFonts w:eastAsiaTheme="minorEastAsia" w:cstheme="minorBidi"/>
                <w:b w:val="0"/>
                <w:bCs w:val="0"/>
                <w:noProof/>
                <w:kern w:val="0"/>
                <w:sz w:val="22"/>
                <w:szCs w:val="22"/>
                <w:lang w:val="tr-TR" w:eastAsia="tr-TR"/>
                <w14:ligatures w14:val="none"/>
              </w:rPr>
              <w:tab/>
            </w:r>
            <w:r w:rsidRPr="00B335EC">
              <w:rPr>
                <w:rStyle w:val="Kpr"/>
                <w:noProof/>
              </w:rPr>
              <w:t>Environmental Baseline Conditions</w:t>
            </w:r>
            <w:r>
              <w:rPr>
                <w:noProof/>
                <w:webHidden/>
              </w:rPr>
              <w:tab/>
            </w:r>
            <w:r>
              <w:rPr>
                <w:noProof/>
                <w:webHidden/>
              </w:rPr>
              <w:fldChar w:fldCharType="begin"/>
            </w:r>
            <w:r>
              <w:rPr>
                <w:noProof/>
                <w:webHidden/>
              </w:rPr>
              <w:instrText xml:space="preserve"> PAGEREF _Toc220672774 \h </w:instrText>
            </w:r>
            <w:r>
              <w:rPr>
                <w:noProof/>
                <w:webHidden/>
              </w:rPr>
            </w:r>
            <w:r>
              <w:rPr>
                <w:noProof/>
                <w:webHidden/>
              </w:rPr>
              <w:fldChar w:fldCharType="separate"/>
            </w:r>
            <w:r w:rsidR="004F7F3D">
              <w:rPr>
                <w:noProof/>
                <w:webHidden/>
              </w:rPr>
              <w:t>18</w:t>
            </w:r>
            <w:r>
              <w:rPr>
                <w:noProof/>
                <w:webHidden/>
              </w:rPr>
              <w:fldChar w:fldCharType="end"/>
            </w:r>
          </w:hyperlink>
        </w:p>
        <w:p w14:paraId="2317F4AF" w14:textId="018B39A4"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75" w:history="1">
            <w:r w:rsidRPr="00B335EC">
              <w:rPr>
                <w:rStyle w:val="Kpr"/>
                <w:noProof/>
              </w:rPr>
              <w:t>2.1.1.</w:t>
            </w:r>
            <w:r>
              <w:rPr>
                <w:rFonts w:eastAsiaTheme="minorEastAsia" w:cstheme="minorBidi"/>
                <w:noProof/>
                <w:kern w:val="0"/>
                <w:sz w:val="22"/>
                <w:szCs w:val="22"/>
                <w:lang w:val="tr-TR" w:eastAsia="tr-TR"/>
                <w14:ligatures w14:val="none"/>
              </w:rPr>
              <w:tab/>
            </w:r>
            <w:r w:rsidRPr="00B335EC">
              <w:rPr>
                <w:rStyle w:val="Kpr"/>
                <w:noProof/>
              </w:rPr>
              <w:t>Water Resources and Potential of Sakarya Province</w:t>
            </w:r>
            <w:r>
              <w:rPr>
                <w:noProof/>
                <w:webHidden/>
              </w:rPr>
              <w:tab/>
            </w:r>
            <w:r>
              <w:rPr>
                <w:noProof/>
                <w:webHidden/>
              </w:rPr>
              <w:fldChar w:fldCharType="begin"/>
            </w:r>
            <w:r>
              <w:rPr>
                <w:noProof/>
                <w:webHidden/>
              </w:rPr>
              <w:instrText xml:space="preserve"> PAGEREF _Toc220672775 \h </w:instrText>
            </w:r>
            <w:r>
              <w:rPr>
                <w:noProof/>
                <w:webHidden/>
              </w:rPr>
            </w:r>
            <w:r>
              <w:rPr>
                <w:noProof/>
                <w:webHidden/>
              </w:rPr>
              <w:fldChar w:fldCharType="separate"/>
            </w:r>
            <w:r w:rsidR="004F7F3D">
              <w:rPr>
                <w:noProof/>
                <w:webHidden/>
              </w:rPr>
              <w:t>18</w:t>
            </w:r>
            <w:r>
              <w:rPr>
                <w:noProof/>
                <w:webHidden/>
              </w:rPr>
              <w:fldChar w:fldCharType="end"/>
            </w:r>
          </w:hyperlink>
        </w:p>
        <w:p w14:paraId="69129F6F" w14:textId="5F75C755"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76" w:history="1">
            <w:r w:rsidRPr="00B335EC">
              <w:rPr>
                <w:rStyle w:val="Kpr"/>
                <w:noProof/>
              </w:rPr>
              <w:t>2.1.1.1.</w:t>
            </w:r>
            <w:r>
              <w:rPr>
                <w:rFonts w:eastAsiaTheme="minorEastAsia" w:cstheme="minorBidi"/>
                <w:noProof/>
                <w:kern w:val="0"/>
                <w:sz w:val="22"/>
                <w:szCs w:val="22"/>
                <w:lang w:val="tr-TR" w:eastAsia="tr-TR"/>
                <w14:ligatures w14:val="none"/>
              </w:rPr>
              <w:tab/>
            </w:r>
            <w:r w:rsidRPr="00B335EC">
              <w:rPr>
                <w:rStyle w:val="Kpr"/>
                <w:noProof/>
              </w:rPr>
              <w:t>Surface Waters</w:t>
            </w:r>
            <w:r>
              <w:rPr>
                <w:noProof/>
                <w:webHidden/>
              </w:rPr>
              <w:tab/>
            </w:r>
            <w:r>
              <w:rPr>
                <w:noProof/>
                <w:webHidden/>
              </w:rPr>
              <w:fldChar w:fldCharType="begin"/>
            </w:r>
            <w:r>
              <w:rPr>
                <w:noProof/>
                <w:webHidden/>
              </w:rPr>
              <w:instrText xml:space="preserve"> PAGEREF _Toc220672776 \h </w:instrText>
            </w:r>
            <w:r>
              <w:rPr>
                <w:noProof/>
                <w:webHidden/>
              </w:rPr>
            </w:r>
            <w:r>
              <w:rPr>
                <w:noProof/>
                <w:webHidden/>
              </w:rPr>
              <w:fldChar w:fldCharType="separate"/>
            </w:r>
            <w:r w:rsidR="004F7F3D">
              <w:rPr>
                <w:noProof/>
                <w:webHidden/>
              </w:rPr>
              <w:t>18</w:t>
            </w:r>
            <w:r>
              <w:rPr>
                <w:noProof/>
                <w:webHidden/>
              </w:rPr>
              <w:fldChar w:fldCharType="end"/>
            </w:r>
          </w:hyperlink>
        </w:p>
        <w:p w14:paraId="0A7B5891" w14:textId="4636F903" w:rsidR="00392FA6" w:rsidRDefault="00392FA6">
          <w:pPr>
            <w:pStyle w:val="T3"/>
            <w:tabs>
              <w:tab w:val="left" w:pos="1320"/>
              <w:tab w:val="right" w:leader="dot" w:pos="9060"/>
            </w:tabs>
            <w:rPr>
              <w:rFonts w:eastAsiaTheme="minorEastAsia" w:cstheme="minorBidi"/>
              <w:noProof/>
              <w:kern w:val="0"/>
              <w:sz w:val="22"/>
              <w:szCs w:val="22"/>
              <w:lang w:val="tr-TR" w:eastAsia="tr-TR"/>
              <w14:ligatures w14:val="none"/>
            </w:rPr>
          </w:pPr>
          <w:hyperlink w:anchor="_Toc220672777" w:history="1">
            <w:r w:rsidRPr="00B335EC">
              <w:rPr>
                <w:rStyle w:val="Kpr"/>
                <w:i/>
                <w:noProof/>
              </w:rPr>
              <w:t>2.1.1.1.1.</w:t>
            </w:r>
            <w:r>
              <w:rPr>
                <w:rFonts w:eastAsiaTheme="minorEastAsia" w:cstheme="minorBidi"/>
                <w:noProof/>
                <w:kern w:val="0"/>
                <w:sz w:val="22"/>
                <w:szCs w:val="22"/>
                <w:lang w:val="tr-TR" w:eastAsia="tr-TR"/>
                <w14:ligatures w14:val="none"/>
              </w:rPr>
              <w:tab/>
            </w:r>
            <w:r w:rsidRPr="00B335EC">
              <w:rPr>
                <w:rStyle w:val="Kpr"/>
                <w:i/>
                <w:noProof/>
              </w:rPr>
              <w:t>Rivers and Streams</w:t>
            </w:r>
            <w:r>
              <w:rPr>
                <w:noProof/>
                <w:webHidden/>
              </w:rPr>
              <w:tab/>
            </w:r>
            <w:r>
              <w:rPr>
                <w:noProof/>
                <w:webHidden/>
              </w:rPr>
              <w:fldChar w:fldCharType="begin"/>
            </w:r>
            <w:r>
              <w:rPr>
                <w:noProof/>
                <w:webHidden/>
              </w:rPr>
              <w:instrText xml:space="preserve"> PAGEREF _Toc220672777 \h </w:instrText>
            </w:r>
            <w:r>
              <w:rPr>
                <w:noProof/>
                <w:webHidden/>
              </w:rPr>
            </w:r>
            <w:r>
              <w:rPr>
                <w:noProof/>
                <w:webHidden/>
              </w:rPr>
              <w:fldChar w:fldCharType="separate"/>
            </w:r>
            <w:r w:rsidR="004F7F3D">
              <w:rPr>
                <w:noProof/>
                <w:webHidden/>
              </w:rPr>
              <w:t>18</w:t>
            </w:r>
            <w:r>
              <w:rPr>
                <w:noProof/>
                <w:webHidden/>
              </w:rPr>
              <w:fldChar w:fldCharType="end"/>
            </w:r>
          </w:hyperlink>
        </w:p>
        <w:p w14:paraId="39017417" w14:textId="35FAD6FC" w:rsidR="00392FA6" w:rsidRDefault="00392FA6">
          <w:pPr>
            <w:pStyle w:val="T3"/>
            <w:tabs>
              <w:tab w:val="left" w:pos="1320"/>
              <w:tab w:val="right" w:leader="dot" w:pos="9060"/>
            </w:tabs>
            <w:rPr>
              <w:rFonts w:eastAsiaTheme="minorEastAsia" w:cstheme="minorBidi"/>
              <w:noProof/>
              <w:kern w:val="0"/>
              <w:sz w:val="22"/>
              <w:szCs w:val="22"/>
              <w:lang w:val="tr-TR" w:eastAsia="tr-TR"/>
              <w14:ligatures w14:val="none"/>
            </w:rPr>
          </w:pPr>
          <w:hyperlink w:anchor="_Toc220672778" w:history="1">
            <w:r w:rsidRPr="00B335EC">
              <w:rPr>
                <w:rStyle w:val="Kpr"/>
                <w:noProof/>
              </w:rPr>
              <w:t>2.1.1.1.2.</w:t>
            </w:r>
            <w:r>
              <w:rPr>
                <w:rFonts w:eastAsiaTheme="minorEastAsia" w:cstheme="minorBidi"/>
                <w:noProof/>
                <w:kern w:val="0"/>
                <w:sz w:val="22"/>
                <w:szCs w:val="22"/>
                <w:lang w:val="tr-TR" w:eastAsia="tr-TR"/>
                <w14:ligatures w14:val="none"/>
              </w:rPr>
              <w:tab/>
            </w:r>
            <w:r w:rsidRPr="00B335EC">
              <w:rPr>
                <w:rStyle w:val="Kpr"/>
                <w:noProof/>
              </w:rPr>
              <w:t>Natural Lakes, Ponds</w:t>
            </w:r>
            <w:r>
              <w:rPr>
                <w:noProof/>
                <w:webHidden/>
              </w:rPr>
              <w:tab/>
            </w:r>
            <w:r>
              <w:rPr>
                <w:noProof/>
                <w:webHidden/>
              </w:rPr>
              <w:fldChar w:fldCharType="begin"/>
            </w:r>
            <w:r>
              <w:rPr>
                <w:noProof/>
                <w:webHidden/>
              </w:rPr>
              <w:instrText xml:space="preserve"> PAGEREF _Toc220672778 \h </w:instrText>
            </w:r>
            <w:r>
              <w:rPr>
                <w:noProof/>
                <w:webHidden/>
              </w:rPr>
            </w:r>
            <w:r>
              <w:rPr>
                <w:noProof/>
                <w:webHidden/>
              </w:rPr>
              <w:fldChar w:fldCharType="separate"/>
            </w:r>
            <w:r w:rsidR="004F7F3D">
              <w:rPr>
                <w:noProof/>
                <w:webHidden/>
              </w:rPr>
              <w:t>21</w:t>
            </w:r>
            <w:r>
              <w:rPr>
                <w:noProof/>
                <w:webHidden/>
              </w:rPr>
              <w:fldChar w:fldCharType="end"/>
            </w:r>
          </w:hyperlink>
        </w:p>
        <w:p w14:paraId="07CF5FCA" w14:textId="0F1B48E0"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79" w:history="1">
            <w:r w:rsidRPr="00B335EC">
              <w:rPr>
                <w:rStyle w:val="Kpr"/>
                <w:noProof/>
              </w:rPr>
              <w:t>2.1.1.2.</w:t>
            </w:r>
            <w:r>
              <w:rPr>
                <w:rFonts w:eastAsiaTheme="minorEastAsia" w:cstheme="minorBidi"/>
                <w:noProof/>
                <w:kern w:val="0"/>
                <w:sz w:val="22"/>
                <w:szCs w:val="22"/>
                <w:lang w:val="tr-TR" w:eastAsia="tr-TR"/>
                <w14:ligatures w14:val="none"/>
              </w:rPr>
              <w:tab/>
            </w:r>
            <w:r w:rsidRPr="00B335EC">
              <w:rPr>
                <w:rStyle w:val="Kpr"/>
                <w:noProof/>
              </w:rPr>
              <w:t>Ground water</w:t>
            </w:r>
            <w:r>
              <w:rPr>
                <w:noProof/>
                <w:webHidden/>
              </w:rPr>
              <w:tab/>
            </w:r>
            <w:r>
              <w:rPr>
                <w:noProof/>
                <w:webHidden/>
              </w:rPr>
              <w:fldChar w:fldCharType="begin"/>
            </w:r>
            <w:r>
              <w:rPr>
                <w:noProof/>
                <w:webHidden/>
              </w:rPr>
              <w:instrText xml:space="preserve"> PAGEREF _Toc220672779 \h </w:instrText>
            </w:r>
            <w:r>
              <w:rPr>
                <w:noProof/>
                <w:webHidden/>
              </w:rPr>
            </w:r>
            <w:r>
              <w:rPr>
                <w:noProof/>
                <w:webHidden/>
              </w:rPr>
              <w:fldChar w:fldCharType="separate"/>
            </w:r>
            <w:r w:rsidR="004F7F3D">
              <w:rPr>
                <w:noProof/>
                <w:webHidden/>
              </w:rPr>
              <w:t>22</w:t>
            </w:r>
            <w:r>
              <w:rPr>
                <w:noProof/>
                <w:webHidden/>
              </w:rPr>
              <w:fldChar w:fldCharType="end"/>
            </w:r>
          </w:hyperlink>
        </w:p>
        <w:p w14:paraId="399A7C29" w14:textId="118DCD48" w:rsidR="00392FA6" w:rsidRDefault="00392FA6">
          <w:pPr>
            <w:pStyle w:val="T3"/>
            <w:tabs>
              <w:tab w:val="right" w:leader="dot" w:pos="9060"/>
            </w:tabs>
            <w:rPr>
              <w:rFonts w:eastAsiaTheme="minorEastAsia" w:cstheme="minorBidi"/>
              <w:noProof/>
              <w:kern w:val="0"/>
              <w:sz w:val="22"/>
              <w:szCs w:val="22"/>
              <w:lang w:val="tr-TR" w:eastAsia="tr-TR"/>
              <w14:ligatures w14:val="none"/>
            </w:rPr>
          </w:pPr>
          <w:hyperlink w:anchor="_Toc220672780" w:history="1">
            <w:r w:rsidRPr="00B335EC">
              <w:rPr>
                <w:rStyle w:val="Kpr"/>
                <w:noProof/>
              </w:rPr>
              <w:t>2.1.2 Current Status of Sakarya Province Wastewater</w:t>
            </w:r>
            <w:r>
              <w:rPr>
                <w:noProof/>
                <w:webHidden/>
              </w:rPr>
              <w:tab/>
            </w:r>
            <w:r>
              <w:rPr>
                <w:noProof/>
                <w:webHidden/>
              </w:rPr>
              <w:fldChar w:fldCharType="begin"/>
            </w:r>
            <w:r>
              <w:rPr>
                <w:noProof/>
                <w:webHidden/>
              </w:rPr>
              <w:instrText xml:space="preserve"> PAGEREF _Toc220672780 \h </w:instrText>
            </w:r>
            <w:r>
              <w:rPr>
                <w:noProof/>
                <w:webHidden/>
              </w:rPr>
            </w:r>
            <w:r>
              <w:rPr>
                <w:noProof/>
                <w:webHidden/>
              </w:rPr>
              <w:fldChar w:fldCharType="separate"/>
            </w:r>
            <w:r w:rsidR="004F7F3D">
              <w:rPr>
                <w:noProof/>
                <w:webHidden/>
              </w:rPr>
              <w:t>24</w:t>
            </w:r>
            <w:r>
              <w:rPr>
                <w:noProof/>
                <w:webHidden/>
              </w:rPr>
              <w:fldChar w:fldCharType="end"/>
            </w:r>
          </w:hyperlink>
        </w:p>
        <w:p w14:paraId="7699F813" w14:textId="62051B31" w:rsidR="00392FA6" w:rsidRDefault="00392FA6">
          <w:pPr>
            <w:pStyle w:val="T2"/>
            <w:tabs>
              <w:tab w:val="left" w:pos="880"/>
              <w:tab w:val="right" w:leader="dot" w:pos="9060"/>
            </w:tabs>
            <w:rPr>
              <w:rFonts w:eastAsiaTheme="minorEastAsia" w:cstheme="minorBidi"/>
              <w:b w:val="0"/>
              <w:bCs w:val="0"/>
              <w:noProof/>
              <w:kern w:val="0"/>
              <w:sz w:val="22"/>
              <w:szCs w:val="22"/>
              <w:lang w:val="tr-TR" w:eastAsia="tr-TR"/>
              <w14:ligatures w14:val="none"/>
            </w:rPr>
          </w:pPr>
          <w:hyperlink w:anchor="_Toc220672781" w:history="1">
            <w:r w:rsidRPr="00B335EC">
              <w:rPr>
                <w:rStyle w:val="Kpr"/>
                <w:noProof/>
              </w:rPr>
              <w:t>2.1.3.</w:t>
            </w:r>
            <w:r>
              <w:rPr>
                <w:rFonts w:eastAsiaTheme="minorEastAsia" w:cstheme="minorBidi"/>
                <w:b w:val="0"/>
                <w:bCs w:val="0"/>
                <w:noProof/>
                <w:kern w:val="0"/>
                <w:sz w:val="22"/>
                <w:szCs w:val="22"/>
                <w:lang w:val="tr-TR" w:eastAsia="tr-TR"/>
                <w14:ligatures w14:val="none"/>
              </w:rPr>
              <w:tab/>
            </w:r>
            <w:r w:rsidRPr="00B335EC">
              <w:rPr>
                <w:rStyle w:val="Kpr"/>
                <w:noProof/>
              </w:rPr>
              <w:t>Sakarya Province Surface Water Resources and Underground Water Resources</w:t>
            </w:r>
            <w:r>
              <w:rPr>
                <w:noProof/>
                <w:webHidden/>
              </w:rPr>
              <w:tab/>
            </w:r>
            <w:r>
              <w:rPr>
                <w:noProof/>
                <w:webHidden/>
              </w:rPr>
              <w:fldChar w:fldCharType="begin"/>
            </w:r>
            <w:r>
              <w:rPr>
                <w:noProof/>
                <w:webHidden/>
              </w:rPr>
              <w:instrText xml:space="preserve"> PAGEREF _Toc220672781 \h </w:instrText>
            </w:r>
            <w:r>
              <w:rPr>
                <w:noProof/>
                <w:webHidden/>
              </w:rPr>
            </w:r>
            <w:r>
              <w:rPr>
                <w:noProof/>
                <w:webHidden/>
              </w:rPr>
              <w:fldChar w:fldCharType="separate"/>
            </w:r>
            <w:r w:rsidR="004F7F3D">
              <w:rPr>
                <w:noProof/>
                <w:webHidden/>
              </w:rPr>
              <w:t>25</w:t>
            </w:r>
            <w:r>
              <w:rPr>
                <w:noProof/>
                <w:webHidden/>
              </w:rPr>
              <w:fldChar w:fldCharType="end"/>
            </w:r>
          </w:hyperlink>
        </w:p>
        <w:p w14:paraId="0BCEE02D" w14:textId="6A15584E"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82" w:history="1">
            <w:r w:rsidRPr="00B335EC">
              <w:rPr>
                <w:rStyle w:val="Kpr"/>
                <w:noProof/>
              </w:rPr>
              <w:t>2.1.4.</w:t>
            </w:r>
            <w:r>
              <w:rPr>
                <w:rFonts w:eastAsiaTheme="minorEastAsia" w:cstheme="minorBidi"/>
                <w:noProof/>
                <w:kern w:val="0"/>
                <w:sz w:val="22"/>
                <w:szCs w:val="22"/>
                <w:lang w:val="tr-TR" w:eastAsia="tr-TR"/>
                <w14:ligatures w14:val="none"/>
              </w:rPr>
              <w:tab/>
            </w:r>
            <w:r w:rsidRPr="00B335EC">
              <w:rPr>
                <w:rStyle w:val="Kpr"/>
                <w:noProof/>
              </w:rPr>
              <w:t>Nature</w:t>
            </w:r>
            <w:r>
              <w:rPr>
                <w:noProof/>
                <w:webHidden/>
              </w:rPr>
              <w:tab/>
            </w:r>
            <w:r>
              <w:rPr>
                <w:noProof/>
                <w:webHidden/>
              </w:rPr>
              <w:fldChar w:fldCharType="begin"/>
            </w:r>
            <w:r>
              <w:rPr>
                <w:noProof/>
                <w:webHidden/>
              </w:rPr>
              <w:instrText xml:space="preserve"> PAGEREF _Toc220672782 \h </w:instrText>
            </w:r>
            <w:r>
              <w:rPr>
                <w:noProof/>
                <w:webHidden/>
              </w:rPr>
            </w:r>
            <w:r>
              <w:rPr>
                <w:noProof/>
                <w:webHidden/>
              </w:rPr>
              <w:fldChar w:fldCharType="separate"/>
            </w:r>
            <w:r w:rsidR="004F7F3D">
              <w:rPr>
                <w:noProof/>
                <w:webHidden/>
              </w:rPr>
              <w:t>34</w:t>
            </w:r>
            <w:r>
              <w:rPr>
                <w:noProof/>
                <w:webHidden/>
              </w:rPr>
              <w:fldChar w:fldCharType="end"/>
            </w:r>
          </w:hyperlink>
        </w:p>
        <w:p w14:paraId="1A7AC7C9" w14:textId="2E4C0EE5"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83" w:history="1">
            <w:r w:rsidRPr="00B335EC">
              <w:rPr>
                <w:rStyle w:val="Kpr"/>
                <w:noProof/>
              </w:rPr>
              <w:t>2.1.5.</w:t>
            </w:r>
            <w:r>
              <w:rPr>
                <w:rFonts w:eastAsiaTheme="minorEastAsia" w:cstheme="minorBidi"/>
                <w:noProof/>
                <w:kern w:val="0"/>
                <w:sz w:val="22"/>
                <w:szCs w:val="22"/>
                <w:lang w:val="tr-TR" w:eastAsia="tr-TR"/>
                <w14:ligatures w14:val="none"/>
              </w:rPr>
              <w:tab/>
            </w:r>
            <w:r w:rsidRPr="00B335EC">
              <w:rPr>
                <w:rStyle w:val="Kpr"/>
                <w:noProof/>
              </w:rPr>
              <w:t>Protected Nature</w:t>
            </w:r>
            <w:r>
              <w:rPr>
                <w:noProof/>
                <w:webHidden/>
              </w:rPr>
              <w:tab/>
            </w:r>
            <w:r>
              <w:rPr>
                <w:noProof/>
                <w:webHidden/>
              </w:rPr>
              <w:fldChar w:fldCharType="begin"/>
            </w:r>
            <w:r>
              <w:rPr>
                <w:noProof/>
                <w:webHidden/>
              </w:rPr>
              <w:instrText xml:space="preserve"> PAGEREF _Toc220672783 \h </w:instrText>
            </w:r>
            <w:r>
              <w:rPr>
                <w:noProof/>
                <w:webHidden/>
              </w:rPr>
            </w:r>
            <w:r>
              <w:rPr>
                <w:noProof/>
                <w:webHidden/>
              </w:rPr>
              <w:fldChar w:fldCharType="separate"/>
            </w:r>
            <w:r w:rsidR="004F7F3D">
              <w:rPr>
                <w:noProof/>
                <w:webHidden/>
              </w:rPr>
              <w:t>36</w:t>
            </w:r>
            <w:r>
              <w:rPr>
                <w:noProof/>
                <w:webHidden/>
              </w:rPr>
              <w:fldChar w:fldCharType="end"/>
            </w:r>
          </w:hyperlink>
        </w:p>
        <w:p w14:paraId="734F2EA7" w14:textId="2E4FA975"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84" w:history="1">
            <w:r w:rsidRPr="00B335EC">
              <w:rPr>
                <w:rStyle w:val="Kpr"/>
                <w:noProof/>
              </w:rPr>
              <w:t>2.1.6.</w:t>
            </w:r>
            <w:r>
              <w:rPr>
                <w:rFonts w:eastAsiaTheme="minorEastAsia" w:cstheme="minorBidi"/>
                <w:noProof/>
                <w:kern w:val="0"/>
                <w:sz w:val="22"/>
                <w:szCs w:val="22"/>
                <w:lang w:val="tr-TR" w:eastAsia="tr-TR"/>
                <w14:ligatures w14:val="none"/>
              </w:rPr>
              <w:tab/>
            </w:r>
            <w:r w:rsidRPr="00B335EC">
              <w:rPr>
                <w:rStyle w:val="Kpr"/>
                <w:noProof/>
              </w:rPr>
              <w:t>Seismicity</w:t>
            </w:r>
            <w:r>
              <w:rPr>
                <w:noProof/>
                <w:webHidden/>
              </w:rPr>
              <w:tab/>
            </w:r>
            <w:r>
              <w:rPr>
                <w:noProof/>
                <w:webHidden/>
              </w:rPr>
              <w:fldChar w:fldCharType="begin"/>
            </w:r>
            <w:r>
              <w:rPr>
                <w:noProof/>
                <w:webHidden/>
              </w:rPr>
              <w:instrText xml:space="preserve"> PAGEREF _Toc220672784 \h </w:instrText>
            </w:r>
            <w:r>
              <w:rPr>
                <w:noProof/>
                <w:webHidden/>
              </w:rPr>
            </w:r>
            <w:r>
              <w:rPr>
                <w:noProof/>
                <w:webHidden/>
              </w:rPr>
              <w:fldChar w:fldCharType="separate"/>
            </w:r>
            <w:r w:rsidR="004F7F3D">
              <w:rPr>
                <w:noProof/>
                <w:webHidden/>
              </w:rPr>
              <w:t>38</w:t>
            </w:r>
            <w:r>
              <w:rPr>
                <w:noProof/>
                <w:webHidden/>
              </w:rPr>
              <w:fldChar w:fldCharType="end"/>
            </w:r>
          </w:hyperlink>
        </w:p>
        <w:p w14:paraId="3FBDA531" w14:textId="3ECFFE7C"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85" w:history="1">
            <w:r w:rsidRPr="00B335EC">
              <w:rPr>
                <w:rStyle w:val="Kpr"/>
                <w:noProof/>
              </w:rPr>
              <w:t>2.1.7.</w:t>
            </w:r>
            <w:r>
              <w:rPr>
                <w:rFonts w:eastAsiaTheme="minorEastAsia" w:cstheme="minorBidi"/>
                <w:noProof/>
                <w:kern w:val="0"/>
                <w:sz w:val="22"/>
                <w:szCs w:val="22"/>
                <w:lang w:val="tr-TR" w:eastAsia="tr-TR"/>
                <w14:ligatures w14:val="none"/>
              </w:rPr>
              <w:tab/>
            </w:r>
            <w:r w:rsidRPr="00B335EC">
              <w:rPr>
                <w:rStyle w:val="Kpr"/>
                <w:noProof/>
              </w:rPr>
              <w:t>Air Quality</w:t>
            </w:r>
            <w:r>
              <w:rPr>
                <w:noProof/>
                <w:webHidden/>
              </w:rPr>
              <w:tab/>
            </w:r>
            <w:r>
              <w:rPr>
                <w:noProof/>
                <w:webHidden/>
              </w:rPr>
              <w:fldChar w:fldCharType="begin"/>
            </w:r>
            <w:r>
              <w:rPr>
                <w:noProof/>
                <w:webHidden/>
              </w:rPr>
              <w:instrText xml:space="preserve"> PAGEREF _Toc220672785 \h </w:instrText>
            </w:r>
            <w:r>
              <w:rPr>
                <w:noProof/>
                <w:webHidden/>
              </w:rPr>
            </w:r>
            <w:r>
              <w:rPr>
                <w:noProof/>
                <w:webHidden/>
              </w:rPr>
              <w:fldChar w:fldCharType="separate"/>
            </w:r>
            <w:r w:rsidR="004F7F3D">
              <w:rPr>
                <w:noProof/>
                <w:webHidden/>
              </w:rPr>
              <w:t>41</w:t>
            </w:r>
            <w:r>
              <w:rPr>
                <w:noProof/>
                <w:webHidden/>
              </w:rPr>
              <w:fldChar w:fldCharType="end"/>
            </w:r>
          </w:hyperlink>
        </w:p>
        <w:p w14:paraId="697731A0" w14:textId="1CFDD8A4"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86" w:history="1">
            <w:r w:rsidRPr="00B335EC">
              <w:rPr>
                <w:rStyle w:val="Kpr"/>
                <w:noProof/>
              </w:rPr>
              <w:t>2.1.8.</w:t>
            </w:r>
            <w:r>
              <w:rPr>
                <w:rFonts w:eastAsiaTheme="minorEastAsia" w:cstheme="minorBidi"/>
                <w:noProof/>
                <w:kern w:val="0"/>
                <w:sz w:val="22"/>
                <w:szCs w:val="22"/>
                <w:lang w:val="tr-TR" w:eastAsia="tr-TR"/>
                <w14:ligatures w14:val="none"/>
              </w:rPr>
              <w:tab/>
            </w:r>
            <w:r w:rsidRPr="00B335EC">
              <w:rPr>
                <w:rStyle w:val="Kpr"/>
                <w:noProof/>
              </w:rPr>
              <w:t>Waste Management</w:t>
            </w:r>
            <w:r>
              <w:rPr>
                <w:noProof/>
                <w:webHidden/>
              </w:rPr>
              <w:tab/>
            </w:r>
            <w:r>
              <w:rPr>
                <w:noProof/>
                <w:webHidden/>
              </w:rPr>
              <w:fldChar w:fldCharType="begin"/>
            </w:r>
            <w:r>
              <w:rPr>
                <w:noProof/>
                <w:webHidden/>
              </w:rPr>
              <w:instrText xml:space="preserve"> PAGEREF _Toc220672786 \h </w:instrText>
            </w:r>
            <w:r>
              <w:rPr>
                <w:noProof/>
                <w:webHidden/>
              </w:rPr>
            </w:r>
            <w:r>
              <w:rPr>
                <w:noProof/>
                <w:webHidden/>
              </w:rPr>
              <w:fldChar w:fldCharType="separate"/>
            </w:r>
            <w:r w:rsidR="004F7F3D">
              <w:rPr>
                <w:noProof/>
                <w:webHidden/>
              </w:rPr>
              <w:t>42</w:t>
            </w:r>
            <w:r>
              <w:rPr>
                <w:noProof/>
                <w:webHidden/>
              </w:rPr>
              <w:fldChar w:fldCharType="end"/>
            </w:r>
          </w:hyperlink>
        </w:p>
        <w:p w14:paraId="1CB7A563" w14:textId="4E49A8C7"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787" w:history="1">
            <w:r w:rsidRPr="00B335EC">
              <w:rPr>
                <w:rStyle w:val="Kpr"/>
                <w:noProof/>
              </w:rPr>
              <w:t>2.2.</w:t>
            </w:r>
            <w:r>
              <w:rPr>
                <w:rFonts w:eastAsiaTheme="minorEastAsia" w:cstheme="minorBidi"/>
                <w:b w:val="0"/>
                <w:bCs w:val="0"/>
                <w:noProof/>
                <w:kern w:val="0"/>
                <w:sz w:val="22"/>
                <w:szCs w:val="22"/>
                <w:lang w:val="tr-TR" w:eastAsia="tr-TR"/>
                <w14:ligatures w14:val="none"/>
              </w:rPr>
              <w:tab/>
            </w:r>
            <w:r w:rsidRPr="00B335EC">
              <w:rPr>
                <w:rStyle w:val="Kpr"/>
                <w:noProof/>
              </w:rPr>
              <w:t>Social Baseline</w:t>
            </w:r>
            <w:r>
              <w:rPr>
                <w:noProof/>
                <w:webHidden/>
              </w:rPr>
              <w:tab/>
            </w:r>
            <w:r>
              <w:rPr>
                <w:noProof/>
                <w:webHidden/>
              </w:rPr>
              <w:fldChar w:fldCharType="begin"/>
            </w:r>
            <w:r>
              <w:rPr>
                <w:noProof/>
                <w:webHidden/>
              </w:rPr>
              <w:instrText xml:space="preserve"> PAGEREF _Toc220672787 \h </w:instrText>
            </w:r>
            <w:r>
              <w:rPr>
                <w:noProof/>
                <w:webHidden/>
              </w:rPr>
            </w:r>
            <w:r>
              <w:rPr>
                <w:noProof/>
                <w:webHidden/>
              </w:rPr>
              <w:fldChar w:fldCharType="separate"/>
            </w:r>
            <w:r w:rsidR="004F7F3D">
              <w:rPr>
                <w:noProof/>
                <w:webHidden/>
              </w:rPr>
              <w:t>46</w:t>
            </w:r>
            <w:r>
              <w:rPr>
                <w:noProof/>
                <w:webHidden/>
              </w:rPr>
              <w:fldChar w:fldCharType="end"/>
            </w:r>
          </w:hyperlink>
        </w:p>
        <w:p w14:paraId="4C508DC6" w14:textId="55B0376F"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88" w:history="1">
            <w:r w:rsidRPr="00B335EC">
              <w:rPr>
                <w:rStyle w:val="Kpr"/>
                <w:noProof/>
              </w:rPr>
              <w:t>2.2.1.</w:t>
            </w:r>
            <w:r>
              <w:rPr>
                <w:rFonts w:eastAsiaTheme="minorEastAsia" w:cstheme="minorBidi"/>
                <w:noProof/>
                <w:kern w:val="0"/>
                <w:sz w:val="22"/>
                <w:szCs w:val="22"/>
                <w:lang w:val="tr-TR" w:eastAsia="tr-TR"/>
                <w14:ligatures w14:val="none"/>
              </w:rPr>
              <w:tab/>
            </w:r>
            <w:r w:rsidRPr="00B335EC">
              <w:rPr>
                <w:rStyle w:val="Kpr"/>
                <w:noProof/>
              </w:rPr>
              <w:t>Sakarya Province Population Status</w:t>
            </w:r>
            <w:r>
              <w:rPr>
                <w:noProof/>
                <w:webHidden/>
              </w:rPr>
              <w:tab/>
            </w:r>
            <w:r>
              <w:rPr>
                <w:noProof/>
                <w:webHidden/>
              </w:rPr>
              <w:fldChar w:fldCharType="begin"/>
            </w:r>
            <w:r>
              <w:rPr>
                <w:noProof/>
                <w:webHidden/>
              </w:rPr>
              <w:instrText xml:space="preserve"> PAGEREF _Toc220672788 \h </w:instrText>
            </w:r>
            <w:r>
              <w:rPr>
                <w:noProof/>
                <w:webHidden/>
              </w:rPr>
            </w:r>
            <w:r>
              <w:rPr>
                <w:noProof/>
                <w:webHidden/>
              </w:rPr>
              <w:fldChar w:fldCharType="separate"/>
            </w:r>
            <w:r w:rsidR="004F7F3D">
              <w:rPr>
                <w:noProof/>
                <w:webHidden/>
              </w:rPr>
              <w:t>46</w:t>
            </w:r>
            <w:r>
              <w:rPr>
                <w:noProof/>
                <w:webHidden/>
              </w:rPr>
              <w:fldChar w:fldCharType="end"/>
            </w:r>
          </w:hyperlink>
        </w:p>
        <w:p w14:paraId="495BB15B" w14:textId="02591C83"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89" w:history="1">
            <w:r w:rsidRPr="00B335EC">
              <w:rPr>
                <w:rStyle w:val="Kpr"/>
                <w:noProof/>
              </w:rPr>
              <w:t>2.2.2.</w:t>
            </w:r>
            <w:r>
              <w:rPr>
                <w:rFonts w:eastAsiaTheme="minorEastAsia" w:cstheme="minorBidi"/>
                <w:noProof/>
                <w:kern w:val="0"/>
                <w:sz w:val="22"/>
                <w:szCs w:val="22"/>
                <w:lang w:val="tr-TR" w:eastAsia="tr-TR"/>
                <w14:ligatures w14:val="none"/>
              </w:rPr>
              <w:tab/>
            </w:r>
            <w:r w:rsidRPr="00B335EC">
              <w:rPr>
                <w:rStyle w:val="Kpr"/>
                <w:noProof/>
              </w:rPr>
              <w:t>Education in Sakarya Province</w:t>
            </w:r>
            <w:r>
              <w:rPr>
                <w:noProof/>
                <w:webHidden/>
              </w:rPr>
              <w:tab/>
            </w:r>
            <w:r>
              <w:rPr>
                <w:noProof/>
                <w:webHidden/>
              </w:rPr>
              <w:fldChar w:fldCharType="begin"/>
            </w:r>
            <w:r>
              <w:rPr>
                <w:noProof/>
                <w:webHidden/>
              </w:rPr>
              <w:instrText xml:space="preserve"> PAGEREF _Toc220672789 \h </w:instrText>
            </w:r>
            <w:r>
              <w:rPr>
                <w:noProof/>
                <w:webHidden/>
              </w:rPr>
            </w:r>
            <w:r>
              <w:rPr>
                <w:noProof/>
                <w:webHidden/>
              </w:rPr>
              <w:fldChar w:fldCharType="separate"/>
            </w:r>
            <w:r w:rsidR="004F7F3D">
              <w:rPr>
                <w:noProof/>
                <w:webHidden/>
              </w:rPr>
              <w:t>49</w:t>
            </w:r>
            <w:r>
              <w:rPr>
                <w:noProof/>
                <w:webHidden/>
              </w:rPr>
              <w:fldChar w:fldCharType="end"/>
            </w:r>
          </w:hyperlink>
        </w:p>
        <w:p w14:paraId="5DAFD463" w14:textId="32735E77"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90" w:history="1">
            <w:r w:rsidRPr="00B335EC">
              <w:rPr>
                <w:rStyle w:val="Kpr"/>
                <w:noProof/>
              </w:rPr>
              <w:t>2.2.3.</w:t>
            </w:r>
            <w:r>
              <w:rPr>
                <w:rFonts w:eastAsiaTheme="minorEastAsia" w:cstheme="minorBidi"/>
                <w:noProof/>
                <w:kern w:val="0"/>
                <w:sz w:val="22"/>
                <w:szCs w:val="22"/>
                <w:lang w:val="tr-TR" w:eastAsia="tr-TR"/>
                <w14:ligatures w14:val="none"/>
              </w:rPr>
              <w:tab/>
            </w:r>
            <w:r w:rsidRPr="00B335EC">
              <w:rPr>
                <w:rStyle w:val="Kpr"/>
                <w:noProof/>
              </w:rPr>
              <w:t>Socio-Economic Status of Sakarya Province</w:t>
            </w:r>
            <w:r>
              <w:rPr>
                <w:noProof/>
                <w:webHidden/>
              </w:rPr>
              <w:tab/>
            </w:r>
            <w:r>
              <w:rPr>
                <w:noProof/>
                <w:webHidden/>
              </w:rPr>
              <w:fldChar w:fldCharType="begin"/>
            </w:r>
            <w:r>
              <w:rPr>
                <w:noProof/>
                <w:webHidden/>
              </w:rPr>
              <w:instrText xml:space="preserve"> PAGEREF _Toc220672790 \h </w:instrText>
            </w:r>
            <w:r>
              <w:rPr>
                <w:noProof/>
                <w:webHidden/>
              </w:rPr>
            </w:r>
            <w:r>
              <w:rPr>
                <w:noProof/>
                <w:webHidden/>
              </w:rPr>
              <w:fldChar w:fldCharType="separate"/>
            </w:r>
            <w:r w:rsidR="004F7F3D">
              <w:rPr>
                <w:noProof/>
                <w:webHidden/>
              </w:rPr>
              <w:t>52</w:t>
            </w:r>
            <w:r>
              <w:rPr>
                <w:noProof/>
                <w:webHidden/>
              </w:rPr>
              <w:fldChar w:fldCharType="end"/>
            </w:r>
          </w:hyperlink>
        </w:p>
        <w:p w14:paraId="3D73BC1F" w14:textId="2B36645D"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91" w:history="1">
            <w:r w:rsidRPr="00B335EC">
              <w:rPr>
                <w:rStyle w:val="Kpr"/>
                <w:noProof/>
              </w:rPr>
              <w:t>2.2.4.</w:t>
            </w:r>
            <w:r>
              <w:rPr>
                <w:rFonts w:eastAsiaTheme="minorEastAsia" w:cstheme="minorBidi"/>
                <w:noProof/>
                <w:kern w:val="0"/>
                <w:sz w:val="22"/>
                <w:szCs w:val="22"/>
                <w:lang w:val="tr-TR" w:eastAsia="tr-TR"/>
                <w14:ligatures w14:val="none"/>
              </w:rPr>
              <w:tab/>
            </w:r>
            <w:r w:rsidRPr="00B335EC">
              <w:rPr>
                <w:rStyle w:val="Kpr"/>
                <w:noProof/>
              </w:rPr>
              <w:t>Vulnerable Groups</w:t>
            </w:r>
            <w:r>
              <w:rPr>
                <w:noProof/>
                <w:webHidden/>
              </w:rPr>
              <w:tab/>
            </w:r>
            <w:r>
              <w:rPr>
                <w:noProof/>
                <w:webHidden/>
              </w:rPr>
              <w:fldChar w:fldCharType="begin"/>
            </w:r>
            <w:r>
              <w:rPr>
                <w:noProof/>
                <w:webHidden/>
              </w:rPr>
              <w:instrText xml:space="preserve"> PAGEREF _Toc220672791 \h </w:instrText>
            </w:r>
            <w:r>
              <w:rPr>
                <w:noProof/>
                <w:webHidden/>
              </w:rPr>
            </w:r>
            <w:r>
              <w:rPr>
                <w:noProof/>
                <w:webHidden/>
              </w:rPr>
              <w:fldChar w:fldCharType="separate"/>
            </w:r>
            <w:r w:rsidR="004F7F3D">
              <w:rPr>
                <w:noProof/>
                <w:webHidden/>
              </w:rPr>
              <w:t>55</w:t>
            </w:r>
            <w:r>
              <w:rPr>
                <w:noProof/>
                <w:webHidden/>
              </w:rPr>
              <w:fldChar w:fldCharType="end"/>
            </w:r>
          </w:hyperlink>
        </w:p>
        <w:p w14:paraId="1C04C928" w14:textId="1C11E63E"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92" w:history="1">
            <w:r w:rsidRPr="00B335EC">
              <w:rPr>
                <w:rStyle w:val="Kpr"/>
                <w:noProof/>
              </w:rPr>
              <w:t>2.2.5.</w:t>
            </w:r>
            <w:r>
              <w:rPr>
                <w:rFonts w:eastAsiaTheme="minorEastAsia" w:cstheme="minorBidi"/>
                <w:noProof/>
                <w:kern w:val="0"/>
                <w:sz w:val="22"/>
                <w:szCs w:val="22"/>
                <w:lang w:val="tr-TR" w:eastAsia="tr-TR"/>
                <w14:ligatures w14:val="none"/>
              </w:rPr>
              <w:tab/>
            </w:r>
            <w:r w:rsidRPr="00B335EC">
              <w:rPr>
                <w:rStyle w:val="Kpr"/>
                <w:noProof/>
              </w:rPr>
              <w:t>Cultural Heritage</w:t>
            </w:r>
            <w:r>
              <w:rPr>
                <w:noProof/>
                <w:webHidden/>
              </w:rPr>
              <w:tab/>
            </w:r>
            <w:r>
              <w:rPr>
                <w:noProof/>
                <w:webHidden/>
              </w:rPr>
              <w:fldChar w:fldCharType="begin"/>
            </w:r>
            <w:r>
              <w:rPr>
                <w:noProof/>
                <w:webHidden/>
              </w:rPr>
              <w:instrText xml:space="preserve"> PAGEREF _Toc220672792 \h </w:instrText>
            </w:r>
            <w:r>
              <w:rPr>
                <w:noProof/>
                <w:webHidden/>
              </w:rPr>
            </w:r>
            <w:r>
              <w:rPr>
                <w:noProof/>
                <w:webHidden/>
              </w:rPr>
              <w:fldChar w:fldCharType="separate"/>
            </w:r>
            <w:r w:rsidR="004F7F3D">
              <w:rPr>
                <w:noProof/>
                <w:webHidden/>
              </w:rPr>
              <w:t>60</w:t>
            </w:r>
            <w:r>
              <w:rPr>
                <w:noProof/>
                <w:webHidden/>
              </w:rPr>
              <w:fldChar w:fldCharType="end"/>
            </w:r>
          </w:hyperlink>
        </w:p>
        <w:p w14:paraId="7EA5B97A" w14:textId="567385AA"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93" w:history="1">
            <w:r w:rsidRPr="00B335EC">
              <w:rPr>
                <w:rStyle w:val="Kpr"/>
                <w:noProof/>
              </w:rPr>
              <w:t>2.2.6.</w:t>
            </w:r>
            <w:r>
              <w:rPr>
                <w:rFonts w:eastAsiaTheme="minorEastAsia" w:cstheme="minorBidi"/>
                <w:noProof/>
                <w:kern w:val="0"/>
                <w:sz w:val="22"/>
                <w:szCs w:val="22"/>
                <w:lang w:val="tr-TR" w:eastAsia="tr-TR"/>
                <w14:ligatures w14:val="none"/>
              </w:rPr>
              <w:tab/>
            </w:r>
            <w:r w:rsidRPr="00B335EC">
              <w:rPr>
                <w:rStyle w:val="Kpr"/>
                <w:noProof/>
              </w:rPr>
              <w:t>Health Status in Sakarya Province</w:t>
            </w:r>
            <w:r>
              <w:rPr>
                <w:noProof/>
                <w:webHidden/>
              </w:rPr>
              <w:tab/>
            </w:r>
            <w:r>
              <w:rPr>
                <w:noProof/>
                <w:webHidden/>
              </w:rPr>
              <w:fldChar w:fldCharType="begin"/>
            </w:r>
            <w:r>
              <w:rPr>
                <w:noProof/>
                <w:webHidden/>
              </w:rPr>
              <w:instrText xml:space="preserve"> PAGEREF _Toc220672793 \h </w:instrText>
            </w:r>
            <w:r>
              <w:rPr>
                <w:noProof/>
                <w:webHidden/>
              </w:rPr>
            </w:r>
            <w:r>
              <w:rPr>
                <w:noProof/>
                <w:webHidden/>
              </w:rPr>
              <w:fldChar w:fldCharType="separate"/>
            </w:r>
            <w:r w:rsidR="004F7F3D">
              <w:rPr>
                <w:noProof/>
                <w:webHidden/>
              </w:rPr>
              <w:t>64</w:t>
            </w:r>
            <w:r>
              <w:rPr>
                <w:noProof/>
                <w:webHidden/>
              </w:rPr>
              <w:fldChar w:fldCharType="end"/>
            </w:r>
          </w:hyperlink>
        </w:p>
        <w:p w14:paraId="36C97522" w14:textId="7563004D"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94" w:history="1">
            <w:r w:rsidRPr="00B335EC">
              <w:rPr>
                <w:rStyle w:val="Kpr"/>
                <w:noProof/>
              </w:rPr>
              <w:t>2.2.7.</w:t>
            </w:r>
            <w:r>
              <w:rPr>
                <w:rFonts w:eastAsiaTheme="minorEastAsia" w:cstheme="minorBidi"/>
                <w:noProof/>
                <w:kern w:val="0"/>
                <w:sz w:val="22"/>
                <w:szCs w:val="22"/>
                <w:lang w:val="tr-TR" w:eastAsia="tr-TR"/>
                <w14:ligatures w14:val="none"/>
              </w:rPr>
              <w:tab/>
            </w:r>
            <w:r w:rsidRPr="00B335EC">
              <w:rPr>
                <w:rStyle w:val="Kpr"/>
                <w:noProof/>
              </w:rPr>
              <w:t>Sakarya Province Agriculture and Livestock Status</w:t>
            </w:r>
            <w:r>
              <w:rPr>
                <w:noProof/>
                <w:webHidden/>
              </w:rPr>
              <w:tab/>
            </w:r>
            <w:r>
              <w:rPr>
                <w:noProof/>
                <w:webHidden/>
              </w:rPr>
              <w:fldChar w:fldCharType="begin"/>
            </w:r>
            <w:r>
              <w:rPr>
                <w:noProof/>
                <w:webHidden/>
              </w:rPr>
              <w:instrText xml:space="preserve"> PAGEREF _Toc220672794 \h </w:instrText>
            </w:r>
            <w:r>
              <w:rPr>
                <w:noProof/>
                <w:webHidden/>
              </w:rPr>
            </w:r>
            <w:r>
              <w:rPr>
                <w:noProof/>
                <w:webHidden/>
              </w:rPr>
              <w:fldChar w:fldCharType="separate"/>
            </w:r>
            <w:r w:rsidR="004F7F3D">
              <w:rPr>
                <w:noProof/>
                <w:webHidden/>
              </w:rPr>
              <w:t>67</w:t>
            </w:r>
            <w:r>
              <w:rPr>
                <w:noProof/>
                <w:webHidden/>
              </w:rPr>
              <w:fldChar w:fldCharType="end"/>
            </w:r>
          </w:hyperlink>
        </w:p>
        <w:p w14:paraId="699F5DE9" w14:textId="79528995"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95" w:history="1">
            <w:r w:rsidRPr="00B335EC">
              <w:rPr>
                <w:rStyle w:val="Kpr"/>
                <w:i/>
                <w:noProof/>
              </w:rPr>
              <w:t>2.2.7.1.</w:t>
            </w:r>
            <w:r>
              <w:rPr>
                <w:rFonts w:eastAsiaTheme="minorEastAsia" w:cstheme="minorBidi"/>
                <w:noProof/>
                <w:kern w:val="0"/>
                <w:sz w:val="22"/>
                <w:szCs w:val="22"/>
                <w:lang w:val="tr-TR" w:eastAsia="tr-TR"/>
                <w14:ligatures w14:val="none"/>
              </w:rPr>
              <w:tab/>
            </w:r>
            <w:r w:rsidRPr="00B335EC">
              <w:rPr>
                <w:rStyle w:val="Kpr"/>
                <w:i/>
                <w:noProof/>
              </w:rPr>
              <w:t>Agriculture and Animal Husbandry Situation in Sakarya Province</w:t>
            </w:r>
            <w:r>
              <w:rPr>
                <w:noProof/>
                <w:webHidden/>
              </w:rPr>
              <w:tab/>
            </w:r>
            <w:r>
              <w:rPr>
                <w:noProof/>
                <w:webHidden/>
              </w:rPr>
              <w:fldChar w:fldCharType="begin"/>
            </w:r>
            <w:r>
              <w:rPr>
                <w:noProof/>
                <w:webHidden/>
              </w:rPr>
              <w:instrText xml:space="preserve"> PAGEREF _Toc220672795 \h </w:instrText>
            </w:r>
            <w:r>
              <w:rPr>
                <w:noProof/>
                <w:webHidden/>
              </w:rPr>
            </w:r>
            <w:r>
              <w:rPr>
                <w:noProof/>
                <w:webHidden/>
              </w:rPr>
              <w:fldChar w:fldCharType="separate"/>
            </w:r>
            <w:r w:rsidR="004F7F3D">
              <w:rPr>
                <w:noProof/>
                <w:webHidden/>
              </w:rPr>
              <w:t>70</w:t>
            </w:r>
            <w:r>
              <w:rPr>
                <w:noProof/>
                <w:webHidden/>
              </w:rPr>
              <w:fldChar w:fldCharType="end"/>
            </w:r>
          </w:hyperlink>
        </w:p>
        <w:p w14:paraId="21E29534" w14:textId="6C065466"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96" w:history="1">
            <w:r w:rsidRPr="00B335EC">
              <w:rPr>
                <w:rStyle w:val="Kpr"/>
                <w:noProof/>
              </w:rPr>
              <w:t>2.2.7.2.</w:t>
            </w:r>
            <w:r>
              <w:rPr>
                <w:rFonts w:eastAsiaTheme="minorEastAsia" w:cstheme="minorBidi"/>
                <w:noProof/>
                <w:kern w:val="0"/>
                <w:sz w:val="22"/>
                <w:szCs w:val="22"/>
                <w:lang w:val="tr-TR" w:eastAsia="tr-TR"/>
                <w14:ligatures w14:val="none"/>
              </w:rPr>
              <w:tab/>
            </w:r>
            <w:r w:rsidRPr="00B335EC">
              <w:rPr>
                <w:rStyle w:val="Kpr"/>
                <w:noProof/>
              </w:rPr>
              <w:t>Profile of Manufacturing Industry in Sakarya</w:t>
            </w:r>
            <w:r>
              <w:rPr>
                <w:noProof/>
                <w:webHidden/>
              </w:rPr>
              <w:tab/>
            </w:r>
            <w:r>
              <w:rPr>
                <w:noProof/>
                <w:webHidden/>
              </w:rPr>
              <w:fldChar w:fldCharType="begin"/>
            </w:r>
            <w:r>
              <w:rPr>
                <w:noProof/>
                <w:webHidden/>
              </w:rPr>
              <w:instrText xml:space="preserve"> PAGEREF _Toc220672796 \h </w:instrText>
            </w:r>
            <w:r>
              <w:rPr>
                <w:noProof/>
                <w:webHidden/>
              </w:rPr>
            </w:r>
            <w:r>
              <w:rPr>
                <w:noProof/>
                <w:webHidden/>
              </w:rPr>
              <w:fldChar w:fldCharType="separate"/>
            </w:r>
            <w:r w:rsidR="004F7F3D">
              <w:rPr>
                <w:noProof/>
                <w:webHidden/>
              </w:rPr>
              <w:t>73</w:t>
            </w:r>
            <w:r>
              <w:rPr>
                <w:noProof/>
                <w:webHidden/>
              </w:rPr>
              <w:fldChar w:fldCharType="end"/>
            </w:r>
          </w:hyperlink>
        </w:p>
        <w:p w14:paraId="0C82B267" w14:textId="09DD512D" w:rsidR="00392FA6" w:rsidRDefault="00392FA6">
          <w:pPr>
            <w:pStyle w:val="T3"/>
            <w:tabs>
              <w:tab w:val="left" w:pos="1100"/>
              <w:tab w:val="right" w:leader="dot" w:pos="9060"/>
            </w:tabs>
            <w:rPr>
              <w:rFonts w:eastAsiaTheme="minorEastAsia" w:cstheme="minorBidi"/>
              <w:noProof/>
              <w:kern w:val="0"/>
              <w:sz w:val="22"/>
              <w:szCs w:val="22"/>
              <w:lang w:val="tr-TR" w:eastAsia="tr-TR"/>
              <w14:ligatures w14:val="none"/>
            </w:rPr>
          </w:pPr>
          <w:hyperlink w:anchor="_Toc220672797" w:history="1">
            <w:r w:rsidRPr="00B335EC">
              <w:rPr>
                <w:rStyle w:val="Kpr"/>
                <w:noProof/>
              </w:rPr>
              <w:t>2.2.8.</w:t>
            </w:r>
            <w:r>
              <w:rPr>
                <w:rFonts w:eastAsiaTheme="minorEastAsia" w:cstheme="minorBidi"/>
                <w:noProof/>
                <w:kern w:val="0"/>
                <w:sz w:val="22"/>
                <w:szCs w:val="22"/>
                <w:lang w:val="tr-TR" w:eastAsia="tr-TR"/>
                <w14:ligatures w14:val="none"/>
              </w:rPr>
              <w:tab/>
            </w:r>
            <w:r w:rsidRPr="00B335EC">
              <w:rPr>
                <w:rStyle w:val="Kpr"/>
                <w:noProof/>
              </w:rPr>
              <w:t>Retirement Status in Sakarya Province</w:t>
            </w:r>
            <w:r>
              <w:rPr>
                <w:noProof/>
                <w:webHidden/>
              </w:rPr>
              <w:tab/>
            </w:r>
            <w:r>
              <w:rPr>
                <w:noProof/>
                <w:webHidden/>
              </w:rPr>
              <w:fldChar w:fldCharType="begin"/>
            </w:r>
            <w:r>
              <w:rPr>
                <w:noProof/>
                <w:webHidden/>
              </w:rPr>
              <w:instrText xml:space="preserve"> PAGEREF _Toc220672797 \h </w:instrText>
            </w:r>
            <w:r>
              <w:rPr>
                <w:noProof/>
                <w:webHidden/>
              </w:rPr>
            </w:r>
            <w:r>
              <w:rPr>
                <w:noProof/>
                <w:webHidden/>
              </w:rPr>
              <w:fldChar w:fldCharType="separate"/>
            </w:r>
            <w:r w:rsidR="004F7F3D">
              <w:rPr>
                <w:noProof/>
                <w:webHidden/>
              </w:rPr>
              <w:t>78</w:t>
            </w:r>
            <w:r>
              <w:rPr>
                <w:noProof/>
                <w:webHidden/>
              </w:rPr>
              <w:fldChar w:fldCharType="end"/>
            </w:r>
          </w:hyperlink>
        </w:p>
        <w:p w14:paraId="0D02C9FA" w14:textId="32E85332" w:rsidR="00392FA6" w:rsidRDefault="00392FA6">
          <w:pPr>
            <w:pStyle w:val="T1"/>
            <w:tabs>
              <w:tab w:val="left" w:pos="440"/>
            </w:tabs>
            <w:rPr>
              <w:rFonts w:asciiTheme="minorHAnsi" w:eastAsiaTheme="minorEastAsia" w:hAnsiTheme="minorHAnsi" w:cstheme="minorBidi"/>
              <w:b w:val="0"/>
              <w:bCs w:val="0"/>
              <w:caps w:val="0"/>
              <w:noProof/>
              <w:kern w:val="0"/>
              <w:sz w:val="22"/>
              <w:szCs w:val="22"/>
              <w:lang w:val="tr-TR" w:eastAsia="tr-TR"/>
              <w14:ligatures w14:val="none"/>
            </w:rPr>
          </w:pPr>
          <w:hyperlink w:anchor="_Toc220672798" w:history="1">
            <w:r w:rsidRPr="00B335EC">
              <w:rPr>
                <w:rStyle w:val="Kpr"/>
                <w:noProof/>
              </w:rPr>
              <w:t>3.</w:t>
            </w:r>
            <w:r>
              <w:rPr>
                <w:rFonts w:asciiTheme="minorHAnsi" w:eastAsiaTheme="minorEastAsia" w:hAnsiTheme="minorHAnsi" w:cstheme="minorBidi"/>
                <w:b w:val="0"/>
                <w:bCs w:val="0"/>
                <w:caps w:val="0"/>
                <w:noProof/>
                <w:kern w:val="0"/>
                <w:sz w:val="22"/>
                <w:szCs w:val="22"/>
                <w:lang w:val="tr-TR" w:eastAsia="tr-TR"/>
                <w14:ligatures w14:val="none"/>
              </w:rPr>
              <w:tab/>
            </w:r>
            <w:r w:rsidRPr="00B335EC">
              <w:rPr>
                <w:rStyle w:val="Kpr"/>
                <w:noProof/>
              </w:rPr>
              <w:t>ASSESSMENT OF POTENTIAL ENVIRONMENTAL, SOCIAL AND KEY POTENTIAL LABOR RISKS AND IMPACTS</w:t>
            </w:r>
            <w:r>
              <w:rPr>
                <w:noProof/>
                <w:webHidden/>
              </w:rPr>
              <w:tab/>
            </w:r>
            <w:r>
              <w:rPr>
                <w:noProof/>
                <w:webHidden/>
              </w:rPr>
              <w:fldChar w:fldCharType="begin"/>
            </w:r>
            <w:r>
              <w:rPr>
                <w:noProof/>
                <w:webHidden/>
              </w:rPr>
              <w:instrText xml:space="preserve"> PAGEREF _Toc220672798 \h </w:instrText>
            </w:r>
            <w:r>
              <w:rPr>
                <w:noProof/>
                <w:webHidden/>
              </w:rPr>
            </w:r>
            <w:r>
              <w:rPr>
                <w:noProof/>
                <w:webHidden/>
              </w:rPr>
              <w:fldChar w:fldCharType="separate"/>
            </w:r>
            <w:r w:rsidR="004F7F3D">
              <w:rPr>
                <w:noProof/>
                <w:webHidden/>
              </w:rPr>
              <w:t>80</w:t>
            </w:r>
            <w:r>
              <w:rPr>
                <w:noProof/>
                <w:webHidden/>
              </w:rPr>
              <w:fldChar w:fldCharType="end"/>
            </w:r>
          </w:hyperlink>
        </w:p>
        <w:p w14:paraId="3F0B23E8" w14:textId="37D3E6E5"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799" w:history="1">
            <w:r w:rsidRPr="00B335EC">
              <w:rPr>
                <w:rStyle w:val="Kpr"/>
                <w:noProof/>
              </w:rPr>
              <w:t>3.1.</w:t>
            </w:r>
            <w:r>
              <w:rPr>
                <w:rFonts w:eastAsiaTheme="minorEastAsia" w:cstheme="minorBidi"/>
                <w:b w:val="0"/>
                <w:bCs w:val="0"/>
                <w:noProof/>
                <w:kern w:val="0"/>
                <w:sz w:val="22"/>
                <w:szCs w:val="22"/>
                <w:lang w:val="tr-TR" w:eastAsia="tr-TR"/>
                <w14:ligatures w14:val="none"/>
              </w:rPr>
              <w:tab/>
            </w:r>
            <w:r w:rsidRPr="00B335EC">
              <w:rPr>
                <w:rStyle w:val="Kpr"/>
                <w:noProof/>
              </w:rPr>
              <w:t>Potential Environmental and Social Risks and Impacts</w:t>
            </w:r>
            <w:r>
              <w:rPr>
                <w:noProof/>
                <w:webHidden/>
              </w:rPr>
              <w:tab/>
            </w:r>
            <w:r>
              <w:rPr>
                <w:noProof/>
                <w:webHidden/>
              </w:rPr>
              <w:fldChar w:fldCharType="begin"/>
            </w:r>
            <w:r>
              <w:rPr>
                <w:noProof/>
                <w:webHidden/>
              </w:rPr>
              <w:instrText xml:space="preserve"> PAGEREF _Toc220672799 \h </w:instrText>
            </w:r>
            <w:r>
              <w:rPr>
                <w:noProof/>
                <w:webHidden/>
              </w:rPr>
            </w:r>
            <w:r>
              <w:rPr>
                <w:noProof/>
                <w:webHidden/>
              </w:rPr>
              <w:fldChar w:fldCharType="separate"/>
            </w:r>
            <w:r w:rsidR="004F7F3D">
              <w:rPr>
                <w:noProof/>
                <w:webHidden/>
              </w:rPr>
              <w:t>80</w:t>
            </w:r>
            <w:r>
              <w:rPr>
                <w:noProof/>
                <w:webHidden/>
              </w:rPr>
              <w:fldChar w:fldCharType="end"/>
            </w:r>
          </w:hyperlink>
        </w:p>
        <w:p w14:paraId="296D5BF1" w14:textId="476C1946"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800" w:history="1">
            <w:r w:rsidRPr="00B335EC">
              <w:rPr>
                <w:rStyle w:val="Kpr"/>
                <w:noProof/>
              </w:rPr>
              <w:t>3.2.</w:t>
            </w:r>
            <w:r>
              <w:rPr>
                <w:rFonts w:eastAsiaTheme="minorEastAsia" w:cstheme="minorBidi"/>
                <w:b w:val="0"/>
                <w:bCs w:val="0"/>
                <w:noProof/>
                <w:kern w:val="0"/>
                <w:sz w:val="22"/>
                <w:szCs w:val="22"/>
                <w:lang w:val="tr-TR" w:eastAsia="tr-TR"/>
                <w14:ligatures w14:val="none"/>
              </w:rPr>
              <w:tab/>
            </w:r>
            <w:r w:rsidRPr="00B335EC">
              <w:rPr>
                <w:rStyle w:val="Kpr"/>
                <w:noProof/>
              </w:rPr>
              <w:t>Assessment of Key Potential Labor Risks</w:t>
            </w:r>
            <w:r>
              <w:rPr>
                <w:noProof/>
                <w:webHidden/>
              </w:rPr>
              <w:tab/>
            </w:r>
            <w:r>
              <w:rPr>
                <w:noProof/>
                <w:webHidden/>
              </w:rPr>
              <w:fldChar w:fldCharType="begin"/>
            </w:r>
            <w:r>
              <w:rPr>
                <w:noProof/>
                <w:webHidden/>
              </w:rPr>
              <w:instrText xml:space="preserve"> PAGEREF _Toc220672800 \h </w:instrText>
            </w:r>
            <w:r>
              <w:rPr>
                <w:noProof/>
                <w:webHidden/>
              </w:rPr>
            </w:r>
            <w:r>
              <w:rPr>
                <w:noProof/>
                <w:webHidden/>
              </w:rPr>
              <w:fldChar w:fldCharType="separate"/>
            </w:r>
            <w:r w:rsidR="004F7F3D">
              <w:rPr>
                <w:noProof/>
                <w:webHidden/>
              </w:rPr>
              <w:t>82</w:t>
            </w:r>
            <w:r>
              <w:rPr>
                <w:noProof/>
                <w:webHidden/>
              </w:rPr>
              <w:fldChar w:fldCharType="end"/>
            </w:r>
          </w:hyperlink>
        </w:p>
        <w:p w14:paraId="636CEC2A" w14:textId="1FB2C4A4" w:rsidR="00392FA6" w:rsidRDefault="00392FA6">
          <w:pPr>
            <w:pStyle w:val="T1"/>
            <w:tabs>
              <w:tab w:val="left" w:pos="440"/>
            </w:tabs>
            <w:rPr>
              <w:rFonts w:asciiTheme="minorHAnsi" w:eastAsiaTheme="minorEastAsia" w:hAnsiTheme="minorHAnsi" w:cstheme="minorBidi"/>
              <w:b w:val="0"/>
              <w:bCs w:val="0"/>
              <w:caps w:val="0"/>
              <w:noProof/>
              <w:kern w:val="0"/>
              <w:sz w:val="22"/>
              <w:szCs w:val="22"/>
              <w:lang w:val="tr-TR" w:eastAsia="tr-TR"/>
              <w14:ligatures w14:val="none"/>
            </w:rPr>
          </w:pPr>
          <w:hyperlink w:anchor="_Toc220672801" w:history="1">
            <w:r w:rsidRPr="00B335EC">
              <w:rPr>
                <w:rStyle w:val="Kpr"/>
                <w:noProof/>
              </w:rPr>
              <w:t>4.</w:t>
            </w:r>
            <w:r>
              <w:rPr>
                <w:rFonts w:asciiTheme="minorHAnsi" w:eastAsiaTheme="minorEastAsia" w:hAnsiTheme="minorHAnsi" w:cstheme="minorBidi"/>
                <w:b w:val="0"/>
                <w:bCs w:val="0"/>
                <w:caps w:val="0"/>
                <w:noProof/>
                <w:kern w:val="0"/>
                <w:sz w:val="22"/>
                <w:szCs w:val="22"/>
                <w:lang w:val="tr-TR" w:eastAsia="tr-TR"/>
                <w14:ligatures w14:val="none"/>
              </w:rPr>
              <w:tab/>
            </w:r>
            <w:r w:rsidRPr="00B335EC">
              <w:rPr>
                <w:rStyle w:val="Kpr"/>
                <w:noProof/>
              </w:rPr>
              <w:t>SUB-PROJECT SCREENING PROCESS</w:t>
            </w:r>
            <w:r>
              <w:rPr>
                <w:noProof/>
                <w:webHidden/>
              </w:rPr>
              <w:tab/>
            </w:r>
            <w:r>
              <w:rPr>
                <w:noProof/>
                <w:webHidden/>
              </w:rPr>
              <w:fldChar w:fldCharType="begin"/>
            </w:r>
            <w:r>
              <w:rPr>
                <w:noProof/>
                <w:webHidden/>
              </w:rPr>
              <w:instrText xml:space="preserve"> PAGEREF _Toc220672801 \h </w:instrText>
            </w:r>
            <w:r>
              <w:rPr>
                <w:noProof/>
                <w:webHidden/>
              </w:rPr>
            </w:r>
            <w:r>
              <w:rPr>
                <w:noProof/>
                <w:webHidden/>
              </w:rPr>
              <w:fldChar w:fldCharType="separate"/>
            </w:r>
            <w:r w:rsidR="004F7F3D">
              <w:rPr>
                <w:noProof/>
                <w:webHidden/>
              </w:rPr>
              <w:t>84</w:t>
            </w:r>
            <w:r>
              <w:rPr>
                <w:noProof/>
                <w:webHidden/>
              </w:rPr>
              <w:fldChar w:fldCharType="end"/>
            </w:r>
          </w:hyperlink>
        </w:p>
        <w:p w14:paraId="64ACE943" w14:textId="26D3FE80" w:rsidR="00392FA6" w:rsidRDefault="00392FA6">
          <w:pPr>
            <w:pStyle w:val="T1"/>
            <w:tabs>
              <w:tab w:val="left" w:pos="440"/>
            </w:tabs>
            <w:rPr>
              <w:rFonts w:asciiTheme="minorHAnsi" w:eastAsiaTheme="minorEastAsia" w:hAnsiTheme="minorHAnsi" w:cstheme="minorBidi"/>
              <w:b w:val="0"/>
              <w:bCs w:val="0"/>
              <w:caps w:val="0"/>
              <w:noProof/>
              <w:kern w:val="0"/>
              <w:sz w:val="22"/>
              <w:szCs w:val="22"/>
              <w:lang w:val="tr-TR" w:eastAsia="tr-TR"/>
              <w14:ligatures w14:val="none"/>
            </w:rPr>
          </w:pPr>
          <w:hyperlink w:anchor="_Toc220672802" w:history="1">
            <w:r w:rsidRPr="00B335EC">
              <w:rPr>
                <w:rStyle w:val="Kpr"/>
                <w:noProof/>
              </w:rPr>
              <w:t>5.</w:t>
            </w:r>
            <w:r>
              <w:rPr>
                <w:rFonts w:asciiTheme="minorHAnsi" w:eastAsiaTheme="minorEastAsia" w:hAnsiTheme="minorHAnsi" w:cstheme="minorBidi"/>
                <w:b w:val="0"/>
                <w:bCs w:val="0"/>
                <w:caps w:val="0"/>
                <w:noProof/>
                <w:kern w:val="0"/>
                <w:sz w:val="22"/>
                <w:szCs w:val="22"/>
                <w:lang w:val="tr-TR" w:eastAsia="tr-TR"/>
                <w14:ligatures w14:val="none"/>
              </w:rPr>
              <w:tab/>
            </w:r>
            <w:r w:rsidRPr="00B335EC">
              <w:rPr>
                <w:rStyle w:val="Kpr"/>
                <w:noProof/>
              </w:rPr>
              <w:t>MITIGATION AND ENVIRONMENTAL AND SOCIAL COMPLIANCE MANAGEMENT MEASURES</w:t>
            </w:r>
            <w:r>
              <w:rPr>
                <w:noProof/>
                <w:webHidden/>
              </w:rPr>
              <w:tab/>
            </w:r>
            <w:r>
              <w:rPr>
                <w:noProof/>
                <w:webHidden/>
              </w:rPr>
              <w:fldChar w:fldCharType="begin"/>
            </w:r>
            <w:r>
              <w:rPr>
                <w:noProof/>
                <w:webHidden/>
              </w:rPr>
              <w:instrText xml:space="preserve"> PAGEREF _Toc220672802 \h </w:instrText>
            </w:r>
            <w:r>
              <w:rPr>
                <w:noProof/>
                <w:webHidden/>
              </w:rPr>
            </w:r>
            <w:r>
              <w:rPr>
                <w:noProof/>
                <w:webHidden/>
              </w:rPr>
              <w:fldChar w:fldCharType="separate"/>
            </w:r>
            <w:r w:rsidR="004F7F3D">
              <w:rPr>
                <w:noProof/>
                <w:webHidden/>
              </w:rPr>
              <w:t>88</w:t>
            </w:r>
            <w:r>
              <w:rPr>
                <w:noProof/>
                <w:webHidden/>
              </w:rPr>
              <w:fldChar w:fldCharType="end"/>
            </w:r>
          </w:hyperlink>
        </w:p>
        <w:p w14:paraId="587D9FA8" w14:textId="6762113F"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803" w:history="1">
            <w:r w:rsidRPr="00B335EC">
              <w:rPr>
                <w:rStyle w:val="Kpr"/>
                <w:noProof/>
              </w:rPr>
              <w:t>5.1.</w:t>
            </w:r>
            <w:r>
              <w:rPr>
                <w:rFonts w:eastAsiaTheme="minorEastAsia" w:cstheme="minorBidi"/>
                <w:b w:val="0"/>
                <w:bCs w:val="0"/>
                <w:noProof/>
                <w:kern w:val="0"/>
                <w:sz w:val="22"/>
                <w:szCs w:val="22"/>
                <w:lang w:val="tr-TR" w:eastAsia="tr-TR"/>
                <w14:ligatures w14:val="none"/>
              </w:rPr>
              <w:tab/>
            </w:r>
            <w:r w:rsidRPr="00B335EC">
              <w:rPr>
                <w:rStyle w:val="Kpr"/>
                <w:noProof/>
              </w:rPr>
              <w:t>Mitigation Plan</w:t>
            </w:r>
            <w:r>
              <w:rPr>
                <w:noProof/>
                <w:webHidden/>
              </w:rPr>
              <w:tab/>
            </w:r>
            <w:r>
              <w:rPr>
                <w:noProof/>
                <w:webHidden/>
              </w:rPr>
              <w:fldChar w:fldCharType="begin"/>
            </w:r>
            <w:r>
              <w:rPr>
                <w:noProof/>
                <w:webHidden/>
              </w:rPr>
              <w:instrText xml:space="preserve"> PAGEREF _Toc220672803 \h </w:instrText>
            </w:r>
            <w:r>
              <w:rPr>
                <w:noProof/>
                <w:webHidden/>
              </w:rPr>
            </w:r>
            <w:r>
              <w:rPr>
                <w:noProof/>
                <w:webHidden/>
              </w:rPr>
              <w:fldChar w:fldCharType="separate"/>
            </w:r>
            <w:r w:rsidR="004F7F3D">
              <w:rPr>
                <w:noProof/>
                <w:webHidden/>
              </w:rPr>
              <w:t>88</w:t>
            </w:r>
            <w:r>
              <w:rPr>
                <w:noProof/>
                <w:webHidden/>
              </w:rPr>
              <w:fldChar w:fldCharType="end"/>
            </w:r>
          </w:hyperlink>
        </w:p>
        <w:p w14:paraId="6662D495" w14:textId="61EEC643"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804" w:history="1">
            <w:r w:rsidRPr="00B335EC">
              <w:rPr>
                <w:rStyle w:val="Kpr"/>
                <w:noProof/>
              </w:rPr>
              <w:t>5.2.</w:t>
            </w:r>
            <w:r>
              <w:rPr>
                <w:rFonts w:eastAsiaTheme="minorEastAsia" w:cstheme="minorBidi"/>
                <w:b w:val="0"/>
                <w:bCs w:val="0"/>
                <w:noProof/>
                <w:kern w:val="0"/>
                <w:sz w:val="22"/>
                <w:szCs w:val="22"/>
                <w:lang w:val="tr-TR" w:eastAsia="tr-TR"/>
                <w14:ligatures w14:val="none"/>
              </w:rPr>
              <w:tab/>
            </w:r>
            <w:r w:rsidRPr="00B335EC">
              <w:rPr>
                <w:rStyle w:val="Kpr"/>
                <w:noProof/>
              </w:rPr>
              <w:t>Roles and Responsibilities</w:t>
            </w:r>
            <w:r>
              <w:rPr>
                <w:noProof/>
                <w:webHidden/>
              </w:rPr>
              <w:tab/>
            </w:r>
            <w:r>
              <w:rPr>
                <w:noProof/>
                <w:webHidden/>
              </w:rPr>
              <w:fldChar w:fldCharType="begin"/>
            </w:r>
            <w:r>
              <w:rPr>
                <w:noProof/>
                <w:webHidden/>
              </w:rPr>
              <w:instrText xml:space="preserve"> PAGEREF _Toc220672804 \h </w:instrText>
            </w:r>
            <w:r>
              <w:rPr>
                <w:noProof/>
                <w:webHidden/>
              </w:rPr>
            </w:r>
            <w:r>
              <w:rPr>
                <w:noProof/>
                <w:webHidden/>
              </w:rPr>
              <w:fldChar w:fldCharType="separate"/>
            </w:r>
            <w:r w:rsidR="004F7F3D">
              <w:rPr>
                <w:noProof/>
                <w:webHidden/>
              </w:rPr>
              <w:t>109</w:t>
            </w:r>
            <w:r>
              <w:rPr>
                <w:noProof/>
                <w:webHidden/>
              </w:rPr>
              <w:fldChar w:fldCharType="end"/>
            </w:r>
          </w:hyperlink>
        </w:p>
        <w:p w14:paraId="78824F30" w14:textId="6EC723AC" w:rsidR="00392FA6" w:rsidRDefault="00392FA6">
          <w:pPr>
            <w:pStyle w:val="T1"/>
            <w:tabs>
              <w:tab w:val="left" w:pos="440"/>
            </w:tabs>
            <w:rPr>
              <w:rFonts w:asciiTheme="minorHAnsi" w:eastAsiaTheme="minorEastAsia" w:hAnsiTheme="minorHAnsi" w:cstheme="minorBidi"/>
              <w:b w:val="0"/>
              <w:bCs w:val="0"/>
              <w:caps w:val="0"/>
              <w:noProof/>
              <w:kern w:val="0"/>
              <w:sz w:val="22"/>
              <w:szCs w:val="22"/>
              <w:lang w:val="tr-TR" w:eastAsia="tr-TR"/>
              <w14:ligatures w14:val="none"/>
            </w:rPr>
          </w:pPr>
          <w:hyperlink w:anchor="_Toc220672805" w:history="1">
            <w:r w:rsidRPr="00B335EC">
              <w:rPr>
                <w:rStyle w:val="Kpr"/>
                <w:noProof/>
              </w:rPr>
              <w:t>6.</w:t>
            </w:r>
            <w:r>
              <w:rPr>
                <w:rFonts w:asciiTheme="minorHAnsi" w:eastAsiaTheme="minorEastAsia" w:hAnsiTheme="minorHAnsi" w:cstheme="minorBidi"/>
                <w:b w:val="0"/>
                <w:bCs w:val="0"/>
                <w:caps w:val="0"/>
                <w:noProof/>
                <w:kern w:val="0"/>
                <w:sz w:val="22"/>
                <w:szCs w:val="22"/>
                <w:lang w:val="tr-TR" w:eastAsia="tr-TR"/>
                <w14:ligatures w14:val="none"/>
              </w:rPr>
              <w:tab/>
            </w:r>
            <w:r w:rsidRPr="00B335EC">
              <w:rPr>
                <w:rStyle w:val="Kpr"/>
                <w:noProof/>
              </w:rPr>
              <w:t>STAKEHOLDER ENGAGEMENT</w:t>
            </w:r>
            <w:r>
              <w:rPr>
                <w:noProof/>
                <w:webHidden/>
              </w:rPr>
              <w:tab/>
            </w:r>
            <w:r>
              <w:rPr>
                <w:noProof/>
                <w:webHidden/>
              </w:rPr>
              <w:fldChar w:fldCharType="begin"/>
            </w:r>
            <w:r>
              <w:rPr>
                <w:noProof/>
                <w:webHidden/>
              </w:rPr>
              <w:instrText xml:space="preserve"> PAGEREF _Toc220672805 \h </w:instrText>
            </w:r>
            <w:r>
              <w:rPr>
                <w:noProof/>
                <w:webHidden/>
              </w:rPr>
            </w:r>
            <w:r>
              <w:rPr>
                <w:noProof/>
                <w:webHidden/>
              </w:rPr>
              <w:fldChar w:fldCharType="separate"/>
            </w:r>
            <w:r w:rsidR="004F7F3D">
              <w:rPr>
                <w:noProof/>
                <w:webHidden/>
              </w:rPr>
              <w:t>114</w:t>
            </w:r>
            <w:r>
              <w:rPr>
                <w:noProof/>
                <w:webHidden/>
              </w:rPr>
              <w:fldChar w:fldCharType="end"/>
            </w:r>
          </w:hyperlink>
        </w:p>
        <w:p w14:paraId="3A24D654" w14:textId="4E9D9C3E"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806" w:history="1">
            <w:r w:rsidRPr="00B335EC">
              <w:rPr>
                <w:rStyle w:val="Kpr"/>
                <w:noProof/>
              </w:rPr>
              <w:t>6.1</w:t>
            </w:r>
            <w:r>
              <w:rPr>
                <w:rFonts w:eastAsiaTheme="minorEastAsia" w:cstheme="minorBidi"/>
                <w:b w:val="0"/>
                <w:bCs w:val="0"/>
                <w:noProof/>
                <w:kern w:val="0"/>
                <w:sz w:val="22"/>
                <w:szCs w:val="22"/>
                <w:lang w:val="tr-TR" w:eastAsia="tr-TR"/>
                <w14:ligatures w14:val="none"/>
              </w:rPr>
              <w:tab/>
            </w:r>
            <w:r w:rsidRPr="00B335EC">
              <w:rPr>
                <w:rStyle w:val="Kpr"/>
                <w:noProof/>
              </w:rPr>
              <w:t>Stakeholder Engagement Plan</w:t>
            </w:r>
            <w:r>
              <w:rPr>
                <w:noProof/>
                <w:webHidden/>
              </w:rPr>
              <w:tab/>
            </w:r>
            <w:r>
              <w:rPr>
                <w:noProof/>
                <w:webHidden/>
              </w:rPr>
              <w:fldChar w:fldCharType="begin"/>
            </w:r>
            <w:r>
              <w:rPr>
                <w:noProof/>
                <w:webHidden/>
              </w:rPr>
              <w:instrText xml:space="preserve"> PAGEREF _Toc220672806 \h </w:instrText>
            </w:r>
            <w:r>
              <w:rPr>
                <w:noProof/>
                <w:webHidden/>
              </w:rPr>
            </w:r>
            <w:r>
              <w:rPr>
                <w:noProof/>
                <w:webHidden/>
              </w:rPr>
              <w:fldChar w:fldCharType="separate"/>
            </w:r>
            <w:r w:rsidR="004F7F3D">
              <w:rPr>
                <w:noProof/>
                <w:webHidden/>
              </w:rPr>
              <w:t>114</w:t>
            </w:r>
            <w:r>
              <w:rPr>
                <w:noProof/>
                <w:webHidden/>
              </w:rPr>
              <w:fldChar w:fldCharType="end"/>
            </w:r>
          </w:hyperlink>
        </w:p>
        <w:p w14:paraId="323F31F4" w14:textId="0AF28B6D" w:rsidR="00392FA6" w:rsidRDefault="00392FA6">
          <w:pPr>
            <w:pStyle w:val="T2"/>
            <w:tabs>
              <w:tab w:val="right" w:leader="dot" w:pos="9060"/>
            </w:tabs>
            <w:rPr>
              <w:rFonts w:eastAsiaTheme="minorEastAsia" w:cstheme="minorBidi"/>
              <w:b w:val="0"/>
              <w:bCs w:val="0"/>
              <w:noProof/>
              <w:kern w:val="0"/>
              <w:sz w:val="22"/>
              <w:szCs w:val="22"/>
              <w:lang w:val="tr-TR" w:eastAsia="tr-TR"/>
              <w14:ligatures w14:val="none"/>
            </w:rPr>
          </w:pPr>
          <w:hyperlink w:anchor="_Toc220672807" w:history="1">
            <w:r w:rsidRPr="00B335EC">
              <w:rPr>
                <w:rStyle w:val="Kpr"/>
                <w:noProof/>
              </w:rPr>
              <w:t>6.2. Consultation of This ESMP</w:t>
            </w:r>
            <w:r>
              <w:rPr>
                <w:noProof/>
                <w:webHidden/>
              </w:rPr>
              <w:tab/>
            </w:r>
            <w:r>
              <w:rPr>
                <w:noProof/>
                <w:webHidden/>
              </w:rPr>
              <w:fldChar w:fldCharType="begin"/>
            </w:r>
            <w:r>
              <w:rPr>
                <w:noProof/>
                <w:webHidden/>
              </w:rPr>
              <w:instrText xml:space="preserve"> PAGEREF _Toc220672807 \h </w:instrText>
            </w:r>
            <w:r>
              <w:rPr>
                <w:noProof/>
                <w:webHidden/>
              </w:rPr>
            </w:r>
            <w:r>
              <w:rPr>
                <w:noProof/>
                <w:webHidden/>
              </w:rPr>
              <w:fldChar w:fldCharType="separate"/>
            </w:r>
            <w:r w:rsidR="004F7F3D">
              <w:rPr>
                <w:noProof/>
                <w:webHidden/>
              </w:rPr>
              <w:t>115</w:t>
            </w:r>
            <w:r>
              <w:rPr>
                <w:noProof/>
                <w:webHidden/>
              </w:rPr>
              <w:fldChar w:fldCharType="end"/>
            </w:r>
          </w:hyperlink>
        </w:p>
        <w:p w14:paraId="3D6C2486" w14:textId="40C1C466" w:rsidR="00392FA6" w:rsidRDefault="00392FA6">
          <w:pPr>
            <w:pStyle w:val="T1"/>
            <w:tabs>
              <w:tab w:val="left" w:pos="440"/>
            </w:tabs>
            <w:rPr>
              <w:rFonts w:asciiTheme="minorHAnsi" w:eastAsiaTheme="minorEastAsia" w:hAnsiTheme="minorHAnsi" w:cstheme="minorBidi"/>
              <w:b w:val="0"/>
              <w:bCs w:val="0"/>
              <w:caps w:val="0"/>
              <w:noProof/>
              <w:kern w:val="0"/>
              <w:sz w:val="22"/>
              <w:szCs w:val="22"/>
              <w:lang w:val="tr-TR" w:eastAsia="tr-TR"/>
              <w14:ligatures w14:val="none"/>
            </w:rPr>
          </w:pPr>
          <w:hyperlink w:anchor="_Toc220672808" w:history="1">
            <w:r w:rsidRPr="00B335EC">
              <w:rPr>
                <w:rStyle w:val="Kpr"/>
                <w:noProof/>
              </w:rPr>
              <w:t>7.</w:t>
            </w:r>
            <w:r>
              <w:rPr>
                <w:rFonts w:asciiTheme="minorHAnsi" w:eastAsiaTheme="minorEastAsia" w:hAnsiTheme="minorHAnsi" w:cstheme="minorBidi"/>
                <w:b w:val="0"/>
                <w:bCs w:val="0"/>
                <w:caps w:val="0"/>
                <w:noProof/>
                <w:kern w:val="0"/>
                <w:sz w:val="22"/>
                <w:szCs w:val="22"/>
                <w:lang w:val="tr-TR" w:eastAsia="tr-TR"/>
                <w14:ligatures w14:val="none"/>
              </w:rPr>
              <w:tab/>
            </w:r>
            <w:r w:rsidRPr="00B335EC">
              <w:rPr>
                <w:rStyle w:val="Kpr"/>
                <w:noProof/>
              </w:rPr>
              <w:t>GRIEVANCE MECHANISM</w:t>
            </w:r>
            <w:r>
              <w:rPr>
                <w:noProof/>
                <w:webHidden/>
              </w:rPr>
              <w:tab/>
            </w:r>
            <w:r>
              <w:rPr>
                <w:noProof/>
                <w:webHidden/>
              </w:rPr>
              <w:fldChar w:fldCharType="begin"/>
            </w:r>
            <w:r>
              <w:rPr>
                <w:noProof/>
                <w:webHidden/>
              </w:rPr>
              <w:instrText xml:space="preserve"> PAGEREF _Toc220672808 \h </w:instrText>
            </w:r>
            <w:r>
              <w:rPr>
                <w:noProof/>
                <w:webHidden/>
              </w:rPr>
            </w:r>
            <w:r>
              <w:rPr>
                <w:noProof/>
                <w:webHidden/>
              </w:rPr>
              <w:fldChar w:fldCharType="separate"/>
            </w:r>
            <w:r w:rsidR="004F7F3D">
              <w:rPr>
                <w:noProof/>
                <w:webHidden/>
              </w:rPr>
              <w:t>116</w:t>
            </w:r>
            <w:r>
              <w:rPr>
                <w:noProof/>
                <w:webHidden/>
              </w:rPr>
              <w:fldChar w:fldCharType="end"/>
            </w:r>
          </w:hyperlink>
        </w:p>
        <w:p w14:paraId="78C1FC12" w14:textId="4C4242AE"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809" w:history="1">
            <w:r w:rsidRPr="00B335EC">
              <w:rPr>
                <w:rStyle w:val="Kpr"/>
                <w:noProof/>
              </w:rPr>
              <w:t>7.1.</w:t>
            </w:r>
            <w:r>
              <w:rPr>
                <w:rFonts w:eastAsiaTheme="minorEastAsia" w:cstheme="minorBidi"/>
                <w:b w:val="0"/>
                <w:bCs w:val="0"/>
                <w:noProof/>
                <w:kern w:val="0"/>
                <w:sz w:val="22"/>
                <w:szCs w:val="22"/>
                <w:lang w:val="tr-TR" w:eastAsia="tr-TR"/>
                <w14:ligatures w14:val="none"/>
              </w:rPr>
              <w:tab/>
            </w:r>
            <w:r w:rsidRPr="00B335EC">
              <w:rPr>
                <w:rStyle w:val="Kpr"/>
                <w:noProof/>
              </w:rPr>
              <w:t>Worker’s Grievance Mechanism</w:t>
            </w:r>
            <w:r>
              <w:rPr>
                <w:noProof/>
                <w:webHidden/>
              </w:rPr>
              <w:tab/>
            </w:r>
            <w:r>
              <w:rPr>
                <w:noProof/>
                <w:webHidden/>
              </w:rPr>
              <w:fldChar w:fldCharType="begin"/>
            </w:r>
            <w:r>
              <w:rPr>
                <w:noProof/>
                <w:webHidden/>
              </w:rPr>
              <w:instrText xml:space="preserve"> PAGEREF _Toc220672809 \h </w:instrText>
            </w:r>
            <w:r>
              <w:rPr>
                <w:noProof/>
                <w:webHidden/>
              </w:rPr>
            </w:r>
            <w:r>
              <w:rPr>
                <w:noProof/>
                <w:webHidden/>
              </w:rPr>
              <w:fldChar w:fldCharType="separate"/>
            </w:r>
            <w:r w:rsidR="004F7F3D">
              <w:rPr>
                <w:noProof/>
                <w:webHidden/>
              </w:rPr>
              <w:t>116</w:t>
            </w:r>
            <w:r>
              <w:rPr>
                <w:noProof/>
                <w:webHidden/>
              </w:rPr>
              <w:fldChar w:fldCharType="end"/>
            </w:r>
          </w:hyperlink>
        </w:p>
        <w:p w14:paraId="44F0451C" w14:textId="5F8CC10B"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810" w:history="1">
            <w:r w:rsidRPr="00B335EC">
              <w:rPr>
                <w:rStyle w:val="Kpr"/>
                <w:noProof/>
              </w:rPr>
              <w:t>7.2.</w:t>
            </w:r>
            <w:r>
              <w:rPr>
                <w:rFonts w:eastAsiaTheme="minorEastAsia" w:cstheme="minorBidi"/>
                <w:b w:val="0"/>
                <w:bCs w:val="0"/>
                <w:noProof/>
                <w:kern w:val="0"/>
                <w:sz w:val="22"/>
                <w:szCs w:val="22"/>
                <w:lang w:val="tr-TR" w:eastAsia="tr-TR"/>
                <w14:ligatures w14:val="none"/>
              </w:rPr>
              <w:tab/>
            </w:r>
            <w:r w:rsidRPr="00B335EC">
              <w:rPr>
                <w:rStyle w:val="Kpr"/>
                <w:noProof/>
              </w:rPr>
              <w:t>Receiving &amp; Registering Grievance</w:t>
            </w:r>
            <w:r>
              <w:rPr>
                <w:noProof/>
                <w:webHidden/>
              </w:rPr>
              <w:tab/>
            </w:r>
            <w:r>
              <w:rPr>
                <w:noProof/>
                <w:webHidden/>
              </w:rPr>
              <w:fldChar w:fldCharType="begin"/>
            </w:r>
            <w:r>
              <w:rPr>
                <w:noProof/>
                <w:webHidden/>
              </w:rPr>
              <w:instrText xml:space="preserve"> PAGEREF _Toc220672810 \h </w:instrText>
            </w:r>
            <w:r>
              <w:rPr>
                <w:noProof/>
                <w:webHidden/>
              </w:rPr>
            </w:r>
            <w:r>
              <w:rPr>
                <w:noProof/>
                <w:webHidden/>
              </w:rPr>
              <w:fldChar w:fldCharType="separate"/>
            </w:r>
            <w:r w:rsidR="004F7F3D">
              <w:rPr>
                <w:noProof/>
                <w:webHidden/>
              </w:rPr>
              <w:t>117</w:t>
            </w:r>
            <w:r>
              <w:rPr>
                <w:noProof/>
                <w:webHidden/>
              </w:rPr>
              <w:fldChar w:fldCharType="end"/>
            </w:r>
          </w:hyperlink>
        </w:p>
        <w:p w14:paraId="509825B4" w14:textId="7173FBA0"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811" w:history="1">
            <w:r w:rsidRPr="00B335EC">
              <w:rPr>
                <w:rStyle w:val="Kpr"/>
                <w:noProof/>
              </w:rPr>
              <w:t>7.3.</w:t>
            </w:r>
            <w:r>
              <w:rPr>
                <w:rFonts w:eastAsiaTheme="minorEastAsia" w:cstheme="minorBidi"/>
                <w:b w:val="0"/>
                <w:bCs w:val="0"/>
                <w:noProof/>
                <w:kern w:val="0"/>
                <w:sz w:val="22"/>
                <w:szCs w:val="22"/>
                <w:lang w:val="tr-TR" w:eastAsia="tr-TR"/>
                <w14:ligatures w14:val="none"/>
              </w:rPr>
              <w:tab/>
            </w:r>
            <w:r w:rsidRPr="00B335EC">
              <w:rPr>
                <w:rStyle w:val="Kpr"/>
                <w:rFonts w:eastAsia="Aptos"/>
                <w:noProof/>
              </w:rPr>
              <w:t>Assessment of the Grievance</w:t>
            </w:r>
            <w:r>
              <w:rPr>
                <w:noProof/>
                <w:webHidden/>
              </w:rPr>
              <w:tab/>
            </w:r>
            <w:r>
              <w:rPr>
                <w:noProof/>
                <w:webHidden/>
              </w:rPr>
              <w:fldChar w:fldCharType="begin"/>
            </w:r>
            <w:r>
              <w:rPr>
                <w:noProof/>
                <w:webHidden/>
              </w:rPr>
              <w:instrText xml:space="preserve"> PAGEREF _Toc220672811 \h </w:instrText>
            </w:r>
            <w:r>
              <w:rPr>
                <w:noProof/>
                <w:webHidden/>
              </w:rPr>
            </w:r>
            <w:r>
              <w:rPr>
                <w:noProof/>
                <w:webHidden/>
              </w:rPr>
              <w:fldChar w:fldCharType="separate"/>
            </w:r>
            <w:r w:rsidR="004F7F3D">
              <w:rPr>
                <w:noProof/>
                <w:webHidden/>
              </w:rPr>
              <w:t>118</w:t>
            </w:r>
            <w:r>
              <w:rPr>
                <w:noProof/>
                <w:webHidden/>
              </w:rPr>
              <w:fldChar w:fldCharType="end"/>
            </w:r>
          </w:hyperlink>
        </w:p>
        <w:p w14:paraId="77EB3EC2" w14:textId="21F0CE1B"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812" w:history="1">
            <w:r w:rsidRPr="00B335EC">
              <w:rPr>
                <w:rStyle w:val="Kpr"/>
                <w:noProof/>
              </w:rPr>
              <w:t>7.4.</w:t>
            </w:r>
            <w:r>
              <w:rPr>
                <w:rFonts w:eastAsiaTheme="minorEastAsia" w:cstheme="minorBidi"/>
                <w:b w:val="0"/>
                <w:bCs w:val="0"/>
                <w:noProof/>
                <w:kern w:val="0"/>
                <w:sz w:val="22"/>
                <w:szCs w:val="22"/>
                <w:lang w:val="tr-TR" w:eastAsia="tr-TR"/>
                <w14:ligatures w14:val="none"/>
              </w:rPr>
              <w:tab/>
            </w:r>
            <w:r w:rsidRPr="00B335EC">
              <w:rPr>
                <w:rStyle w:val="Kpr"/>
                <w:noProof/>
              </w:rPr>
              <w:t>Complaint Resolution</w:t>
            </w:r>
            <w:r>
              <w:rPr>
                <w:noProof/>
                <w:webHidden/>
              </w:rPr>
              <w:tab/>
            </w:r>
            <w:r>
              <w:rPr>
                <w:noProof/>
                <w:webHidden/>
              </w:rPr>
              <w:fldChar w:fldCharType="begin"/>
            </w:r>
            <w:r>
              <w:rPr>
                <w:noProof/>
                <w:webHidden/>
              </w:rPr>
              <w:instrText xml:space="preserve"> PAGEREF _Toc220672812 \h </w:instrText>
            </w:r>
            <w:r>
              <w:rPr>
                <w:noProof/>
                <w:webHidden/>
              </w:rPr>
            </w:r>
            <w:r>
              <w:rPr>
                <w:noProof/>
                <w:webHidden/>
              </w:rPr>
              <w:fldChar w:fldCharType="separate"/>
            </w:r>
            <w:r w:rsidR="004F7F3D">
              <w:rPr>
                <w:noProof/>
                <w:webHidden/>
              </w:rPr>
              <w:t>118</w:t>
            </w:r>
            <w:r>
              <w:rPr>
                <w:noProof/>
                <w:webHidden/>
              </w:rPr>
              <w:fldChar w:fldCharType="end"/>
            </w:r>
          </w:hyperlink>
        </w:p>
        <w:p w14:paraId="16D3868D" w14:textId="705533B5"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813" w:history="1">
            <w:r w:rsidRPr="00B335EC">
              <w:rPr>
                <w:rStyle w:val="Kpr"/>
                <w:noProof/>
              </w:rPr>
              <w:t>7.5.</w:t>
            </w:r>
            <w:r>
              <w:rPr>
                <w:rFonts w:eastAsiaTheme="minorEastAsia" w:cstheme="minorBidi"/>
                <w:b w:val="0"/>
                <w:bCs w:val="0"/>
                <w:noProof/>
                <w:kern w:val="0"/>
                <w:sz w:val="22"/>
                <w:szCs w:val="22"/>
                <w:lang w:val="tr-TR" w:eastAsia="tr-TR"/>
                <w14:ligatures w14:val="none"/>
              </w:rPr>
              <w:tab/>
            </w:r>
            <w:r w:rsidRPr="00B335EC">
              <w:rPr>
                <w:rStyle w:val="Kpr"/>
                <w:rFonts w:eastAsia="Aptos"/>
                <w:noProof/>
              </w:rPr>
              <w:t>Close out of the Grievance</w:t>
            </w:r>
            <w:r>
              <w:rPr>
                <w:noProof/>
                <w:webHidden/>
              </w:rPr>
              <w:tab/>
            </w:r>
            <w:r>
              <w:rPr>
                <w:noProof/>
                <w:webHidden/>
              </w:rPr>
              <w:fldChar w:fldCharType="begin"/>
            </w:r>
            <w:r>
              <w:rPr>
                <w:noProof/>
                <w:webHidden/>
              </w:rPr>
              <w:instrText xml:space="preserve"> PAGEREF _Toc220672813 \h </w:instrText>
            </w:r>
            <w:r>
              <w:rPr>
                <w:noProof/>
                <w:webHidden/>
              </w:rPr>
            </w:r>
            <w:r>
              <w:rPr>
                <w:noProof/>
                <w:webHidden/>
              </w:rPr>
              <w:fldChar w:fldCharType="separate"/>
            </w:r>
            <w:r w:rsidR="004F7F3D">
              <w:rPr>
                <w:noProof/>
                <w:webHidden/>
              </w:rPr>
              <w:t>119</w:t>
            </w:r>
            <w:r>
              <w:rPr>
                <w:noProof/>
                <w:webHidden/>
              </w:rPr>
              <w:fldChar w:fldCharType="end"/>
            </w:r>
          </w:hyperlink>
        </w:p>
        <w:p w14:paraId="4BDD7C41" w14:textId="029638AF"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814" w:history="1">
            <w:r w:rsidRPr="00B335EC">
              <w:rPr>
                <w:rStyle w:val="Kpr"/>
                <w:noProof/>
              </w:rPr>
              <w:t>7.6.</w:t>
            </w:r>
            <w:r>
              <w:rPr>
                <w:rFonts w:eastAsiaTheme="minorEastAsia" w:cstheme="minorBidi"/>
                <w:b w:val="0"/>
                <w:bCs w:val="0"/>
                <w:noProof/>
                <w:kern w:val="0"/>
                <w:sz w:val="22"/>
                <w:szCs w:val="22"/>
                <w:lang w:val="tr-TR" w:eastAsia="tr-TR"/>
                <w14:ligatures w14:val="none"/>
              </w:rPr>
              <w:tab/>
            </w:r>
            <w:r w:rsidRPr="00B335EC">
              <w:rPr>
                <w:rStyle w:val="Kpr"/>
                <w:rFonts w:eastAsia="Aptos"/>
                <w:noProof/>
              </w:rPr>
              <w:t>Registration and Evaluation of Anonymous Complaints</w:t>
            </w:r>
            <w:r>
              <w:rPr>
                <w:noProof/>
                <w:webHidden/>
              </w:rPr>
              <w:tab/>
            </w:r>
            <w:r>
              <w:rPr>
                <w:noProof/>
                <w:webHidden/>
              </w:rPr>
              <w:fldChar w:fldCharType="begin"/>
            </w:r>
            <w:r>
              <w:rPr>
                <w:noProof/>
                <w:webHidden/>
              </w:rPr>
              <w:instrText xml:space="preserve"> PAGEREF _Toc220672814 \h </w:instrText>
            </w:r>
            <w:r>
              <w:rPr>
                <w:noProof/>
                <w:webHidden/>
              </w:rPr>
            </w:r>
            <w:r>
              <w:rPr>
                <w:noProof/>
                <w:webHidden/>
              </w:rPr>
              <w:fldChar w:fldCharType="separate"/>
            </w:r>
            <w:r w:rsidR="004F7F3D">
              <w:rPr>
                <w:noProof/>
                <w:webHidden/>
              </w:rPr>
              <w:t>119</w:t>
            </w:r>
            <w:r>
              <w:rPr>
                <w:noProof/>
                <w:webHidden/>
              </w:rPr>
              <w:fldChar w:fldCharType="end"/>
            </w:r>
          </w:hyperlink>
        </w:p>
        <w:p w14:paraId="0AF4A9D3" w14:textId="016D354D" w:rsidR="00392FA6" w:rsidRDefault="00392FA6">
          <w:pPr>
            <w:pStyle w:val="T2"/>
            <w:tabs>
              <w:tab w:val="left" w:pos="660"/>
              <w:tab w:val="right" w:leader="dot" w:pos="9060"/>
            </w:tabs>
            <w:rPr>
              <w:rFonts w:eastAsiaTheme="minorEastAsia" w:cstheme="minorBidi"/>
              <w:b w:val="0"/>
              <w:bCs w:val="0"/>
              <w:noProof/>
              <w:kern w:val="0"/>
              <w:sz w:val="22"/>
              <w:szCs w:val="22"/>
              <w:lang w:val="tr-TR" w:eastAsia="tr-TR"/>
              <w14:ligatures w14:val="none"/>
            </w:rPr>
          </w:pPr>
          <w:hyperlink w:anchor="_Toc220672815" w:history="1">
            <w:r w:rsidRPr="00B335EC">
              <w:rPr>
                <w:rStyle w:val="Kpr"/>
                <w:noProof/>
              </w:rPr>
              <w:t>7.7.</w:t>
            </w:r>
            <w:r>
              <w:rPr>
                <w:rFonts w:eastAsiaTheme="minorEastAsia" w:cstheme="minorBidi"/>
                <w:b w:val="0"/>
                <w:bCs w:val="0"/>
                <w:noProof/>
                <w:kern w:val="0"/>
                <w:sz w:val="22"/>
                <w:szCs w:val="22"/>
                <w:lang w:val="tr-TR" w:eastAsia="tr-TR"/>
                <w14:ligatures w14:val="none"/>
              </w:rPr>
              <w:tab/>
            </w:r>
            <w:r w:rsidRPr="00B335EC">
              <w:rPr>
                <w:rStyle w:val="Kpr"/>
                <w:rFonts w:eastAsia="Aptos"/>
                <w:noProof/>
              </w:rPr>
              <w:t>GM Contact Information</w:t>
            </w:r>
            <w:r>
              <w:rPr>
                <w:noProof/>
                <w:webHidden/>
              </w:rPr>
              <w:tab/>
            </w:r>
            <w:r>
              <w:rPr>
                <w:noProof/>
                <w:webHidden/>
              </w:rPr>
              <w:fldChar w:fldCharType="begin"/>
            </w:r>
            <w:r>
              <w:rPr>
                <w:noProof/>
                <w:webHidden/>
              </w:rPr>
              <w:instrText xml:space="preserve"> PAGEREF _Toc220672815 \h </w:instrText>
            </w:r>
            <w:r>
              <w:rPr>
                <w:noProof/>
                <w:webHidden/>
              </w:rPr>
            </w:r>
            <w:r>
              <w:rPr>
                <w:noProof/>
                <w:webHidden/>
              </w:rPr>
              <w:fldChar w:fldCharType="separate"/>
            </w:r>
            <w:r w:rsidR="004F7F3D">
              <w:rPr>
                <w:noProof/>
                <w:webHidden/>
              </w:rPr>
              <w:t>119</w:t>
            </w:r>
            <w:r>
              <w:rPr>
                <w:noProof/>
                <w:webHidden/>
              </w:rPr>
              <w:fldChar w:fldCharType="end"/>
            </w:r>
          </w:hyperlink>
        </w:p>
        <w:p w14:paraId="6723BFD1" w14:textId="5C0EC7AF"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16" w:history="1">
            <w:r w:rsidRPr="00B335EC">
              <w:rPr>
                <w:rStyle w:val="Kpr"/>
                <w:rFonts w:eastAsia="Aptos" w:cs="Aptos"/>
                <w:noProof/>
                <w:lang w:eastAsia="tr-TR"/>
              </w:rPr>
              <w:t xml:space="preserve">8. </w:t>
            </w:r>
            <w:r w:rsidRPr="00B335EC">
              <w:rPr>
                <w:rStyle w:val="Kpr"/>
                <w:noProof/>
              </w:rPr>
              <w:t>ENVIRONMENTAL &amp; SOCIAL MONITORING</w:t>
            </w:r>
            <w:r>
              <w:rPr>
                <w:noProof/>
                <w:webHidden/>
              </w:rPr>
              <w:tab/>
            </w:r>
            <w:r>
              <w:rPr>
                <w:noProof/>
                <w:webHidden/>
              </w:rPr>
              <w:fldChar w:fldCharType="begin"/>
            </w:r>
            <w:r>
              <w:rPr>
                <w:noProof/>
                <w:webHidden/>
              </w:rPr>
              <w:instrText xml:space="preserve"> PAGEREF _Toc220672816 \h </w:instrText>
            </w:r>
            <w:r>
              <w:rPr>
                <w:noProof/>
                <w:webHidden/>
              </w:rPr>
            </w:r>
            <w:r>
              <w:rPr>
                <w:noProof/>
                <w:webHidden/>
              </w:rPr>
              <w:fldChar w:fldCharType="separate"/>
            </w:r>
            <w:r w:rsidR="004F7F3D">
              <w:rPr>
                <w:noProof/>
                <w:webHidden/>
              </w:rPr>
              <w:t>122</w:t>
            </w:r>
            <w:r>
              <w:rPr>
                <w:noProof/>
                <w:webHidden/>
              </w:rPr>
              <w:fldChar w:fldCharType="end"/>
            </w:r>
          </w:hyperlink>
        </w:p>
        <w:p w14:paraId="6182AFA8" w14:textId="5F8BE913" w:rsidR="00392FA6" w:rsidRDefault="00392FA6">
          <w:pPr>
            <w:pStyle w:val="T2"/>
            <w:tabs>
              <w:tab w:val="right" w:leader="dot" w:pos="9060"/>
            </w:tabs>
            <w:rPr>
              <w:rFonts w:eastAsiaTheme="minorEastAsia" w:cstheme="minorBidi"/>
              <w:b w:val="0"/>
              <w:bCs w:val="0"/>
              <w:noProof/>
              <w:kern w:val="0"/>
              <w:sz w:val="22"/>
              <w:szCs w:val="22"/>
              <w:lang w:val="tr-TR" w:eastAsia="tr-TR"/>
              <w14:ligatures w14:val="none"/>
            </w:rPr>
          </w:pPr>
          <w:hyperlink w:anchor="_Toc220672817" w:history="1">
            <w:r w:rsidRPr="00B335EC">
              <w:rPr>
                <w:rStyle w:val="Kpr"/>
                <w:rFonts w:eastAsiaTheme="majorEastAsia" w:cstheme="majorBidi"/>
                <w:noProof/>
              </w:rPr>
              <w:t>8.1. E&amp;S Monitoring, Supervision and Reporting</w:t>
            </w:r>
            <w:r>
              <w:rPr>
                <w:noProof/>
                <w:webHidden/>
              </w:rPr>
              <w:tab/>
            </w:r>
            <w:r>
              <w:rPr>
                <w:noProof/>
                <w:webHidden/>
              </w:rPr>
              <w:fldChar w:fldCharType="begin"/>
            </w:r>
            <w:r>
              <w:rPr>
                <w:noProof/>
                <w:webHidden/>
              </w:rPr>
              <w:instrText xml:space="preserve"> PAGEREF _Toc220672817 \h </w:instrText>
            </w:r>
            <w:r>
              <w:rPr>
                <w:noProof/>
                <w:webHidden/>
              </w:rPr>
            </w:r>
            <w:r>
              <w:rPr>
                <w:noProof/>
                <w:webHidden/>
              </w:rPr>
              <w:fldChar w:fldCharType="separate"/>
            </w:r>
            <w:r w:rsidR="004F7F3D">
              <w:rPr>
                <w:noProof/>
                <w:webHidden/>
              </w:rPr>
              <w:t>129</w:t>
            </w:r>
            <w:r>
              <w:rPr>
                <w:noProof/>
                <w:webHidden/>
              </w:rPr>
              <w:fldChar w:fldCharType="end"/>
            </w:r>
          </w:hyperlink>
        </w:p>
        <w:p w14:paraId="6D99AE19" w14:textId="54C018BF" w:rsidR="00392FA6" w:rsidRDefault="00392FA6">
          <w:pPr>
            <w:pStyle w:val="T3"/>
            <w:tabs>
              <w:tab w:val="right" w:leader="dot" w:pos="9060"/>
            </w:tabs>
            <w:rPr>
              <w:rFonts w:eastAsiaTheme="minorEastAsia" w:cstheme="minorBidi"/>
              <w:noProof/>
              <w:kern w:val="0"/>
              <w:sz w:val="22"/>
              <w:szCs w:val="22"/>
              <w:lang w:val="tr-TR" w:eastAsia="tr-TR"/>
              <w14:ligatures w14:val="none"/>
            </w:rPr>
          </w:pPr>
          <w:hyperlink w:anchor="_Toc220672818" w:history="1">
            <w:r w:rsidRPr="00B335EC">
              <w:rPr>
                <w:rStyle w:val="Kpr"/>
                <w:rFonts w:eastAsia="Aptos"/>
                <w:noProof/>
                <w:lang w:eastAsia="tr-TR"/>
              </w:rPr>
              <w:t>8.1.1. Monitoring and Supervision</w:t>
            </w:r>
            <w:r>
              <w:rPr>
                <w:noProof/>
                <w:webHidden/>
              </w:rPr>
              <w:tab/>
            </w:r>
            <w:r>
              <w:rPr>
                <w:noProof/>
                <w:webHidden/>
              </w:rPr>
              <w:fldChar w:fldCharType="begin"/>
            </w:r>
            <w:r>
              <w:rPr>
                <w:noProof/>
                <w:webHidden/>
              </w:rPr>
              <w:instrText xml:space="preserve"> PAGEREF _Toc220672818 \h </w:instrText>
            </w:r>
            <w:r>
              <w:rPr>
                <w:noProof/>
                <w:webHidden/>
              </w:rPr>
            </w:r>
            <w:r>
              <w:rPr>
                <w:noProof/>
                <w:webHidden/>
              </w:rPr>
              <w:fldChar w:fldCharType="separate"/>
            </w:r>
            <w:r w:rsidR="004F7F3D">
              <w:rPr>
                <w:noProof/>
                <w:webHidden/>
              </w:rPr>
              <w:t>129</w:t>
            </w:r>
            <w:r>
              <w:rPr>
                <w:noProof/>
                <w:webHidden/>
              </w:rPr>
              <w:fldChar w:fldCharType="end"/>
            </w:r>
          </w:hyperlink>
        </w:p>
        <w:p w14:paraId="3BB8EEC4" w14:textId="5C0972B5" w:rsidR="00392FA6" w:rsidRDefault="00392FA6">
          <w:pPr>
            <w:pStyle w:val="T3"/>
            <w:tabs>
              <w:tab w:val="right" w:leader="dot" w:pos="9060"/>
            </w:tabs>
            <w:rPr>
              <w:rFonts w:eastAsiaTheme="minorEastAsia" w:cstheme="minorBidi"/>
              <w:noProof/>
              <w:kern w:val="0"/>
              <w:sz w:val="22"/>
              <w:szCs w:val="22"/>
              <w:lang w:val="tr-TR" w:eastAsia="tr-TR"/>
              <w14:ligatures w14:val="none"/>
            </w:rPr>
          </w:pPr>
          <w:hyperlink w:anchor="_Toc220672819" w:history="1">
            <w:r w:rsidRPr="00B335EC">
              <w:rPr>
                <w:rStyle w:val="Kpr"/>
                <w:rFonts w:eastAsia="Aptos"/>
                <w:noProof/>
                <w:lang w:eastAsia="tr-TR"/>
              </w:rPr>
              <w:t>8.1.2. Reporting</w:t>
            </w:r>
            <w:r>
              <w:rPr>
                <w:noProof/>
                <w:webHidden/>
              </w:rPr>
              <w:tab/>
            </w:r>
            <w:r>
              <w:rPr>
                <w:noProof/>
                <w:webHidden/>
              </w:rPr>
              <w:fldChar w:fldCharType="begin"/>
            </w:r>
            <w:r>
              <w:rPr>
                <w:noProof/>
                <w:webHidden/>
              </w:rPr>
              <w:instrText xml:space="preserve"> PAGEREF _Toc220672819 \h </w:instrText>
            </w:r>
            <w:r>
              <w:rPr>
                <w:noProof/>
                <w:webHidden/>
              </w:rPr>
            </w:r>
            <w:r>
              <w:rPr>
                <w:noProof/>
                <w:webHidden/>
              </w:rPr>
              <w:fldChar w:fldCharType="separate"/>
            </w:r>
            <w:r w:rsidR="004F7F3D">
              <w:rPr>
                <w:noProof/>
                <w:webHidden/>
              </w:rPr>
              <w:t>130</w:t>
            </w:r>
            <w:r>
              <w:rPr>
                <w:noProof/>
                <w:webHidden/>
              </w:rPr>
              <w:fldChar w:fldCharType="end"/>
            </w:r>
          </w:hyperlink>
        </w:p>
        <w:p w14:paraId="40ACAE71" w14:textId="06DEA4A9" w:rsidR="00392FA6" w:rsidRDefault="00392FA6">
          <w:pPr>
            <w:pStyle w:val="T3"/>
            <w:tabs>
              <w:tab w:val="right" w:leader="dot" w:pos="9060"/>
            </w:tabs>
            <w:rPr>
              <w:rFonts w:eastAsiaTheme="minorEastAsia" w:cstheme="minorBidi"/>
              <w:noProof/>
              <w:kern w:val="0"/>
              <w:sz w:val="22"/>
              <w:szCs w:val="22"/>
              <w:lang w:val="tr-TR" w:eastAsia="tr-TR"/>
              <w14:ligatures w14:val="none"/>
            </w:rPr>
          </w:pPr>
          <w:hyperlink w:anchor="_Toc220672820" w:history="1">
            <w:r w:rsidRPr="00B335EC">
              <w:rPr>
                <w:rStyle w:val="Kpr"/>
                <w:rFonts w:eastAsia="Aptos"/>
                <w:noProof/>
                <w:lang w:eastAsia="tr-TR"/>
              </w:rPr>
              <w:t>8.1.3. Trainings for Other Staff</w:t>
            </w:r>
            <w:r>
              <w:rPr>
                <w:noProof/>
                <w:webHidden/>
              </w:rPr>
              <w:tab/>
            </w:r>
            <w:r>
              <w:rPr>
                <w:noProof/>
                <w:webHidden/>
              </w:rPr>
              <w:fldChar w:fldCharType="begin"/>
            </w:r>
            <w:r>
              <w:rPr>
                <w:noProof/>
                <w:webHidden/>
              </w:rPr>
              <w:instrText xml:space="preserve"> PAGEREF _Toc220672820 \h </w:instrText>
            </w:r>
            <w:r>
              <w:rPr>
                <w:noProof/>
                <w:webHidden/>
              </w:rPr>
            </w:r>
            <w:r>
              <w:rPr>
                <w:noProof/>
                <w:webHidden/>
              </w:rPr>
              <w:fldChar w:fldCharType="separate"/>
            </w:r>
            <w:r w:rsidR="004F7F3D">
              <w:rPr>
                <w:noProof/>
                <w:webHidden/>
              </w:rPr>
              <w:t>133</w:t>
            </w:r>
            <w:r>
              <w:rPr>
                <w:noProof/>
                <w:webHidden/>
              </w:rPr>
              <w:fldChar w:fldCharType="end"/>
            </w:r>
          </w:hyperlink>
        </w:p>
        <w:p w14:paraId="3BAD0BB4" w14:textId="5860BE89" w:rsidR="00392FA6" w:rsidRDefault="00392FA6">
          <w:pPr>
            <w:pStyle w:val="T3"/>
            <w:tabs>
              <w:tab w:val="right" w:leader="dot" w:pos="9060"/>
            </w:tabs>
            <w:rPr>
              <w:rFonts w:eastAsiaTheme="minorEastAsia" w:cstheme="minorBidi"/>
              <w:noProof/>
              <w:kern w:val="0"/>
              <w:sz w:val="22"/>
              <w:szCs w:val="22"/>
              <w:lang w:val="tr-TR" w:eastAsia="tr-TR"/>
              <w14:ligatures w14:val="none"/>
            </w:rPr>
          </w:pPr>
          <w:hyperlink w:anchor="_Toc220672821" w:history="1">
            <w:r w:rsidRPr="00B335EC">
              <w:rPr>
                <w:rStyle w:val="Kpr"/>
                <w:rFonts w:eastAsia="Aptos"/>
                <w:noProof/>
                <w:lang w:eastAsia="tr-TR"/>
              </w:rPr>
              <w:t>8.1.4. Training for Contractors</w:t>
            </w:r>
            <w:r>
              <w:rPr>
                <w:noProof/>
                <w:webHidden/>
              </w:rPr>
              <w:tab/>
            </w:r>
            <w:r>
              <w:rPr>
                <w:noProof/>
                <w:webHidden/>
              </w:rPr>
              <w:fldChar w:fldCharType="begin"/>
            </w:r>
            <w:r>
              <w:rPr>
                <w:noProof/>
                <w:webHidden/>
              </w:rPr>
              <w:instrText xml:space="preserve"> PAGEREF _Toc220672821 \h </w:instrText>
            </w:r>
            <w:r>
              <w:rPr>
                <w:noProof/>
                <w:webHidden/>
              </w:rPr>
            </w:r>
            <w:r>
              <w:rPr>
                <w:noProof/>
                <w:webHidden/>
              </w:rPr>
              <w:fldChar w:fldCharType="separate"/>
            </w:r>
            <w:r w:rsidR="004F7F3D">
              <w:rPr>
                <w:noProof/>
                <w:webHidden/>
              </w:rPr>
              <w:t>133</w:t>
            </w:r>
            <w:r>
              <w:rPr>
                <w:noProof/>
                <w:webHidden/>
              </w:rPr>
              <w:fldChar w:fldCharType="end"/>
            </w:r>
          </w:hyperlink>
        </w:p>
        <w:p w14:paraId="78A6CC62" w14:textId="5CAB5133" w:rsidR="00392FA6" w:rsidRDefault="00392FA6">
          <w:pPr>
            <w:pStyle w:val="T3"/>
            <w:tabs>
              <w:tab w:val="right" w:leader="dot" w:pos="9060"/>
            </w:tabs>
            <w:rPr>
              <w:rFonts w:eastAsiaTheme="minorEastAsia" w:cstheme="minorBidi"/>
              <w:noProof/>
              <w:kern w:val="0"/>
              <w:sz w:val="22"/>
              <w:szCs w:val="22"/>
              <w:lang w:val="tr-TR" w:eastAsia="tr-TR"/>
              <w14:ligatures w14:val="none"/>
            </w:rPr>
          </w:pPr>
          <w:hyperlink w:anchor="_Toc220672822" w:history="1">
            <w:r w:rsidRPr="00B335EC">
              <w:rPr>
                <w:rStyle w:val="Kpr"/>
                <w:rFonts w:eastAsia="Aptos"/>
                <w:noProof/>
                <w:lang w:eastAsia="tr-TR"/>
              </w:rPr>
              <w:t>8.1.5   Application Process for the Sub-Projects</w:t>
            </w:r>
            <w:r>
              <w:rPr>
                <w:noProof/>
                <w:webHidden/>
              </w:rPr>
              <w:tab/>
            </w:r>
            <w:r>
              <w:rPr>
                <w:noProof/>
                <w:webHidden/>
              </w:rPr>
              <w:fldChar w:fldCharType="begin"/>
            </w:r>
            <w:r>
              <w:rPr>
                <w:noProof/>
                <w:webHidden/>
              </w:rPr>
              <w:instrText xml:space="preserve"> PAGEREF _Toc220672822 \h </w:instrText>
            </w:r>
            <w:r>
              <w:rPr>
                <w:noProof/>
                <w:webHidden/>
              </w:rPr>
            </w:r>
            <w:r>
              <w:rPr>
                <w:noProof/>
                <w:webHidden/>
              </w:rPr>
              <w:fldChar w:fldCharType="separate"/>
            </w:r>
            <w:r w:rsidR="004F7F3D">
              <w:rPr>
                <w:noProof/>
                <w:webHidden/>
              </w:rPr>
              <w:t>135</w:t>
            </w:r>
            <w:r>
              <w:rPr>
                <w:noProof/>
                <w:webHidden/>
              </w:rPr>
              <w:fldChar w:fldCharType="end"/>
            </w:r>
          </w:hyperlink>
        </w:p>
        <w:p w14:paraId="31FBBD32" w14:textId="78B00EBF"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23" w:history="1">
            <w:r w:rsidRPr="00B335EC">
              <w:rPr>
                <w:rStyle w:val="Kpr"/>
                <w:noProof/>
                <w:lang w:eastAsia="tr-TR"/>
              </w:rPr>
              <w:t>ANNEX 1- LEGAL AND REGULATORY FRAMEWORK</w:t>
            </w:r>
            <w:r>
              <w:rPr>
                <w:noProof/>
                <w:webHidden/>
              </w:rPr>
              <w:tab/>
            </w:r>
            <w:r>
              <w:rPr>
                <w:noProof/>
                <w:webHidden/>
              </w:rPr>
              <w:fldChar w:fldCharType="begin"/>
            </w:r>
            <w:r>
              <w:rPr>
                <w:noProof/>
                <w:webHidden/>
              </w:rPr>
              <w:instrText xml:space="preserve"> PAGEREF _Toc220672823 \h </w:instrText>
            </w:r>
            <w:r>
              <w:rPr>
                <w:noProof/>
                <w:webHidden/>
              </w:rPr>
            </w:r>
            <w:r>
              <w:rPr>
                <w:noProof/>
                <w:webHidden/>
              </w:rPr>
              <w:fldChar w:fldCharType="separate"/>
            </w:r>
            <w:r w:rsidR="004F7F3D">
              <w:rPr>
                <w:noProof/>
                <w:webHidden/>
              </w:rPr>
              <w:t>137</w:t>
            </w:r>
            <w:r>
              <w:rPr>
                <w:noProof/>
                <w:webHidden/>
              </w:rPr>
              <w:fldChar w:fldCharType="end"/>
            </w:r>
          </w:hyperlink>
        </w:p>
        <w:p w14:paraId="2195E8BA" w14:textId="0CA479B3" w:rsidR="00392FA6" w:rsidRDefault="00392FA6">
          <w:pPr>
            <w:pStyle w:val="T3"/>
            <w:tabs>
              <w:tab w:val="right" w:leader="dot" w:pos="9060"/>
            </w:tabs>
            <w:rPr>
              <w:rFonts w:eastAsiaTheme="minorEastAsia" w:cstheme="minorBidi"/>
              <w:noProof/>
              <w:kern w:val="0"/>
              <w:sz w:val="22"/>
              <w:szCs w:val="22"/>
              <w:lang w:val="tr-TR" w:eastAsia="tr-TR"/>
              <w14:ligatures w14:val="none"/>
            </w:rPr>
          </w:pPr>
          <w:hyperlink w:anchor="_Toc220672824" w:history="1">
            <w:r w:rsidRPr="00B335EC">
              <w:rPr>
                <w:rStyle w:val="Kpr"/>
                <w:noProof/>
                <w:lang w:eastAsia="tr-TR"/>
              </w:rPr>
              <w:t>1.1.1.  Legal Framework for Environmental Protection &amp; Conservation in Türkiye</w:t>
            </w:r>
            <w:r>
              <w:rPr>
                <w:noProof/>
                <w:webHidden/>
              </w:rPr>
              <w:tab/>
            </w:r>
            <w:r>
              <w:rPr>
                <w:noProof/>
                <w:webHidden/>
              </w:rPr>
              <w:fldChar w:fldCharType="begin"/>
            </w:r>
            <w:r>
              <w:rPr>
                <w:noProof/>
                <w:webHidden/>
              </w:rPr>
              <w:instrText xml:space="preserve"> PAGEREF _Toc220672824 \h </w:instrText>
            </w:r>
            <w:r>
              <w:rPr>
                <w:noProof/>
                <w:webHidden/>
              </w:rPr>
            </w:r>
            <w:r>
              <w:rPr>
                <w:noProof/>
                <w:webHidden/>
              </w:rPr>
              <w:fldChar w:fldCharType="separate"/>
            </w:r>
            <w:r w:rsidR="004F7F3D">
              <w:rPr>
                <w:noProof/>
                <w:webHidden/>
              </w:rPr>
              <w:t>137</w:t>
            </w:r>
            <w:r>
              <w:rPr>
                <w:noProof/>
                <w:webHidden/>
              </w:rPr>
              <w:fldChar w:fldCharType="end"/>
            </w:r>
          </w:hyperlink>
        </w:p>
        <w:p w14:paraId="0F0DFEF1" w14:textId="76B6C472" w:rsidR="00392FA6" w:rsidRDefault="00392FA6">
          <w:pPr>
            <w:pStyle w:val="T2"/>
            <w:tabs>
              <w:tab w:val="right" w:leader="dot" w:pos="9060"/>
            </w:tabs>
            <w:rPr>
              <w:rFonts w:eastAsiaTheme="minorEastAsia" w:cstheme="minorBidi"/>
              <w:b w:val="0"/>
              <w:bCs w:val="0"/>
              <w:noProof/>
              <w:kern w:val="0"/>
              <w:sz w:val="22"/>
              <w:szCs w:val="22"/>
              <w:lang w:val="tr-TR" w:eastAsia="tr-TR"/>
              <w14:ligatures w14:val="none"/>
            </w:rPr>
          </w:pPr>
          <w:hyperlink w:anchor="_Toc220672825" w:history="1">
            <w:r w:rsidRPr="00B335EC">
              <w:rPr>
                <w:rStyle w:val="Kpr"/>
                <w:noProof/>
                <w:lang w:eastAsia="tr-TR"/>
              </w:rPr>
              <w:t>1.2. National Laws on Social Impacts</w:t>
            </w:r>
            <w:r>
              <w:rPr>
                <w:noProof/>
                <w:webHidden/>
              </w:rPr>
              <w:tab/>
            </w:r>
            <w:r>
              <w:rPr>
                <w:noProof/>
                <w:webHidden/>
              </w:rPr>
              <w:fldChar w:fldCharType="begin"/>
            </w:r>
            <w:r>
              <w:rPr>
                <w:noProof/>
                <w:webHidden/>
              </w:rPr>
              <w:instrText xml:space="preserve"> PAGEREF _Toc220672825 \h </w:instrText>
            </w:r>
            <w:r>
              <w:rPr>
                <w:noProof/>
                <w:webHidden/>
              </w:rPr>
            </w:r>
            <w:r>
              <w:rPr>
                <w:noProof/>
                <w:webHidden/>
              </w:rPr>
              <w:fldChar w:fldCharType="separate"/>
            </w:r>
            <w:r w:rsidR="004F7F3D">
              <w:rPr>
                <w:noProof/>
                <w:webHidden/>
              </w:rPr>
              <w:t>145</w:t>
            </w:r>
            <w:r>
              <w:rPr>
                <w:noProof/>
                <w:webHidden/>
              </w:rPr>
              <w:fldChar w:fldCharType="end"/>
            </w:r>
          </w:hyperlink>
        </w:p>
        <w:p w14:paraId="26FA0F16" w14:textId="2EC7A809" w:rsidR="00392FA6" w:rsidRDefault="00392FA6">
          <w:pPr>
            <w:pStyle w:val="T3"/>
            <w:tabs>
              <w:tab w:val="right" w:leader="dot" w:pos="9060"/>
            </w:tabs>
            <w:rPr>
              <w:rFonts w:eastAsiaTheme="minorEastAsia" w:cstheme="minorBidi"/>
              <w:noProof/>
              <w:kern w:val="0"/>
              <w:sz w:val="22"/>
              <w:szCs w:val="22"/>
              <w:lang w:val="tr-TR" w:eastAsia="tr-TR"/>
              <w14:ligatures w14:val="none"/>
            </w:rPr>
          </w:pPr>
          <w:hyperlink w:anchor="_Toc220672826" w:history="1">
            <w:r w:rsidRPr="00B335EC">
              <w:rPr>
                <w:rStyle w:val="Kpr"/>
                <w:noProof/>
                <w:lang w:eastAsia="tr-TR"/>
              </w:rPr>
              <w:t>1.2.1. National Laws on Labor &amp; Working Conditions</w:t>
            </w:r>
            <w:r>
              <w:rPr>
                <w:noProof/>
                <w:webHidden/>
              </w:rPr>
              <w:tab/>
            </w:r>
            <w:r>
              <w:rPr>
                <w:noProof/>
                <w:webHidden/>
              </w:rPr>
              <w:fldChar w:fldCharType="begin"/>
            </w:r>
            <w:r>
              <w:rPr>
                <w:noProof/>
                <w:webHidden/>
              </w:rPr>
              <w:instrText xml:space="preserve"> PAGEREF _Toc220672826 \h </w:instrText>
            </w:r>
            <w:r>
              <w:rPr>
                <w:noProof/>
                <w:webHidden/>
              </w:rPr>
            </w:r>
            <w:r>
              <w:rPr>
                <w:noProof/>
                <w:webHidden/>
              </w:rPr>
              <w:fldChar w:fldCharType="separate"/>
            </w:r>
            <w:r w:rsidR="004F7F3D">
              <w:rPr>
                <w:noProof/>
                <w:webHidden/>
              </w:rPr>
              <w:t>145</w:t>
            </w:r>
            <w:r>
              <w:rPr>
                <w:noProof/>
                <w:webHidden/>
              </w:rPr>
              <w:fldChar w:fldCharType="end"/>
            </w:r>
          </w:hyperlink>
        </w:p>
        <w:p w14:paraId="622186EC" w14:textId="3E33CE14" w:rsidR="00392FA6" w:rsidRDefault="00392FA6">
          <w:pPr>
            <w:pStyle w:val="T3"/>
            <w:tabs>
              <w:tab w:val="right" w:leader="dot" w:pos="9060"/>
            </w:tabs>
            <w:rPr>
              <w:rFonts w:eastAsiaTheme="minorEastAsia" w:cstheme="minorBidi"/>
              <w:noProof/>
              <w:kern w:val="0"/>
              <w:sz w:val="22"/>
              <w:szCs w:val="22"/>
              <w:lang w:val="tr-TR" w:eastAsia="tr-TR"/>
              <w14:ligatures w14:val="none"/>
            </w:rPr>
          </w:pPr>
          <w:hyperlink w:anchor="_Toc220672827" w:history="1">
            <w:r w:rsidRPr="00B335EC">
              <w:rPr>
                <w:rStyle w:val="Kpr"/>
                <w:noProof/>
                <w:lang w:eastAsia="tr-TR"/>
              </w:rPr>
              <w:t>1.2.2. National Laws on Community Health and Safety</w:t>
            </w:r>
            <w:r>
              <w:rPr>
                <w:noProof/>
                <w:webHidden/>
              </w:rPr>
              <w:tab/>
            </w:r>
            <w:r>
              <w:rPr>
                <w:noProof/>
                <w:webHidden/>
              </w:rPr>
              <w:fldChar w:fldCharType="begin"/>
            </w:r>
            <w:r>
              <w:rPr>
                <w:noProof/>
                <w:webHidden/>
              </w:rPr>
              <w:instrText xml:space="preserve"> PAGEREF _Toc220672827 \h </w:instrText>
            </w:r>
            <w:r>
              <w:rPr>
                <w:noProof/>
                <w:webHidden/>
              </w:rPr>
            </w:r>
            <w:r>
              <w:rPr>
                <w:noProof/>
                <w:webHidden/>
              </w:rPr>
              <w:fldChar w:fldCharType="separate"/>
            </w:r>
            <w:r w:rsidR="004F7F3D">
              <w:rPr>
                <w:noProof/>
                <w:webHidden/>
              </w:rPr>
              <w:t>146</w:t>
            </w:r>
            <w:r>
              <w:rPr>
                <w:noProof/>
                <w:webHidden/>
              </w:rPr>
              <w:fldChar w:fldCharType="end"/>
            </w:r>
          </w:hyperlink>
        </w:p>
        <w:p w14:paraId="3B41F3F6" w14:textId="3144B81D" w:rsidR="00392FA6" w:rsidRDefault="00392FA6">
          <w:pPr>
            <w:pStyle w:val="T3"/>
            <w:tabs>
              <w:tab w:val="right" w:leader="dot" w:pos="9060"/>
            </w:tabs>
            <w:rPr>
              <w:rFonts w:eastAsiaTheme="minorEastAsia" w:cstheme="minorBidi"/>
              <w:noProof/>
              <w:kern w:val="0"/>
              <w:sz w:val="22"/>
              <w:szCs w:val="22"/>
              <w:lang w:val="tr-TR" w:eastAsia="tr-TR"/>
              <w14:ligatures w14:val="none"/>
            </w:rPr>
          </w:pPr>
          <w:hyperlink w:anchor="_Toc220672828" w:history="1">
            <w:r w:rsidRPr="00B335EC">
              <w:rPr>
                <w:rStyle w:val="Kpr"/>
                <w:noProof/>
                <w:lang w:eastAsia="tr-TR"/>
              </w:rPr>
              <w:t>1.2.3. National Laws on Land Acquisition</w:t>
            </w:r>
            <w:r>
              <w:rPr>
                <w:noProof/>
                <w:webHidden/>
              </w:rPr>
              <w:tab/>
            </w:r>
            <w:r>
              <w:rPr>
                <w:noProof/>
                <w:webHidden/>
              </w:rPr>
              <w:fldChar w:fldCharType="begin"/>
            </w:r>
            <w:r>
              <w:rPr>
                <w:noProof/>
                <w:webHidden/>
              </w:rPr>
              <w:instrText xml:space="preserve"> PAGEREF _Toc220672828 \h </w:instrText>
            </w:r>
            <w:r>
              <w:rPr>
                <w:noProof/>
                <w:webHidden/>
              </w:rPr>
            </w:r>
            <w:r>
              <w:rPr>
                <w:noProof/>
                <w:webHidden/>
              </w:rPr>
              <w:fldChar w:fldCharType="separate"/>
            </w:r>
            <w:r w:rsidR="004F7F3D">
              <w:rPr>
                <w:noProof/>
                <w:webHidden/>
              </w:rPr>
              <w:t>151</w:t>
            </w:r>
            <w:r>
              <w:rPr>
                <w:noProof/>
                <w:webHidden/>
              </w:rPr>
              <w:fldChar w:fldCharType="end"/>
            </w:r>
          </w:hyperlink>
        </w:p>
        <w:p w14:paraId="6C38F13E" w14:textId="0057C571" w:rsidR="00392FA6" w:rsidRDefault="00392FA6">
          <w:pPr>
            <w:pStyle w:val="T3"/>
            <w:tabs>
              <w:tab w:val="right" w:leader="dot" w:pos="9060"/>
            </w:tabs>
            <w:rPr>
              <w:rFonts w:eastAsiaTheme="minorEastAsia" w:cstheme="minorBidi"/>
              <w:noProof/>
              <w:kern w:val="0"/>
              <w:sz w:val="22"/>
              <w:szCs w:val="22"/>
              <w:lang w:val="tr-TR" w:eastAsia="tr-TR"/>
              <w14:ligatures w14:val="none"/>
            </w:rPr>
          </w:pPr>
          <w:hyperlink w:anchor="_Toc220672829" w:history="1">
            <w:r w:rsidRPr="00B335EC">
              <w:rPr>
                <w:rStyle w:val="Kpr"/>
                <w:noProof/>
                <w:lang w:eastAsia="tr-TR"/>
              </w:rPr>
              <w:t>1.2.4. Overview of Labor Legislation: Terms and Conditions</w:t>
            </w:r>
            <w:r>
              <w:rPr>
                <w:noProof/>
                <w:webHidden/>
              </w:rPr>
              <w:tab/>
            </w:r>
            <w:r>
              <w:rPr>
                <w:noProof/>
                <w:webHidden/>
              </w:rPr>
              <w:fldChar w:fldCharType="begin"/>
            </w:r>
            <w:r>
              <w:rPr>
                <w:noProof/>
                <w:webHidden/>
              </w:rPr>
              <w:instrText xml:space="preserve"> PAGEREF _Toc220672829 \h </w:instrText>
            </w:r>
            <w:r>
              <w:rPr>
                <w:noProof/>
                <w:webHidden/>
              </w:rPr>
            </w:r>
            <w:r>
              <w:rPr>
                <w:noProof/>
                <w:webHidden/>
              </w:rPr>
              <w:fldChar w:fldCharType="separate"/>
            </w:r>
            <w:r w:rsidR="004F7F3D">
              <w:rPr>
                <w:noProof/>
                <w:webHidden/>
              </w:rPr>
              <w:t>151</w:t>
            </w:r>
            <w:r>
              <w:rPr>
                <w:noProof/>
                <w:webHidden/>
              </w:rPr>
              <w:fldChar w:fldCharType="end"/>
            </w:r>
          </w:hyperlink>
        </w:p>
        <w:p w14:paraId="5F8BBF4C" w14:textId="594F9E26" w:rsidR="00392FA6" w:rsidRDefault="00392FA6">
          <w:pPr>
            <w:pStyle w:val="T3"/>
            <w:tabs>
              <w:tab w:val="right" w:leader="dot" w:pos="9060"/>
            </w:tabs>
            <w:rPr>
              <w:rFonts w:eastAsiaTheme="minorEastAsia" w:cstheme="minorBidi"/>
              <w:noProof/>
              <w:kern w:val="0"/>
              <w:sz w:val="22"/>
              <w:szCs w:val="22"/>
              <w:lang w:val="tr-TR" w:eastAsia="tr-TR"/>
              <w14:ligatures w14:val="none"/>
            </w:rPr>
          </w:pPr>
          <w:hyperlink w:anchor="_Toc220672830" w:history="1">
            <w:r w:rsidRPr="00B335EC">
              <w:rPr>
                <w:rStyle w:val="Kpr"/>
                <w:noProof/>
                <w:lang w:eastAsia="tr-TR"/>
              </w:rPr>
              <w:t>1.2.5. International Agreements &amp; Conventions</w:t>
            </w:r>
            <w:r>
              <w:rPr>
                <w:noProof/>
                <w:webHidden/>
              </w:rPr>
              <w:tab/>
            </w:r>
            <w:r>
              <w:rPr>
                <w:noProof/>
                <w:webHidden/>
              </w:rPr>
              <w:fldChar w:fldCharType="begin"/>
            </w:r>
            <w:r>
              <w:rPr>
                <w:noProof/>
                <w:webHidden/>
              </w:rPr>
              <w:instrText xml:space="preserve"> PAGEREF _Toc220672830 \h </w:instrText>
            </w:r>
            <w:r>
              <w:rPr>
                <w:noProof/>
                <w:webHidden/>
              </w:rPr>
            </w:r>
            <w:r>
              <w:rPr>
                <w:noProof/>
                <w:webHidden/>
              </w:rPr>
              <w:fldChar w:fldCharType="separate"/>
            </w:r>
            <w:r w:rsidR="004F7F3D">
              <w:rPr>
                <w:noProof/>
                <w:webHidden/>
              </w:rPr>
              <w:t>153</w:t>
            </w:r>
            <w:r>
              <w:rPr>
                <w:noProof/>
                <w:webHidden/>
              </w:rPr>
              <w:fldChar w:fldCharType="end"/>
            </w:r>
          </w:hyperlink>
        </w:p>
        <w:p w14:paraId="0F36B67B" w14:textId="06BDF0D7"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31" w:history="1">
            <w:r w:rsidRPr="00B335EC">
              <w:rPr>
                <w:rStyle w:val="Kpr"/>
                <w:noProof/>
                <w:lang w:eastAsia="tr-TR"/>
              </w:rPr>
              <w:t>ANNEX 2- CODE OF CONDUCT</w:t>
            </w:r>
            <w:r>
              <w:rPr>
                <w:noProof/>
                <w:webHidden/>
              </w:rPr>
              <w:tab/>
            </w:r>
            <w:r>
              <w:rPr>
                <w:noProof/>
                <w:webHidden/>
              </w:rPr>
              <w:fldChar w:fldCharType="begin"/>
            </w:r>
            <w:r>
              <w:rPr>
                <w:noProof/>
                <w:webHidden/>
              </w:rPr>
              <w:instrText xml:space="preserve"> PAGEREF _Toc220672831 \h </w:instrText>
            </w:r>
            <w:r>
              <w:rPr>
                <w:noProof/>
                <w:webHidden/>
              </w:rPr>
            </w:r>
            <w:r>
              <w:rPr>
                <w:noProof/>
                <w:webHidden/>
              </w:rPr>
              <w:fldChar w:fldCharType="separate"/>
            </w:r>
            <w:r w:rsidR="004F7F3D">
              <w:rPr>
                <w:noProof/>
                <w:webHidden/>
              </w:rPr>
              <w:t>159</w:t>
            </w:r>
            <w:r>
              <w:rPr>
                <w:noProof/>
                <w:webHidden/>
              </w:rPr>
              <w:fldChar w:fldCharType="end"/>
            </w:r>
          </w:hyperlink>
        </w:p>
        <w:p w14:paraId="4103476D" w14:textId="42FEF4BB"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32" w:history="1">
            <w:r w:rsidRPr="00B335EC">
              <w:rPr>
                <w:rStyle w:val="Kpr"/>
                <w:noProof/>
                <w:lang w:eastAsia="tr-TR"/>
              </w:rPr>
              <w:t>ANNEX 3- GRIEVANCE REGISTRATION FORM (GRF)</w:t>
            </w:r>
            <w:r>
              <w:rPr>
                <w:noProof/>
                <w:webHidden/>
              </w:rPr>
              <w:tab/>
            </w:r>
            <w:r>
              <w:rPr>
                <w:noProof/>
                <w:webHidden/>
              </w:rPr>
              <w:fldChar w:fldCharType="begin"/>
            </w:r>
            <w:r>
              <w:rPr>
                <w:noProof/>
                <w:webHidden/>
              </w:rPr>
              <w:instrText xml:space="preserve"> PAGEREF _Toc220672832 \h </w:instrText>
            </w:r>
            <w:r>
              <w:rPr>
                <w:noProof/>
                <w:webHidden/>
              </w:rPr>
            </w:r>
            <w:r>
              <w:rPr>
                <w:noProof/>
                <w:webHidden/>
              </w:rPr>
              <w:fldChar w:fldCharType="separate"/>
            </w:r>
            <w:r w:rsidR="004F7F3D">
              <w:rPr>
                <w:noProof/>
                <w:webHidden/>
              </w:rPr>
              <w:t>162</w:t>
            </w:r>
            <w:r>
              <w:rPr>
                <w:noProof/>
                <w:webHidden/>
              </w:rPr>
              <w:fldChar w:fldCharType="end"/>
            </w:r>
          </w:hyperlink>
        </w:p>
        <w:p w14:paraId="35D80A06" w14:textId="2C725EAC"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33" w:history="1">
            <w:r w:rsidRPr="00B335EC">
              <w:rPr>
                <w:rStyle w:val="Kpr"/>
                <w:noProof/>
                <w:lang w:eastAsia="tr-TR"/>
              </w:rPr>
              <w:t>ANNEX 4- SAMPLE GRIEVANCE CLOSEOUT FORM</w:t>
            </w:r>
            <w:r>
              <w:rPr>
                <w:noProof/>
                <w:webHidden/>
              </w:rPr>
              <w:tab/>
            </w:r>
            <w:r>
              <w:rPr>
                <w:noProof/>
                <w:webHidden/>
              </w:rPr>
              <w:fldChar w:fldCharType="begin"/>
            </w:r>
            <w:r>
              <w:rPr>
                <w:noProof/>
                <w:webHidden/>
              </w:rPr>
              <w:instrText xml:space="preserve"> PAGEREF _Toc220672833 \h </w:instrText>
            </w:r>
            <w:r>
              <w:rPr>
                <w:noProof/>
                <w:webHidden/>
              </w:rPr>
            </w:r>
            <w:r>
              <w:rPr>
                <w:noProof/>
                <w:webHidden/>
              </w:rPr>
              <w:fldChar w:fldCharType="separate"/>
            </w:r>
            <w:r w:rsidR="004F7F3D">
              <w:rPr>
                <w:noProof/>
                <w:webHidden/>
              </w:rPr>
              <w:t>163</w:t>
            </w:r>
            <w:r>
              <w:rPr>
                <w:noProof/>
                <w:webHidden/>
              </w:rPr>
              <w:fldChar w:fldCharType="end"/>
            </w:r>
          </w:hyperlink>
        </w:p>
        <w:p w14:paraId="3C055176" w14:textId="2A4E9469"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34" w:history="1">
            <w:r w:rsidRPr="00B335EC">
              <w:rPr>
                <w:rStyle w:val="Kpr"/>
                <w:noProof/>
                <w:lang w:eastAsia="tr-TR"/>
              </w:rPr>
              <w:t>ANNEX 5- GRIEVANCE REGISTRATION LOG</w:t>
            </w:r>
            <w:r>
              <w:rPr>
                <w:noProof/>
                <w:webHidden/>
              </w:rPr>
              <w:tab/>
            </w:r>
            <w:r>
              <w:rPr>
                <w:noProof/>
                <w:webHidden/>
              </w:rPr>
              <w:fldChar w:fldCharType="begin"/>
            </w:r>
            <w:r>
              <w:rPr>
                <w:noProof/>
                <w:webHidden/>
              </w:rPr>
              <w:instrText xml:space="preserve"> PAGEREF _Toc220672834 \h </w:instrText>
            </w:r>
            <w:r>
              <w:rPr>
                <w:noProof/>
                <w:webHidden/>
              </w:rPr>
            </w:r>
            <w:r>
              <w:rPr>
                <w:noProof/>
                <w:webHidden/>
              </w:rPr>
              <w:fldChar w:fldCharType="separate"/>
            </w:r>
            <w:r w:rsidR="004F7F3D">
              <w:rPr>
                <w:noProof/>
                <w:webHidden/>
              </w:rPr>
              <w:t>164</w:t>
            </w:r>
            <w:r>
              <w:rPr>
                <w:noProof/>
                <w:webHidden/>
              </w:rPr>
              <w:fldChar w:fldCharType="end"/>
            </w:r>
          </w:hyperlink>
        </w:p>
        <w:p w14:paraId="3312E812" w14:textId="6623E18C"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35" w:history="1">
            <w:r w:rsidRPr="00B335EC">
              <w:rPr>
                <w:rStyle w:val="Kpr"/>
                <w:noProof/>
                <w:lang w:eastAsia="tr-TR"/>
              </w:rPr>
              <w:t>ANNEX 6- COMMUNITY SAFETY AND TRAFFIC MANAGEMENT PLAN</w:t>
            </w:r>
            <w:r>
              <w:rPr>
                <w:noProof/>
                <w:webHidden/>
              </w:rPr>
              <w:tab/>
            </w:r>
            <w:r>
              <w:rPr>
                <w:noProof/>
                <w:webHidden/>
              </w:rPr>
              <w:fldChar w:fldCharType="begin"/>
            </w:r>
            <w:r>
              <w:rPr>
                <w:noProof/>
                <w:webHidden/>
              </w:rPr>
              <w:instrText xml:space="preserve"> PAGEREF _Toc220672835 \h </w:instrText>
            </w:r>
            <w:r>
              <w:rPr>
                <w:noProof/>
                <w:webHidden/>
              </w:rPr>
            </w:r>
            <w:r>
              <w:rPr>
                <w:noProof/>
                <w:webHidden/>
              </w:rPr>
              <w:fldChar w:fldCharType="separate"/>
            </w:r>
            <w:r w:rsidR="004F7F3D">
              <w:rPr>
                <w:noProof/>
                <w:webHidden/>
              </w:rPr>
              <w:t>165</w:t>
            </w:r>
            <w:r>
              <w:rPr>
                <w:noProof/>
                <w:webHidden/>
              </w:rPr>
              <w:fldChar w:fldCharType="end"/>
            </w:r>
          </w:hyperlink>
        </w:p>
        <w:p w14:paraId="775DC9F6" w14:textId="73EE4586"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36" w:history="1">
            <w:r w:rsidRPr="00B335EC">
              <w:rPr>
                <w:rStyle w:val="Kpr"/>
                <w:noProof/>
                <w:lang w:eastAsia="tr-TR"/>
              </w:rPr>
              <w:t>ANNEX 7- RESOURCE EFFICIENCY AND POLLUTION PREVENTION PLAN</w:t>
            </w:r>
            <w:r>
              <w:rPr>
                <w:noProof/>
                <w:webHidden/>
              </w:rPr>
              <w:tab/>
            </w:r>
            <w:r>
              <w:rPr>
                <w:noProof/>
                <w:webHidden/>
              </w:rPr>
              <w:fldChar w:fldCharType="begin"/>
            </w:r>
            <w:r>
              <w:rPr>
                <w:noProof/>
                <w:webHidden/>
              </w:rPr>
              <w:instrText xml:space="preserve"> PAGEREF _Toc220672836 \h </w:instrText>
            </w:r>
            <w:r>
              <w:rPr>
                <w:noProof/>
                <w:webHidden/>
              </w:rPr>
            </w:r>
            <w:r>
              <w:rPr>
                <w:noProof/>
                <w:webHidden/>
              </w:rPr>
              <w:fldChar w:fldCharType="separate"/>
            </w:r>
            <w:r w:rsidR="004F7F3D">
              <w:rPr>
                <w:noProof/>
                <w:webHidden/>
              </w:rPr>
              <w:t>173</w:t>
            </w:r>
            <w:r>
              <w:rPr>
                <w:noProof/>
                <w:webHidden/>
              </w:rPr>
              <w:fldChar w:fldCharType="end"/>
            </w:r>
          </w:hyperlink>
        </w:p>
        <w:p w14:paraId="6419D0E2" w14:textId="3CD8847B"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37" w:history="1">
            <w:r w:rsidRPr="00B335EC">
              <w:rPr>
                <w:rStyle w:val="Kpr"/>
                <w:noProof/>
                <w:lang w:eastAsia="tr-TR"/>
              </w:rPr>
              <w:t>ANNEX 8- WASTE MANAGEMENT PLAN</w:t>
            </w:r>
            <w:r>
              <w:rPr>
                <w:noProof/>
                <w:webHidden/>
              </w:rPr>
              <w:tab/>
            </w:r>
            <w:r>
              <w:rPr>
                <w:noProof/>
                <w:webHidden/>
              </w:rPr>
              <w:fldChar w:fldCharType="begin"/>
            </w:r>
            <w:r>
              <w:rPr>
                <w:noProof/>
                <w:webHidden/>
              </w:rPr>
              <w:instrText xml:space="preserve"> PAGEREF _Toc220672837 \h </w:instrText>
            </w:r>
            <w:r>
              <w:rPr>
                <w:noProof/>
                <w:webHidden/>
              </w:rPr>
            </w:r>
            <w:r>
              <w:rPr>
                <w:noProof/>
                <w:webHidden/>
              </w:rPr>
              <w:fldChar w:fldCharType="separate"/>
            </w:r>
            <w:r w:rsidR="004F7F3D">
              <w:rPr>
                <w:noProof/>
                <w:webHidden/>
              </w:rPr>
              <w:t>180</w:t>
            </w:r>
            <w:r>
              <w:rPr>
                <w:noProof/>
                <w:webHidden/>
              </w:rPr>
              <w:fldChar w:fldCharType="end"/>
            </w:r>
          </w:hyperlink>
        </w:p>
        <w:p w14:paraId="4D6F6B4E" w14:textId="7D53482F"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38" w:history="1">
            <w:r w:rsidRPr="00B335EC">
              <w:rPr>
                <w:rStyle w:val="Kpr"/>
                <w:noProof/>
                <w:lang w:eastAsia="tr-TR"/>
              </w:rPr>
              <w:t>ANNEX 9- ASBESTOS MANAGEMENT PLAN</w:t>
            </w:r>
            <w:r>
              <w:rPr>
                <w:noProof/>
                <w:webHidden/>
              </w:rPr>
              <w:tab/>
            </w:r>
            <w:r>
              <w:rPr>
                <w:noProof/>
                <w:webHidden/>
              </w:rPr>
              <w:fldChar w:fldCharType="begin"/>
            </w:r>
            <w:r>
              <w:rPr>
                <w:noProof/>
                <w:webHidden/>
              </w:rPr>
              <w:instrText xml:space="preserve"> PAGEREF _Toc220672838 \h </w:instrText>
            </w:r>
            <w:r>
              <w:rPr>
                <w:noProof/>
                <w:webHidden/>
              </w:rPr>
            </w:r>
            <w:r>
              <w:rPr>
                <w:noProof/>
                <w:webHidden/>
              </w:rPr>
              <w:fldChar w:fldCharType="separate"/>
            </w:r>
            <w:r w:rsidR="004F7F3D">
              <w:rPr>
                <w:noProof/>
                <w:webHidden/>
              </w:rPr>
              <w:t>195</w:t>
            </w:r>
            <w:r>
              <w:rPr>
                <w:noProof/>
                <w:webHidden/>
              </w:rPr>
              <w:fldChar w:fldCharType="end"/>
            </w:r>
          </w:hyperlink>
        </w:p>
        <w:p w14:paraId="46747D2E" w14:textId="2CC6B5D9"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39" w:history="1">
            <w:r w:rsidRPr="00B335EC">
              <w:rPr>
                <w:rStyle w:val="Kpr"/>
                <w:noProof/>
                <w:lang w:eastAsia="tr-TR"/>
              </w:rPr>
              <w:t>ANNEX 10- CHANCE FIND PROCEDURE</w:t>
            </w:r>
            <w:r>
              <w:rPr>
                <w:noProof/>
                <w:webHidden/>
              </w:rPr>
              <w:tab/>
            </w:r>
            <w:r>
              <w:rPr>
                <w:noProof/>
                <w:webHidden/>
              </w:rPr>
              <w:fldChar w:fldCharType="begin"/>
            </w:r>
            <w:r>
              <w:rPr>
                <w:noProof/>
                <w:webHidden/>
              </w:rPr>
              <w:instrText xml:space="preserve"> PAGEREF _Toc220672839 \h </w:instrText>
            </w:r>
            <w:r>
              <w:rPr>
                <w:noProof/>
                <w:webHidden/>
              </w:rPr>
            </w:r>
            <w:r>
              <w:rPr>
                <w:noProof/>
                <w:webHidden/>
              </w:rPr>
              <w:fldChar w:fldCharType="separate"/>
            </w:r>
            <w:r w:rsidR="004F7F3D">
              <w:rPr>
                <w:noProof/>
                <w:webHidden/>
              </w:rPr>
              <w:t>211</w:t>
            </w:r>
            <w:r>
              <w:rPr>
                <w:noProof/>
                <w:webHidden/>
              </w:rPr>
              <w:fldChar w:fldCharType="end"/>
            </w:r>
          </w:hyperlink>
        </w:p>
        <w:p w14:paraId="7DF3327C" w14:textId="28A2BB24"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40" w:history="1">
            <w:r w:rsidRPr="00B335EC">
              <w:rPr>
                <w:rStyle w:val="Kpr"/>
                <w:noProof/>
                <w:lang w:eastAsia="tr-TR"/>
              </w:rPr>
              <w:t>ANNEX 11- ENVIRONMENTAL &amp; SOCIAL SCREENING CHECKLIST FOR SUBPROJECTS</w:t>
            </w:r>
            <w:r>
              <w:rPr>
                <w:noProof/>
                <w:webHidden/>
              </w:rPr>
              <w:tab/>
            </w:r>
            <w:r>
              <w:rPr>
                <w:noProof/>
                <w:webHidden/>
              </w:rPr>
              <w:fldChar w:fldCharType="begin"/>
            </w:r>
            <w:r>
              <w:rPr>
                <w:noProof/>
                <w:webHidden/>
              </w:rPr>
              <w:instrText xml:space="preserve"> PAGEREF _Toc220672840 \h </w:instrText>
            </w:r>
            <w:r>
              <w:rPr>
                <w:noProof/>
                <w:webHidden/>
              </w:rPr>
            </w:r>
            <w:r>
              <w:rPr>
                <w:noProof/>
                <w:webHidden/>
              </w:rPr>
              <w:fldChar w:fldCharType="separate"/>
            </w:r>
            <w:r w:rsidR="004F7F3D">
              <w:rPr>
                <w:noProof/>
                <w:webHidden/>
              </w:rPr>
              <w:t>221</w:t>
            </w:r>
            <w:r>
              <w:rPr>
                <w:noProof/>
                <w:webHidden/>
              </w:rPr>
              <w:fldChar w:fldCharType="end"/>
            </w:r>
          </w:hyperlink>
        </w:p>
        <w:p w14:paraId="75E4CB03" w14:textId="0ABBD4BF"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41" w:history="1">
            <w:r w:rsidRPr="00B335EC">
              <w:rPr>
                <w:rStyle w:val="Kpr"/>
                <w:noProof/>
                <w:lang w:eastAsia="tr-TR"/>
              </w:rPr>
              <w:t>ANNEX 12- LIST OF NON-ELIGIBLE TYPES OF SUB-PROJECTS</w:t>
            </w:r>
            <w:r>
              <w:rPr>
                <w:noProof/>
                <w:webHidden/>
              </w:rPr>
              <w:tab/>
            </w:r>
            <w:r>
              <w:rPr>
                <w:noProof/>
                <w:webHidden/>
              </w:rPr>
              <w:fldChar w:fldCharType="begin"/>
            </w:r>
            <w:r>
              <w:rPr>
                <w:noProof/>
                <w:webHidden/>
              </w:rPr>
              <w:instrText xml:space="preserve"> PAGEREF _Toc220672841 \h </w:instrText>
            </w:r>
            <w:r>
              <w:rPr>
                <w:noProof/>
                <w:webHidden/>
              </w:rPr>
            </w:r>
            <w:r>
              <w:rPr>
                <w:noProof/>
                <w:webHidden/>
              </w:rPr>
              <w:fldChar w:fldCharType="separate"/>
            </w:r>
            <w:r w:rsidR="004F7F3D">
              <w:rPr>
                <w:noProof/>
                <w:webHidden/>
              </w:rPr>
              <w:t>235</w:t>
            </w:r>
            <w:r>
              <w:rPr>
                <w:noProof/>
                <w:webHidden/>
              </w:rPr>
              <w:fldChar w:fldCharType="end"/>
            </w:r>
          </w:hyperlink>
        </w:p>
        <w:p w14:paraId="654D179E" w14:textId="3D703D26"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42" w:history="1">
            <w:r w:rsidRPr="00B335EC">
              <w:rPr>
                <w:rStyle w:val="Kpr"/>
                <w:noProof/>
                <w:lang w:eastAsia="tr-TR"/>
              </w:rPr>
              <w:t>ANNEX 13- OCCUPATIONAL HEALTH AND SAFETY MANAGEMENT PLAN</w:t>
            </w:r>
            <w:r>
              <w:rPr>
                <w:noProof/>
                <w:webHidden/>
              </w:rPr>
              <w:tab/>
            </w:r>
            <w:r>
              <w:rPr>
                <w:noProof/>
                <w:webHidden/>
              </w:rPr>
              <w:fldChar w:fldCharType="begin"/>
            </w:r>
            <w:r>
              <w:rPr>
                <w:noProof/>
                <w:webHidden/>
              </w:rPr>
              <w:instrText xml:space="preserve"> PAGEREF _Toc220672842 \h </w:instrText>
            </w:r>
            <w:r>
              <w:rPr>
                <w:noProof/>
                <w:webHidden/>
              </w:rPr>
            </w:r>
            <w:r>
              <w:rPr>
                <w:noProof/>
                <w:webHidden/>
              </w:rPr>
              <w:fldChar w:fldCharType="separate"/>
            </w:r>
            <w:r w:rsidR="004F7F3D">
              <w:rPr>
                <w:noProof/>
                <w:webHidden/>
              </w:rPr>
              <w:t>236</w:t>
            </w:r>
            <w:r>
              <w:rPr>
                <w:noProof/>
                <w:webHidden/>
              </w:rPr>
              <w:fldChar w:fldCharType="end"/>
            </w:r>
          </w:hyperlink>
        </w:p>
        <w:p w14:paraId="598FE708" w14:textId="4402F120"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43" w:history="1">
            <w:r w:rsidRPr="00B335EC">
              <w:rPr>
                <w:rStyle w:val="Kpr"/>
                <w:noProof/>
                <w:lang w:eastAsia="tr-TR"/>
              </w:rPr>
              <w:t>ANNEX 14- CONTRACTOR ENVIRONMENTAL AND SOCIAL MANAGEMENT PLAN CHECKLIST TEMPLATE</w:t>
            </w:r>
            <w:r>
              <w:rPr>
                <w:noProof/>
                <w:webHidden/>
              </w:rPr>
              <w:tab/>
            </w:r>
            <w:r>
              <w:rPr>
                <w:noProof/>
                <w:webHidden/>
              </w:rPr>
              <w:fldChar w:fldCharType="begin"/>
            </w:r>
            <w:r>
              <w:rPr>
                <w:noProof/>
                <w:webHidden/>
              </w:rPr>
              <w:instrText xml:space="preserve"> PAGEREF _Toc220672843 \h </w:instrText>
            </w:r>
            <w:r>
              <w:rPr>
                <w:noProof/>
                <w:webHidden/>
              </w:rPr>
            </w:r>
            <w:r>
              <w:rPr>
                <w:noProof/>
                <w:webHidden/>
              </w:rPr>
              <w:fldChar w:fldCharType="separate"/>
            </w:r>
            <w:r w:rsidR="004F7F3D">
              <w:rPr>
                <w:noProof/>
                <w:webHidden/>
              </w:rPr>
              <w:t>251</w:t>
            </w:r>
            <w:r>
              <w:rPr>
                <w:noProof/>
                <w:webHidden/>
              </w:rPr>
              <w:fldChar w:fldCharType="end"/>
            </w:r>
          </w:hyperlink>
        </w:p>
        <w:p w14:paraId="009F078F" w14:textId="7B0266C4"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44" w:history="1">
            <w:r w:rsidRPr="00B335EC">
              <w:rPr>
                <w:rStyle w:val="Kpr"/>
                <w:noProof/>
                <w:lang w:eastAsia="tr-TR"/>
              </w:rPr>
              <w:t>ANNEX 15 - E&amp;S AUDIT REPORT TEMPLATE</w:t>
            </w:r>
            <w:r>
              <w:rPr>
                <w:noProof/>
                <w:webHidden/>
              </w:rPr>
              <w:tab/>
            </w:r>
            <w:r>
              <w:rPr>
                <w:noProof/>
                <w:webHidden/>
              </w:rPr>
              <w:fldChar w:fldCharType="begin"/>
            </w:r>
            <w:r>
              <w:rPr>
                <w:noProof/>
                <w:webHidden/>
              </w:rPr>
              <w:instrText xml:space="preserve"> PAGEREF _Toc220672844 \h </w:instrText>
            </w:r>
            <w:r>
              <w:rPr>
                <w:noProof/>
                <w:webHidden/>
              </w:rPr>
            </w:r>
            <w:r>
              <w:rPr>
                <w:noProof/>
                <w:webHidden/>
              </w:rPr>
              <w:fldChar w:fldCharType="separate"/>
            </w:r>
            <w:r w:rsidR="004F7F3D">
              <w:rPr>
                <w:noProof/>
                <w:webHidden/>
              </w:rPr>
              <w:t>253</w:t>
            </w:r>
            <w:r>
              <w:rPr>
                <w:noProof/>
                <w:webHidden/>
              </w:rPr>
              <w:fldChar w:fldCharType="end"/>
            </w:r>
          </w:hyperlink>
        </w:p>
        <w:p w14:paraId="6FF1B0C5" w14:textId="645FD596" w:rsidR="00392FA6" w:rsidRDefault="00392FA6">
          <w:pPr>
            <w:pStyle w:val="T1"/>
            <w:rPr>
              <w:rFonts w:asciiTheme="minorHAnsi" w:eastAsiaTheme="minorEastAsia" w:hAnsiTheme="minorHAnsi" w:cstheme="minorBidi"/>
              <w:b w:val="0"/>
              <w:bCs w:val="0"/>
              <w:caps w:val="0"/>
              <w:noProof/>
              <w:kern w:val="0"/>
              <w:sz w:val="22"/>
              <w:szCs w:val="22"/>
              <w:lang w:val="tr-TR" w:eastAsia="tr-TR"/>
              <w14:ligatures w14:val="none"/>
            </w:rPr>
          </w:pPr>
          <w:hyperlink w:anchor="_Toc220672845" w:history="1">
            <w:r w:rsidRPr="00B335EC">
              <w:rPr>
                <w:rStyle w:val="Kpr"/>
                <w:noProof/>
              </w:rPr>
              <w:t>ANNEX 16 – MINUTES OF THE MEETING FOR SAKARYA ESMP</w:t>
            </w:r>
            <w:r>
              <w:rPr>
                <w:noProof/>
                <w:webHidden/>
              </w:rPr>
              <w:tab/>
            </w:r>
            <w:r>
              <w:rPr>
                <w:noProof/>
                <w:webHidden/>
              </w:rPr>
              <w:fldChar w:fldCharType="begin"/>
            </w:r>
            <w:r>
              <w:rPr>
                <w:noProof/>
                <w:webHidden/>
              </w:rPr>
              <w:instrText xml:space="preserve"> PAGEREF _Toc220672845 \h </w:instrText>
            </w:r>
            <w:r>
              <w:rPr>
                <w:noProof/>
                <w:webHidden/>
              </w:rPr>
            </w:r>
            <w:r>
              <w:rPr>
                <w:noProof/>
                <w:webHidden/>
              </w:rPr>
              <w:fldChar w:fldCharType="separate"/>
            </w:r>
            <w:r w:rsidR="004F7F3D">
              <w:rPr>
                <w:noProof/>
                <w:webHidden/>
              </w:rPr>
              <w:t>255</w:t>
            </w:r>
            <w:r>
              <w:rPr>
                <w:noProof/>
                <w:webHidden/>
              </w:rPr>
              <w:fldChar w:fldCharType="end"/>
            </w:r>
          </w:hyperlink>
        </w:p>
        <w:p w14:paraId="38EAF8B8" w14:textId="3DE4680D" w:rsidR="002550A6" w:rsidRPr="008D3770" w:rsidRDefault="00C239D8" w:rsidP="006C58C5">
          <w:pPr>
            <w:spacing w:after="0"/>
            <w:rPr>
              <w:b/>
              <w:bCs/>
              <w:noProof/>
              <w:szCs w:val="22"/>
            </w:rPr>
          </w:pPr>
          <w:r w:rsidRPr="008D3770">
            <w:rPr>
              <w:rFonts w:cs="Times New Roman"/>
              <w:bCs/>
              <w:noProof/>
              <w:szCs w:val="22"/>
            </w:rPr>
            <w:fldChar w:fldCharType="end"/>
          </w:r>
        </w:p>
      </w:sdtContent>
    </w:sdt>
    <w:p w14:paraId="0DEBC30E" w14:textId="28A69913" w:rsidR="00684C6E" w:rsidRDefault="00684C6E">
      <w:pPr>
        <w:spacing w:after="160" w:line="278" w:lineRule="auto"/>
        <w:jc w:val="left"/>
        <w:rPr>
          <w:rFonts w:eastAsia="Aptos" w:cs="Aptos"/>
          <w:b/>
          <w:bCs/>
          <w:color w:val="000000" w:themeColor="text1"/>
          <w:sz w:val="28"/>
          <w:szCs w:val="28"/>
        </w:rPr>
      </w:pPr>
      <w:r>
        <w:rPr>
          <w:rFonts w:eastAsia="Aptos" w:cs="Aptos"/>
          <w:b/>
          <w:bCs/>
          <w:color w:val="000000" w:themeColor="text1"/>
          <w:sz w:val="28"/>
          <w:szCs w:val="28"/>
        </w:rPr>
        <w:br w:type="page"/>
      </w:r>
    </w:p>
    <w:p w14:paraId="6ACFEA05" w14:textId="73E0B0CE" w:rsidR="0090127F" w:rsidRPr="00175D8B" w:rsidRDefault="0090127F" w:rsidP="006C58C5">
      <w:pPr>
        <w:spacing w:after="160" w:line="278" w:lineRule="auto"/>
        <w:jc w:val="left"/>
        <w:rPr>
          <w:rFonts w:eastAsia="Aptos" w:cs="Aptos"/>
          <w:b/>
          <w:bCs/>
          <w:color w:val="000000" w:themeColor="text1"/>
          <w:sz w:val="28"/>
          <w:szCs w:val="28"/>
        </w:rPr>
      </w:pPr>
      <w:r w:rsidRPr="00175D8B">
        <w:rPr>
          <w:rFonts w:eastAsia="Aptos" w:cs="Aptos"/>
          <w:b/>
          <w:bCs/>
          <w:color w:val="000000" w:themeColor="text1"/>
          <w:sz w:val="28"/>
          <w:szCs w:val="28"/>
        </w:rPr>
        <w:lastRenderedPageBreak/>
        <w:t>List of Figures</w:t>
      </w:r>
    </w:p>
    <w:p w14:paraId="70B51286" w14:textId="77777777" w:rsidR="00FA2260" w:rsidRPr="00175D8B" w:rsidRDefault="00FA2260" w:rsidP="00C65B01">
      <w:pPr>
        <w:spacing w:before="120" w:after="0" w:line="278" w:lineRule="auto"/>
        <w:rPr>
          <w:rFonts w:eastAsia="Aptos" w:cs="Aptos"/>
          <w:b/>
          <w:bCs/>
          <w:color w:val="000000" w:themeColor="text1"/>
          <w:sz w:val="28"/>
          <w:szCs w:val="28"/>
        </w:rPr>
      </w:pPr>
    </w:p>
    <w:p w14:paraId="3069EB55" w14:textId="28B28DCD" w:rsidR="005A2912" w:rsidRDefault="00FA2260">
      <w:pPr>
        <w:pStyle w:val="ekillerTablosu"/>
        <w:tabs>
          <w:tab w:val="right" w:leader="dot" w:pos="9060"/>
        </w:tabs>
        <w:rPr>
          <w:rFonts w:asciiTheme="minorHAnsi" w:eastAsiaTheme="minorEastAsia" w:hAnsiTheme="minorHAnsi" w:cstheme="minorBidi"/>
          <w:noProof/>
          <w:lang w:val="tr-TR"/>
        </w:rPr>
      </w:pPr>
      <w:r w:rsidRPr="00175D8B">
        <w:rPr>
          <w:b/>
          <w:bCs/>
          <w:i/>
          <w:iCs/>
          <w:color w:val="000000" w:themeColor="text1"/>
        </w:rPr>
        <w:fldChar w:fldCharType="begin"/>
      </w:r>
      <w:r w:rsidRPr="006C58C5">
        <w:rPr>
          <w:b/>
          <w:bCs/>
          <w:i/>
          <w:iCs/>
          <w:color w:val="000000" w:themeColor="text1"/>
        </w:rPr>
        <w:instrText xml:space="preserve"> TOC \h \z \c "Figure" </w:instrText>
      </w:r>
      <w:r w:rsidRPr="00175D8B">
        <w:rPr>
          <w:b/>
          <w:bCs/>
          <w:i/>
          <w:iCs/>
          <w:color w:val="000000" w:themeColor="text1"/>
        </w:rPr>
        <w:fldChar w:fldCharType="separate"/>
      </w:r>
      <w:hyperlink w:anchor="_Toc221191309" w:history="1">
        <w:r w:rsidR="005A2912" w:rsidRPr="00E52A37">
          <w:rPr>
            <w:rStyle w:val="Kpr"/>
            <w:b/>
            <w:bCs/>
            <w:noProof/>
          </w:rPr>
          <w:t>Figure 1</w:t>
        </w:r>
        <w:r w:rsidR="005A2912" w:rsidRPr="00E52A37">
          <w:rPr>
            <w:rStyle w:val="Kpr"/>
            <w:noProof/>
          </w:rPr>
          <w:t>: Türkiye Earthquake Hazard Map</w:t>
        </w:r>
        <w:r w:rsidR="005A2912">
          <w:rPr>
            <w:noProof/>
            <w:webHidden/>
          </w:rPr>
          <w:tab/>
        </w:r>
        <w:r w:rsidR="005A2912">
          <w:rPr>
            <w:noProof/>
            <w:webHidden/>
          </w:rPr>
          <w:fldChar w:fldCharType="begin"/>
        </w:r>
        <w:r w:rsidR="005A2912">
          <w:rPr>
            <w:noProof/>
            <w:webHidden/>
          </w:rPr>
          <w:instrText xml:space="preserve"> PAGEREF _Toc221191309 \h </w:instrText>
        </w:r>
        <w:r w:rsidR="005A2912">
          <w:rPr>
            <w:noProof/>
            <w:webHidden/>
          </w:rPr>
        </w:r>
        <w:r w:rsidR="005A2912">
          <w:rPr>
            <w:noProof/>
            <w:webHidden/>
          </w:rPr>
          <w:fldChar w:fldCharType="separate"/>
        </w:r>
        <w:r w:rsidR="005A2912">
          <w:rPr>
            <w:noProof/>
            <w:webHidden/>
          </w:rPr>
          <w:t>15</w:t>
        </w:r>
        <w:r w:rsidR="005A2912">
          <w:rPr>
            <w:noProof/>
            <w:webHidden/>
          </w:rPr>
          <w:fldChar w:fldCharType="end"/>
        </w:r>
      </w:hyperlink>
    </w:p>
    <w:p w14:paraId="6A75E66E" w14:textId="72441231"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10" w:history="1">
        <w:r w:rsidRPr="00E52A37">
          <w:rPr>
            <w:rStyle w:val="Kpr"/>
            <w:b/>
            <w:bCs/>
            <w:noProof/>
          </w:rPr>
          <w:t>Figure 2:</w:t>
        </w:r>
        <w:r w:rsidRPr="00E52A37">
          <w:rPr>
            <w:rStyle w:val="Kpr"/>
            <w:noProof/>
          </w:rPr>
          <w:t xml:space="preserve"> Rivers and Streams of Sakarya</w:t>
        </w:r>
        <w:r>
          <w:rPr>
            <w:noProof/>
            <w:webHidden/>
          </w:rPr>
          <w:tab/>
        </w:r>
        <w:r>
          <w:rPr>
            <w:noProof/>
            <w:webHidden/>
          </w:rPr>
          <w:fldChar w:fldCharType="begin"/>
        </w:r>
        <w:r>
          <w:rPr>
            <w:noProof/>
            <w:webHidden/>
          </w:rPr>
          <w:instrText xml:space="preserve"> PAGEREF _Toc221191310 \h </w:instrText>
        </w:r>
        <w:r>
          <w:rPr>
            <w:noProof/>
            <w:webHidden/>
          </w:rPr>
        </w:r>
        <w:r>
          <w:rPr>
            <w:noProof/>
            <w:webHidden/>
          </w:rPr>
          <w:fldChar w:fldCharType="separate"/>
        </w:r>
        <w:r>
          <w:rPr>
            <w:noProof/>
            <w:webHidden/>
          </w:rPr>
          <w:t>20</w:t>
        </w:r>
        <w:r>
          <w:rPr>
            <w:noProof/>
            <w:webHidden/>
          </w:rPr>
          <w:fldChar w:fldCharType="end"/>
        </w:r>
      </w:hyperlink>
    </w:p>
    <w:p w14:paraId="4815FFE6" w14:textId="781FD1FF"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11" w:history="1">
        <w:r w:rsidRPr="00E52A37">
          <w:rPr>
            <w:rStyle w:val="Kpr"/>
            <w:b/>
            <w:bCs/>
            <w:noProof/>
          </w:rPr>
          <w:t>Figure 3:</w:t>
        </w:r>
        <w:r w:rsidRPr="00E52A37">
          <w:rPr>
            <w:rStyle w:val="Kpr"/>
            <w:noProof/>
          </w:rPr>
          <w:t xml:space="preserve"> Important Plant Areas in Sakarya Province</w:t>
        </w:r>
        <w:r>
          <w:rPr>
            <w:noProof/>
            <w:webHidden/>
          </w:rPr>
          <w:tab/>
        </w:r>
        <w:r>
          <w:rPr>
            <w:noProof/>
            <w:webHidden/>
          </w:rPr>
          <w:fldChar w:fldCharType="begin"/>
        </w:r>
        <w:r>
          <w:rPr>
            <w:noProof/>
            <w:webHidden/>
          </w:rPr>
          <w:instrText xml:space="preserve"> PAGEREF _Toc221191311 \h </w:instrText>
        </w:r>
        <w:r>
          <w:rPr>
            <w:noProof/>
            <w:webHidden/>
          </w:rPr>
        </w:r>
        <w:r>
          <w:rPr>
            <w:noProof/>
            <w:webHidden/>
          </w:rPr>
          <w:fldChar w:fldCharType="separate"/>
        </w:r>
        <w:r>
          <w:rPr>
            <w:noProof/>
            <w:webHidden/>
          </w:rPr>
          <w:t>37</w:t>
        </w:r>
        <w:r>
          <w:rPr>
            <w:noProof/>
            <w:webHidden/>
          </w:rPr>
          <w:fldChar w:fldCharType="end"/>
        </w:r>
      </w:hyperlink>
    </w:p>
    <w:p w14:paraId="0F06F0A7" w14:textId="3CF2A82C"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12" w:history="1">
        <w:r w:rsidRPr="00E52A37">
          <w:rPr>
            <w:rStyle w:val="Kpr"/>
            <w:b/>
            <w:bCs/>
            <w:i/>
            <w:iCs/>
            <w:noProof/>
          </w:rPr>
          <w:t>Figure 4:</w:t>
        </w:r>
        <w:r w:rsidRPr="00E52A37">
          <w:rPr>
            <w:rStyle w:val="Kpr"/>
            <w:noProof/>
          </w:rPr>
          <w:t xml:space="preserve"> </w:t>
        </w:r>
        <w:r w:rsidRPr="00E52A37">
          <w:rPr>
            <w:rStyle w:val="Kpr"/>
            <w:i/>
            <w:noProof/>
          </w:rPr>
          <w:t>Past Earthquakes and Their Distribution</w:t>
        </w:r>
        <w:r>
          <w:rPr>
            <w:noProof/>
            <w:webHidden/>
          </w:rPr>
          <w:tab/>
        </w:r>
        <w:r>
          <w:rPr>
            <w:noProof/>
            <w:webHidden/>
          </w:rPr>
          <w:fldChar w:fldCharType="begin"/>
        </w:r>
        <w:r>
          <w:rPr>
            <w:noProof/>
            <w:webHidden/>
          </w:rPr>
          <w:instrText xml:space="preserve"> PAGEREF _Toc221191312 \h </w:instrText>
        </w:r>
        <w:r>
          <w:rPr>
            <w:noProof/>
            <w:webHidden/>
          </w:rPr>
        </w:r>
        <w:r>
          <w:rPr>
            <w:noProof/>
            <w:webHidden/>
          </w:rPr>
          <w:fldChar w:fldCharType="separate"/>
        </w:r>
        <w:r>
          <w:rPr>
            <w:noProof/>
            <w:webHidden/>
          </w:rPr>
          <w:t>39</w:t>
        </w:r>
        <w:r>
          <w:rPr>
            <w:noProof/>
            <w:webHidden/>
          </w:rPr>
          <w:fldChar w:fldCharType="end"/>
        </w:r>
      </w:hyperlink>
    </w:p>
    <w:p w14:paraId="184ADED5" w14:textId="55642A17"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13" w:history="1">
        <w:r w:rsidRPr="00E52A37">
          <w:rPr>
            <w:rStyle w:val="Kpr"/>
            <w:b/>
            <w:bCs/>
            <w:noProof/>
          </w:rPr>
          <w:t>Figure 5:</w:t>
        </w:r>
        <w:r w:rsidRPr="00E52A37">
          <w:rPr>
            <w:rStyle w:val="Kpr"/>
            <w:noProof/>
          </w:rPr>
          <w:t xml:space="preserve"> Locations of Waste Management Facilities in Sakarya Province</w:t>
        </w:r>
        <w:r>
          <w:rPr>
            <w:noProof/>
            <w:webHidden/>
          </w:rPr>
          <w:tab/>
        </w:r>
        <w:r>
          <w:rPr>
            <w:noProof/>
            <w:webHidden/>
          </w:rPr>
          <w:fldChar w:fldCharType="begin"/>
        </w:r>
        <w:r>
          <w:rPr>
            <w:noProof/>
            <w:webHidden/>
          </w:rPr>
          <w:instrText xml:space="preserve"> PAGEREF _Toc221191313 \h </w:instrText>
        </w:r>
        <w:r>
          <w:rPr>
            <w:noProof/>
            <w:webHidden/>
          </w:rPr>
        </w:r>
        <w:r>
          <w:rPr>
            <w:noProof/>
            <w:webHidden/>
          </w:rPr>
          <w:fldChar w:fldCharType="separate"/>
        </w:r>
        <w:r>
          <w:rPr>
            <w:noProof/>
            <w:webHidden/>
          </w:rPr>
          <w:t>43</w:t>
        </w:r>
        <w:r>
          <w:rPr>
            <w:noProof/>
            <w:webHidden/>
          </w:rPr>
          <w:fldChar w:fldCharType="end"/>
        </w:r>
      </w:hyperlink>
    </w:p>
    <w:p w14:paraId="0B5352A5" w14:textId="7B4ECD3F"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14" w:history="1">
        <w:r w:rsidRPr="00E52A37">
          <w:rPr>
            <w:rStyle w:val="Kpr"/>
            <w:b/>
            <w:bCs/>
            <w:noProof/>
          </w:rPr>
          <w:t>Figure 6:</w:t>
        </w:r>
        <w:r w:rsidRPr="00E52A37">
          <w:rPr>
            <w:rStyle w:val="Kpr"/>
            <w:noProof/>
          </w:rPr>
          <w:t xml:space="preserve"> Sakarya Province Waste Facilities</w:t>
        </w:r>
        <w:r>
          <w:rPr>
            <w:noProof/>
            <w:webHidden/>
          </w:rPr>
          <w:tab/>
        </w:r>
        <w:r>
          <w:rPr>
            <w:noProof/>
            <w:webHidden/>
          </w:rPr>
          <w:fldChar w:fldCharType="begin"/>
        </w:r>
        <w:r>
          <w:rPr>
            <w:noProof/>
            <w:webHidden/>
          </w:rPr>
          <w:instrText xml:space="preserve"> PAGEREF _Toc221191314 \h </w:instrText>
        </w:r>
        <w:r>
          <w:rPr>
            <w:noProof/>
            <w:webHidden/>
          </w:rPr>
        </w:r>
        <w:r>
          <w:rPr>
            <w:noProof/>
            <w:webHidden/>
          </w:rPr>
          <w:fldChar w:fldCharType="separate"/>
        </w:r>
        <w:r>
          <w:rPr>
            <w:noProof/>
            <w:webHidden/>
          </w:rPr>
          <w:t>45</w:t>
        </w:r>
        <w:r>
          <w:rPr>
            <w:noProof/>
            <w:webHidden/>
          </w:rPr>
          <w:fldChar w:fldCharType="end"/>
        </w:r>
      </w:hyperlink>
    </w:p>
    <w:p w14:paraId="16963F70" w14:textId="6C643652"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15" w:history="1">
        <w:r w:rsidRPr="00E52A37">
          <w:rPr>
            <w:rStyle w:val="Kpr"/>
            <w:b/>
            <w:bCs/>
            <w:noProof/>
          </w:rPr>
          <w:t>Figure 7:</w:t>
        </w:r>
        <w:r w:rsidRPr="00E52A37">
          <w:rPr>
            <w:rStyle w:val="Kpr"/>
            <w:noProof/>
          </w:rPr>
          <w:t xml:space="preserve"> Population Trend of Sakarya</w:t>
        </w:r>
        <w:r>
          <w:rPr>
            <w:noProof/>
            <w:webHidden/>
          </w:rPr>
          <w:tab/>
        </w:r>
        <w:r>
          <w:rPr>
            <w:noProof/>
            <w:webHidden/>
          </w:rPr>
          <w:fldChar w:fldCharType="begin"/>
        </w:r>
        <w:r>
          <w:rPr>
            <w:noProof/>
            <w:webHidden/>
          </w:rPr>
          <w:instrText xml:space="preserve"> PAGEREF _Toc221191315 \h </w:instrText>
        </w:r>
        <w:r>
          <w:rPr>
            <w:noProof/>
            <w:webHidden/>
          </w:rPr>
        </w:r>
        <w:r>
          <w:rPr>
            <w:noProof/>
            <w:webHidden/>
          </w:rPr>
          <w:fldChar w:fldCharType="separate"/>
        </w:r>
        <w:r>
          <w:rPr>
            <w:noProof/>
            <w:webHidden/>
          </w:rPr>
          <w:t>47</w:t>
        </w:r>
        <w:r>
          <w:rPr>
            <w:noProof/>
            <w:webHidden/>
          </w:rPr>
          <w:fldChar w:fldCharType="end"/>
        </w:r>
      </w:hyperlink>
    </w:p>
    <w:p w14:paraId="1D0C67B5" w14:textId="11D7808E"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16" w:history="1">
        <w:r w:rsidRPr="00E52A37">
          <w:rPr>
            <w:rStyle w:val="Kpr"/>
            <w:b/>
            <w:bCs/>
            <w:noProof/>
          </w:rPr>
          <w:t>Figure 8:</w:t>
        </w:r>
        <w:r w:rsidRPr="00E52A37">
          <w:rPr>
            <w:rStyle w:val="Kpr"/>
            <w:noProof/>
          </w:rPr>
          <w:t xml:space="preserve"> Change in the Population Pyramid of Sakarya Province</w:t>
        </w:r>
        <w:r>
          <w:rPr>
            <w:noProof/>
            <w:webHidden/>
          </w:rPr>
          <w:tab/>
        </w:r>
        <w:r>
          <w:rPr>
            <w:noProof/>
            <w:webHidden/>
          </w:rPr>
          <w:fldChar w:fldCharType="begin"/>
        </w:r>
        <w:r>
          <w:rPr>
            <w:noProof/>
            <w:webHidden/>
          </w:rPr>
          <w:instrText xml:space="preserve"> PAGEREF _Toc221191316 \h </w:instrText>
        </w:r>
        <w:r>
          <w:rPr>
            <w:noProof/>
            <w:webHidden/>
          </w:rPr>
        </w:r>
        <w:r>
          <w:rPr>
            <w:noProof/>
            <w:webHidden/>
          </w:rPr>
          <w:fldChar w:fldCharType="separate"/>
        </w:r>
        <w:r>
          <w:rPr>
            <w:noProof/>
            <w:webHidden/>
          </w:rPr>
          <w:t>49</w:t>
        </w:r>
        <w:r>
          <w:rPr>
            <w:noProof/>
            <w:webHidden/>
          </w:rPr>
          <w:fldChar w:fldCharType="end"/>
        </w:r>
      </w:hyperlink>
    </w:p>
    <w:p w14:paraId="7FF3512F" w14:textId="6F72129C"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17" w:history="1">
        <w:r w:rsidRPr="00E52A37">
          <w:rPr>
            <w:rStyle w:val="Kpr"/>
            <w:b/>
            <w:bCs/>
            <w:noProof/>
          </w:rPr>
          <w:t>Figure 9:</w:t>
        </w:r>
        <w:r w:rsidRPr="00E52A37">
          <w:rPr>
            <w:rStyle w:val="Kpr"/>
            <w:noProof/>
          </w:rPr>
          <w:t xml:space="preserve"> Adult Education Levels in Sakarya Province</w:t>
        </w:r>
        <w:r>
          <w:rPr>
            <w:noProof/>
            <w:webHidden/>
          </w:rPr>
          <w:tab/>
        </w:r>
        <w:r>
          <w:rPr>
            <w:noProof/>
            <w:webHidden/>
          </w:rPr>
          <w:fldChar w:fldCharType="begin"/>
        </w:r>
        <w:r>
          <w:rPr>
            <w:noProof/>
            <w:webHidden/>
          </w:rPr>
          <w:instrText xml:space="preserve"> PAGEREF _Toc221191317 \h </w:instrText>
        </w:r>
        <w:r>
          <w:rPr>
            <w:noProof/>
            <w:webHidden/>
          </w:rPr>
        </w:r>
        <w:r>
          <w:rPr>
            <w:noProof/>
            <w:webHidden/>
          </w:rPr>
          <w:fldChar w:fldCharType="separate"/>
        </w:r>
        <w:r>
          <w:rPr>
            <w:noProof/>
            <w:webHidden/>
          </w:rPr>
          <w:t>50</w:t>
        </w:r>
        <w:r>
          <w:rPr>
            <w:noProof/>
            <w:webHidden/>
          </w:rPr>
          <w:fldChar w:fldCharType="end"/>
        </w:r>
      </w:hyperlink>
    </w:p>
    <w:p w14:paraId="347E6E63" w14:textId="47ADDAB4"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18" w:history="1">
        <w:r w:rsidRPr="00E52A37">
          <w:rPr>
            <w:rStyle w:val="Kpr"/>
            <w:b/>
            <w:bCs/>
            <w:noProof/>
          </w:rPr>
          <w:t>Figure 10:</w:t>
        </w:r>
        <w:r w:rsidRPr="00E52A37">
          <w:rPr>
            <w:rStyle w:val="Kpr"/>
            <w:noProof/>
          </w:rPr>
          <w:t xml:space="preserve"> </w:t>
        </w:r>
        <w:r w:rsidRPr="00E52A37">
          <w:rPr>
            <w:rStyle w:val="Kpr"/>
            <w:i/>
            <w:iCs/>
            <w:noProof/>
          </w:rPr>
          <w:t>Percentages of Adult Education Levels in Sakarya and Türkiye</w:t>
        </w:r>
        <w:r>
          <w:rPr>
            <w:noProof/>
            <w:webHidden/>
          </w:rPr>
          <w:tab/>
        </w:r>
        <w:r>
          <w:rPr>
            <w:noProof/>
            <w:webHidden/>
          </w:rPr>
          <w:fldChar w:fldCharType="begin"/>
        </w:r>
        <w:r>
          <w:rPr>
            <w:noProof/>
            <w:webHidden/>
          </w:rPr>
          <w:instrText xml:space="preserve"> PAGEREF _Toc221191318 \h </w:instrText>
        </w:r>
        <w:r>
          <w:rPr>
            <w:noProof/>
            <w:webHidden/>
          </w:rPr>
        </w:r>
        <w:r>
          <w:rPr>
            <w:noProof/>
            <w:webHidden/>
          </w:rPr>
          <w:fldChar w:fldCharType="separate"/>
        </w:r>
        <w:r>
          <w:rPr>
            <w:noProof/>
            <w:webHidden/>
          </w:rPr>
          <w:t>50</w:t>
        </w:r>
        <w:r>
          <w:rPr>
            <w:noProof/>
            <w:webHidden/>
          </w:rPr>
          <w:fldChar w:fldCharType="end"/>
        </w:r>
      </w:hyperlink>
    </w:p>
    <w:p w14:paraId="715D9E9C" w14:textId="51BE405F"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19" w:history="1">
        <w:r w:rsidRPr="00E52A37">
          <w:rPr>
            <w:rStyle w:val="Kpr"/>
            <w:b/>
            <w:bCs/>
            <w:noProof/>
          </w:rPr>
          <w:t>Figure 11:</w:t>
        </w:r>
        <w:r w:rsidRPr="00E52A37">
          <w:rPr>
            <w:rStyle w:val="Kpr"/>
            <w:noProof/>
          </w:rPr>
          <w:t xml:space="preserve"> Sakarya Province Education Level Percentage</w:t>
        </w:r>
        <w:r>
          <w:rPr>
            <w:noProof/>
            <w:webHidden/>
          </w:rPr>
          <w:tab/>
        </w:r>
        <w:r>
          <w:rPr>
            <w:noProof/>
            <w:webHidden/>
          </w:rPr>
          <w:fldChar w:fldCharType="begin"/>
        </w:r>
        <w:r>
          <w:rPr>
            <w:noProof/>
            <w:webHidden/>
          </w:rPr>
          <w:instrText xml:space="preserve"> PAGEREF _Toc221191319 \h </w:instrText>
        </w:r>
        <w:r>
          <w:rPr>
            <w:noProof/>
            <w:webHidden/>
          </w:rPr>
        </w:r>
        <w:r>
          <w:rPr>
            <w:noProof/>
            <w:webHidden/>
          </w:rPr>
          <w:fldChar w:fldCharType="separate"/>
        </w:r>
        <w:r>
          <w:rPr>
            <w:noProof/>
            <w:webHidden/>
          </w:rPr>
          <w:t>52</w:t>
        </w:r>
        <w:r>
          <w:rPr>
            <w:noProof/>
            <w:webHidden/>
          </w:rPr>
          <w:fldChar w:fldCharType="end"/>
        </w:r>
      </w:hyperlink>
    </w:p>
    <w:p w14:paraId="2F9AADED" w14:textId="2C16304D"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20" w:history="1">
        <w:r w:rsidRPr="00E52A37">
          <w:rPr>
            <w:rStyle w:val="Kpr"/>
            <w:b/>
            <w:bCs/>
            <w:noProof/>
          </w:rPr>
          <w:t>Figure 12:</w:t>
        </w:r>
        <w:r w:rsidRPr="00E52A37">
          <w:rPr>
            <w:rStyle w:val="Kpr"/>
            <w:noProof/>
          </w:rPr>
          <w:t xml:space="preserve"> 2025 SEGE Studies</w:t>
        </w:r>
        <w:r>
          <w:rPr>
            <w:noProof/>
            <w:webHidden/>
          </w:rPr>
          <w:tab/>
        </w:r>
        <w:r>
          <w:rPr>
            <w:noProof/>
            <w:webHidden/>
          </w:rPr>
          <w:fldChar w:fldCharType="begin"/>
        </w:r>
        <w:r>
          <w:rPr>
            <w:noProof/>
            <w:webHidden/>
          </w:rPr>
          <w:instrText xml:space="preserve"> PAGEREF _Toc221191320 \h </w:instrText>
        </w:r>
        <w:r>
          <w:rPr>
            <w:noProof/>
            <w:webHidden/>
          </w:rPr>
        </w:r>
        <w:r>
          <w:rPr>
            <w:noProof/>
            <w:webHidden/>
          </w:rPr>
          <w:fldChar w:fldCharType="separate"/>
        </w:r>
        <w:r>
          <w:rPr>
            <w:noProof/>
            <w:webHidden/>
          </w:rPr>
          <w:t>53</w:t>
        </w:r>
        <w:r>
          <w:rPr>
            <w:noProof/>
            <w:webHidden/>
          </w:rPr>
          <w:fldChar w:fldCharType="end"/>
        </w:r>
      </w:hyperlink>
    </w:p>
    <w:p w14:paraId="5C0F1C43" w14:textId="6D695135"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21" w:history="1">
        <w:r w:rsidRPr="00E52A37">
          <w:rPr>
            <w:rStyle w:val="Kpr"/>
            <w:b/>
            <w:bCs/>
            <w:noProof/>
          </w:rPr>
          <w:t>Figure 13:</w:t>
        </w:r>
        <w:r w:rsidRPr="00E52A37">
          <w:rPr>
            <w:rStyle w:val="Kpr"/>
            <w:noProof/>
          </w:rPr>
          <w:t xml:space="preserve"> 2025 SEGE Study of Sakarya Province</w:t>
        </w:r>
        <w:r>
          <w:rPr>
            <w:noProof/>
            <w:webHidden/>
          </w:rPr>
          <w:tab/>
        </w:r>
        <w:r>
          <w:rPr>
            <w:noProof/>
            <w:webHidden/>
          </w:rPr>
          <w:fldChar w:fldCharType="begin"/>
        </w:r>
        <w:r>
          <w:rPr>
            <w:noProof/>
            <w:webHidden/>
          </w:rPr>
          <w:instrText xml:space="preserve"> PAGEREF _Toc221191321 \h </w:instrText>
        </w:r>
        <w:r>
          <w:rPr>
            <w:noProof/>
            <w:webHidden/>
          </w:rPr>
        </w:r>
        <w:r>
          <w:rPr>
            <w:noProof/>
            <w:webHidden/>
          </w:rPr>
          <w:fldChar w:fldCharType="separate"/>
        </w:r>
        <w:r>
          <w:rPr>
            <w:noProof/>
            <w:webHidden/>
          </w:rPr>
          <w:t>53</w:t>
        </w:r>
        <w:r>
          <w:rPr>
            <w:noProof/>
            <w:webHidden/>
          </w:rPr>
          <w:fldChar w:fldCharType="end"/>
        </w:r>
      </w:hyperlink>
    </w:p>
    <w:p w14:paraId="4ABC14E6" w14:textId="005D2546"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22" w:history="1">
        <w:r w:rsidRPr="00E52A37">
          <w:rPr>
            <w:rStyle w:val="Kpr"/>
            <w:b/>
            <w:bCs/>
            <w:noProof/>
          </w:rPr>
          <w:t>Figure 14:</w:t>
        </w:r>
        <w:r w:rsidRPr="00E52A37">
          <w:rPr>
            <w:rStyle w:val="Kpr"/>
            <w:noProof/>
          </w:rPr>
          <w:t xml:space="preserve"> </w:t>
        </w:r>
        <w:r w:rsidRPr="00E52A37">
          <w:rPr>
            <w:rStyle w:val="Kpr"/>
            <w:i/>
            <w:noProof/>
          </w:rPr>
          <w:t>Sakarya Province Address Based Population Registration System Syrian Population by Districts</w:t>
        </w:r>
        <w:r>
          <w:rPr>
            <w:noProof/>
            <w:webHidden/>
          </w:rPr>
          <w:tab/>
        </w:r>
        <w:r>
          <w:rPr>
            <w:noProof/>
            <w:webHidden/>
          </w:rPr>
          <w:fldChar w:fldCharType="begin"/>
        </w:r>
        <w:r>
          <w:rPr>
            <w:noProof/>
            <w:webHidden/>
          </w:rPr>
          <w:instrText xml:space="preserve"> PAGEREF _Toc221191322 \h </w:instrText>
        </w:r>
        <w:r>
          <w:rPr>
            <w:noProof/>
            <w:webHidden/>
          </w:rPr>
        </w:r>
        <w:r>
          <w:rPr>
            <w:noProof/>
            <w:webHidden/>
          </w:rPr>
          <w:fldChar w:fldCharType="separate"/>
        </w:r>
        <w:r>
          <w:rPr>
            <w:noProof/>
            <w:webHidden/>
          </w:rPr>
          <w:t>57</w:t>
        </w:r>
        <w:r>
          <w:rPr>
            <w:noProof/>
            <w:webHidden/>
          </w:rPr>
          <w:fldChar w:fldCharType="end"/>
        </w:r>
      </w:hyperlink>
    </w:p>
    <w:p w14:paraId="2C7A9E3D" w14:textId="54826416"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23" w:history="1">
        <w:r w:rsidRPr="00E52A37">
          <w:rPr>
            <w:rStyle w:val="Kpr"/>
            <w:b/>
            <w:bCs/>
            <w:noProof/>
          </w:rPr>
          <w:t>Figure 15:</w:t>
        </w:r>
        <w:r w:rsidRPr="00E52A37">
          <w:rPr>
            <w:rStyle w:val="Kpr"/>
            <w:noProof/>
          </w:rPr>
          <w:t xml:space="preserve">  Sakarya Province Address Based Population Registration System Foreign National Population by Districts</w:t>
        </w:r>
        <w:r>
          <w:rPr>
            <w:noProof/>
            <w:webHidden/>
          </w:rPr>
          <w:tab/>
        </w:r>
        <w:r>
          <w:rPr>
            <w:noProof/>
            <w:webHidden/>
          </w:rPr>
          <w:fldChar w:fldCharType="begin"/>
        </w:r>
        <w:r>
          <w:rPr>
            <w:noProof/>
            <w:webHidden/>
          </w:rPr>
          <w:instrText xml:space="preserve"> PAGEREF _Toc221191323 \h </w:instrText>
        </w:r>
        <w:r>
          <w:rPr>
            <w:noProof/>
            <w:webHidden/>
          </w:rPr>
        </w:r>
        <w:r>
          <w:rPr>
            <w:noProof/>
            <w:webHidden/>
          </w:rPr>
          <w:fldChar w:fldCharType="separate"/>
        </w:r>
        <w:r>
          <w:rPr>
            <w:noProof/>
            <w:webHidden/>
          </w:rPr>
          <w:t>58</w:t>
        </w:r>
        <w:r>
          <w:rPr>
            <w:noProof/>
            <w:webHidden/>
          </w:rPr>
          <w:fldChar w:fldCharType="end"/>
        </w:r>
      </w:hyperlink>
    </w:p>
    <w:p w14:paraId="7715461A" w14:textId="05EC6922"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24" w:history="1">
        <w:r w:rsidRPr="00E52A37">
          <w:rPr>
            <w:rStyle w:val="Kpr"/>
            <w:b/>
            <w:bCs/>
            <w:noProof/>
          </w:rPr>
          <w:t>Figure 16:</w:t>
        </w:r>
        <w:r w:rsidRPr="00E52A37">
          <w:rPr>
            <w:rStyle w:val="Kpr"/>
            <w:noProof/>
          </w:rPr>
          <w:t xml:space="preserve"> </w:t>
        </w:r>
        <w:r w:rsidRPr="00E52A37">
          <w:rPr>
            <w:rStyle w:val="Kpr"/>
            <w:noProof/>
            <w:shd w:val="clear" w:color="auto" w:fill="FFFFFF" w:themeFill="background1"/>
          </w:rPr>
          <w:t>Sakarya Protected Areas and Registered Areas</w:t>
        </w:r>
        <w:r>
          <w:rPr>
            <w:noProof/>
            <w:webHidden/>
          </w:rPr>
          <w:tab/>
        </w:r>
        <w:r>
          <w:rPr>
            <w:noProof/>
            <w:webHidden/>
          </w:rPr>
          <w:fldChar w:fldCharType="begin"/>
        </w:r>
        <w:r>
          <w:rPr>
            <w:noProof/>
            <w:webHidden/>
          </w:rPr>
          <w:instrText xml:space="preserve"> PAGEREF _Toc221191324 \h </w:instrText>
        </w:r>
        <w:r>
          <w:rPr>
            <w:noProof/>
            <w:webHidden/>
          </w:rPr>
        </w:r>
        <w:r>
          <w:rPr>
            <w:noProof/>
            <w:webHidden/>
          </w:rPr>
          <w:fldChar w:fldCharType="separate"/>
        </w:r>
        <w:r>
          <w:rPr>
            <w:noProof/>
            <w:webHidden/>
          </w:rPr>
          <w:t>64</w:t>
        </w:r>
        <w:r>
          <w:rPr>
            <w:noProof/>
            <w:webHidden/>
          </w:rPr>
          <w:fldChar w:fldCharType="end"/>
        </w:r>
      </w:hyperlink>
    </w:p>
    <w:p w14:paraId="062F3947" w14:textId="0234A1B7"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25" w:history="1">
        <w:r w:rsidRPr="00E52A37">
          <w:rPr>
            <w:rStyle w:val="Kpr"/>
            <w:b/>
            <w:bCs/>
            <w:i/>
            <w:iCs/>
            <w:noProof/>
          </w:rPr>
          <w:t>Figure 17:</w:t>
        </w:r>
        <w:r w:rsidRPr="00E52A37">
          <w:rPr>
            <w:rStyle w:val="Kpr"/>
            <w:noProof/>
          </w:rPr>
          <w:t xml:space="preserve"> </w:t>
        </w:r>
        <w:r w:rsidRPr="00E52A37">
          <w:rPr>
            <w:rStyle w:val="Kpr"/>
            <w:i/>
            <w:iCs/>
            <w:noProof/>
          </w:rPr>
          <w:t>Türkiye and Sakarya Employment Rates by Years in the Province</w:t>
        </w:r>
        <w:r>
          <w:rPr>
            <w:noProof/>
            <w:webHidden/>
          </w:rPr>
          <w:tab/>
        </w:r>
        <w:r>
          <w:rPr>
            <w:noProof/>
            <w:webHidden/>
          </w:rPr>
          <w:fldChar w:fldCharType="begin"/>
        </w:r>
        <w:r>
          <w:rPr>
            <w:noProof/>
            <w:webHidden/>
          </w:rPr>
          <w:instrText xml:space="preserve"> PAGEREF _Toc221191325 \h </w:instrText>
        </w:r>
        <w:r>
          <w:rPr>
            <w:noProof/>
            <w:webHidden/>
          </w:rPr>
        </w:r>
        <w:r>
          <w:rPr>
            <w:noProof/>
            <w:webHidden/>
          </w:rPr>
          <w:fldChar w:fldCharType="separate"/>
        </w:r>
        <w:r>
          <w:rPr>
            <w:noProof/>
            <w:webHidden/>
          </w:rPr>
          <w:t>69</w:t>
        </w:r>
        <w:r>
          <w:rPr>
            <w:noProof/>
            <w:webHidden/>
          </w:rPr>
          <w:fldChar w:fldCharType="end"/>
        </w:r>
      </w:hyperlink>
    </w:p>
    <w:p w14:paraId="5CB50693" w14:textId="71B11754"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26" w:history="1">
        <w:r w:rsidRPr="00E52A37">
          <w:rPr>
            <w:rStyle w:val="Kpr"/>
            <w:b/>
            <w:bCs/>
            <w:i/>
            <w:iCs/>
            <w:noProof/>
          </w:rPr>
          <w:t>Figure 18:</w:t>
        </w:r>
        <w:r w:rsidRPr="00E52A37">
          <w:rPr>
            <w:rStyle w:val="Kpr"/>
            <w:noProof/>
          </w:rPr>
          <w:t xml:space="preserve"> </w:t>
        </w:r>
        <w:r w:rsidRPr="00E52A37">
          <w:rPr>
            <w:rStyle w:val="Kpr"/>
            <w:i/>
            <w:iCs/>
            <w:noProof/>
          </w:rPr>
          <w:t>Türkiye and Sakarya Employment Rates by Years in the Province</w:t>
        </w:r>
        <w:r>
          <w:rPr>
            <w:noProof/>
            <w:webHidden/>
          </w:rPr>
          <w:tab/>
        </w:r>
        <w:r>
          <w:rPr>
            <w:noProof/>
            <w:webHidden/>
          </w:rPr>
          <w:fldChar w:fldCharType="begin"/>
        </w:r>
        <w:r>
          <w:rPr>
            <w:noProof/>
            <w:webHidden/>
          </w:rPr>
          <w:instrText xml:space="preserve"> PAGEREF _Toc221191326 \h </w:instrText>
        </w:r>
        <w:r>
          <w:rPr>
            <w:noProof/>
            <w:webHidden/>
          </w:rPr>
        </w:r>
        <w:r>
          <w:rPr>
            <w:noProof/>
            <w:webHidden/>
          </w:rPr>
          <w:fldChar w:fldCharType="separate"/>
        </w:r>
        <w:r>
          <w:rPr>
            <w:noProof/>
            <w:webHidden/>
          </w:rPr>
          <w:t>69</w:t>
        </w:r>
        <w:r>
          <w:rPr>
            <w:noProof/>
            <w:webHidden/>
          </w:rPr>
          <w:fldChar w:fldCharType="end"/>
        </w:r>
      </w:hyperlink>
    </w:p>
    <w:p w14:paraId="27CA0E92" w14:textId="019D873C" w:rsidR="005A2912" w:rsidRDefault="005A2912">
      <w:pPr>
        <w:pStyle w:val="ekillerTablosu"/>
        <w:tabs>
          <w:tab w:val="right" w:leader="dot" w:pos="9060"/>
        </w:tabs>
        <w:rPr>
          <w:rFonts w:asciiTheme="minorHAnsi" w:eastAsiaTheme="minorEastAsia" w:hAnsiTheme="minorHAnsi" w:cstheme="minorBidi"/>
          <w:noProof/>
          <w:lang w:val="tr-TR"/>
        </w:rPr>
      </w:pPr>
      <w:hyperlink w:anchor="_Toc221191327" w:history="1">
        <w:r w:rsidRPr="00E52A37">
          <w:rPr>
            <w:rStyle w:val="Kpr"/>
            <w:b/>
            <w:bCs/>
            <w:noProof/>
          </w:rPr>
          <w:t>Figure 19:</w:t>
        </w:r>
        <w:r w:rsidRPr="00E52A37">
          <w:rPr>
            <w:rStyle w:val="Kpr"/>
            <w:noProof/>
          </w:rPr>
          <w:t xml:space="preserve"> </w:t>
        </w:r>
        <w:r w:rsidRPr="00E52A37">
          <w:rPr>
            <w:rStyle w:val="Kpr"/>
            <w:bCs/>
            <w:noProof/>
          </w:rPr>
          <w:t>Sub-Project Approval Flowchart</w:t>
        </w:r>
        <w:r>
          <w:rPr>
            <w:noProof/>
            <w:webHidden/>
          </w:rPr>
          <w:tab/>
        </w:r>
        <w:r>
          <w:rPr>
            <w:noProof/>
            <w:webHidden/>
          </w:rPr>
          <w:fldChar w:fldCharType="begin"/>
        </w:r>
        <w:r>
          <w:rPr>
            <w:noProof/>
            <w:webHidden/>
          </w:rPr>
          <w:instrText xml:space="preserve"> PAGEREF _Toc221191327 \h </w:instrText>
        </w:r>
        <w:r>
          <w:rPr>
            <w:noProof/>
            <w:webHidden/>
          </w:rPr>
        </w:r>
        <w:r>
          <w:rPr>
            <w:noProof/>
            <w:webHidden/>
          </w:rPr>
          <w:fldChar w:fldCharType="separate"/>
        </w:r>
        <w:r>
          <w:rPr>
            <w:noProof/>
            <w:webHidden/>
          </w:rPr>
          <w:t>136</w:t>
        </w:r>
        <w:r>
          <w:rPr>
            <w:noProof/>
            <w:webHidden/>
          </w:rPr>
          <w:fldChar w:fldCharType="end"/>
        </w:r>
      </w:hyperlink>
    </w:p>
    <w:p w14:paraId="28A9E3BB" w14:textId="21BC6053" w:rsidR="00FB592F" w:rsidRPr="00175D8B" w:rsidRDefault="00FA2260" w:rsidP="00C65B01">
      <w:pPr>
        <w:spacing w:before="120" w:after="0" w:line="278" w:lineRule="auto"/>
        <w:rPr>
          <w:rFonts w:eastAsia="Aptos" w:cs="Aptos"/>
          <w:b/>
          <w:bCs/>
          <w:color w:val="000000" w:themeColor="text1"/>
          <w:sz w:val="28"/>
          <w:szCs w:val="28"/>
        </w:rPr>
      </w:pPr>
      <w:r w:rsidRPr="00175D8B">
        <w:rPr>
          <w:rFonts w:eastAsia="Aptos" w:cs="Aptos"/>
          <w:b/>
          <w:bCs/>
          <w:i/>
          <w:iCs/>
          <w:color w:val="000000" w:themeColor="text1"/>
          <w:szCs w:val="22"/>
        </w:rPr>
        <w:fldChar w:fldCharType="end"/>
      </w:r>
    </w:p>
    <w:p w14:paraId="76DBEB54" w14:textId="22FAE00D" w:rsidR="00C65B01" w:rsidRPr="00175D8B" w:rsidRDefault="003C2B44" w:rsidP="003C2B44">
      <w:pPr>
        <w:spacing w:after="160" w:line="278" w:lineRule="auto"/>
        <w:jc w:val="left"/>
        <w:rPr>
          <w:rFonts w:eastAsia="Aptos" w:cs="Aptos"/>
          <w:b/>
          <w:bCs/>
          <w:color w:val="000000" w:themeColor="text1"/>
          <w:sz w:val="28"/>
          <w:szCs w:val="32"/>
        </w:rPr>
      </w:pPr>
      <w:r w:rsidRPr="00175D8B">
        <w:rPr>
          <w:rFonts w:eastAsia="Aptos" w:cs="Aptos"/>
          <w:b/>
          <w:bCs/>
          <w:color w:val="000000" w:themeColor="text1"/>
          <w:sz w:val="28"/>
          <w:szCs w:val="32"/>
        </w:rPr>
        <w:br w:type="page"/>
      </w:r>
    </w:p>
    <w:p w14:paraId="3D23E920" w14:textId="5668BD23" w:rsidR="00FB592F" w:rsidRPr="00175D8B" w:rsidRDefault="0090127F" w:rsidP="00C65B01">
      <w:pPr>
        <w:spacing w:before="120" w:after="0" w:line="278" w:lineRule="auto"/>
        <w:rPr>
          <w:rFonts w:eastAsia="Aptos" w:cs="Aptos"/>
          <w:b/>
          <w:bCs/>
          <w:color w:val="000000" w:themeColor="text1"/>
          <w:sz w:val="28"/>
          <w:szCs w:val="28"/>
        </w:rPr>
      </w:pPr>
      <w:r w:rsidRPr="00175D8B">
        <w:rPr>
          <w:rFonts w:eastAsia="Aptos" w:cs="Aptos"/>
          <w:b/>
          <w:bCs/>
          <w:color w:val="000000" w:themeColor="text1"/>
          <w:sz w:val="28"/>
          <w:szCs w:val="28"/>
        </w:rPr>
        <w:lastRenderedPageBreak/>
        <w:t>List of Tables</w:t>
      </w:r>
    </w:p>
    <w:p w14:paraId="0B2CDA6F" w14:textId="77777777" w:rsidR="00FA2260" w:rsidRPr="00175D8B" w:rsidRDefault="00FA2260" w:rsidP="00C65B01">
      <w:pPr>
        <w:spacing w:before="120" w:after="0" w:line="278" w:lineRule="auto"/>
        <w:rPr>
          <w:rFonts w:eastAsia="Aptos" w:cs="Aptos"/>
          <w:b/>
          <w:bCs/>
          <w:color w:val="000000" w:themeColor="text1"/>
          <w:sz w:val="28"/>
          <w:szCs w:val="28"/>
        </w:rPr>
      </w:pPr>
    </w:p>
    <w:p w14:paraId="376C3E95" w14:textId="1DFF8DC4" w:rsidR="00E02444" w:rsidRDefault="00FA2260">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r w:rsidRPr="00175D8B">
        <w:rPr>
          <w:b/>
          <w:bCs/>
          <w:color w:val="000000" w:themeColor="text1"/>
          <w:sz w:val="28"/>
          <w:szCs w:val="28"/>
        </w:rPr>
        <w:fldChar w:fldCharType="begin"/>
      </w:r>
      <w:r w:rsidRPr="00175D8B">
        <w:rPr>
          <w:b/>
          <w:bCs/>
          <w:color w:val="000000" w:themeColor="text1"/>
          <w:sz w:val="28"/>
          <w:szCs w:val="28"/>
        </w:rPr>
        <w:instrText xml:space="preserve"> TOC \h \z \c "Table" </w:instrText>
      </w:r>
      <w:r w:rsidRPr="00175D8B">
        <w:rPr>
          <w:b/>
          <w:bCs/>
          <w:color w:val="000000" w:themeColor="text1"/>
          <w:sz w:val="28"/>
          <w:szCs w:val="28"/>
        </w:rPr>
        <w:fldChar w:fldCharType="separate"/>
      </w:r>
      <w:hyperlink w:anchor="_Toc216344418" w:history="1">
        <w:r w:rsidR="00E02444" w:rsidRPr="009E0922">
          <w:rPr>
            <w:rStyle w:val="Kpr"/>
            <w:b/>
            <w:bCs/>
            <w:noProof/>
          </w:rPr>
          <w:t xml:space="preserve">Table 1: </w:t>
        </w:r>
        <w:r w:rsidR="00E02444" w:rsidRPr="009E0922">
          <w:rPr>
            <w:rStyle w:val="Kpr"/>
            <w:noProof/>
          </w:rPr>
          <w:t>Sakarya Province Risky Building Status by Districts</w:t>
        </w:r>
        <w:r w:rsidR="00E02444">
          <w:rPr>
            <w:noProof/>
            <w:webHidden/>
          </w:rPr>
          <w:tab/>
        </w:r>
        <w:r w:rsidR="00E02444">
          <w:rPr>
            <w:noProof/>
            <w:webHidden/>
          </w:rPr>
          <w:fldChar w:fldCharType="begin"/>
        </w:r>
        <w:r w:rsidR="00E02444">
          <w:rPr>
            <w:noProof/>
            <w:webHidden/>
          </w:rPr>
          <w:instrText xml:space="preserve"> PAGEREF _Toc216344418 \h </w:instrText>
        </w:r>
        <w:r w:rsidR="00E02444">
          <w:rPr>
            <w:noProof/>
            <w:webHidden/>
          </w:rPr>
        </w:r>
        <w:r w:rsidR="00E02444">
          <w:rPr>
            <w:noProof/>
            <w:webHidden/>
          </w:rPr>
          <w:fldChar w:fldCharType="separate"/>
        </w:r>
        <w:r w:rsidR="005A2912">
          <w:rPr>
            <w:noProof/>
            <w:webHidden/>
          </w:rPr>
          <w:t>16</w:t>
        </w:r>
        <w:r w:rsidR="00E02444">
          <w:rPr>
            <w:noProof/>
            <w:webHidden/>
          </w:rPr>
          <w:fldChar w:fldCharType="end"/>
        </w:r>
      </w:hyperlink>
    </w:p>
    <w:p w14:paraId="4EA99C97" w14:textId="43166C18"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19" w:history="1">
        <w:r w:rsidR="00E02444" w:rsidRPr="009E0922">
          <w:rPr>
            <w:rStyle w:val="Kpr"/>
            <w:b/>
            <w:bCs/>
            <w:noProof/>
          </w:rPr>
          <w:t>Table 2:</w:t>
        </w:r>
        <w:r w:rsidR="00E02444" w:rsidRPr="009E0922">
          <w:rPr>
            <w:rStyle w:val="Kpr"/>
            <w:noProof/>
          </w:rPr>
          <w:t xml:space="preserve"> Characteristics of Rivers in Sakarya Province</w:t>
        </w:r>
        <w:r w:rsidR="00E02444">
          <w:rPr>
            <w:noProof/>
            <w:webHidden/>
          </w:rPr>
          <w:tab/>
        </w:r>
        <w:r w:rsidR="00E02444">
          <w:rPr>
            <w:noProof/>
            <w:webHidden/>
          </w:rPr>
          <w:fldChar w:fldCharType="begin"/>
        </w:r>
        <w:r w:rsidR="00E02444">
          <w:rPr>
            <w:noProof/>
            <w:webHidden/>
          </w:rPr>
          <w:instrText xml:space="preserve"> PAGEREF _Toc216344419 \h </w:instrText>
        </w:r>
        <w:r w:rsidR="00E02444">
          <w:rPr>
            <w:noProof/>
            <w:webHidden/>
          </w:rPr>
        </w:r>
        <w:r w:rsidR="00E02444">
          <w:rPr>
            <w:noProof/>
            <w:webHidden/>
          </w:rPr>
          <w:fldChar w:fldCharType="separate"/>
        </w:r>
        <w:r w:rsidR="005A2912">
          <w:rPr>
            <w:noProof/>
            <w:webHidden/>
          </w:rPr>
          <w:t>19</w:t>
        </w:r>
        <w:r w:rsidR="00E02444">
          <w:rPr>
            <w:noProof/>
            <w:webHidden/>
          </w:rPr>
          <w:fldChar w:fldCharType="end"/>
        </w:r>
      </w:hyperlink>
    </w:p>
    <w:p w14:paraId="5BE92B1D" w14:textId="39DC7515"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20" w:history="1">
        <w:r w:rsidR="00E02444" w:rsidRPr="009E0922">
          <w:rPr>
            <w:rStyle w:val="Kpr"/>
            <w:b/>
            <w:bCs/>
            <w:noProof/>
          </w:rPr>
          <w:t>Table 3:</w:t>
        </w:r>
        <w:r w:rsidR="00E02444" w:rsidRPr="009E0922">
          <w:rPr>
            <w:rStyle w:val="Kpr"/>
            <w:noProof/>
          </w:rPr>
          <w:t xml:space="preserve"> Existing Lakes, Ponds and Reservoirs</w:t>
        </w:r>
        <w:r w:rsidR="00E02444">
          <w:rPr>
            <w:noProof/>
            <w:webHidden/>
          </w:rPr>
          <w:tab/>
        </w:r>
        <w:r w:rsidR="00E02444">
          <w:rPr>
            <w:noProof/>
            <w:webHidden/>
          </w:rPr>
          <w:fldChar w:fldCharType="begin"/>
        </w:r>
        <w:r w:rsidR="00E02444">
          <w:rPr>
            <w:noProof/>
            <w:webHidden/>
          </w:rPr>
          <w:instrText xml:space="preserve"> PAGEREF _Toc216344420 \h </w:instrText>
        </w:r>
        <w:r w:rsidR="00E02444">
          <w:rPr>
            <w:noProof/>
            <w:webHidden/>
          </w:rPr>
        </w:r>
        <w:r w:rsidR="00E02444">
          <w:rPr>
            <w:noProof/>
            <w:webHidden/>
          </w:rPr>
          <w:fldChar w:fldCharType="separate"/>
        </w:r>
        <w:r w:rsidR="005A2912">
          <w:rPr>
            <w:noProof/>
            <w:webHidden/>
          </w:rPr>
          <w:t>22</w:t>
        </w:r>
        <w:r w:rsidR="00E02444">
          <w:rPr>
            <w:noProof/>
            <w:webHidden/>
          </w:rPr>
          <w:fldChar w:fldCharType="end"/>
        </w:r>
      </w:hyperlink>
    </w:p>
    <w:p w14:paraId="1B27E4B5" w14:textId="3922B8A7"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21" w:history="1">
        <w:r w:rsidR="00E02444" w:rsidRPr="009E0922">
          <w:rPr>
            <w:rStyle w:val="Kpr"/>
            <w:b/>
            <w:bCs/>
            <w:noProof/>
          </w:rPr>
          <w:t>Table 4:</w:t>
        </w:r>
        <w:r w:rsidR="00E02444" w:rsidRPr="009E0922">
          <w:rPr>
            <w:rStyle w:val="Kpr"/>
            <w:noProof/>
          </w:rPr>
          <w:t xml:space="preserve"> Sakarya Province Groundwater Potential</w:t>
        </w:r>
        <w:r w:rsidR="00E02444">
          <w:rPr>
            <w:noProof/>
            <w:webHidden/>
          </w:rPr>
          <w:tab/>
        </w:r>
        <w:r w:rsidR="00E02444">
          <w:rPr>
            <w:noProof/>
            <w:webHidden/>
          </w:rPr>
          <w:fldChar w:fldCharType="begin"/>
        </w:r>
        <w:r w:rsidR="00E02444">
          <w:rPr>
            <w:noProof/>
            <w:webHidden/>
          </w:rPr>
          <w:instrText xml:space="preserve"> PAGEREF _Toc216344421 \h </w:instrText>
        </w:r>
        <w:r w:rsidR="00E02444">
          <w:rPr>
            <w:noProof/>
            <w:webHidden/>
          </w:rPr>
        </w:r>
        <w:r w:rsidR="00E02444">
          <w:rPr>
            <w:noProof/>
            <w:webHidden/>
          </w:rPr>
          <w:fldChar w:fldCharType="separate"/>
        </w:r>
        <w:r w:rsidR="005A2912">
          <w:rPr>
            <w:noProof/>
            <w:webHidden/>
          </w:rPr>
          <w:t>23</w:t>
        </w:r>
        <w:r w:rsidR="00E02444">
          <w:rPr>
            <w:noProof/>
            <w:webHidden/>
          </w:rPr>
          <w:fldChar w:fldCharType="end"/>
        </w:r>
      </w:hyperlink>
    </w:p>
    <w:p w14:paraId="647DC02E" w14:textId="43669BB3"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22" w:history="1">
        <w:r w:rsidR="00E02444" w:rsidRPr="009E0922">
          <w:rPr>
            <w:rStyle w:val="Kpr"/>
            <w:b/>
            <w:bCs/>
            <w:noProof/>
          </w:rPr>
          <w:t>Table 5:</w:t>
        </w:r>
        <w:r w:rsidR="00E02444" w:rsidRPr="009E0922">
          <w:rPr>
            <w:rStyle w:val="Kpr"/>
            <w:noProof/>
          </w:rPr>
          <w:t xml:space="preserve"> Status of Urban Wastewater Treatment Plants in Sakarya Province</w:t>
        </w:r>
        <w:r w:rsidR="00E02444">
          <w:rPr>
            <w:noProof/>
            <w:webHidden/>
          </w:rPr>
          <w:tab/>
        </w:r>
        <w:r w:rsidR="00E02444">
          <w:rPr>
            <w:noProof/>
            <w:webHidden/>
          </w:rPr>
          <w:fldChar w:fldCharType="begin"/>
        </w:r>
        <w:r w:rsidR="00E02444">
          <w:rPr>
            <w:noProof/>
            <w:webHidden/>
          </w:rPr>
          <w:instrText xml:space="preserve"> PAGEREF _Toc216344422 \h </w:instrText>
        </w:r>
        <w:r w:rsidR="00E02444">
          <w:rPr>
            <w:noProof/>
            <w:webHidden/>
          </w:rPr>
        </w:r>
        <w:r w:rsidR="00E02444">
          <w:rPr>
            <w:noProof/>
            <w:webHidden/>
          </w:rPr>
          <w:fldChar w:fldCharType="separate"/>
        </w:r>
        <w:r w:rsidR="005A2912">
          <w:rPr>
            <w:noProof/>
            <w:webHidden/>
          </w:rPr>
          <w:t>24</w:t>
        </w:r>
        <w:r w:rsidR="00E02444">
          <w:rPr>
            <w:noProof/>
            <w:webHidden/>
          </w:rPr>
          <w:fldChar w:fldCharType="end"/>
        </w:r>
      </w:hyperlink>
    </w:p>
    <w:p w14:paraId="4742890A" w14:textId="6B7D80F6"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23" w:history="1">
        <w:r w:rsidR="00E02444" w:rsidRPr="009E0922">
          <w:rPr>
            <w:rStyle w:val="Kpr"/>
            <w:b/>
            <w:bCs/>
            <w:i/>
            <w:iCs/>
            <w:noProof/>
          </w:rPr>
          <w:t>Table 6:</w:t>
        </w:r>
        <w:r w:rsidR="00E02444" w:rsidRPr="009E0922">
          <w:rPr>
            <w:rStyle w:val="Kpr"/>
            <w:noProof/>
          </w:rPr>
          <w:t xml:space="preserve"> </w:t>
        </w:r>
        <w:r w:rsidR="00E02444" w:rsidRPr="009E0922">
          <w:rPr>
            <w:rStyle w:val="Kpr"/>
            <w:bCs/>
            <w:i/>
            <w:iCs/>
            <w:noProof/>
          </w:rPr>
          <w:t>The Status of Surface Water and Groundwater</w:t>
        </w:r>
        <w:r w:rsidR="00E02444">
          <w:rPr>
            <w:noProof/>
            <w:webHidden/>
          </w:rPr>
          <w:tab/>
        </w:r>
        <w:r w:rsidR="00E02444">
          <w:rPr>
            <w:noProof/>
            <w:webHidden/>
          </w:rPr>
          <w:fldChar w:fldCharType="begin"/>
        </w:r>
        <w:r w:rsidR="00E02444">
          <w:rPr>
            <w:noProof/>
            <w:webHidden/>
          </w:rPr>
          <w:instrText xml:space="preserve"> PAGEREF _Toc216344423 \h </w:instrText>
        </w:r>
        <w:r w:rsidR="00E02444">
          <w:rPr>
            <w:noProof/>
            <w:webHidden/>
          </w:rPr>
        </w:r>
        <w:r w:rsidR="00E02444">
          <w:rPr>
            <w:noProof/>
            <w:webHidden/>
          </w:rPr>
          <w:fldChar w:fldCharType="separate"/>
        </w:r>
        <w:r w:rsidR="005A2912">
          <w:rPr>
            <w:noProof/>
            <w:webHidden/>
          </w:rPr>
          <w:t>26</w:t>
        </w:r>
        <w:r w:rsidR="00E02444">
          <w:rPr>
            <w:noProof/>
            <w:webHidden/>
          </w:rPr>
          <w:fldChar w:fldCharType="end"/>
        </w:r>
      </w:hyperlink>
    </w:p>
    <w:p w14:paraId="5E9026CA" w14:textId="25462919"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24" w:history="1">
        <w:r w:rsidR="00E02444" w:rsidRPr="009E0922">
          <w:rPr>
            <w:rStyle w:val="Kpr"/>
            <w:b/>
            <w:bCs/>
            <w:noProof/>
          </w:rPr>
          <w:t>Table 7:</w:t>
        </w:r>
        <w:r w:rsidR="00E02444" w:rsidRPr="009E0922">
          <w:rPr>
            <w:rStyle w:val="Kpr"/>
            <w:noProof/>
          </w:rPr>
          <w:t xml:space="preserve"> Trophic Level Interpretation Table of Sakarya Water Resources</w:t>
        </w:r>
        <w:r w:rsidR="00E02444">
          <w:rPr>
            <w:noProof/>
            <w:webHidden/>
          </w:rPr>
          <w:tab/>
        </w:r>
        <w:r w:rsidR="00E02444">
          <w:rPr>
            <w:noProof/>
            <w:webHidden/>
          </w:rPr>
          <w:fldChar w:fldCharType="begin"/>
        </w:r>
        <w:r w:rsidR="00E02444">
          <w:rPr>
            <w:noProof/>
            <w:webHidden/>
          </w:rPr>
          <w:instrText xml:space="preserve"> PAGEREF _Toc216344424 \h </w:instrText>
        </w:r>
        <w:r w:rsidR="00E02444">
          <w:rPr>
            <w:noProof/>
            <w:webHidden/>
          </w:rPr>
        </w:r>
        <w:r w:rsidR="00E02444">
          <w:rPr>
            <w:noProof/>
            <w:webHidden/>
          </w:rPr>
          <w:fldChar w:fldCharType="separate"/>
        </w:r>
        <w:r w:rsidR="005A2912">
          <w:rPr>
            <w:noProof/>
            <w:webHidden/>
          </w:rPr>
          <w:t>33</w:t>
        </w:r>
        <w:r w:rsidR="00E02444">
          <w:rPr>
            <w:noProof/>
            <w:webHidden/>
          </w:rPr>
          <w:fldChar w:fldCharType="end"/>
        </w:r>
      </w:hyperlink>
    </w:p>
    <w:p w14:paraId="5B2CEB46" w14:textId="66EB3C37"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25" w:history="1">
        <w:r w:rsidR="00E02444" w:rsidRPr="009E0922">
          <w:rPr>
            <w:rStyle w:val="Kpr"/>
            <w:b/>
            <w:bCs/>
            <w:noProof/>
          </w:rPr>
          <w:t xml:space="preserve">Table 8: </w:t>
        </w:r>
        <w:r w:rsidR="00E02444" w:rsidRPr="009E0922">
          <w:rPr>
            <w:rStyle w:val="Kpr"/>
            <w:noProof/>
          </w:rPr>
          <w:t>Endemic Species - Sakarya</w:t>
        </w:r>
        <w:r w:rsidR="00E02444">
          <w:rPr>
            <w:noProof/>
            <w:webHidden/>
          </w:rPr>
          <w:tab/>
        </w:r>
        <w:r w:rsidR="00E02444">
          <w:rPr>
            <w:noProof/>
            <w:webHidden/>
          </w:rPr>
          <w:fldChar w:fldCharType="begin"/>
        </w:r>
        <w:r w:rsidR="00E02444">
          <w:rPr>
            <w:noProof/>
            <w:webHidden/>
          </w:rPr>
          <w:instrText xml:space="preserve"> PAGEREF _Toc216344425 \h </w:instrText>
        </w:r>
        <w:r w:rsidR="00E02444">
          <w:rPr>
            <w:noProof/>
            <w:webHidden/>
          </w:rPr>
        </w:r>
        <w:r w:rsidR="00E02444">
          <w:rPr>
            <w:noProof/>
            <w:webHidden/>
          </w:rPr>
          <w:fldChar w:fldCharType="separate"/>
        </w:r>
        <w:r w:rsidR="005A2912">
          <w:rPr>
            <w:noProof/>
            <w:webHidden/>
          </w:rPr>
          <w:t>34</w:t>
        </w:r>
        <w:r w:rsidR="00E02444">
          <w:rPr>
            <w:noProof/>
            <w:webHidden/>
          </w:rPr>
          <w:fldChar w:fldCharType="end"/>
        </w:r>
      </w:hyperlink>
    </w:p>
    <w:p w14:paraId="654AB8BD" w14:textId="66052B09"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26" w:history="1">
        <w:r w:rsidR="00E02444" w:rsidRPr="009E0922">
          <w:rPr>
            <w:rStyle w:val="Kpr"/>
            <w:b/>
            <w:bCs/>
            <w:i/>
            <w:iCs/>
            <w:noProof/>
          </w:rPr>
          <w:t>Table 9:</w:t>
        </w:r>
        <w:r w:rsidR="00E02444" w:rsidRPr="009E0922">
          <w:rPr>
            <w:rStyle w:val="Kpr"/>
            <w:noProof/>
          </w:rPr>
          <w:t xml:space="preserve"> </w:t>
        </w:r>
        <w:r w:rsidR="00E02444" w:rsidRPr="009E0922">
          <w:rPr>
            <w:rStyle w:val="Kpr"/>
            <w:i/>
            <w:noProof/>
          </w:rPr>
          <w:t>Internationally Recognized Areas in Provinces and Related Trigger Types</w:t>
        </w:r>
        <w:r w:rsidR="00E02444">
          <w:rPr>
            <w:noProof/>
            <w:webHidden/>
          </w:rPr>
          <w:tab/>
        </w:r>
        <w:r w:rsidR="00E02444">
          <w:rPr>
            <w:noProof/>
            <w:webHidden/>
          </w:rPr>
          <w:fldChar w:fldCharType="begin"/>
        </w:r>
        <w:r w:rsidR="00E02444">
          <w:rPr>
            <w:noProof/>
            <w:webHidden/>
          </w:rPr>
          <w:instrText xml:space="preserve"> PAGEREF _Toc216344426 \h </w:instrText>
        </w:r>
        <w:r w:rsidR="00E02444">
          <w:rPr>
            <w:noProof/>
            <w:webHidden/>
          </w:rPr>
        </w:r>
        <w:r w:rsidR="00E02444">
          <w:rPr>
            <w:noProof/>
            <w:webHidden/>
          </w:rPr>
          <w:fldChar w:fldCharType="separate"/>
        </w:r>
        <w:r w:rsidR="005A2912">
          <w:rPr>
            <w:noProof/>
            <w:webHidden/>
          </w:rPr>
          <w:t>36</w:t>
        </w:r>
        <w:r w:rsidR="00E02444">
          <w:rPr>
            <w:noProof/>
            <w:webHidden/>
          </w:rPr>
          <w:fldChar w:fldCharType="end"/>
        </w:r>
      </w:hyperlink>
    </w:p>
    <w:p w14:paraId="7E9E2278" w14:textId="4D887CB2"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27" w:history="1">
        <w:r w:rsidR="00E02444" w:rsidRPr="009E0922">
          <w:rPr>
            <w:rStyle w:val="Kpr"/>
            <w:b/>
            <w:bCs/>
            <w:noProof/>
          </w:rPr>
          <w:t xml:space="preserve">Table 10: </w:t>
        </w:r>
        <w:r w:rsidR="00E02444" w:rsidRPr="009E0922">
          <w:rPr>
            <w:rStyle w:val="Kpr"/>
            <w:noProof/>
          </w:rPr>
          <w:t>Values Calculated for the Magnitude-Earthquake Frequency Relationship</w:t>
        </w:r>
        <w:r w:rsidR="00E02444">
          <w:rPr>
            <w:noProof/>
            <w:webHidden/>
          </w:rPr>
          <w:tab/>
        </w:r>
        <w:r w:rsidR="00E02444">
          <w:rPr>
            <w:noProof/>
            <w:webHidden/>
          </w:rPr>
          <w:fldChar w:fldCharType="begin"/>
        </w:r>
        <w:r w:rsidR="00E02444">
          <w:rPr>
            <w:noProof/>
            <w:webHidden/>
          </w:rPr>
          <w:instrText xml:space="preserve"> PAGEREF _Toc216344427 \h </w:instrText>
        </w:r>
        <w:r w:rsidR="00E02444">
          <w:rPr>
            <w:noProof/>
            <w:webHidden/>
          </w:rPr>
        </w:r>
        <w:r w:rsidR="00E02444">
          <w:rPr>
            <w:noProof/>
            <w:webHidden/>
          </w:rPr>
          <w:fldChar w:fldCharType="separate"/>
        </w:r>
        <w:r w:rsidR="005A2912">
          <w:rPr>
            <w:noProof/>
            <w:webHidden/>
          </w:rPr>
          <w:t>39</w:t>
        </w:r>
        <w:r w:rsidR="00E02444">
          <w:rPr>
            <w:noProof/>
            <w:webHidden/>
          </w:rPr>
          <w:fldChar w:fldCharType="end"/>
        </w:r>
      </w:hyperlink>
    </w:p>
    <w:p w14:paraId="139D4072" w14:textId="082492CE"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28" w:history="1">
        <w:r w:rsidR="00E02444" w:rsidRPr="009E0922">
          <w:rPr>
            <w:rStyle w:val="Kpr"/>
            <w:b/>
            <w:bCs/>
            <w:noProof/>
          </w:rPr>
          <w:t xml:space="preserve">Table 11: </w:t>
        </w:r>
        <w:r w:rsidR="00E02444" w:rsidRPr="009E0922">
          <w:rPr>
            <w:rStyle w:val="Kpr"/>
            <w:noProof/>
          </w:rPr>
          <w:t>Summary of PM10 Results According to 24-Hour Measurements in Sakarya Province in 2024</w:t>
        </w:r>
        <w:r w:rsidR="00E02444">
          <w:rPr>
            <w:noProof/>
            <w:webHidden/>
          </w:rPr>
          <w:tab/>
        </w:r>
        <w:r w:rsidR="00E02444">
          <w:rPr>
            <w:noProof/>
            <w:webHidden/>
          </w:rPr>
          <w:fldChar w:fldCharType="begin"/>
        </w:r>
        <w:r w:rsidR="00E02444">
          <w:rPr>
            <w:noProof/>
            <w:webHidden/>
          </w:rPr>
          <w:instrText xml:space="preserve"> PAGEREF _Toc216344428 \h </w:instrText>
        </w:r>
        <w:r w:rsidR="00E02444">
          <w:rPr>
            <w:noProof/>
            <w:webHidden/>
          </w:rPr>
        </w:r>
        <w:r w:rsidR="00E02444">
          <w:rPr>
            <w:noProof/>
            <w:webHidden/>
          </w:rPr>
          <w:fldChar w:fldCharType="separate"/>
        </w:r>
        <w:r w:rsidR="005A2912">
          <w:rPr>
            <w:noProof/>
            <w:webHidden/>
          </w:rPr>
          <w:t>41</w:t>
        </w:r>
        <w:r w:rsidR="00E02444">
          <w:rPr>
            <w:noProof/>
            <w:webHidden/>
          </w:rPr>
          <w:fldChar w:fldCharType="end"/>
        </w:r>
      </w:hyperlink>
    </w:p>
    <w:p w14:paraId="12BE09A4" w14:textId="7E20B004"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29" w:history="1">
        <w:r w:rsidR="00E02444" w:rsidRPr="009E0922">
          <w:rPr>
            <w:rStyle w:val="Kpr"/>
            <w:b/>
            <w:bCs/>
            <w:noProof/>
          </w:rPr>
          <w:t xml:space="preserve">Table 12: </w:t>
        </w:r>
        <w:r w:rsidR="00E02444" w:rsidRPr="009E0922">
          <w:rPr>
            <w:rStyle w:val="Kpr"/>
            <w:noProof/>
          </w:rPr>
          <w:t>Sakarya Province Excavation Soil Sites and Construction / Demolition Waste Recovery Facilities</w:t>
        </w:r>
        <w:r w:rsidR="00E02444">
          <w:rPr>
            <w:noProof/>
            <w:webHidden/>
          </w:rPr>
          <w:tab/>
        </w:r>
        <w:r w:rsidR="00E02444">
          <w:rPr>
            <w:noProof/>
            <w:webHidden/>
          </w:rPr>
          <w:fldChar w:fldCharType="begin"/>
        </w:r>
        <w:r w:rsidR="00E02444">
          <w:rPr>
            <w:noProof/>
            <w:webHidden/>
          </w:rPr>
          <w:instrText xml:space="preserve"> PAGEREF _Toc216344429 \h </w:instrText>
        </w:r>
        <w:r w:rsidR="00E02444">
          <w:rPr>
            <w:noProof/>
            <w:webHidden/>
          </w:rPr>
        </w:r>
        <w:r w:rsidR="00E02444">
          <w:rPr>
            <w:noProof/>
            <w:webHidden/>
          </w:rPr>
          <w:fldChar w:fldCharType="separate"/>
        </w:r>
        <w:r w:rsidR="005A2912">
          <w:rPr>
            <w:noProof/>
            <w:webHidden/>
          </w:rPr>
          <w:t>42</w:t>
        </w:r>
        <w:r w:rsidR="00E02444">
          <w:rPr>
            <w:noProof/>
            <w:webHidden/>
          </w:rPr>
          <w:fldChar w:fldCharType="end"/>
        </w:r>
      </w:hyperlink>
    </w:p>
    <w:p w14:paraId="1F84A336" w14:textId="4D390D29"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30" w:history="1">
        <w:r w:rsidR="00E02444" w:rsidRPr="009E0922">
          <w:rPr>
            <w:rStyle w:val="Kpr"/>
            <w:b/>
            <w:bCs/>
            <w:noProof/>
          </w:rPr>
          <w:t xml:space="preserve">Table 13: </w:t>
        </w:r>
        <w:r w:rsidR="00E02444" w:rsidRPr="009E0922">
          <w:rPr>
            <w:rStyle w:val="Kpr"/>
            <w:noProof/>
          </w:rPr>
          <w:t>Sakarya Province Age Dependency Ratio and Average Household Size</w:t>
        </w:r>
        <w:r w:rsidR="00E02444">
          <w:rPr>
            <w:noProof/>
            <w:webHidden/>
          </w:rPr>
          <w:tab/>
        </w:r>
        <w:r w:rsidR="00E02444">
          <w:rPr>
            <w:noProof/>
            <w:webHidden/>
          </w:rPr>
          <w:fldChar w:fldCharType="begin"/>
        </w:r>
        <w:r w:rsidR="00E02444">
          <w:rPr>
            <w:noProof/>
            <w:webHidden/>
          </w:rPr>
          <w:instrText xml:space="preserve"> PAGEREF _Toc216344430 \h </w:instrText>
        </w:r>
        <w:r w:rsidR="00E02444">
          <w:rPr>
            <w:noProof/>
            <w:webHidden/>
          </w:rPr>
        </w:r>
        <w:r w:rsidR="00E02444">
          <w:rPr>
            <w:noProof/>
            <w:webHidden/>
          </w:rPr>
          <w:fldChar w:fldCharType="separate"/>
        </w:r>
        <w:r w:rsidR="005A2912">
          <w:rPr>
            <w:noProof/>
            <w:webHidden/>
          </w:rPr>
          <w:t>48</w:t>
        </w:r>
        <w:r w:rsidR="00E02444">
          <w:rPr>
            <w:noProof/>
            <w:webHidden/>
          </w:rPr>
          <w:fldChar w:fldCharType="end"/>
        </w:r>
      </w:hyperlink>
    </w:p>
    <w:p w14:paraId="3E75FECC" w14:textId="0BCB3C14"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31" w:history="1">
        <w:r w:rsidR="00E02444" w:rsidRPr="009E0922">
          <w:rPr>
            <w:rStyle w:val="Kpr"/>
            <w:b/>
            <w:bCs/>
            <w:noProof/>
          </w:rPr>
          <w:t>Table 14:</w:t>
        </w:r>
        <w:r w:rsidR="00E02444" w:rsidRPr="009E0922">
          <w:rPr>
            <w:rStyle w:val="Kpr"/>
            <w:noProof/>
          </w:rPr>
          <w:t xml:space="preserve"> Data Table Showing Education Status in Sakarya Province</w:t>
        </w:r>
        <w:r w:rsidR="00E02444">
          <w:rPr>
            <w:noProof/>
            <w:webHidden/>
          </w:rPr>
          <w:tab/>
        </w:r>
        <w:r w:rsidR="00E02444">
          <w:rPr>
            <w:noProof/>
            <w:webHidden/>
          </w:rPr>
          <w:fldChar w:fldCharType="begin"/>
        </w:r>
        <w:r w:rsidR="00E02444">
          <w:rPr>
            <w:noProof/>
            <w:webHidden/>
          </w:rPr>
          <w:instrText xml:space="preserve"> PAGEREF _Toc216344431 \h </w:instrText>
        </w:r>
        <w:r w:rsidR="00E02444">
          <w:rPr>
            <w:noProof/>
            <w:webHidden/>
          </w:rPr>
        </w:r>
        <w:r w:rsidR="00E02444">
          <w:rPr>
            <w:noProof/>
            <w:webHidden/>
          </w:rPr>
          <w:fldChar w:fldCharType="separate"/>
        </w:r>
        <w:r w:rsidR="005A2912">
          <w:rPr>
            <w:noProof/>
            <w:webHidden/>
          </w:rPr>
          <w:t>51</w:t>
        </w:r>
        <w:r w:rsidR="00E02444">
          <w:rPr>
            <w:noProof/>
            <w:webHidden/>
          </w:rPr>
          <w:fldChar w:fldCharType="end"/>
        </w:r>
      </w:hyperlink>
    </w:p>
    <w:p w14:paraId="4FBCAA15" w14:textId="062723FC"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32" w:history="1">
        <w:r w:rsidR="00E02444" w:rsidRPr="009E0922">
          <w:rPr>
            <w:rStyle w:val="Kpr"/>
            <w:b/>
            <w:bCs/>
            <w:noProof/>
          </w:rPr>
          <w:t>Table 15:</w:t>
        </w:r>
        <w:r w:rsidR="00E02444" w:rsidRPr="009E0922">
          <w:rPr>
            <w:rStyle w:val="Kpr"/>
            <w:noProof/>
          </w:rPr>
          <w:t xml:space="preserve"> Socioeconomic Development Ranking of Sakarya Districts</w:t>
        </w:r>
        <w:r w:rsidR="00E02444">
          <w:rPr>
            <w:noProof/>
            <w:webHidden/>
          </w:rPr>
          <w:tab/>
        </w:r>
        <w:r w:rsidR="00E02444">
          <w:rPr>
            <w:noProof/>
            <w:webHidden/>
          </w:rPr>
          <w:fldChar w:fldCharType="begin"/>
        </w:r>
        <w:r w:rsidR="00E02444">
          <w:rPr>
            <w:noProof/>
            <w:webHidden/>
          </w:rPr>
          <w:instrText xml:space="preserve"> PAGEREF _Toc216344432 \h </w:instrText>
        </w:r>
        <w:r w:rsidR="00E02444">
          <w:rPr>
            <w:noProof/>
            <w:webHidden/>
          </w:rPr>
        </w:r>
        <w:r w:rsidR="00E02444">
          <w:rPr>
            <w:noProof/>
            <w:webHidden/>
          </w:rPr>
          <w:fldChar w:fldCharType="separate"/>
        </w:r>
        <w:r w:rsidR="005A2912">
          <w:rPr>
            <w:noProof/>
            <w:webHidden/>
          </w:rPr>
          <w:t>54</w:t>
        </w:r>
        <w:r w:rsidR="00E02444">
          <w:rPr>
            <w:noProof/>
            <w:webHidden/>
          </w:rPr>
          <w:fldChar w:fldCharType="end"/>
        </w:r>
      </w:hyperlink>
    </w:p>
    <w:p w14:paraId="13D5B688" w14:textId="339D3E27"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33" w:history="1">
        <w:r w:rsidR="00E02444" w:rsidRPr="009E0922">
          <w:rPr>
            <w:rStyle w:val="Kpr"/>
            <w:b/>
            <w:bCs/>
            <w:noProof/>
          </w:rPr>
          <w:t>Table 16:</w:t>
        </w:r>
        <w:r w:rsidR="00E02444" w:rsidRPr="009E0922">
          <w:rPr>
            <w:rStyle w:val="Kpr"/>
            <w:noProof/>
          </w:rPr>
          <w:t xml:space="preserve"> SuTP Population and Percentage of Sakarya Province</w:t>
        </w:r>
        <w:r w:rsidR="00E02444">
          <w:rPr>
            <w:noProof/>
            <w:webHidden/>
          </w:rPr>
          <w:tab/>
        </w:r>
        <w:r w:rsidR="00E02444">
          <w:rPr>
            <w:noProof/>
            <w:webHidden/>
          </w:rPr>
          <w:fldChar w:fldCharType="begin"/>
        </w:r>
        <w:r w:rsidR="00E02444">
          <w:rPr>
            <w:noProof/>
            <w:webHidden/>
          </w:rPr>
          <w:instrText xml:space="preserve"> PAGEREF _Toc216344433 \h </w:instrText>
        </w:r>
        <w:r w:rsidR="00E02444">
          <w:rPr>
            <w:noProof/>
            <w:webHidden/>
          </w:rPr>
        </w:r>
        <w:r w:rsidR="00E02444">
          <w:rPr>
            <w:noProof/>
            <w:webHidden/>
          </w:rPr>
          <w:fldChar w:fldCharType="separate"/>
        </w:r>
        <w:r w:rsidR="005A2912">
          <w:rPr>
            <w:noProof/>
            <w:webHidden/>
          </w:rPr>
          <w:t>56</w:t>
        </w:r>
        <w:r w:rsidR="00E02444">
          <w:rPr>
            <w:noProof/>
            <w:webHidden/>
          </w:rPr>
          <w:fldChar w:fldCharType="end"/>
        </w:r>
      </w:hyperlink>
    </w:p>
    <w:p w14:paraId="08C83D27" w14:textId="56FCBE32"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34" w:history="1">
        <w:r w:rsidR="00E02444" w:rsidRPr="009E0922">
          <w:rPr>
            <w:rStyle w:val="Kpr"/>
            <w:b/>
            <w:bCs/>
            <w:noProof/>
          </w:rPr>
          <w:t>Table 17:</w:t>
        </w:r>
        <w:r w:rsidR="00E02444" w:rsidRPr="009E0922">
          <w:rPr>
            <w:rStyle w:val="Kpr"/>
            <w:noProof/>
          </w:rPr>
          <w:t xml:space="preserve"> In Sakarya Province Immovable Cultural Assets</w:t>
        </w:r>
        <w:r w:rsidR="00E02444">
          <w:rPr>
            <w:noProof/>
            <w:webHidden/>
          </w:rPr>
          <w:tab/>
        </w:r>
        <w:r w:rsidR="00E02444">
          <w:rPr>
            <w:noProof/>
            <w:webHidden/>
          </w:rPr>
          <w:fldChar w:fldCharType="begin"/>
        </w:r>
        <w:r w:rsidR="00E02444">
          <w:rPr>
            <w:noProof/>
            <w:webHidden/>
          </w:rPr>
          <w:instrText xml:space="preserve"> PAGEREF _Toc216344434 \h </w:instrText>
        </w:r>
        <w:r w:rsidR="00E02444">
          <w:rPr>
            <w:noProof/>
            <w:webHidden/>
          </w:rPr>
        </w:r>
        <w:r w:rsidR="00E02444">
          <w:rPr>
            <w:noProof/>
            <w:webHidden/>
          </w:rPr>
          <w:fldChar w:fldCharType="separate"/>
        </w:r>
        <w:r w:rsidR="005A2912">
          <w:rPr>
            <w:noProof/>
            <w:webHidden/>
          </w:rPr>
          <w:t>61</w:t>
        </w:r>
        <w:r w:rsidR="00E02444">
          <w:rPr>
            <w:noProof/>
            <w:webHidden/>
          </w:rPr>
          <w:fldChar w:fldCharType="end"/>
        </w:r>
      </w:hyperlink>
    </w:p>
    <w:p w14:paraId="04DEA80F" w14:textId="2FDBD074"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35" w:history="1">
        <w:r w:rsidR="00E02444" w:rsidRPr="009E0922">
          <w:rPr>
            <w:rStyle w:val="Kpr"/>
            <w:b/>
            <w:bCs/>
            <w:noProof/>
          </w:rPr>
          <w:t>Table 18:</w:t>
        </w:r>
        <w:r w:rsidR="00E02444" w:rsidRPr="009E0922">
          <w:rPr>
            <w:rStyle w:val="Kpr"/>
            <w:noProof/>
          </w:rPr>
          <w:t xml:space="preserve"> Protected Areas in Sakarya Province</w:t>
        </w:r>
        <w:r w:rsidR="00E02444">
          <w:rPr>
            <w:noProof/>
            <w:webHidden/>
          </w:rPr>
          <w:tab/>
        </w:r>
        <w:r w:rsidR="00E02444">
          <w:rPr>
            <w:noProof/>
            <w:webHidden/>
          </w:rPr>
          <w:fldChar w:fldCharType="begin"/>
        </w:r>
        <w:r w:rsidR="00E02444">
          <w:rPr>
            <w:noProof/>
            <w:webHidden/>
          </w:rPr>
          <w:instrText xml:space="preserve"> PAGEREF _Toc216344435 \h </w:instrText>
        </w:r>
        <w:r w:rsidR="00E02444">
          <w:rPr>
            <w:noProof/>
            <w:webHidden/>
          </w:rPr>
        </w:r>
        <w:r w:rsidR="00E02444">
          <w:rPr>
            <w:noProof/>
            <w:webHidden/>
          </w:rPr>
          <w:fldChar w:fldCharType="separate"/>
        </w:r>
        <w:r w:rsidR="005A2912">
          <w:rPr>
            <w:noProof/>
            <w:webHidden/>
          </w:rPr>
          <w:t>62</w:t>
        </w:r>
        <w:r w:rsidR="00E02444">
          <w:rPr>
            <w:noProof/>
            <w:webHidden/>
          </w:rPr>
          <w:fldChar w:fldCharType="end"/>
        </w:r>
      </w:hyperlink>
    </w:p>
    <w:p w14:paraId="6CE20556" w14:textId="779E25CA"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36" w:history="1">
        <w:r w:rsidR="00E02444" w:rsidRPr="009E0922">
          <w:rPr>
            <w:rStyle w:val="Kpr"/>
            <w:b/>
            <w:bCs/>
            <w:noProof/>
          </w:rPr>
          <w:t>Table 19:</w:t>
        </w:r>
        <w:r w:rsidR="00E02444" w:rsidRPr="009E0922">
          <w:rPr>
            <w:rStyle w:val="Kpr"/>
            <w:noProof/>
          </w:rPr>
          <w:t xml:space="preserve"> Institutions and Infrastructures Providing Health Services</w:t>
        </w:r>
        <w:r w:rsidR="00E02444">
          <w:rPr>
            <w:noProof/>
            <w:webHidden/>
          </w:rPr>
          <w:tab/>
        </w:r>
        <w:r w:rsidR="00E02444">
          <w:rPr>
            <w:noProof/>
            <w:webHidden/>
          </w:rPr>
          <w:fldChar w:fldCharType="begin"/>
        </w:r>
        <w:r w:rsidR="00E02444">
          <w:rPr>
            <w:noProof/>
            <w:webHidden/>
          </w:rPr>
          <w:instrText xml:space="preserve"> PAGEREF _Toc216344436 \h </w:instrText>
        </w:r>
        <w:r w:rsidR="00E02444">
          <w:rPr>
            <w:noProof/>
            <w:webHidden/>
          </w:rPr>
        </w:r>
        <w:r w:rsidR="00E02444">
          <w:rPr>
            <w:noProof/>
            <w:webHidden/>
          </w:rPr>
          <w:fldChar w:fldCharType="separate"/>
        </w:r>
        <w:r w:rsidR="005A2912">
          <w:rPr>
            <w:noProof/>
            <w:webHidden/>
          </w:rPr>
          <w:t>65</w:t>
        </w:r>
        <w:r w:rsidR="00E02444">
          <w:rPr>
            <w:noProof/>
            <w:webHidden/>
          </w:rPr>
          <w:fldChar w:fldCharType="end"/>
        </w:r>
      </w:hyperlink>
    </w:p>
    <w:p w14:paraId="35F3B5CB" w14:textId="194B32C4"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37" w:history="1">
        <w:r w:rsidR="00E02444" w:rsidRPr="009E0922">
          <w:rPr>
            <w:rStyle w:val="Kpr"/>
            <w:b/>
            <w:bCs/>
            <w:noProof/>
          </w:rPr>
          <w:t>Table 20:</w:t>
        </w:r>
        <w:r w:rsidR="00E02444" w:rsidRPr="009E0922">
          <w:rPr>
            <w:rStyle w:val="Kpr"/>
            <w:noProof/>
          </w:rPr>
          <w:t xml:space="preserve"> Healthcare Usage 1</w:t>
        </w:r>
        <w:r w:rsidR="00E02444">
          <w:rPr>
            <w:noProof/>
            <w:webHidden/>
          </w:rPr>
          <w:tab/>
        </w:r>
        <w:r w:rsidR="00E02444">
          <w:rPr>
            <w:noProof/>
            <w:webHidden/>
          </w:rPr>
          <w:fldChar w:fldCharType="begin"/>
        </w:r>
        <w:r w:rsidR="00E02444">
          <w:rPr>
            <w:noProof/>
            <w:webHidden/>
          </w:rPr>
          <w:instrText xml:space="preserve"> PAGEREF _Toc216344437 \h </w:instrText>
        </w:r>
        <w:r w:rsidR="00E02444">
          <w:rPr>
            <w:noProof/>
            <w:webHidden/>
          </w:rPr>
        </w:r>
        <w:r w:rsidR="00E02444">
          <w:rPr>
            <w:noProof/>
            <w:webHidden/>
          </w:rPr>
          <w:fldChar w:fldCharType="separate"/>
        </w:r>
        <w:r w:rsidR="005A2912">
          <w:rPr>
            <w:noProof/>
            <w:webHidden/>
          </w:rPr>
          <w:t>65</w:t>
        </w:r>
        <w:r w:rsidR="00E02444">
          <w:rPr>
            <w:noProof/>
            <w:webHidden/>
          </w:rPr>
          <w:fldChar w:fldCharType="end"/>
        </w:r>
      </w:hyperlink>
    </w:p>
    <w:p w14:paraId="619208D5" w14:textId="6CDEB7B8"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38" w:history="1">
        <w:r w:rsidR="00E02444" w:rsidRPr="009E0922">
          <w:rPr>
            <w:rStyle w:val="Kpr"/>
            <w:b/>
            <w:bCs/>
            <w:noProof/>
          </w:rPr>
          <w:t>Table 21:</w:t>
        </w:r>
        <w:r w:rsidR="00E02444" w:rsidRPr="009E0922">
          <w:rPr>
            <w:rStyle w:val="Kpr"/>
            <w:noProof/>
          </w:rPr>
          <w:t xml:space="preserve"> Healthcare Utilization 2</w:t>
        </w:r>
        <w:r w:rsidR="00E02444">
          <w:rPr>
            <w:noProof/>
            <w:webHidden/>
          </w:rPr>
          <w:tab/>
        </w:r>
        <w:r w:rsidR="00E02444">
          <w:rPr>
            <w:noProof/>
            <w:webHidden/>
          </w:rPr>
          <w:fldChar w:fldCharType="begin"/>
        </w:r>
        <w:r w:rsidR="00E02444">
          <w:rPr>
            <w:noProof/>
            <w:webHidden/>
          </w:rPr>
          <w:instrText xml:space="preserve"> PAGEREF _Toc216344438 \h </w:instrText>
        </w:r>
        <w:r w:rsidR="00E02444">
          <w:rPr>
            <w:noProof/>
            <w:webHidden/>
          </w:rPr>
        </w:r>
        <w:r w:rsidR="00E02444">
          <w:rPr>
            <w:noProof/>
            <w:webHidden/>
          </w:rPr>
          <w:fldChar w:fldCharType="separate"/>
        </w:r>
        <w:r w:rsidR="005A2912">
          <w:rPr>
            <w:noProof/>
            <w:webHidden/>
          </w:rPr>
          <w:t>66</w:t>
        </w:r>
        <w:r w:rsidR="00E02444">
          <w:rPr>
            <w:noProof/>
            <w:webHidden/>
          </w:rPr>
          <w:fldChar w:fldCharType="end"/>
        </w:r>
      </w:hyperlink>
    </w:p>
    <w:p w14:paraId="3A69B649" w14:textId="470D78B9"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39" w:history="1">
        <w:r w:rsidR="00E02444" w:rsidRPr="009E0922">
          <w:rPr>
            <w:rStyle w:val="Kpr"/>
            <w:b/>
            <w:bCs/>
            <w:noProof/>
          </w:rPr>
          <w:t>Table 22:</w:t>
        </w:r>
        <w:r w:rsidR="00E02444" w:rsidRPr="009E0922">
          <w:rPr>
            <w:rStyle w:val="Kpr"/>
            <w:noProof/>
          </w:rPr>
          <w:t xml:space="preserve"> Human Resources in Health</w:t>
        </w:r>
        <w:r w:rsidR="00E02444">
          <w:rPr>
            <w:noProof/>
            <w:webHidden/>
          </w:rPr>
          <w:tab/>
        </w:r>
        <w:r w:rsidR="00E02444">
          <w:rPr>
            <w:noProof/>
            <w:webHidden/>
          </w:rPr>
          <w:fldChar w:fldCharType="begin"/>
        </w:r>
        <w:r w:rsidR="00E02444">
          <w:rPr>
            <w:noProof/>
            <w:webHidden/>
          </w:rPr>
          <w:instrText xml:space="preserve"> PAGEREF _Toc216344439 \h </w:instrText>
        </w:r>
        <w:r w:rsidR="00E02444">
          <w:rPr>
            <w:noProof/>
            <w:webHidden/>
          </w:rPr>
        </w:r>
        <w:r w:rsidR="00E02444">
          <w:rPr>
            <w:noProof/>
            <w:webHidden/>
          </w:rPr>
          <w:fldChar w:fldCharType="separate"/>
        </w:r>
        <w:r w:rsidR="005A2912">
          <w:rPr>
            <w:noProof/>
            <w:webHidden/>
          </w:rPr>
          <w:t>66</w:t>
        </w:r>
        <w:r w:rsidR="00E02444">
          <w:rPr>
            <w:noProof/>
            <w:webHidden/>
          </w:rPr>
          <w:fldChar w:fldCharType="end"/>
        </w:r>
      </w:hyperlink>
    </w:p>
    <w:p w14:paraId="0482DF5F" w14:textId="01CDCC4C"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40" w:history="1">
        <w:r w:rsidR="00E02444" w:rsidRPr="009E0922">
          <w:rPr>
            <w:rStyle w:val="Kpr"/>
            <w:b/>
            <w:bCs/>
            <w:noProof/>
          </w:rPr>
          <w:t xml:space="preserve">Table 23: </w:t>
        </w:r>
        <w:r w:rsidR="00E02444" w:rsidRPr="009E0922">
          <w:rPr>
            <w:rStyle w:val="Kpr"/>
            <w:noProof/>
          </w:rPr>
          <w:t>Emergency Medical Services</w:t>
        </w:r>
        <w:r w:rsidR="00E02444">
          <w:rPr>
            <w:noProof/>
            <w:webHidden/>
          </w:rPr>
          <w:tab/>
        </w:r>
        <w:r w:rsidR="00E02444">
          <w:rPr>
            <w:noProof/>
            <w:webHidden/>
          </w:rPr>
          <w:fldChar w:fldCharType="begin"/>
        </w:r>
        <w:r w:rsidR="00E02444">
          <w:rPr>
            <w:noProof/>
            <w:webHidden/>
          </w:rPr>
          <w:instrText xml:space="preserve"> PAGEREF _Toc216344440 \h </w:instrText>
        </w:r>
        <w:r w:rsidR="00E02444">
          <w:rPr>
            <w:noProof/>
            <w:webHidden/>
          </w:rPr>
        </w:r>
        <w:r w:rsidR="00E02444">
          <w:rPr>
            <w:noProof/>
            <w:webHidden/>
          </w:rPr>
          <w:fldChar w:fldCharType="separate"/>
        </w:r>
        <w:r w:rsidR="005A2912">
          <w:rPr>
            <w:noProof/>
            <w:webHidden/>
          </w:rPr>
          <w:t>67</w:t>
        </w:r>
        <w:r w:rsidR="00E02444">
          <w:rPr>
            <w:noProof/>
            <w:webHidden/>
          </w:rPr>
          <w:fldChar w:fldCharType="end"/>
        </w:r>
      </w:hyperlink>
    </w:p>
    <w:p w14:paraId="2BBFF29D" w14:textId="1FC1EDD1"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41" w:history="1">
        <w:r w:rsidR="00E02444" w:rsidRPr="009E0922">
          <w:rPr>
            <w:rStyle w:val="Kpr"/>
            <w:b/>
            <w:bCs/>
            <w:noProof/>
          </w:rPr>
          <w:t>Table 24:</w:t>
        </w:r>
        <w:r w:rsidR="00E02444" w:rsidRPr="009E0922">
          <w:rPr>
            <w:rStyle w:val="Kpr"/>
            <w:noProof/>
          </w:rPr>
          <w:t xml:space="preserve"> Distribution of Arable Land in Sakarya Province by Product and Usage Area</w:t>
        </w:r>
        <w:r w:rsidR="00E02444">
          <w:rPr>
            <w:noProof/>
            <w:webHidden/>
          </w:rPr>
          <w:tab/>
        </w:r>
        <w:r w:rsidR="00E02444">
          <w:rPr>
            <w:noProof/>
            <w:webHidden/>
          </w:rPr>
          <w:fldChar w:fldCharType="begin"/>
        </w:r>
        <w:r w:rsidR="00E02444">
          <w:rPr>
            <w:noProof/>
            <w:webHidden/>
          </w:rPr>
          <w:instrText xml:space="preserve"> PAGEREF _Toc216344441 \h </w:instrText>
        </w:r>
        <w:r w:rsidR="00E02444">
          <w:rPr>
            <w:noProof/>
            <w:webHidden/>
          </w:rPr>
        </w:r>
        <w:r w:rsidR="00E02444">
          <w:rPr>
            <w:noProof/>
            <w:webHidden/>
          </w:rPr>
          <w:fldChar w:fldCharType="separate"/>
        </w:r>
        <w:r w:rsidR="005A2912">
          <w:rPr>
            <w:noProof/>
            <w:webHidden/>
          </w:rPr>
          <w:t>71</w:t>
        </w:r>
        <w:r w:rsidR="00E02444">
          <w:rPr>
            <w:noProof/>
            <w:webHidden/>
          </w:rPr>
          <w:fldChar w:fldCharType="end"/>
        </w:r>
      </w:hyperlink>
    </w:p>
    <w:p w14:paraId="7DCB463A" w14:textId="6ADD2101"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42" w:history="1">
        <w:r w:rsidR="00E02444" w:rsidRPr="009E0922">
          <w:rPr>
            <w:rStyle w:val="Kpr"/>
            <w:b/>
            <w:bCs/>
            <w:i/>
            <w:iCs/>
            <w:noProof/>
          </w:rPr>
          <w:t>Table 25:</w:t>
        </w:r>
        <w:r w:rsidR="00E02444" w:rsidRPr="009E0922">
          <w:rPr>
            <w:rStyle w:val="Kpr"/>
            <w:b/>
            <w:i/>
            <w:iCs/>
            <w:noProof/>
          </w:rPr>
          <w:t xml:space="preserve"> </w:t>
        </w:r>
        <w:r w:rsidR="00E02444" w:rsidRPr="009E0922">
          <w:rPr>
            <w:rStyle w:val="Kpr"/>
            <w:i/>
            <w:iCs/>
            <w:noProof/>
          </w:rPr>
          <w:t>Agriculture and Livestock Status of Sakarya Province by Districts</w:t>
        </w:r>
        <w:r w:rsidR="00E02444">
          <w:rPr>
            <w:noProof/>
            <w:webHidden/>
          </w:rPr>
          <w:tab/>
        </w:r>
        <w:r w:rsidR="00E02444">
          <w:rPr>
            <w:noProof/>
            <w:webHidden/>
          </w:rPr>
          <w:fldChar w:fldCharType="begin"/>
        </w:r>
        <w:r w:rsidR="00E02444">
          <w:rPr>
            <w:noProof/>
            <w:webHidden/>
          </w:rPr>
          <w:instrText xml:space="preserve"> PAGEREF _Toc216344442 \h </w:instrText>
        </w:r>
        <w:r w:rsidR="00E02444">
          <w:rPr>
            <w:noProof/>
            <w:webHidden/>
          </w:rPr>
        </w:r>
        <w:r w:rsidR="00E02444">
          <w:rPr>
            <w:noProof/>
            <w:webHidden/>
          </w:rPr>
          <w:fldChar w:fldCharType="separate"/>
        </w:r>
        <w:r w:rsidR="005A2912">
          <w:rPr>
            <w:noProof/>
            <w:webHidden/>
          </w:rPr>
          <w:t>72</w:t>
        </w:r>
        <w:r w:rsidR="00E02444">
          <w:rPr>
            <w:noProof/>
            <w:webHidden/>
          </w:rPr>
          <w:fldChar w:fldCharType="end"/>
        </w:r>
      </w:hyperlink>
    </w:p>
    <w:p w14:paraId="7A520D10" w14:textId="40480E5C"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43" w:history="1">
        <w:r w:rsidR="00E02444" w:rsidRPr="009E0922">
          <w:rPr>
            <w:rStyle w:val="Kpr"/>
            <w:b/>
            <w:bCs/>
            <w:noProof/>
          </w:rPr>
          <w:t>Table 26:</w:t>
        </w:r>
        <w:r w:rsidR="00E02444" w:rsidRPr="009E0922">
          <w:rPr>
            <w:rStyle w:val="Kpr"/>
            <w:noProof/>
          </w:rPr>
          <w:t xml:space="preserve"> Organized Industrial Zones in Sakarya Province</w:t>
        </w:r>
        <w:r w:rsidR="00E02444">
          <w:rPr>
            <w:noProof/>
            <w:webHidden/>
          </w:rPr>
          <w:tab/>
        </w:r>
        <w:r w:rsidR="00E02444">
          <w:rPr>
            <w:noProof/>
            <w:webHidden/>
          </w:rPr>
          <w:fldChar w:fldCharType="begin"/>
        </w:r>
        <w:r w:rsidR="00E02444">
          <w:rPr>
            <w:noProof/>
            <w:webHidden/>
          </w:rPr>
          <w:instrText xml:space="preserve"> PAGEREF _Toc216344443 \h </w:instrText>
        </w:r>
        <w:r w:rsidR="00E02444">
          <w:rPr>
            <w:noProof/>
            <w:webHidden/>
          </w:rPr>
        </w:r>
        <w:r w:rsidR="00E02444">
          <w:rPr>
            <w:noProof/>
            <w:webHidden/>
          </w:rPr>
          <w:fldChar w:fldCharType="separate"/>
        </w:r>
        <w:r w:rsidR="005A2912">
          <w:rPr>
            <w:noProof/>
            <w:webHidden/>
          </w:rPr>
          <w:t>74</w:t>
        </w:r>
        <w:r w:rsidR="00E02444">
          <w:rPr>
            <w:noProof/>
            <w:webHidden/>
          </w:rPr>
          <w:fldChar w:fldCharType="end"/>
        </w:r>
      </w:hyperlink>
    </w:p>
    <w:p w14:paraId="38CC1187" w14:textId="35E6562F"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44" w:history="1">
        <w:r w:rsidR="00E02444" w:rsidRPr="009E0922">
          <w:rPr>
            <w:rStyle w:val="Kpr"/>
            <w:b/>
            <w:bCs/>
            <w:noProof/>
          </w:rPr>
          <w:t>Table 27:</w:t>
        </w:r>
        <w:r w:rsidR="00E02444" w:rsidRPr="009E0922">
          <w:rPr>
            <w:rStyle w:val="Kpr"/>
            <w:noProof/>
          </w:rPr>
          <w:t xml:space="preserve"> Sectoral Distribution of Industrial Enterprises in Sakarya Province</w:t>
        </w:r>
        <w:r w:rsidR="00E02444">
          <w:rPr>
            <w:noProof/>
            <w:webHidden/>
          </w:rPr>
          <w:tab/>
        </w:r>
        <w:r w:rsidR="00E02444">
          <w:rPr>
            <w:noProof/>
            <w:webHidden/>
          </w:rPr>
          <w:fldChar w:fldCharType="begin"/>
        </w:r>
        <w:r w:rsidR="00E02444">
          <w:rPr>
            <w:noProof/>
            <w:webHidden/>
          </w:rPr>
          <w:instrText xml:space="preserve"> PAGEREF _Toc216344444 \h </w:instrText>
        </w:r>
        <w:r w:rsidR="00E02444">
          <w:rPr>
            <w:noProof/>
            <w:webHidden/>
          </w:rPr>
        </w:r>
        <w:r w:rsidR="00E02444">
          <w:rPr>
            <w:noProof/>
            <w:webHidden/>
          </w:rPr>
          <w:fldChar w:fldCharType="separate"/>
        </w:r>
        <w:r w:rsidR="005A2912">
          <w:rPr>
            <w:noProof/>
            <w:webHidden/>
          </w:rPr>
          <w:t>77</w:t>
        </w:r>
        <w:r w:rsidR="00E02444">
          <w:rPr>
            <w:noProof/>
            <w:webHidden/>
          </w:rPr>
          <w:fldChar w:fldCharType="end"/>
        </w:r>
      </w:hyperlink>
    </w:p>
    <w:p w14:paraId="07C9457B" w14:textId="275BC7F3"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45" w:history="1">
        <w:r w:rsidR="00E02444" w:rsidRPr="009E0922">
          <w:rPr>
            <w:rStyle w:val="Kpr"/>
            <w:b/>
            <w:bCs/>
            <w:noProof/>
          </w:rPr>
          <w:t>Table 28:</w:t>
        </w:r>
        <w:r w:rsidR="00E02444" w:rsidRPr="009E0922">
          <w:rPr>
            <w:rStyle w:val="Kpr"/>
            <w:noProof/>
          </w:rPr>
          <w:t xml:space="preserve"> 2019-2024 Sakarya Province Pension Data</w:t>
        </w:r>
        <w:r w:rsidR="00E02444">
          <w:rPr>
            <w:noProof/>
            <w:webHidden/>
          </w:rPr>
          <w:tab/>
        </w:r>
        <w:r w:rsidR="00E02444">
          <w:rPr>
            <w:noProof/>
            <w:webHidden/>
          </w:rPr>
          <w:fldChar w:fldCharType="begin"/>
        </w:r>
        <w:r w:rsidR="00E02444">
          <w:rPr>
            <w:noProof/>
            <w:webHidden/>
          </w:rPr>
          <w:instrText xml:space="preserve"> PAGEREF _Toc216344445 \h </w:instrText>
        </w:r>
        <w:r w:rsidR="00E02444">
          <w:rPr>
            <w:noProof/>
            <w:webHidden/>
          </w:rPr>
        </w:r>
        <w:r w:rsidR="00E02444">
          <w:rPr>
            <w:noProof/>
            <w:webHidden/>
          </w:rPr>
          <w:fldChar w:fldCharType="separate"/>
        </w:r>
        <w:r w:rsidR="005A2912">
          <w:rPr>
            <w:noProof/>
            <w:webHidden/>
          </w:rPr>
          <w:t>78</w:t>
        </w:r>
        <w:r w:rsidR="00E02444">
          <w:rPr>
            <w:noProof/>
            <w:webHidden/>
          </w:rPr>
          <w:fldChar w:fldCharType="end"/>
        </w:r>
      </w:hyperlink>
    </w:p>
    <w:p w14:paraId="4F7B4691" w14:textId="071277AB"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46" w:history="1">
        <w:r w:rsidR="00E02444" w:rsidRPr="009E0922">
          <w:rPr>
            <w:rStyle w:val="Kpr"/>
            <w:b/>
            <w:bCs/>
            <w:noProof/>
          </w:rPr>
          <w:t>Table 29:</w:t>
        </w:r>
        <w:r w:rsidR="00E02444" w:rsidRPr="009E0922">
          <w:rPr>
            <w:rStyle w:val="Kpr"/>
            <w:noProof/>
          </w:rPr>
          <w:t xml:space="preserve"> </w:t>
        </w:r>
        <w:r w:rsidR="00E02444" w:rsidRPr="009E0922">
          <w:rPr>
            <w:rStyle w:val="Kpr"/>
            <w:bCs/>
            <w:noProof/>
          </w:rPr>
          <w:t>Potential Environmental and Social Risks and Impacts</w:t>
        </w:r>
        <w:r w:rsidR="00E02444">
          <w:rPr>
            <w:noProof/>
            <w:webHidden/>
          </w:rPr>
          <w:tab/>
        </w:r>
        <w:r w:rsidR="00E02444">
          <w:rPr>
            <w:noProof/>
            <w:webHidden/>
          </w:rPr>
          <w:fldChar w:fldCharType="begin"/>
        </w:r>
        <w:r w:rsidR="00E02444">
          <w:rPr>
            <w:noProof/>
            <w:webHidden/>
          </w:rPr>
          <w:instrText xml:space="preserve"> PAGEREF _Toc216344446 \h </w:instrText>
        </w:r>
        <w:r w:rsidR="00E02444">
          <w:rPr>
            <w:noProof/>
            <w:webHidden/>
          </w:rPr>
        </w:r>
        <w:r w:rsidR="00E02444">
          <w:rPr>
            <w:noProof/>
            <w:webHidden/>
          </w:rPr>
          <w:fldChar w:fldCharType="separate"/>
        </w:r>
        <w:r w:rsidR="005A2912">
          <w:rPr>
            <w:noProof/>
            <w:webHidden/>
          </w:rPr>
          <w:t>80</w:t>
        </w:r>
        <w:r w:rsidR="00E02444">
          <w:rPr>
            <w:noProof/>
            <w:webHidden/>
          </w:rPr>
          <w:fldChar w:fldCharType="end"/>
        </w:r>
      </w:hyperlink>
    </w:p>
    <w:p w14:paraId="474EFC12" w14:textId="6A858C0C"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47" w:history="1">
        <w:r w:rsidR="00E02444" w:rsidRPr="009E0922">
          <w:rPr>
            <w:rStyle w:val="Kpr"/>
            <w:b/>
            <w:bCs/>
            <w:noProof/>
          </w:rPr>
          <w:t>Table 30:</w:t>
        </w:r>
        <w:r w:rsidR="00E02444" w:rsidRPr="009E0922">
          <w:rPr>
            <w:rStyle w:val="Kpr"/>
            <w:noProof/>
          </w:rPr>
          <w:t xml:space="preserve"> Mitigation Measures for Retrofitting/Demolition/Reconstruction Work Risks and Impacts</w:t>
        </w:r>
        <w:r w:rsidR="00E02444">
          <w:rPr>
            <w:noProof/>
            <w:webHidden/>
          </w:rPr>
          <w:tab/>
        </w:r>
        <w:r w:rsidR="00E02444">
          <w:rPr>
            <w:noProof/>
            <w:webHidden/>
          </w:rPr>
          <w:fldChar w:fldCharType="begin"/>
        </w:r>
        <w:r w:rsidR="00E02444">
          <w:rPr>
            <w:noProof/>
            <w:webHidden/>
          </w:rPr>
          <w:instrText xml:space="preserve"> PAGEREF _Toc216344447 \h </w:instrText>
        </w:r>
        <w:r w:rsidR="00E02444">
          <w:rPr>
            <w:noProof/>
            <w:webHidden/>
          </w:rPr>
        </w:r>
        <w:r w:rsidR="00E02444">
          <w:rPr>
            <w:noProof/>
            <w:webHidden/>
          </w:rPr>
          <w:fldChar w:fldCharType="separate"/>
        </w:r>
        <w:r w:rsidR="005A2912">
          <w:rPr>
            <w:noProof/>
            <w:webHidden/>
          </w:rPr>
          <w:t>88</w:t>
        </w:r>
        <w:r w:rsidR="00E02444">
          <w:rPr>
            <w:noProof/>
            <w:webHidden/>
          </w:rPr>
          <w:fldChar w:fldCharType="end"/>
        </w:r>
      </w:hyperlink>
    </w:p>
    <w:p w14:paraId="3C291EBF" w14:textId="205A99A7"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48" w:history="1">
        <w:r w:rsidR="00E02444" w:rsidRPr="009E0922">
          <w:rPr>
            <w:rStyle w:val="Kpr"/>
            <w:b/>
            <w:bCs/>
            <w:noProof/>
          </w:rPr>
          <w:t>Table 31:</w:t>
        </w:r>
        <w:r w:rsidR="00E02444" w:rsidRPr="009E0922">
          <w:rPr>
            <w:rStyle w:val="Kpr"/>
            <w:noProof/>
          </w:rPr>
          <w:t xml:space="preserve"> </w:t>
        </w:r>
        <w:r w:rsidR="00E02444" w:rsidRPr="009E0922">
          <w:rPr>
            <w:rStyle w:val="Kpr"/>
            <w:bCs/>
            <w:noProof/>
          </w:rPr>
          <w:t>Roles and Responsibilities within the Scope of Sakarya Province ESMP Implementation</w:t>
        </w:r>
        <w:r w:rsidR="00E02444">
          <w:rPr>
            <w:noProof/>
            <w:webHidden/>
          </w:rPr>
          <w:tab/>
        </w:r>
        <w:r w:rsidR="00E02444">
          <w:rPr>
            <w:noProof/>
            <w:webHidden/>
          </w:rPr>
          <w:fldChar w:fldCharType="begin"/>
        </w:r>
        <w:r w:rsidR="00E02444">
          <w:rPr>
            <w:noProof/>
            <w:webHidden/>
          </w:rPr>
          <w:instrText xml:space="preserve"> PAGEREF _Toc216344448 \h </w:instrText>
        </w:r>
        <w:r w:rsidR="00E02444">
          <w:rPr>
            <w:noProof/>
            <w:webHidden/>
          </w:rPr>
        </w:r>
        <w:r w:rsidR="00E02444">
          <w:rPr>
            <w:noProof/>
            <w:webHidden/>
          </w:rPr>
          <w:fldChar w:fldCharType="separate"/>
        </w:r>
        <w:r w:rsidR="005A2912">
          <w:rPr>
            <w:noProof/>
            <w:webHidden/>
          </w:rPr>
          <w:t>111</w:t>
        </w:r>
        <w:r w:rsidR="00E02444">
          <w:rPr>
            <w:noProof/>
            <w:webHidden/>
          </w:rPr>
          <w:fldChar w:fldCharType="end"/>
        </w:r>
      </w:hyperlink>
    </w:p>
    <w:p w14:paraId="108D67EC" w14:textId="4EC567B8"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49" w:history="1">
        <w:r w:rsidR="00E02444" w:rsidRPr="009E0922">
          <w:rPr>
            <w:rStyle w:val="Kpr"/>
            <w:b/>
            <w:bCs/>
            <w:noProof/>
          </w:rPr>
          <w:t>Table 32:</w:t>
        </w:r>
        <w:r w:rsidR="00E02444" w:rsidRPr="009E0922">
          <w:rPr>
            <w:rStyle w:val="Kpr"/>
            <w:noProof/>
          </w:rPr>
          <w:t xml:space="preserve"> </w:t>
        </w:r>
        <w:r w:rsidR="00E02444" w:rsidRPr="009E0922">
          <w:rPr>
            <w:rStyle w:val="Kpr"/>
            <w:bCs/>
            <w:noProof/>
          </w:rPr>
          <w:t>Environmental and Social Monitoring of Retrofitting/Demolition/Reconstruction Works</w:t>
        </w:r>
        <w:r w:rsidR="00E02444">
          <w:rPr>
            <w:noProof/>
            <w:webHidden/>
          </w:rPr>
          <w:tab/>
        </w:r>
        <w:r w:rsidR="00E02444">
          <w:rPr>
            <w:noProof/>
            <w:webHidden/>
          </w:rPr>
          <w:fldChar w:fldCharType="begin"/>
        </w:r>
        <w:r w:rsidR="00E02444">
          <w:rPr>
            <w:noProof/>
            <w:webHidden/>
          </w:rPr>
          <w:instrText xml:space="preserve"> PAGEREF _Toc216344449 \h </w:instrText>
        </w:r>
        <w:r w:rsidR="00E02444">
          <w:rPr>
            <w:noProof/>
            <w:webHidden/>
          </w:rPr>
        </w:r>
        <w:r w:rsidR="00E02444">
          <w:rPr>
            <w:noProof/>
            <w:webHidden/>
          </w:rPr>
          <w:fldChar w:fldCharType="separate"/>
        </w:r>
        <w:r w:rsidR="005A2912">
          <w:rPr>
            <w:noProof/>
            <w:webHidden/>
          </w:rPr>
          <w:t>122</w:t>
        </w:r>
        <w:r w:rsidR="00E02444">
          <w:rPr>
            <w:noProof/>
            <w:webHidden/>
          </w:rPr>
          <w:fldChar w:fldCharType="end"/>
        </w:r>
      </w:hyperlink>
    </w:p>
    <w:p w14:paraId="1BD876BE" w14:textId="0628E5B3" w:rsidR="00E02444" w:rsidRDefault="00C87B41">
      <w:pPr>
        <w:pStyle w:val="ekillerTablosu"/>
        <w:tabs>
          <w:tab w:val="right" w:leader="dot" w:pos="9060"/>
        </w:tabs>
        <w:rPr>
          <w:rFonts w:asciiTheme="minorHAnsi" w:eastAsiaTheme="minorEastAsia" w:hAnsiTheme="minorHAnsi" w:cstheme="minorBidi"/>
          <w:noProof/>
          <w:kern w:val="2"/>
          <w:sz w:val="24"/>
          <w:szCs w:val="24"/>
          <w:lang w:val="tr-TR"/>
          <w14:ligatures w14:val="standardContextual"/>
        </w:rPr>
      </w:pPr>
      <w:hyperlink w:anchor="_Toc216344450" w:history="1">
        <w:r w:rsidR="00E02444" w:rsidRPr="009E0922">
          <w:rPr>
            <w:rStyle w:val="Kpr"/>
            <w:b/>
            <w:bCs/>
            <w:noProof/>
          </w:rPr>
          <w:t>Table 33:</w:t>
        </w:r>
        <w:r w:rsidR="00E02444" w:rsidRPr="009E0922">
          <w:rPr>
            <w:rStyle w:val="Kpr"/>
            <w:noProof/>
          </w:rPr>
          <w:t xml:space="preserve"> </w:t>
        </w:r>
        <w:r w:rsidR="00E02444" w:rsidRPr="009E0922">
          <w:rPr>
            <w:rStyle w:val="Kpr"/>
            <w:bCs/>
            <w:noProof/>
          </w:rPr>
          <w:t>Reporting Requirements Regarding ESMP Implementation</w:t>
        </w:r>
        <w:r w:rsidR="00E02444">
          <w:rPr>
            <w:noProof/>
            <w:webHidden/>
          </w:rPr>
          <w:tab/>
        </w:r>
        <w:r w:rsidR="00E02444">
          <w:rPr>
            <w:noProof/>
            <w:webHidden/>
          </w:rPr>
          <w:fldChar w:fldCharType="begin"/>
        </w:r>
        <w:r w:rsidR="00E02444">
          <w:rPr>
            <w:noProof/>
            <w:webHidden/>
          </w:rPr>
          <w:instrText xml:space="preserve"> PAGEREF _Toc216344450 \h </w:instrText>
        </w:r>
        <w:r w:rsidR="00E02444">
          <w:rPr>
            <w:noProof/>
            <w:webHidden/>
          </w:rPr>
        </w:r>
        <w:r w:rsidR="00E02444">
          <w:rPr>
            <w:noProof/>
            <w:webHidden/>
          </w:rPr>
          <w:fldChar w:fldCharType="separate"/>
        </w:r>
        <w:r w:rsidR="005A2912">
          <w:rPr>
            <w:noProof/>
            <w:webHidden/>
          </w:rPr>
          <w:t>131</w:t>
        </w:r>
        <w:r w:rsidR="00E02444">
          <w:rPr>
            <w:noProof/>
            <w:webHidden/>
          </w:rPr>
          <w:fldChar w:fldCharType="end"/>
        </w:r>
      </w:hyperlink>
    </w:p>
    <w:p w14:paraId="4524571B" w14:textId="2B552222" w:rsidR="00C65B01" w:rsidRPr="00175D8B" w:rsidRDefault="00FA2260" w:rsidP="00FA2260">
      <w:pPr>
        <w:spacing w:before="120" w:after="0" w:line="278" w:lineRule="auto"/>
        <w:rPr>
          <w:rFonts w:eastAsia="Aptos" w:cs="Aptos"/>
          <w:b/>
          <w:bCs/>
          <w:i/>
          <w:iCs/>
          <w:color w:val="000000" w:themeColor="text1"/>
          <w:sz w:val="28"/>
          <w:szCs w:val="28"/>
        </w:rPr>
      </w:pPr>
      <w:r w:rsidRPr="00175D8B">
        <w:rPr>
          <w:rFonts w:eastAsia="Aptos" w:cs="Aptos"/>
          <w:b/>
          <w:bCs/>
          <w:color w:val="000000" w:themeColor="text1"/>
          <w:sz w:val="28"/>
          <w:szCs w:val="28"/>
        </w:rPr>
        <w:fldChar w:fldCharType="end"/>
      </w:r>
    </w:p>
    <w:p w14:paraId="517E28C7" w14:textId="6FEF3434" w:rsidR="003C0F81" w:rsidRPr="00175D8B" w:rsidRDefault="003C0F81">
      <w:pPr>
        <w:spacing w:after="160" w:line="278" w:lineRule="auto"/>
        <w:jc w:val="left"/>
        <w:rPr>
          <w:rFonts w:eastAsia="Aptos" w:cs="Aptos"/>
          <w:b/>
          <w:bCs/>
          <w:color w:val="000000" w:themeColor="text1"/>
          <w:sz w:val="28"/>
          <w:szCs w:val="28"/>
        </w:rPr>
      </w:pPr>
      <w:r w:rsidRPr="00175D8B">
        <w:rPr>
          <w:rFonts w:eastAsia="Aptos" w:cs="Aptos"/>
          <w:b/>
          <w:bCs/>
          <w:color w:val="000000" w:themeColor="text1"/>
          <w:sz w:val="28"/>
          <w:szCs w:val="28"/>
        </w:rPr>
        <w:br w:type="page"/>
      </w:r>
    </w:p>
    <w:p w14:paraId="1E2E860B" w14:textId="3A10ACE6" w:rsidR="00C65B01" w:rsidRPr="00175D8B" w:rsidRDefault="004027B4" w:rsidP="00C65B01">
      <w:pPr>
        <w:spacing w:before="120" w:after="0" w:line="278" w:lineRule="auto"/>
        <w:rPr>
          <w:rFonts w:eastAsia="Aptos" w:cs="Aptos"/>
          <w:b/>
          <w:bCs/>
          <w:color w:val="000000" w:themeColor="text1"/>
          <w:sz w:val="28"/>
          <w:szCs w:val="28"/>
        </w:rPr>
      </w:pPr>
      <w:r w:rsidRPr="00175D8B">
        <w:rPr>
          <w:b/>
          <w:sz w:val="28"/>
          <w:szCs w:val="28"/>
        </w:rPr>
        <w:lastRenderedPageBreak/>
        <w:t>L</w:t>
      </w:r>
      <w:r w:rsidR="0090127F" w:rsidRPr="00175D8B">
        <w:rPr>
          <w:b/>
          <w:sz w:val="28"/>
          <w:szCs w:val="28"/>
        </w:rPr>
        <w:t>ist of Abbreviations</w:t>
      </w:r>
    </w:p>
    <w:p w14:paraId="4E8F236F" w14:textId="77777777" w:rsidR="008A2161" w:rsidRPr="00175D8B" w:rsidRDefault="008A2161" w:rsidP="00C65B01">
      <w:pPr>
        <w:spacing w:before="120" w:after="0" w:line="278" w:lineRule="auto"/>
        <w:rPr>
          <w:rFonts w:eastAsia="Aptos" w:cs="Aptos"/>
          <w:b/>
          <w:bCs/>
          <w:color w:val="000000" w:themeColor="text1"/>
          <w:sz w:val="28"/>
          <w:szCs w:val="28"/>
        </w:rPr>
      </w:pPr>
    </w:p>
    <w:tbl>
      <w:tblPr>
        <w:tblStyle w:val="70"/>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221"/>
      </w:tblGrid>
      <w:tr w:rsidR="00C65B01" w:rsidRPr="00175D8B" w14:paraId="7FDFFD83" w14:textId="77777777" w:rsidTr="00DF417A">
        <w:trPr>
          <w:trHeight w:val="397"/>
        </w:trPr>
        <w:tc>
          <w:tcPr>
            <w:tcW w:w="1555" w:type="dxa"/>
            <w:vAlign w:val="center"/>
          </w:tcPr>
          <w:p w14:paraId="79D928A9" w14:textId="77777777" w:rsidR="00C65B01" w:rsidRPr="00175D8B" w:rsidRDefault="00C65B01" w:rsidP="00C65B01">
            <w:pPr>
              <w:spacing w:before="120" w:after="0"/>
              <w:rPr>
                <w:rFonts w:eastAsia="Aptos" w:cs="Aptos"/>
                <w:color w:val="FF0000"/>
                <w:sz w:val="20"/>
              </w:rPr>
            </w:pPr>
            <w:r w:rsidRPr="00175D8B">
              <w:rPr>
                <w:rFonts w:eastAsia="Aptos" w:cs="Aptos"/>
                <w:color w:val="000000" w:themeColor="text1"/>
                <w:sz w:val="20"/>
              </w:rPr>
              <w:t>ARAAD</w:t>
            </w:r>
          </w:p>
        </w:tc>
        <w:tc>
          <w:tcPr>
            <w:tcW w:w="8221" w:type="dxa"/>
            <w:vAlign w:val="center"/>
          </w:tcPr>
          <w:p w14:paraId="1AF9E557" w14:textId="39B1E4AE" w:rsidR="00C65B01" w:rsidRPr="00175D8B" w:rsidRDefault="00C65B01" w:rsidP="00C65B01">
            <w:pPr>
              <w:spacing w:before="120" w:after="0"/>
              <w:rPr>
                <w:rFonts w:eastAsia="Aptos" w:cs="Aptos"/>
                <w:color w:val="000000" w:themeColor="text1"/>
                <w:sz w:val="20"/>
              </w:rPr>
            </w:pPr>
            <w:r w:rsidRPr="00175D8B">
              <w:rPr>
                <w:rFonts w:eastAsia="Aptos" w:cs="Aptos"/>
                <w:color w:val="000000" w:themeColor="text1"/>
                <w:sz w:val="20"/>
              </w:rPr>
              <w:t xml:space="preserve">Transformation of Areas Under Disaster Risk </w:t>
            </w:r>
            <w:r w:rsidR="00695D59" w:rsidRPr="00175D8B">
              <w:rPr>
                <w:rFonts w:eastAsia="Aptos" w:cs="Aptos"/>
                <w:color w:val="000000" w:themeColor="text1"/>
                <w:sz w:val="20"/>
              </w:rPr>
              <w:t>(management information system)</w:t>
            </w:r>
          </w:p>
        </w:tc>
      </w:tr>
      <w:tr w:rsidR="00C65B01" w:rsidRPr="00175D8B" w14:paraId="2644D3C8" w14:textId="77777777" w:rsidTr="00DF417A">
        <w:trPr>
          <w:trHeight w:val="397"/>
        </w:trPr>
        <w:tc>
          <w:tcPr>
            <w:tcW w:w="1555" w:type="dxa"/>
            <w:vAlign w:val="center"/>
          </w:tcPr>
          <w:p w14:paraId="4F0D92A9" w14:textId="7F48CF8F" w:rsidR="00C65B01" w:rsidRPr="00175D8B" w:rsidRDefault="00684DE8" w:rsidP="00C65B01">
            <w:pPr>
              <w:spacing w:before="120" w:after="0"/>
              <w:rPr>
                <w:rFonts w:eastAsia="Aptos" w:cs="Aptos"/>
                <w:color w:val="000000" w:themeColor="text1"/>
                <w:sz w:val="20"/>
              </w:rPr>
            </w:pPr>
            <w:r w:rsidRPr="00175D8B">
              <w:rPr>
                <w:rFonts w:eastAsia="Aptos" w:cs="Aptos"/>
                <w:color w:val="000000" w:themeColor="text1"/>
                <w:sz w:val="20"/>
              </w:rPr>
              <w:t>ABPRS</w:t>
            </w:r>
          </w:p>
        </w:tc>
        <w:tc>
          <w:tcPr>
            <w:tcW w:w="8221" w:type="dxa"/>
            <w:vAlign w:val="center"/>
          </w:tcPr>
          <w:p w14:paraId="56C031D6" w14:textId="2A46F788" w:rsidR="00C65B01" w:rsidRPr="00175D8B" w:rsidRDefault="00C65B01" w:rsidP="00C65B01">
            <w:pPr>
              <w:spacing w:before="120" w:after="0"/>
              <w:rPr>
                <w:rFonts w:eastAsia="Aptos" w:cs="Aptos"/>
                <w:color w:val="000000" w:themeColor="text1"/>
                <w:sz w:val="20"/>
              </w:rPr>
            </w:pPr>
            <w:r w:rsidRPr="00175D8B">
              <w:rPr>
                <w:rFonts w:eastAsia="Aptos" w:cs="Aptos"/>
                <w:color w:val="000000" w:themeColor="text1"/>
                <w:sz w:val="20"/>
              </w:rPr>
              <w:t>Address Based Population Registr</w:t>
            </w:r>
            <w:r w:rsidR="00657EED">
              <w:rPr>
                <w:rFonts w:eastAsia="Aptos" w:cs="Aptos"/>
                <w:color w:val="000000" w:themeColor="text1"/>
                <w:sz w:val="20"/>
              </w:rPr>
              <w:t>ation</w:t>
            </w:r>
            <w:r w:rsidRPr="00175D8B">
              <w:rPr>
                <w:rFonts w:eastAsia="Aptos" w:cs="Aptos"/>
                <w:color w:val="000000" w:themeColor="text1"/>
                <w:sz w:val="20"/>
              </w:rPr>
              <w:t xml:space="preserve"> System</w:t>
            </w:r>
          </w:p>
        </w:tc>
      </w:tr>
      <w:tr w:rsidR="00C65B01" w:rsidRPr="00175D8B" w14:paraId="11BDF81E" w14:textId="77777777" w:rsidTr="00DF417A">
        <w:trPr>
          <w:trHeight w:val="397"/>
        </w:trPr>
        <w:tc>
          <w:tcPr>
            <w:tcW w:w="1555" w:type="dxa"/>
            <w:vAlign w:val="center"/>
          </w:tcPr>
          <w:p w14:paraId="397D6EDB" w14:textId="77777777" w:rsidR="00C65B01" w:rsidRPr="00175D8B" w:rsidRDefault="00C65B01" w:rsidP="00C65B01">
            <w:pPr>
              <w:spacing w:before="120" w:after="0"/>
              <w:rPr>
                <w:rFonts w:eastAsia="Aptos" w:cs="Aptos"/>
                <w:color w:val="FF0000"/>
                <w:sz w:val="20"/>
              </w:rPr>
            </w:pPr>
            <w:r w:rsidRPr="00175D8B">
              <w:rPr>
                <w:rFonts w:eastAsia="Aptos" w:cs="Aptos"/>
                <w:color w:val="000000" w:themeColor="text1"/>
                <w:sz w:val="20"/>
              </w:rPr>
              <w:t>AFAD</w:t>
            </w:r>
          </w:p>
        </w:tc>
        <w:tc>
          <w:tcPr>
            <w:tcW w:w="8221" w:type="dxa"/>
            <w:vAlign w:val="center"/>
          </w:tcPr>
          <w:p w14:paraId="1C12A12D" w14:textId="77777777" w:rsidR="00C65B01" w:rsidRPr="00175D8B" w:rsidRDefault="00C65B01" w:rsidP="00C65B01">
            <w:pPr>
              <w:spacing w:before="120" w:after="0"/>
              <w:rPr>
                <w:rFonts w:eastAsia="Aptos" w:cs="Aptos"/>
                <w:color w:val="000000" w:themeColor="text1"/>
                <w:sz w:val="20"/>
              </w:rPr>
            </w:pPr>
            <w:r w:rsidRPr="00175D8B">
              <w:rPr>
                <w:rFonts w:eastAsia="Aptos" w:cs="Aptos"/>
                <w:color w:val="000000" w:themeColor="text1"/>
                <w:sz w:val="20"/>
              </w:rPr>
              <w:t xml:space="preserve">Disaster and Emergency Management Presidency </w:t>
            </w:r>
          </w:p>
        </w:tc>
      </w:tr>
      <w:tr w:rsidR="004027B4" w:rsidRPr="00175D8B" w14:paraId="7A201ACA" w14:textId="77777777" w:rsidTr="00DF417A">
        <w:trPr>
          <w:trHeight w:val="397"/>
        </w:trPr>
        <w:tc>
          <w:tcPr>
            <w:tcW w:w="1555" w:type="dxa"/>
            <w:vAlign w:val="center"/>
          </w:tcPr>
          <w:p w14:paraId="05AF27EB" w14:textId="21CDEA8A" w:rsidR="004027B4" w:rsidRPr="00175D8B" w:rsidRDefault="004027B4" w:rsidP="004027B4">
            <w:pPr>
              <w:spacing w:before="120" w:after="0"/>
              <w:rPr>
                <w:rFonts w:eastAsia="Aptos" w:cs="Aptos"/>
                <w:color w:val="000000" w:themeColor="text1"/>
                <w:sz w:val="20"/>
              </w:rPr>
            </w:pPr>
            <w:r w:rsidRPr="00175D8B">
              <w:rPr>
                <w:sz w:val="20"/>
                <w:szCs w:val="20"/>
              </w:rPr>
              <w:t>C-ESMP</w:t>
            </w:r>
          </w:p>
        </w:tc>
        <w:tc>
          <w:tcPr>
            <w:tcW w:w="8221" w:type="dxa"/>
            <w:vAlign w:val="center"/>
          </w:tcPr>
          <w:p w14:paraId="2B9B267C" w14:textId="6DD22648" w:rsidR="004027B4" w:rsidRPr="00175D8B" w:rsidRDefault="004027B4" w:rsidP="004027B4">
            <w:pPr>
              <w:spacing w:before="120" w:after="0"/>
              <w:rPr>
                <w:rFonts w:eastAsia="Aptos" w:cs="Aptos"/>
                <w:color w:val="000000" w:themeColor="text1"/>
                <w:sz w:val="20"/>
              </w:rPr>
            </w:pPr>
            <w:r w:rsidRPr="00175D8B">
              <w:rPr>
                <w:sz w:val="20"/>
                <w:szCs w:val="20"/>
              </w:rPr>
              <w:t>Contractor-ESMP</w:t>
            </w:r>
          </w:p>
        </w:tc>
      </w:tr>
      <w:tr w:rsidR="004027B4" w:rsidRPr="00175D8B" w14:paraId="665796DD" w14:textId="77777777" w:rsidTr="00DF417A">
        <w:trPr>
          <w:trHeight w:val="397"/>
        </w:trPr>
        <w:tc>
          <w:tcPr>
            <w:tcW w:w="1555" w:type="dxa"/>
            <w:vAlign w:val="center"/>
          </w:tcPr>
          <w:p w14:paraId="3FE4564A"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CDRC</w:t>
            </w:r>
          </w:p>
        </w:tc>
        <w:tc>
          <w:tcPr>
            <w:tcW w:w="8221" w:type="dxa"/>
            <w:vAlign w:val="center"/>
          </w:tcPr>
          <w:p w14:paraId="35CF21FC"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Climate and Disaster Resilient Cities</w:t>
            </w:r>
          </w:p>
        </w:tc>
      </w:tr>
      <w:tr w:rsidR="004027B4" w:rsidRPr="00175D8B" w14:paraId="0F16DE02" w14:textId="77777777" w:rsidTr="00DF417A">
        <w:trPr>
          <w:trHeight w:val="397"/>
        </w:trPr>
        <w:tc>
          <w:tcPr>
            <w:tcW w:w="1555" w:type="dxa"/>
            <w:vAlign w:val="center"/>
          </w:tcPr>
          <w:p w14:paraId="49437FB7"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CERC</w:t>
            </w:r>
          </w:p>
        </w:tc>
        <w:tc>
          <w:tcPr>
            <w:tcW w:w="8221" w:type="dxa"/>
            <w:vAlign w:val="center"/>
          </w:tcPr>
          <w:p w14:paraId="3D876ABE"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Contingent Emergency Response Component</w:t>
            </w:r>
          </w:p>
        </w:tc>
      </w:tr>
      <w:tr w:rsidR="004027B4" w:rsidRPr="00175D8B" w14:paraId="587144BA" w14:textId="77777777" w:rsidTr="00DF417A">
        <w:trPr>
          <w:trHeight w:val="397"/>
        </w:trPr>
        <w:tc>
          <w:tcPr>
            <w:tcW w:w="1555" w:type="dxa"/>
            <w:vAlign w:val="center"/>
          </w:tcPr>
          <w:p w14:paraId="7B4FA42D"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CoC</w:t>
            </w:r>
          </w:p>
        </w:tc>
        <w:tc>
          <w:tcPr>
            <w:tcW w:w="8221" w:type="dxa"/>
            <w:vAlign w:val="center"/>
          </w:tcPr>
          <w:p w14:paraId="395A4E0E"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Code of Conduct</w:t>
            </w:r>
          </w:p>
        </w:tc>
      </w:tr>
      <w:tr w:rsidR="004027B4" w:rsidRPr="00175D8B" w14:paraId="4C422895" w14:textId="77777777" w:rsidTr="00DF417A">
        <w:trPr>
          <w:trHeight w:val="397"/>
        </w:trPr>
        <w:tc>
          <w:tcPr>
            <w:tcW w:w="1555" w:type="dxa"/>
            <w:vAlign w:val="center"/>
          </w:tcPr>
          <w:p w14:paraId="60D6DC33" w14:textId="7BFC7FF7" w:rsidR="004027B4" w:rsidRPr="00175D8B" w:rsidRDefault="004027B4" w:rsidP="004027B4">
            <w:pPr>
              <w:spacing w:before="120" w:after="0"/>
              <w:rPr>
                <w:rFonts w:eastAsia="Aptos" w:cs="Aptos"/>
                <w:color w:val="000000" w:themeColor="text1"/>
                <w:sz w:val="20"/>
              </w:rPr>
            </w:pPr>
            <w:r w:rsidRPr="00175D8B">
              <w:rPr>
                <w:sz w:val="20"/>
                <w:szCs w:val="20"/>
              </w:rPr>
              <w:t>CIMER</w:t>
            </w:r>
          </w:p>
        </w:tc>
        <w:tc>
          <w:tcPr>
            <w:tcW w:w="8221" w:type="dxa"/>
            <w:vAlign w:val="center"/>
          </w:tcPr>
          <w:p w14:paraId="2DCA7DA0" w14:textId="20C62FA0" w:rsidR="004027B4" w:rsidRPr="00175D8B" w:rsidRDefault="004027B4" w:rsidP="004027B4">
            <w:pPr>
              <w:spacing w:before="120" w:after="0"/>
              <w:rPr>
                <w:rFonts w:eastAsia="Aptos" w:cs="Aptos"/>
                <w:color w:val="000000" w:themeColor="text1"/>
                <w:sz w:val="20"/>
              </w:rPr>
            </w:pPr>
            <w:r w:rsidRPr="00175D8B">
              <w:rPr>
                <w:sz w:val="20"/>
                <w:szCs w:val="20"/>
              </w:rPr>
              <w:t>Presidential Communications Center</w:t>
            </w:r>
          </w:p>
        </w:tc>
      </w:tr>
      <w:tr w:rsidR="004027B4" w:rsidRPr="00175D8B" w14:paraId="100244E1" w14:textId="77777777" w:rsidTr="00DF417A">
        <w:trPr>
          <w:trHeight w:val="397"/>
        </w:trPr>
        <w:tc>
          <w:tcPr>
            <w:tcW w:w="1555" w:type="dxa"/>
            <w:vAlign w:val="center"/>
          </w:tcPr>
          <w:p w14:paraId="0C668504"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DSİ</w:t>
            </w:r>
          </w:p>
        </w:tc>
        <w:tc>
          <w:tcPr>
            <w:tcW w:w="8221" w:type="dxa"/>
            <w:vAlign w:val="center"/>
          </w:tcPr>
          <w:p w14:paraId="54099E14"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General Directorate of State Hydraulic Works</w:t>
            </w:r>
          </w:p>
        </w:tc>
      </w:tr>
      <w:tr w:rsidR="004027B4" w:rsidRPr="00175D8B" w14:paraId="2CBAAEBE" w14:textId="77777777" w:rsidTr="00DF417A">
        <w:trPr>
          <w:trHeight w:val="397"/>
        </w:trPr>
        <w:tc>
          <w:tcPr>
            <w:tcW w:w="1555" w:type="dxa"/>
            <w:vAlign w:val="center"/>
          </w:tcPr>
          <w:p w14:paraId="42191686"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E&amp;S</w:t>
            </w:r>
          </w:p>
        </w:tc>
        <w:tc>
          <w:tcPr>
            <w:tcW w:w="8221" w:type="dxa"/>
            <w:vAlign w:val="center"/>
          </w:tcPr>
          <w:p w14:paraId="5781E1A7"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Environmental and Social</w:t>
            </w:r>
          </w:p>
        </w:tc>
      </w:tr>
      <w:tr w:rsidR="004027B4" w:rsidRPr="00175D8B" w14:paraId="6195EDC6" w14:textId="77777777" w:rsidTr="00DF417A">
        <w:trPr>
          <w:trHeight w:val="397"/>
        </w:trPr>
        <w:tc>
          <w:tcPr>
            <w:tcW w:w="1555" w:type="dxa"/>
            <w:vAlign w:val="center"/>
          </w:tcPr>
          <w:p w14:paraId="10CE7828"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EHS</w:t>
            </w:r>
          </w:p>
        </w:tc>
        <w:tc>
          <w:tcPr>
            <w:tcW w:w="8221" w:type="dxa"/>
            <w:vAlign w:val="center"/>
          </w:tcPr>
          <w:p w14:paraId="5BE454CC"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Environmental, Health and Safety</w:t>
            </w:r>
          </w:p>
        </w:tc>
      </w:tr>
      <w:tr w:rsidR="004027B4" w:rsidRPr="00175D8B" w14:paraId="2B34AD78" w14:textId="77777777" w:rsidTr="00DF417A">
        <w:trPr>
          <w:trHeight w:val="397"/>
        </w:trPr>
        <w:tc>
          <w:tcPr>
            <w:tcW w:w="1555" w:type="dxa"/>
            <w:vAlign w:val="center"/>
          </w:tcPr>
          <w:p w14:paraId="4FCFB2B3"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EIA</w:t>
            </w:r>
          </w:p>
        </w:tc>
        <w:tc>
          <w:tcPr>
            <w:tcW w:w="8221" w:type="dxa"/>
            <w:vAlign w:val="center"/>
          </w:tcPr>
          <w:p w14:paraId="6E075AD6"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Environmental Impact Assessment</w:t>
            </w:r>
          </w:p>
        </w:tc>
      </w:tr>
      <w:tr w:rsidR="004027B4" w:rsidRPr="00175D8B" w14:paraId="50988C63" w14:textId="77777777" w:rsidTr="00DF417A">
        <w:trPr>
          <w:trHeight w:val="397"/>
        </w:trPr>
        <w:tc>
          <w:tcPr>
            <w:tcW w:w="1555" w:type="dxa"/>
            <w:vAlign w:val="center"/>
          </w:tcPr>
          <w:p w14:paraId="1EEF9376"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ESAP</w:t>
            </w:r>
          </w:p>
        </w:tc>
        <w:tc>
          <w:tcPr>
            <w:tcW w:w="8221" w:type="dxa"/>
            <w:vAlign w:val="center"/>
          </w:tcPr>
          <w:p w14:paraId="67F8D88D"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Environmental and Social Action Plan</w:t>
            </w:r>
          </w:p>
        </w:tc>
      </w:tr>
      <w:tr w:rsidR="004027B4" w:rsidRPr="00175D8B" w14:paraId="73FDDF72" w14:textId="77777777" w:rsidTr="00DF417A">
        <w:trPr>
          <w:trHeight w:val="397"/>
        </w:trPr>
        <w:tc>
          <w:tcPr>
            <w:tcW w:w="1555" w:type="dxa"/>
            <w:vAlign w:val="center"/>
          </w:tcPr>
          <w:p w14:paraId="074E92C7"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ESCP</w:t>
            </w:r>
          </w:p>
        </w:tc>
        <w:tc>
          <w:tcPr>
            <w:tcW w:w="8221" w:type="dxa"/>
            <w:vAlign w:val="center"/>
          </w:tcPr>
          <w:p w14:paraId="6C61837A"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Environmental and Social Commitment Plan</w:t>
            </w:r>
          </w:p>
        </w:tc>
      </w:tr>
      <w:tr w:rsidR="004027B4" w:rsidRPr="00175D8B" w14:paraId="4D78ACBE" w14:textId="77777777" w:rsidTr="00DF417A">
        <w:trPr>
          <w:trHeight w:val="397"/>
        </w:trPr>
        <w:tc>
          <w:tcPr>
            <w:tcW w:w="1555" w:type="dxa"/>
            <w:vAlign w:val="center"/>
          </w:tcPr>
          <w:p w14:paraId="6D7209A1"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ESF</w:t>
            </w:r>
          </w:p>
        </w:tc>
        <w:tc>
          <w:tcPr>
            <w:tcW w:w="8221" w:type="dxa"/>
            <w:vAlign w:val="center"/>
          </w:tcPr>
          <w:p w14:paraId="4AE85103"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Environmental and Social Framework</w:t>
            </w:r>
          </w:p>
        </w:tc>
      </w:tr>
      <w:tr w:rsidR="004027B4" w:rsidRPr="00175D8B" w14:paraId="4D7DA990" w14:textId="77777777" w:rsidTr="00DF417A">
        <w:trPr>
          <w:trHeight w:val="397"/>
        </w:trPr>
        <w:tc>
          <w:tcPr>
            <w:tcW w:w="1555" w:type="dxa"/>
            <w:vAlign w:val="center"/>
          </w:tcPr>
          <w:p w14:paraId="2987C7E5"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ESHS</w:t>
            </w:r>
          </w:p>
        </w:tc>
        <w:tc>
          <w:tcPr>
            <w:tcW w:w="8221" w:type="dxa"/>
            <w:vAlign w:val="center"/>
          </w:tcPr>
          <w:p w14:paraId="590C71FC"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Environmental, Social, Health and Safety</w:t>
            </w:r>
          </w:p>
        </w:tc>
      </w:tr>
      <w:tr w:rsidR="004027B4" w:rsidRPr="00175D8B" w14:paraId="7610754D" w14:textId="77777777" w:rsidTr="00DF417A">
        <w:trPr>
          <w:trHeight w:val="397"/>
        </w:trPr>
        <w:tc>
          <w:tcPr>
            <w:tcW w:w="1555" w:type="dxa"/>
            <w:vAlign w:val="center"/>
          </w:tcPr>
          <w:p w14:paraId="68DECB0F"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ESIA</w:t>
            </w:r>
          </w:p>
        </w:tc>
        <w:tc>
          <w:tcPr>
            <w:tcW w:w="8221" w:type="dxa"/>
            <w:vAlign w:val="center"/>
          </w:tcPr>
          <w:p w14:paraId="4620DECF"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Environmental and Social Impact Assessment</w:t>
            </w:r>
          </w:p>
        </w:tc>
      </w:tr>
      <w:tr w:rsidR="004027B4" w:rsidRPr="00175D8B" w14:paraId="7713DA49" w14:textId="77777777" w:rsidTr="00DF417A">
        <w:trPr>
          <w:trHeight w:val="397"/>
        </w:trPr>
        <w:tc>
          <w:tcPr>
            <w:tcW w:w="1555" w:type="dxa"/>
            <w:vAlign w:val="center"/>
          </w:tcPr>
          <w:p w14:paraId="7070FD76"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ESMF</w:t>
            </w:r>
          </w:p>
        </w:tc>
        <w:tc>
          <w:tcPr>
            <w:tcW w:w="8221" w:type="dxa"/>
            <w:vAlign w:val="center"/>
          </w:tcPr>
          <w:p w14:paraId="39B886B0"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Environmental and Social Management Framework</w:t>
            </w:r>
          </w:p>
        </w:tc>
      </w:tr>
      <w:tr w:rsidR="004027B4" w:rsidRPr="00175D8B" w14:paraId="420695BB" w14:textId="77777777" w:rsidTr="00DF417A">
        <w:trPr>
          <w:trHeight w:val="397"/>
        </w:trPr>
        <w:tc>
          <w:tcPr>
            <w:tcW w:w="1555" w:type="dxa"/>
            <w:vAlign w:val="center"/>
          </w:tcPr>
          <w:p w14:paraId="4FAA263E"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ESMP</w:t>
            </w:r>
          </w:p>
        </w:tc>
        <w:tc>
          <w:tcPr>
            <w:tcW w:w="8221" w:type="dxa"/>
            <w:vAlign w:val="center"/>
          </w:tcPr>
          <w:p w14:paraId="4D89FEF3"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Environmental and Social Management Plan</w:t>
            </w:r>
          </w:p>
        </w:tc>
      </w:tr>
      <w:tr w:rsidR="004027B4" w:rsidRPr="00175D8B" w14:paraId="7A23ED9D" w14:textId="77777777" w:rsidTr="00DF417A">
        <w:trPr>
          <w:trHeight w:val="397"/>
        </w:trPr>
        <w:tc>
          <w:tcPr>
            <w:tcW w:w="1555" w:type="dxa"/>
            <w:vAlign w:val="center"/>
          </w:tcPr>
          <w:p w14:paraId="11AAFE87"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ESS</w:t>
            </w:r>
          </w:p>
        </w:tc>
        <w:tc>
          <w:tcPr>
            <w:tcW w:w="8221" w:type="dxa"/>
            <w:vAlign w:val="center"/>
          </w:tcPr>
          <w:p w14:paraId="67F3417B" w14:textId="3BA53CF3"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 xml:space="preserve">Environmental </w:t>
            </w:r>
            <w:r w:rsidR="00695D59" w:rsidRPr="00175D8B">
              <w:rPr>
                <w:rFonts w:eastAsia="Aptos" w:cs="Aptos"/>
                <w:color w:val="000000" w:themeColor="text1"/>
                <w:sz w:val="20"/>
              </w:rPr>
              <w:t xml:space="preserve">and </w:t>
            </w:r>
            <w:r w:rsidRPr="00175D8B">
              <w:rPr>
                <w:rFonts w:eastAsia="Aptos" w:cs="Aptos"/>
                <w:color w:val="000000" w:themeColor="text1"/>
                <w:sz w:val="20"/>
              </w:rPr>
              <w:t>Social Standard</w:t>
            </w:r>
          </w:p>
        </w:tc>
      </w:tr>
      <w:tr w:rsidR="004027B4" w:rsidRPr="00175D8B" w14:paraId="1DDAFCDC" w14:textId="77777777" w:rsidTr="00DF417A">
        <w:trPr>
          <w:trHeight w:val="397"/>
        </w:trPr>
        <w:tc>
          <w:tcPr>
            <w:tcW w:w="1555" w:type="dxa"/>
            <w:vAlign w:val="center"/>
          </w:tcPr>
          <w:p w14:paraId="4F5F8962"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EU</w:t>
            </w:r>
          </w:p>
        </w:tc>
        <w:tc>
          <w:tcPr>
            <w:tcW w:w="8221" w:type="dxa"/>
            <w:vAlign w:val="center"/>
          </w:tcPr>
          <w:p w14:paraId="1F265D6E"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European Union</w:t>
            </w:r>
          </w:p>
        </w:tc>
      </w:tr>
      <w:tr w:rsidR="004027B4" w:rsidRPr="00175D8B" w14:paraId="32563544" w14:textId="77777777" w:rsidTr="00DF417A">
        <w:trPr>
          <w:trHeight w:val="397"/>
        </w:trPr>
        <w:tc>
          <w:tcPr>
            <w:tcW w:w="1555" w:type="dxa"/>
            <w:vAlign w:val="center"/>
          </w:tcPr>
          <w:p w14:paraId="41BADAE5" w14:textId="1BD96846" w:rsidR="004027B4" w:rsidRPr="00175D8B" w:rsidRDefault="004027B4" w:rsidP="004027B4">
            <w:pPr>
              <w:spacing w:before="120" w:after="0"/>
              <w:rPr>
                <w:rFonts w:eastAsia="Aptos" w:cs="Aptos"/>
                <w:color w:val="000000" w:themeColor="text1"/>
                <w:sz w:val="20"/>
              </w:rPr>
            </w:pPr>
            <w:r w:rsidRPr="00175D8B">
              <w:rPr>
                <w:sz w:val="20"/>
                <w:szCs w:val="20"/>
              </w:rPr>
              <w:t>GDP</w:t>
            </w:r>
          </w:p>
        </w:tc>
        <w:tc>
          <w:tcPr>
            <w:tcW w:w="8221" w:type="dxa"/>
            <w:vAlign w:val="center"/>
          </w:tcPr>
          <w:p w14:paraId="386C6B1E" w14:textId="7E82153A" w:rsidR="004027B4" w:rsidRPr="00175D8B" w:rsidRDefault="004027B4" w:rsidP="004027B4">
            <w:pPr>
              <w:spacing w:before="120" w:after="0"/>
              <w:rPr>
                <w:rFonts w:eastAsia="Aptos" w:cs="Aptos"/>
                <w:color w:val="000000" w:themeColor="text1"/>
                <w:sz w:val="20"/>
              </w:rPr>
            </w:pPr>
            <w:r w:rsidRPr="00175D8B">
              <w:rPr>
                <w:sz w:val="20"/>
                <w:szCs w:val="20"/>
              </w:rPr>
              <w:t>Gross Domestic Product</w:t>
            </w:r>
          </w:p>
        </w:tc>
      </w:tr>
      <w:tr w:rsidR="004027B4" w:rsidRPr="00175D8B" w14:paraId="6A294795" w14:textId="77777777" w:rsidTr="00DF417A">
        <w:trPr>
          <w:trHeight w:val="397"/>
        </w:trPr>
        <w:tc>
          <w:tcPr>
            <w:tcW w:w="1555" w:type="dxa"/>
            <w:vAlign w:val="center"/>
          </w:tcPr>
          <w:p w14:paraId="7053401D" w14:textId="5F753D11" w:rsidR="004027B4" w:rsidRPr="00175D8B" w:rsidRDefault="004027B4" w:rsidP="004027B4">
            <w:pPr>
              <w:spacing w:before="120" w:after="0"/>
              <w:rPr>
                <w:rFonts w:eastAsia="Aptos" w:cs="Aptos"/>
                <w:color w:val="000000" w:themeColor="text1"/>
                <w:sz w:val="20"/>
              </w:rPr>
            </w:pPr>
            <w:r w:rsidRPr="00175D8B">
              <w:rPr>
                <w:sz w:val="20"/>
                <w:szCs w:val="20"/>
              </w:rPr>
              <w:t>GHG</w:t>
            </w:r>
          </w:p>
        </w:tc>
        <w:tc>
          <w:tcPr>
            <w:tcW w:w="8221" w:type="dxa"/>
            <w:vAlign w:val="center"/>
          </w:tcPr>
          <w:p w14:paraId="44CF9238" w14:textId="2FB49DB4" w:rsidR="004027B4" w:rsidRPr="00175D8B" w:rsidRDefault="004027B4" w:rsidP="004027B4">
            <w:pPr>
              <w:spacing w:before="120" w:after="0"/>
              <w:rPr>
                <w:rFonts w:eastAsia="Aptos" w:cs="Aptos"/>
                <w:color w:val="000000" w:themeColor="text1"/>
                <w:sz w:val="20"/>
              </w:rPr>
            </w:pPr>
            <w:r w:rsidRPr="00175D8B">
              <w:rPr>
                <w:sz w:val="20"/>
                <w:szCs w:val="20"/>
              </w:rPr>
              <w:t>Greenhouse Gas</w:t>
            </w:r>
          </w:p>
        </w:tc>
      </w:tr>
      <w:tr w:rsidR="004027B4" w:rsidRPr="00175D8B" w14:paraId="447211C0" w14:textId="77777777" w:rsidTr="00DF417A">
        <w:trPr>
          <w:trHeight w:val="397"/>
        </w:trPr>
        <w:tc>
          <w:tcPr>
            <w:tcW w:w="1555" w:type="dxa"/>
            <w:vAlign w:val="center"/>
          </w:tcPr>
          <w:p w14:paraId="75234ABA"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GIIP</w:t>
            </w:r>
          </w:p>
        </w:tc>
        <w:tc>
          <w:tcPr>
            <w:tcW w:w="8221" w:type="dxa"/>
            <w:vAlign w:val="center"/>
          </w:tcPr>
          <w:p w14:paraId="65F6B45C"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Good International Industry Practices</w:t>
            </w:r>
          </w:p>
        </w:tc>
      </w:tr>
      <w:tr w:rsidR="004027B4" w:rsidRPr="00175D8B" w14:paraId="3008944C" w14:textId="77777777" w:rsidTr="00DF417A">
        <w:trPr>
          <w:trHeight w:val="397"/>
        </w:trPr>
        <w:tc>
          <w:tcPr>
            <w:tcW w:w="1555" w:type="dxa"/>
            <w:vAlign w:val="center"/>
          </w:tcPr>
          <w:p w14:paraId="671FD4E7"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lastRenderedPageBreak/>
              <w:t>GM</w:t>
            </w:r>
          </w:p>
        </w:tc>
        <w:tc>
          <w:tcPr>
            <w:tcW w:w="8221" w:type="dxa"/>
            <w:vAlign w:val="center"/>
          </w:tcPr>
          <w:p w14:paraId="4B37A02C"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Grievance Mechanism</w:t>
            </w:r>
          </w:p>
        </w:tc>
      </w:tr>
      <w:tr w:rsidR="004027B4" w:rsidRPr="00175D8B" w14:paraId="7A044369" w14:textId="77777777" w:rsidTr="00DF417A">
        <w:trPr>
          <w:trHeight w:val="397"/>
        </w:trPr>
        <w:tc>
          <w:tcPr>
            <w:tcW w:w="1555" w:type="dxa"/>
            <w:vAlign w:val="center"/>
          </w:tcPr>
          <w:p w14:paraId="542DF90E"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GRF</w:t>
            </w:r>
          </w:p>
        </w:tc>
        <w:tc>
          <w:tcPr>
            <w:tcW w:w="8221" w:type="dxa"/>
            <w:vAlign w:val="center"/>
          </w:tcPr>
          <w:p w14:paraId="02B878F0"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Grievance Registration Form</w:t>
            </w:r>
          </w:p>
        </w:tc>
      </w:tr>
      <w:tr w:rsidR="008247FD" w:rsidRPr="005427EE" w14:paraId="2A148259" w14:textId="77777777" w:rsidTr="00385E44">
        <w:trPr>
          <w:trHeight w:val="397"/>
        </w:trPr>
        <w:tc>
          <w:tcPr>
            <w:tcW w:w="1555" w:type="dxa"/>
            <w:vAlign w:val="center"/>
          </w:tcPr>
          <w:p w14:paraId="28CF1BA7" w14:textId="77777777" w:rsidR="008247FD" w:rsidRPr="005427EE" w:rsidRDefault="008247FD" w:rsidP="00385E44">
            <w:pPr>
              <w:rPr>
                <w:sz w:val="20"/>
                <w:szCs w:val="20"/>
              </w:rPr>
            </w:pPr>
            <w:r w:rsidRPr="005427EE">
              <w:rPr>
                <w:sz w:val="20"/>
                <w:szCs w:val="20"/>
              </w:rPr>
              <w:t>GRS</w:t>
            </w:r>
          </w:p>
        </w:tc>
        <w:tc>
          <w:tcPr>
            <w:tcW w:w="8221" w:type="dxa"/>
            <w:vAlign w:val="center"/>
          </w:tcPr>
          <w:p w14:paraId="2C64977E" w14:textId="77777777" w:rsidR="008247FD" w:rsidRPr="005427EE" w:rsidRDefault="008247FD" w:rsidP="00385E44">
            <w:pPr>
              <w:rPr>
                <w:sz w:val="20"/>
                <w:szCs w:val="20"/>
              </w:rPr>
            </w:pPr>
            <w:r w:rsidRPr="005427EE">
              <w:rPr>
                <w:sz w:val="20"/>
                <w:szCs w:val="20"/>
              </w:rPr>
              <w:t>Grievance Redress Service</w:t>
            </w:r>
          </w:p>
        </w:tc>
      </w:tr>
      <w:tr w:rsidR="004027B4" w:rsidRPr="00175D8B" w14:paraId="1AE5D31E" w14:textId="77777777" w:rsidTr="00DF417A">
        <w:trPr>
          <w:trHeight w:val="397"/>
        </w:trPr>
        <w:tc>
          <w:tcPr>
            <w:tcW w:w="1555" w:type="dxa"/>
            <w:vAlign w:val="center"/>
          </w:tcPr>
          <w:p w14:paraId="109B0424"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GT</w:t>
            </w:r>
          </w:p>
        </w:tc>
        <w:tc>
          <w:tcPr>
            <w:tcW w:w="8221" w:type="dxa"/>
            <w:vAlign w:val="center"/>
          </w:tcPr>
          <w:p w14:paraId="25FAA056"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Government of Türkiye</w:t>
            </w:r>
          </w:p>
        </w:tc>
      </w:tr>
      <w:tr w:rsidR="004027B4" w:rsidRPr="00175D8B" w14:paraId="6F0C4A0A" w14:textId="77777777" w:rsidTr="00DF417A">
        <w:trPr>
          <w:trHeight w:val="397"/>
        </w:trPr>
        <w:tc>
          <w:tcPr>
            <w:tcW w:w="1555" w:type="dxa"/>
            <w:vAlign w:val="center"/>
          </w:tcPr>
          <w:p w14:paraId="7DE0F17F"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GPS</w:t>
            </w:r>
          </w:p>
        </w:tc>
        <w:tc>
          <w:tcPr>
            <w:tcW w:w="8221" w:type="dxa"/>
            <w:vAlign w:val="center"/>
          </w:tcPr>
          <w:p w14:paraId="399D9FE8"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Global Positioning System</w:t>
            </w:r>
          </w:p>
        </w:tc>
      </w:tr>
      <w:tr w:rsidR="004027B4" w:rsidRPr="00175D8B" w14:paraId="360D9A7F" w14:textId="77777777" w:rsidTr="00DF417A">
        <w:trPr>
          <w:trHeight w:val="397"/>
        </w:trPr>
        <w:tc>
          <w:tcPr>
            <w:tcW w:w="1555" w:type="dxa"/>
            <w:vAlign w:val="center"/>
          </w:tcPr>
          <w:p w14:paraId="45815BC4"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GW</w:t>
            </w:r>
          </w:p>
        </w:tc>
        <w:tc>
          <w:tcPr>
            <w:tcW w:w="8221" w:type="dxa"/>
            <w:vAlign w:val="center"/>
          </w:tcPr>
          <w:p w14:paraId="0EAA4B0B"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Groundwater</w:t>
            </w:r>
          </w:p>
        </w:tc>
      </w:tr>
      <w:tr w:rsidR="004027B4" w:rsidRPr="00175D8B" w14:paraId="34573370" w14:textId="77777777" w:rsidTr="00DF417A">
        <w:trPr>
          <w:trHeight w:val="397"/>
        </w:trPr>
        <w:tc>
          <w:tcPr>
            <w:tcW w:w="1555" w:type="dxa"/>
            <w:vAlign w:val="center"/>
          </w:tcPr>
          <w:p w14:paraId="42ECC823"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IFC</w:t>
            </w:r>
          </w:p>
        </w:tc>
        <w:tc>
          <w:tcPr>
            <w:tcW w:w="8221" w:type="dxa"/>
            <w:vAlign w:val="center"/>
          </w:tcPr>
          <w:p w14:paraId="10C6C3EE"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International Finance Cooperation</w:t>
            </w:r>
          </w:p>
        </w:tc>
      </w:tr>
      <w:tr w:rsidR="004027B4" w:rsidRPr="00175D8B" w14:paraId="1D16803C" w14:textId="77777777" w:rsidTr="00DF417A">
        <w:trPr>
          <w:trHeight w:val="397"/>
        </w:trPr>
        <w:tc>
          <w:tcPr>
            <w:tcW w:w="1555" w:type="dxa"/>
            <w:vAlign w:val="center"/>
          </w:tcPr>
          <w:p w14:paraId="105D2F73"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ILBANK</w:t>
            </w:r>
          </w:p>
        </w:tc>
        <w:tc>
          <w:tcPr>
            <w:tcW w:w="8221" w:type="dxa"/>
            <w:vAlign w:val="center"/>
          </w:tcPr>
          <w:p w14:paraId="61F2077F"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Bank of Provinces (İller Bankası A.Ş.)</w:t>
            </w:r>
          </w:p>
        </w:tc>
      </w:tr>
      <w:tr w:rsidR="004027B4" w:rsidRPr="00175D8B" w14:paraId="466B3099" w14:textId="77777777" w:rsidTr="00DF417A">
        <w:trPr>
          <w:trHeight w:val="397"/>
        </w:trPr>
        <w:tc>
          <w:tcPr>
            <w:tcW w:w="1555" w:type="dxa"/>
            <w:vAlign w:val="center"/>
          </w:tcPr>
          <w:p w14:paraId="03424342"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ILO</w:t>
            </w:r>
          </w:p>
        </w:tc>
        <w:tc>
          <w:tcPr>
            <w:tcW w:w="8221" w:type="dxa"/>
            <w:vAlign w:val="center"/>
          </w:tcPr>
          <w:p w14:paraId="201AFD11" w14:textId="77777777" w:rsidR="004027B4" w:rsidRPr="00175D8B" w:rsidRDefault="004027B4" w:rsidP="004027B4">
            <w:pPr>
              <w:spacing w:before="120" w:after="0"/>
              <w:rPr>
                <w:rFonts w:eastAsia="Aptos" w:cs="Aptos"/>
                <w:color w:val="FF0000"/>
                <w:sz w:val="20"/>
              </w:rPr>
            </w:pPr>
            <w:r w:rsidRPr="00175D8B">
              <w:rPr>
                <w:rFonts w:eastAsia="Aptos" w:cs="Aptos"/>
                <w:color w:val="000000" w:themeColor="text1"/>
                <w:sz w:val="20"/>
              </w:rPr>
              <w:t>International Labor Organization</w:t>
            </w:r>
          </w:p>
        </w:tc>
      </w:tr>
      <w:tr w:rsidR="004027B4" w:rsidRPr="00175D8B" w14:paraId="5FB6B0C9" w14:textId="77777777" w:rsidTr="00DF417A">
        <w:trPr>
          <w:trHeight w:val="397"/>
        </w:trPr>
        <w:tc>
          <w:tcPr>
            <w:tcW w:w="1555" w:type="dxa"/>
            <w:vAlign w:val="center"/>
          </w:tcPr>
          <w:p w14:paraId="193429A3"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KPI</w:t>
            </w:r>
          </w:p>
        </w:tc>
        <w:tc>
          <w:tcPr>
            <w:tcW w:w="8221" w:type="dxa"/>
            <w:vAlign w:val="center"/>
          </w:tcPr>
          <w:p w14:paraId="012E13B5"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Key Performance Indicator of the Implementation Regulation of Law No. 6306</w:t>
            </w:r>
          </w:p>
        </w:tc>
      </w:tr>
      <w:tr w:rsidR="004027B4" w:rsidRPr="00175D8B" w14:paraId="1B06496B" w14:textId="77777777" w:rsidTr="00DF417A">
        <w:trPr>
          <w:trHeight w:val="397"/>
        </w:trPr>
        <w:tc>
          <w:tcPr>
            <w:tcW w:w="1555" w:type="dxa"/>
            <w:vAlign w:val="center"/>
          </w:tcPr>
          <w:p w14:paraId="7EA90B66"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LMP</w:t>
            </w:r>
          </w:p>
        </w:tc>
        <w:tc>
          <w:tcPr>
            <w:tcW w:w="8221" w:type="dxa"/>
            <w:vAlign w:val="center"/>
          </w:tcPr>
          <w:p w14:paraId="36274170"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Labor Management Procedures</w:t>
            </w:r>
          </w:p>
        </w:tc>
      </w:tr>
      <w:tr w:rsidR="004027B4" w:rsidRPr="00175D8B" w14:paraId="228C4C01" w14:textId="77777777" w:rsidTr="00DF417A">
        <w:trPr>
          <w:trHeight w:val="397"/>
        </w:trPr>
        <w:tc>
          <w:tcPr>
            <w:tcW w:w="1555" w:type="dxa"/>
            <w:vAlign w:val="center"/>
          </w:tcPr>
          <w:p w14:paraId="5B3B5EA4"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MoEUCC</w:t>
            </w:r>
          </w:p>
        </w:tc>
        <w:tc>
          <w:tcPr>
            <w:tcW w:w="8221" w:type="dxa"/>
            <w:vAlign w:val="center"/>
          </w:tcPr>
          <w:p w14:paraId="0FAAB271"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Ministry of Environment, Urbanization and Climate Change</w:t>
            </w:r>
          </w:p>
        </w:tc>
      </w:tr>
      <w:tr w:rsidR="004027B4" w:rsidRPr="00175D8B" w14:paraId="7547EE2D" w14:textId="77777777" w:rsidTr="00DF417A">
        <w:trPr>
          <w:trHeight w:val="397"/>
        </w:trPr>
        <w:tc>
          <w:tcPr>
            <w:tcW w:w="1555" w:type="dxa"/>
            <w:vAlign w:val="center"/>
          </w:tcPr>
          <w:p w14:paraId="0828F38E" w14:textId="430E97BD" w:rsidR="004027B4" w:rsidRPr="00175D8B" w:rsidRDefault="004027B4" w:rsidP="004027B4">
            <w:pPr>
              <w:spacing w:before="120" w:after="0"/>
              <w:rPr>
                <w:rFonts w:eastAsia="Aptos" w:cs="Aptos"/>
                <w:color w:val="000000" w:themeColor="text1"/>
                <w:sz w:val="20"/>
              </w:rPr>
            </w:pPr>
            <w:r w:rsidRPr="00175D8B">
              <w:rPr>
                <w:sz w:val="20"/>
                <w:szCs w:val="20"/>
              </w:rPr>
              <w:t>MoH</w:t>
            </w:r>
          </w:p>
        </w:tc>
        <w:tc>
          <w:tcPr>
            <w:tcW w:w="8221" w:type="dxa"/>
            <w:vAlign w:val="center"/>
          </w:tcPr>
          <w:p w14:paraId="26145685" w14:textId="21E0069A" w:rsidR="004027B4" w:rsidRPr="00175D8B" w:rsidRDefault="004027B4" w:rsidP="004027B4">
            <w:pPr>
              <w:spacing w:before="120" w:after="0"/>
              <w:rPr>
                <w:rFonts w:eastAsia="Aptos" w:cs="Aptos"/>
                <w:color w:val="000000" w:themeColor="text1"/>
                <w:sz w:val="20"/>
              </w:rPr>
            </w:pPr>
            <w:r w:rsidRPr="00175D8B">
              <w:rPr>
                <w:sz w:val="20"/>
                <w:szCs w:val="20"/>
              </w:rPr>
              <w:t>Ministry of Health</w:t>
            </w:r>
          </w:p>
        </w:tc>
      </w:tr>
      <w:tr w:rsidR="004027B4" w:rsidRPr="00175D8B" w14:paraId="6EE300F7" w14:textId="77777777" w:rsidTr="00DF417A">
        <w:trPr>
          <w:trHeight w:val="397"/>
        </w:trPr>
        <w:tc>
          <w:tcPr>
            <w:tcW w:w="1555" w:type="dxa"/>
            <w:vAlign w:val="center"/>
          </w:tcPr>
          <w:p w14:paraId="7B4C899E"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MoLSS</w:t>
            </w:r>
          </w:p>
        </w:tc>
        <w:tc>
          <w:tcPr>
            <w:tcW w:w="8221" w:type="dxa"/>
            <w:vAlign w:val="center"/>
          </w:tcPr>
          <w:p w14:paraId="424868A3"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Ministry of Labor and Social Security</w:t>
            </w:r>
          </w:p>
        </w:tc>
      </w:tr>
      <w:tr w:rsidR="004027B4" w:rsidRPr="00175D8B" w14:paraId="20857251" w14:textId="77777777" w:rsidTr="00DF417A">
        <w:trPr>
          <w:trHeight w:val="397"/>
        </w:trPr>
        <w:tc>
          <w:tcPr>
            <w:tcW w:w="1555" w:type="dxa"/>
            <w:vAlign w:val="center"/>
          </w:tcPr>
          <w:p w14:paraId="39F0E58A"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NDELV</w:t>
            </w:r>
          </w:p>
        </w:tc>
        <w:tc>
          <w:tcPr>
            <w:tcW w:w="8221" w:type="dxa"/>
            <w:vAlign w:val="center"/>
          </w:tcPr>
          <w:p w14:paraId="69A2AAF5"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Number of Days Exceeding the Limit Value</w:t>
            </w:r>
          </w:p>
        </w:tc>
      </w:tr>
      <w:tr w:rsidR="004027B4" w:rsidRPr="00175D8B" w14:paraId="72BC2EFA" w14:textId="77777777" w:rsidTr="00DF417A">
        <w:trPr>
          <w:trHeight w:val="397"/>
        </w:trPr>
        <w:tc>
          <w:tcPr>
            <w:tcW w:w="1555" w:type="dxa"/>
            <w:vAlign w:val="center"/>
          </w:tcPr>
          <w:p w14:paraId="3A7F43D3"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O.G.</w:t>
            </w:r>
          </w:p>
        </w:tc>
        <w:tc>
          <w:tcPr>
            <w:tcW w:w="8221" w:type="dxa"/>
            <w:vAlign w:val="center"/>
          </w:tcPr>
          <w:p w14:paraId="3F59CA8C"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Official Gazette</w:t>
            </w:r>
          </w:p>
        </w:tc>
      </w:tr>
      <w:tr w:rsidR="004027B4" w:rsidRPr="00175D8B" w14:paraId="446DC015" w14:textId="77777777" w:rsidTr="00DF417A">
        <w:trPr>
          <w:trHeight w:val="397"/>
        </w:trPr>
        <w:tc>
          <w:tcPr>
            <w:tcW w:w="1555" w:type="dxa"/>
            <w:vAlign w:val="center"/>
          </w:tcPr>
          <w:p w14:paraId="38633005"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OHS</w:t>
            </w:r>
          </w:p>
        </w:tc>
        <w:tc>
          <w:tcPr>
            <w:tcW w:w="8221" w:type="dxa"/>
            <w:vAlign w:val="center"/>
          </w:tcPr>
          <w:p w14:paraId="50360BC1"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Occupational Health and Safety</w:t>
            </w:r>
          </w:p>
        </w:tc>
      </w:tr>
      <w:tr w:rsidR="004027B4" w:rsidRPr="00175D8B" w14:paraId="5CEC572F" w14:textId="77777777" w:rsidTr="00DF417A">
        <w:trPr>
          <w:trHeight w:val="397"/>
        </w:trPr>
        <w:tc>
          <w:tcPr>
            <w:tcW w:w="1555" w:type="dxa"/>
            <w:vAlign w:val="center"/>
          </w:tcPr>
          <w:p w14:paraId="416EBEB8"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OIZ</w:t>
            </w:r>
          </w:p>
        </w:tc>
        <w:tc>
          <w:tcPr>
            <w:tcW w:w="8221" w:type="dxa"/>
            <w:vAlign w:val="center"/>
          </w:tcPr>
          <w:p w14:paraId="5097718F"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Organized Industrial Zone</w:t>
            </w:r>
          </w:p>
        </w:tc>
      </w:tr>
      <w:tr w:rsidR="004027B4" w:rsidRPr="00175D8B" w14:paraId="0D10BA1D" w14:textId="77777777" w:rsidTr="00DF417A">
        <w:trPr>
          <w:trHeight w:val="397"/>
        </w:trPr>
        <w:tc>
          <w:tcPr>
            <w:tcW w:w="1555" w:type="dxa"/>
            <w:vAlign w:val="center"/>
          </w:tcPr>
          <w:p w14:paraId="71D996EA"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PDO</w:t>
            </w:r>
          </w:p>
        </w:tc>
        <w:tc>
          <w:tcPr>
            <w:tcW w:w="8221" w:type="dxa"/>
            <w:vAlign w:val="center"/>
          </w:tcPr>
          <w:p w14:paraId="437F7DFA"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Project Development Objective</w:t>
            </w:r>
          </w:p>
        </w:tc>
      </w:tr>
      <w:tr w:rsidR="004027B4" w:rsidRPr="00175D8B" w14:paraId="2EA1C51E" w14:textId="77777777" w:rsidTr="00DF417A">
        <w:trPr>
          <w:trHeight w:val="397"/>
        </w:trPr>
        <w:tc>
          <w:tcPr>
            <w:tcW w:w="1555" w:type="dxa"/>
            <w:vAlign w:val="center"/>
          </w:tcPr>
          <w:p w14:paraId="55C0994A"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PIF</w:t>
            </w:r>
          </w:p>
        </w:tc>
        <w:tc>
          <w:tcPr>
            <w:tcW w:w="8221" w:type="dxa"/>
            <w:vAlign w:val="center"/>
          </w:tcPr>
          <w:p w14:paraId="58C592E8"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Project Introduction File</w:t>
            </w:r>
          </w:p>
        </w:tc>
      </w:tr>
      <w:tr w:rsidR="004027B4" w:rsidRPr="00175D8B" w14:paraId="0C97FAAE" w14:textId="77777777" w:rsidTr="00DF417A">
        <w:trPr>
          <w:trHeight w:val="397"/>
        </w:trPr>
        <w:tc>
          <w:tcPr>
            <w:tcW w:w="1555" w:type="dxa"/>
            <w:vAlign w:val="center"/>
          </w:tcPr>
          <w:p w14:paraId="0F13ECE3"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PM10</w:t>
            </w:r>
          </w:p>
        </w:tc>
        <w:tc>
          <w:tcPr>
            <w:tcW w:w="8221" w:type="dxa"/>
            <w:vAlign w:val="center"/>
          </w:tcPr>
          <w:p w14:paraId="0A7383E7"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Particulate Matter (with diameter ≤ 10 µm)</w:t>
            </w:r>
          </w:p>
        </w:tc>
      </w:tr>
      <w:tr w:rsidR="004027B4" w:rsidRPr="00175D8B" w14:paraId="2EAF1F0D" w14:textId="77777777" w:rsidTr="00DF417A">
        <w:trPr>
          <w:trHeight w:val="397"/>
        </w:trPr>
        <w:tc>
          <w:tcPr>
            <w:tcW w:w="1555" w:type="dxa"/>
          </w:tcPr>
          <w:p w14:paraId="3D789CCF"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 xml:space="preserve">PAP </w:t>
            </w:r>
          </w:p>
        </w:tc>
        <w:tc>
          <w:tcPr>
            <w:tcW w:w="8221" w:type="dxa"/>
          </w:tcPr>
          <w:p w14:paraId="5724827F"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 xml:space="preserve">Project Affected Person </w:t>
            </w:r>
          </w:p>
        </w:tc>
      </w:tr>
      <w:tr w:rsidR="004027B4" w:rsidRPr="00175D8B" w14:paraId="5BBAEFCC" w14:textId="77777777" w:rsidTr="00DF417A">
        <w:trPr>
          <w:trHeight w:val="397"/>
        </w:trPr>
        <w:tc>
          <w:tcPr>
            <w:tcW w:w="1555" w:type="dxa"/>
            <w:vAlign w:val="center"/>
          </w:tcPr>
          <w:p w14:paraId="0F46F231"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PPE</w:t>
            </w:r>
          </w:p>
        </w:tc>
        <w:tc>
          <w:tcPr>
            <w:tcW w:w="8221" w:type="dxa"/>
            <w:vAlign w:val="center"/>
          </w:tcPr>
          <w:p w14:paraId="2FC60BAE"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Personal Protective Equipment</w:t>
            </w:r>
          </w:p>
        </w:tc>
      </w:tr>
      <w:tr w:rsidR="004027B4" w:rsidRPr="00175D8B" w14:paraId="78DCA9FD" w14:textId="77777777" w:rsidTr="00DF417A">
        <w:trPr>
          <w:trHeight w:val="397"/>
        </w:trPr>
        <w:tc>
          <w:tcPr>
            <w:tcW w:w="1555" w:type="dxa"/>
            <w:vAlign w:val="center"/>
          </w:tcPr>
          <w:p w14:paraId="2D8E39EE"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PMU</w:t>
            </w:r>
          </w:p>
        </w:tc>
        <w:tc>
          <w:tcPr>
            <w:tcW w:w="8221" w:type="dxa"/>
            <w:vAlign w:val="center"/>
          </w:tcPr>
          <w:p w14:paraId="44512A9D"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Project Management Unit</w:t>
            </w:r>
          </w:p>
        </w:tc>
      </w:tr>
      <w:tr w:rsidR="004027B4" w:rsidRPr="00175D8B" w14:paraId="09B00D1D" w14:textId="77777777" w:rsidTr="00DF417A">
        <w:trPr>
          <w:trHeight w:val="397"/>
        </w:trPr>
        <w:tc>
          <w:tcPr>
            <w:tcW w:w="1555" w:type="dxa"/>
            <w:vAlign w:val="center"/>
          </w:tcPr>
          <w:p w14:paraId="447250C3"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Project</w:t>
            </w:r>
          </w:p>
        </w:tc>
        <w:tc>
          <w:tcPr>
            <w:tcW w:w="8221" w:type="dxa"/>
            <w:vAlign w:val="center"/>
          </w:tcPr>
          <w:p w14:paraId="70911A6F"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Climate and Disaster Resilient Cities Project</w:t>
            </w:r>
          </w:p>
        </w:tc>
      </w:tr>
      <w:tr w:rsidR="004027B4" w:rsidRPr="00175D8B" w14:paraId="0F69162B" w14:textId="77777777" w:rsidTr="00DF417A">
        <w:trPr>
          <w:trHeight w:val="397"/>
        </w:trPr>
        <w:tc>
          <w:tcPr>
            <w:tcW w:w="1555" w:type="dxa"/>
            <w:vAlign w:val="center"/>
          </w:tcPr>
          <w:p w14:paraId="41F3BD85"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RF</w:t>
            </w:r>
          </w:p>
        </w:tc>
        <w:tc>
          <w:tcPr>
            <w:tcW w:w="8221" w:type="dxa"/>
            <w:vAlign w:val="center"/>
          </w:tcPr>
          <w:p w14:paraId="3EBA62B2"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Resettlement Framework</w:t>
            </w:r>
          </w:p>
        </w:tc>
      </w:tr>
      <w:tr w:rsidR="004027B4" w:rsidRPr="00175D8B" w14:paraId="53CF6A23" w14:textId="77777777" w:rsidTr="00DF417A">
        <w:trPr>
          <w:trHeight w:val="397"/>
        </w:trPr>
        <w:tc>
          <w:tcPr>
            <w:tcW w:w="1555" w:type="dxa"/>
            <w:vAlign w:val="center"/>
          </w:tcPr>
          <w:p w14:paraId="4D841862"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lastRenderedPageBreak/>
              <w:t>RP</w:t>
            </w:r>
          </w:p>
        </w:tc>
        <w:tc>
          <w:tcPr>
            <w:tcW w:w="8221" w:type="dxa"/>
            <w:vAlign w:val="center"/>
          </w:tcPr>
          <w:p w14:paraId="5FA83A3F"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Resettlement Plan</w:t>
            </w:r>
          </w:p>
        </w:tc>
      </w:tr>
      <w:tr w:rsidR="004027B4" w:rsidRPr="00175D8B" w14:paraId="6D556F87" w14:textId="77777777" w:rsidTr="00DF417A">
        <w:trPr>
          <w:trHeight w:val="397"/>
        </w:trPr>
        <w:tc>
          <w:tcPr>
            <w:tcW w:w="1555" w:type="dxa"/>
            <w:vAlign w:val="center"/>
          </w:tcPr>
          <w:p w14:paraId="5727A617"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SAIS</w:t>
            </w:r>
          </w:p>
        </w:tc>
        <w:tc>
          <w:tcPr>
            <w:tcW w:w="8221" w:type="dxa"/>
            <w:vAlign w:val="center"/>
          </w:tcPr>
          <w:p w14:paraId="271BB758"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 xml:space="preserve">Communiqué on Continuous Wastewater Monitoring Systems </w:t>
            </w:r>
          </w:p>
        </w:tc>
      </w:tr>
      <w:tr w:rsidR="004027B4" w:rsidRPr="00175D8B" w14:paraId="4A9451CD" w14:textId="77777777" w:rsidTr="00DF417A">
        <w:trPr>
          <w:trHeight w:val="397"/>
        </w:trPr>
        <w:tc>
          <w:tcPr>
            <w:tcW w:w="1555" w:type="dxa"/>
            <w:vAlign w:val="center"/>
          </w:tcPr>
          <w:p w14:paraId="01A46F9B"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SEA/SH</w:t>
            </w:r>
          </w:p>
        </w:tc>
        <w:tc>
          <w:tcPr>
            <w:tcW w:w="8221" w:type="dxa"/>
            <w:vAlign w:val="center"/>
          </w:tcPr>
          <w:p w14:paraId="1C5A2D9B"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Sexual Exploitation and Abuse / Sexual Harassment</w:t>
            </w:r>
          </w:p>
        </w:tc>
      </w:tr>
      <w:tr w:rsidR="004027B4" w:rsidRPr="00175D8B" w14:paraId="6F6ED25C" w14:textId="77777777" w:rsidTr="00DF417A">
        <w:trPr>
          <w:trHeight w:val="397"/>
        </w:trPr>
        <w:tc>
          <w:tcPr>
            <w:tcW w:w="1555" w:type="dxa"/>
            <w:vAlign w:val="center"/>
          </w:tcPr>
          <w:p w14:paraId="7EE52FE6" w14:textId="01BB5016" w:rsidR="004027B4" w:rsidRPr="00175D8B" w:rsidRDefault="004027B4" w:rsidP="004027B4">
            <w:pPr>
              <w:spacing w:before="120" w:after="0"/>
              <w:rPr>
                <w:rFonts w:eastAsia="Aptos" w:cs="Aptos"/>
                <w:color w:val="000000" w:themeColor="text1"/>
                <w:sz w:val="20"/>
              </w:rPr>
            </w:pPr>
            <w:r w:rsidRPr="00175D8B">
              <w:rPr>
                <w:sz w:val="20"/>
                <w:szCs w:val="20"/>
              </w:rPr>
              <w:t>SEGE</w:t>
            </w:r>
          </w:p>
        </w:tc>
        <w:tc>
          <w:tcPr>
            <w:tcW w:w="8221" w:type="dxa"/>
            <w:vAlign w:val="center"/>
          </w:tcPr>
          <w:p w14:paraId="396B9639" w14:textId="09FC1CBC" w:rsidR="004027B4" w:rsidRPr="00175D8B" w:rsidRDefault="004027B4" w:rsidP="004027B4">
            <w:pPr>
              <w:spacing w:before="120" w:after="0"/>
              <w:rPr>
                <w:rFonts w:eastAsia="Aptos" w:cs="Aptos"/>
                <w:color w:val="000000" w:themeColor="text1"/>
                <w:sz w:val="20"/>
              </w:rPr>
            </w:pPr>
            <w:r w:rsidRPr="00175D8B">
              <w:rPr>
                <w:sz w:val="20"/>
                <w:szCs w:val="20"/>
              </w:rPr>
              <w:t>Socio-Economic Development Index</w:t>
            </w:r>
          </w:p>
        </w:tc>
      </w:tr>
      <w:tr w:rsidR="004027B4" w:rsidRPr="00175D8B" w14:paraId="6A16A17C" w14:textId="77777777" w:rsidTr="00DF417A">
        <w:trPr>
          <w:trHeight w:val="397"/>
        </w:trPr>
        <w:tc>
          <w:tcPr>
            <w:tcW w:w="1555" w:type="dxa"/>
            <w:vAlign w:val="center"/>
          </w:tcPr>
          <w:p w14:paraId="3712F72F"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SEP</w:t>
            </w:r>
          </w:p>
        </w:tc>
        <w:tc>
          <w:tcPr>
            <w:tcW w:w="8221" w:type="dxa"/>
            <w:vAlign w:val="center"/>
          </w:tcPr>
          <w:p w14:paraId="6DA18FCD"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Stakeholder Engagement Plan</w:t>
            </w:r>
          </w:p>
        </w:tc>
      </w:tr>
      <w:tr w:rsidR="004027B4" w:rsidRPr="00175D8B" w14:paraId="4DDCD350" w14:textId="77777777" w:rsidTr="00DF417A">
        <w:trPr>
          <w:trHeight w:val="397"/>
        </w:trPr>
        <w:tc>
          <w:tcPr>
            <w:tcW w:w="1555" w:type="dxa"/>
            <w:vAlign w:val="center"/>
          </w:tcPr>
          <w:p w14:paraId="5DE3036B"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SSK</w:t>
            </w:r>
          </w:p>
        </w:tc>
        <w:tc>
          <w:tcPr>
            <w:tcW w:w="8221" w:type="dxa"/>
            <w:vAlign w:val="center"/>
          </w:tcPr>
          <w:p w14:paraId="69070878"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Social Insurance Institution</w:t>
            </w:r>
          </w:p>
        </w:tc>
      </w:tr>
      <w:tr w:rsidR="004027B4" w:rsidRPr="00175D8B" w14:paraId="690421F9" w14:textId="77777777" w:rsidTr="00DF417A">
        <w:trPr>
          <w:trHeight w:val="397"/>
        </w:trPr>
        <w:tc>
          <w:tcPr>
            <w:tcW w:w="1555" w:type="dxa"/>
            <w:vAlign w:val="center"/>
          </w:tcPr>
          <w:p w14:paraId="2BA3773C"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SuTP</w:t>
            </w:r>
          </w:p>
        </w:tc>
        <w:tc>
          <w:tcPr>
            <w:tcW w:w="8221" w:type="dxa"/>
            <w:vAlign w:val="center"/>
          </w:tcPr>
          <w:p w14:paraId="3922041A"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Syrians under Temporary Protection</w:t>
            </w:r>
          </w:p>
        </w:tc>
      </w:tr>
      <w:tr w:rsidR="004027B4" w:rsidRPr="00175D8B" w14:paraId="62A1E52F" w14:textId="77777777" w:rsidTr="00DF417A">
        <w:trPr>
          <w:trHeight w:val="397"/>
        </w:trPr>
        <w:tc>
          <w:tcPr>
            <w:tcW w:w="1555" w:type="dxa"/>
            <w:vAlign w:val="center"/>
          </w:tcPr>
          <w:p w14:paraId="5E984710" w14:textId="1ADF66C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SASSKİ</w:t>
            </w:r>
          </w:p>
        </w:tc>
        <w:tc>
          <w:tcPr>
            <w:tcW w:w="8221" w:type="dxa"/>
            <w:vAlign w:val="center"/>
          </w:tcPr>
          <w:p w14:paraId="12EB2973" w14:textId="19CAC97A"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Sakarya Water and Sewerage Administration General Directorate</w:t>
            </w:r>
          </w:p>
        </w:tc>
      </w:tr>
      <w:tr w:rsidR="004027B4" w:rsidRPr="00175D8B" w14:paraId="181AF6C6" w14:textId="77777777" w:rsidTr="00DF417A">
        <w:trPr>
          <w:trHeight w:val="397"/>
        </w:trPr>
        <w:tc>
          <w:tcPr>
            <w:tcW w:w="1555" w:type="dxa"/>
            <w:vAlign w:val="center"/>
          </w:tcPr>
          <w:p w14:paraId="77E2360E"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TOKİ</w:t>
            </w:r>
          </w:p>
        </w:tc>
        <w:tc>
          <w:tcPr>
            <w:tcW w:w="8221" w:type="dxa"/>
            <w:vAlign w:val="center"/>
          </w:tcPr>
          <w:p w14:paraId="3C40AC33"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 xml:space="preserve">Directorate of Housing Development Administration </w:t>
            </w:r>
          </w:p>
        </w:tc>
      </w:tr>
      <w:tr w:rsidR="004027B4" w:rsidRPr="00175D8B" w14:paraId="077885B5" w14:textId="77777777" w:rsidTr="00DF417A">
        <w:trPr>
          <w:trHeight w:val="397"/>
        </w:trPr>
        <w:tc>
          <w:tcPr>
            <w:tcW w:w="1555" w:type="dxa"/>
            <w:vAlign w:val="center"/>
          </w:tcPr>
          <w:p w14:paraId="5D79C007"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TurkStat</w:t>
            </w:r>
          </w:p>
        </w:tc>
        <w:tc>
          <w:tcPr>
            <w:tcW w:w="8221" w:type="dxa"/>
            <w:vAlign w:val="center"/>
          </w:tcPr>
          <w:p w14:paraId="22C8ABEE"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Turkish Statistical Institute</w:t>
            </w:r>
          </w:p>
        </w:tc>
      </w:tr>
      <w:tr w:rsidR="004027B4" w:rsidRPr="00175D8B" w14:paraId="7C81A5AA" w14:textId="77777777" w:rsidTr="00DF417A">
        <w:trPr>
          <w:trHeight w:val="397"/>
        </w:trPr>
        <w:tc>
          <w:tcPr>
            <w:tcW w:w="1555" w:type="dxa"/>
            <w:vAlign w:val="center"/>
          </w:tcPr>
          <w:p w14:paraId="1A49C094" w14:textId="71C1C744" w:rsidR="004027B4" w:rsidRPr="00175D8B" w:rsidRDefault="004027B4" w:rsidP="004027B4">
            <w:pPr>
              <w:spacing w:before="120" w:after="0"/>
              <w:rPr>
                <w:rFonts w:eastAsia="Aptos" w:cs="Aptos"/>
                <w:color w:val="000000" w:themeColor="text1"/>
                <w:sz w:val="20"/>
              </w:rPr>
            </w:pPr>
            <w:r w:rsidRPr="00175D8B">
              <w:rPr>
                <w:sz w:val="20"/>
                <w:szCs w:val="20"/>
              </w:rPr>
              <w:t>UNESCO</w:t>
            </w:r>
          </w:p>
        </w:tc>
        <w:tc>
          <w:tcPr>
            <w:tcW w:w="8221" w:type="dxa"/>
            <w:vAlign w:val="center"/>
          </w:tcPr>
          <w:p w14:paraId="1A6DAC8F" w14:textId="3206722A" w:rsidR="004027B4" w:rsidRPr="00175D8B" w:rsidRDefault="004027B4" w:rsidP="004027B4">
            <w:pPr>
              <w:spacing w:before="120" w:after="0"/>
              <w:rPr>
                <w:rFonts w:eastAsia="Aptos" w:cs="Aptos"/>
                <w:color w:val="000000" w:themeColor="text1"/>
                <w:sz w:val="20"/>
              </w:rPr>
            </w:pPr>
            <w:r w:rsidRPr="00175D8B">
              <w:rPr>
                <w:sz w:val="20"/>
                <w:szCs w:val="20"/>
              </w:rPr>
              <w:t>United Nations Educational, Scientific and Cultural Organization</w:t>
            </w:r>
          </w:p>
        </w:tc>
      </w:tr>
      <w:tr w:rsidR="004027B4" w:rsidRPr="00175D8B" w14:paraId="58D3D403" w14:textId="77777777" w:rsidTr="00DF417A">
        <w:trPr>
          <w:trHeight w:val="397"/>
        </w:trPr>
        <w:tc>
          <w:tcPr>
            <w:tcW w:w="1555" w:type="dxa"/>
            <w:vAlign w:val="center"/>
          </w:tcPr>
          <w:p w14:paraId="35AE25BB"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UTP</w:t>
            </w:r>
          </w:p>
        </w:tc>
        <w:tc>
          <w:tcPr>
            <w:tcW w:w="8221" w:type="dxa"/>
            <w:vAlign w:val="center"/>
          </w:tcPr>
          <w:p w14:paraId="74EA3A84"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Urban Transformation Presidency</w:t>
            </w:r>
          </w:p>
        </w:tc>
      </w:tr>
      <w:tr w:rsidR="004027B4" w:rsidRPr="00175D8B" w14:paraId="238C77A6" w14:textId="77777777" w:rsidTr="00DF417A">
        <w:trPr>
          <w:trHeight w:val="397"/>
        </w:trPr>
        <w:tc>
          <w:tcPr>
            <w:tcW w:w="1555" w:type="dxa"/>
            <w:vAlign w:val="center"/>
          </w:tcPr>
          <w:p w14:paraId="51794CE2"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WB</w:t>
            </w:r>
          </w:p>
        </w:tc>
        <w:tc>
          <w:tcPr>
            <w:tcW w:w="8221" w:type="dxa"/>
            <w:vAlign w:val="center"/>
          </w:tcPr>
          <w:p w14:paraId="3587531E"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World Bank</w:t>
            </w:r>
          </w:p>
        </w:tc>
      </w:tr>
      <w:tr w:rsidR="004027B4" w:rsidRPr="00175D8B" w14:paraId="0C4C8C65" w14:textId="77777777" w:rsidTr="00DF417A">
        <w:trPr>
          <w:trHeight w:val="397"/>
        </w:trPr>
        <w:tc>
          <w:tcPr>
            <w:tcW w:w="1555" w:type="dxa"/>
            <w:vAlign w:val="center"/>
          </w:tcPr>
          <w:p w14:paraId="5ED6D54C"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WBG</w:t>
            </w:r>
          </w:p>
        </w:tc>
        <w:tc>
          <w:tcPr>
            <w:tcW w:w="8221" w:type="dxa"/>
            <w:vAlign w:val="center"/>
          </w:tcPr>
          <w:p w14:paraId="72C1B513"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World Bank Group</w:t>
            </w:r>
          </w:p>
        </w:tc>
      </w:tr>
      <w:tr w:rsidR="004027B4" w:rsidRPr="00175D8B" w14:paraId="58C5012B" w14:textId="77777777" w:rsidTr="00DF417A">
        <w:trPr>
          <w:trHeight w:val="397"/>
        </w:trPr>
        <w:tc>
          <w:tcPr>
            <w:tcW w:w="1555" w:type="dxa"/>
            <w:vAlign w:val="center"/>
          </w:tcPr>
          <w:p w14:paraId="6FB2C725"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WHO</w:t>
            </w:r>
          </w:p>
        </w:tc>
        <w:tc>
          <w:tcPr>
            <w:tcW w:w="8221" w:type="dxa"/>
            <w:vAlign w:val="center"/>
          </w:tcPr>
          <w:p w14:paraId="388EC915"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World Health Organization</w:t>
            </w:r>
          </w:p>
        </w:tc>
      </w:tr>
      <w:tr w:rsidR="004027B4" w:rsidRPr="00175D8B" w14:paraId="3B4E4906" w14:textId="77777777" w:rsidTr="00DF417A">
        <w:trPr>
          <w:trHeight w:val="397"/>
        </w:trPr>
        <w:tc>
          <w:tcPr>
            <w:tcW w:w="1555" w:type="dxa"/>
            <w:vAlign w:val="center"/>
          </w:tcPr>
          <w:p w14:paraId="18CAC6F5" w14:textId="77777777"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WWTP</w:t>
            </w:r>
          </w:p>
        </w:tc>
        <w:tc>
          <w:tcPr>
            <w:tcW w:w="8221" w:type="dxa"/>
            <w:vAlign w:val="center"/>
          </w:tcPr>
          <w:p w14:paraId="363F73E8" w14:textId="5E1A8D2F" w:rsidR="004027B4" w:rsidRPr="00175D8B" w:rsidRDefault="004027B4" w:rsidP="004027B4">
            <w:pPr>
              <w:spacing w:before="120" w:after="0"/>
              <w:rPr>
                <w:rFonts w:eastAsia="Aptos" w:cs="Aptos"/>
                <w:color w:val="000000" w:themeColor="text1"/>
                <w:sz w:val="20"/>
              </w:rPr>
            </w:pPr>
            <w:r w:rsidRPr="00175D8B">
              <w:rPr>
                <w:rFonts w:eastAsia="Aptos" w:cs="Aptos"/>
                <w:color w:val="000000" w:themeColor="text1"/>
                <w:sz w:val="20"/>
              </w:rPr>
              <w:t>Waste Water Treatment Plan</w:t>
            </w:r>
            <w:r w:rsidR="00BB110A" w:rsidRPr="00175D8B">
              <w:rPr>
                <w:rFonts w:eastAsia="Aptos" w:cs="Aptos"/>
                <w:color w:val="000000" w:themeColor="text1"/>
                <w:sz w:val="20"/>
              </w:rPr>
              <w:t>t</w:t>
            </w:r>
          </w:p>
        </w:tc>
      </w:tr>
    </w:tbl>
    <w:p w14:paraId="4554386E" w14:textId="77777777" w:rsidR="00C65B01" w:rsidRPr="00175D8B" w:rsidRDefault="00C65B01" w:rsidP="00C65B01">
      <w:pPr>
        <w:spacing w:before="120" w:after="0" w:line="278" w:lineRule="auto"/>
        <w:rPr>
          <w:rFonts w:eastAsia="Aptos" w:cs="Aptos"/>
          <w:color w:val="000000" w:themeColor="text1"/>
          <w:szCs w:val="22"/>
        </w:rPr>
      </w:pPr>
    </w:p>
    <w:p w14:paraId="4B05B837" w14:textId="77777777" w:rsidR="00C65B01" w:rsidRPr="00175D8B" w:rsidRDefault="00C65B01" w:rsidP="00C65B01">
      <w:pPr>
        <w:spacing w:before="120" w:after="0" w:line="278" w:lineRule="auto"/>
        <w:jc w:val="left"/>
        <w:rPr>
          <w:rFonts w:eastAsia="Aptos" w:cs="Aptos"/>
          <w:b/>
          <w:bCs/>
          <w:color w:val="000000" w:themeColor="text1"/>
          <w:szCs w:val="22"/>
        </w:rPr>
      </w:pPr>
      <w:r w:rsidRPr="00175D8B">
        <w:rPr>
          <w:rFonts w:eastAsia="Aptos" w:cs="Aptos"/>
          <w:b/>
          <w:bCs/>
          <w:color w:val="000000" w:themeColor="text1"/>
          <w:szCs w:val="22"/>
        </w:rPr>
        <w:br w:type="page"/>
      </w:r>
    </w:p>
    <w:p w14:paraId="05A7257C" w14:textId="156C8852" w:rsidR="005A424A" w:rsidRPr="00175D8B" w:rsidRDefault="00FF064E">
      <w:pPr>
        <w:pStyle w:val="Balk1"/>
        <w:numPr>
          <w:ilvl w:val="0"/>
          <w:numId w:val="1"/>
        </w:numPr>
        <w:rPr>
          <w:b/>
          <w:sz w:val="28"/>
        </w:rPr>
      </w:pPr>
      <w:bookmarkStart w:id="0" w:name="_Toc212541845"/>
      <w:bookmarkStart w:id="1" w:name="_Toc212542356"/>
      <w:bookmarkStart w:id="2" w:name="_Toc220672767"/>
      <w:r w:rsidRPr="00175D8B">
        <w:rPr>
          <w:b/>
          <w:sz w:val="28"/>
        </w:rPr>
        <w:lastRenderedPageBreak/>
        <w:t>PROJECT DESCRIPTION</w:t>
      </w:r>
      <w:bookmarkEnd w:id="0"/>
      <w:bookmarkEnd w:id="1"/>
      <w:bookmarkEnd w:id="2"/>
    </w:p>
    <w:p w14:paraId="79AA5675" w14:textId="67835D3A" w:rsidR="00FF064E" w:rsidRPr="00175D8B" w:rsidRDefault="00FF064E" w:rsidP="007E1FEA">
      <w:r w:rsidRPr="00175D8B">
        <w:t>The Climate and Disaster Resilient Cities (CDRC) Project</w:t>
      </w:r>
      <w:r w:rsidR="00B73577" w:rsidRPr="00175D8B">
        <w:rPr>
          <w:rStyle w:val="DipnotBavurusu"/>
        </w:rPr>
        <w:footnoteReference w:id="1"/>
      </w:r>
      <w:r w:rsidRPr="00175D8B">
        <w:t>, funded by the World Bank, aims to enhance access to seismic and climate resilient housing, urban infrastructure, and services in selected provinces in Türkiye. This Project will support the Government of Türkiye (GT) in tackling the challenges related to climate and disaster resilient housing and infrastructure interventions, focusing on the provinces of Istanbul, Izmir, Kocaeli, Sakarya, Kahramanmara</w:t>
      </w:r>
      <w:r w:rsidR="007E1FEA" w:rsidRPr="00175D8B">
        <w:t>ş</w:t>
      </w:r>
      <w:r w:rsidRPr="00175D8B">
        <w:t>, Manisa and Tekirda</w:t>
      </w:r>
      <w:r w:rsidR="007E1FEA" w:rsidRPr="00175D8B">
        <w:t>ğ</w:t>
      </w:r>
      <w:r w:rsidRPr="00175D8B">
        <w:t>. These provinces were selected as all are highly vulnerable to the impacts of natural hazards and climate change such as flooding, drought, and heat waves; and, most importantly, all are located in areas with high seismic risk.</w:t>
      </w:r>
    </w:p>
    <w:p w14:paraId="402EFC84" w14:textId="659A271F" w:rsidR="00FF064E" w:rsidRPr="00175D8B" w:rsidRDefault="00FF064E" w:rsidP="007E1FEA">
      <w:r w:rsidRPr="00175D8B">
        <w:t>The Project includes five components with different implementing agencies:</w:t>
      </w:r>
    </w:p>
    <w:p w14:paraId="5E4909F9" w14:textId="0B3FD094" w:rsidR="00FF064E" w:rsidRPr="00175D8B" w:rsidRDefault="00FF064E" w:rsidP="00877B62">
      <w:pPr>
        <w:pStyle w:val="ListeParagraf"/>
        <w:numPr>
          <w:ilvl w:val="0"/>
          <w:numId w:val="3"/>
        </w:numPr>
      </w:pPr>
      <w:r w:rsidRPr="00175D8B">
        <w:t>Component 1: Institutional strengthening to enable conditions for urban resilience (Urban Transformation Presidency (UTP)</w:t>
      </w:r>
      <w:r w:rsidR="00B73577" w:rsidRPr="00175D8B">
        <w:rPr>
          <w:rStyle w:val="DipnotBavurusu"/>
        </w:rPr>
        <w:footnoteReference w:id="2"/>
      </w:r>
      <w:r w:rsidRPr="00175D8B">
        <w:t xml:space="preserve">, Ministry of Environment, Urbanization and Climate Change [MoEUCC]) </w:t>
      </w:r>
    </w:p>
    <w:p w14:paraId="33107870" w14:textId="6AFA668E" w:rsidR="00FF064E" w:rsidRPr="00175D8B" w:rsidRDefault="00FF064E" w:rsidP="00877B62">
      <w:pPr>
        <w:pStyle w:val="ListeParagraf"/>
        <w:numPr>
          <w:ilvl w:val="0"/>
          <w:numId w:val="3"/>
        </w:numPr>
      </w:pPr>
      <w:r w:rsidRPr="00175D8B">
        <w:t>Component 2: Expanding access to resilient housing (UTP, MoEUCC)</w:t>
      </w:r>
    </w:p>
    <w:p w14:paraId="19E93882" w14:textId="7F9E7FC1" w:rsidR="00FF064E" w:rsidRPr="00175D8B" w:rsidRDefault="00FF064E" w:rsidP="00877B62">
      <w:pPr>
        <w:pStyle w:val="ListeParagraf"/>
        <w:numPr>
          <w:ilvl w:val="0"/>
          <w:numId w:val="3"/>
        </w:numPr>
      </w:pPr>
      <w:r w:rsidRPr="00175D8B">
        <w:t>Component 3: Investments in climate and seismic resilient urban infrastructure (ILBANK)</w:t>
      </w:r>
    </w:p>
    <w:p w14:paraId="23298235" w14:textId="2A5F8A73" w:rsidR="00FF064E" w:rsidRPr="00175D8B" w:rsidRDefault="00FF064E" w:rsidP="00877B62">
      <w:pPr>
        <w:pStyle w:val="ListeParagraf"/>
        <w:numPr>
          <w:ilvl w:val="0"/>
          <w:numId w:val="3"/>
        </w:numPr>
      </w:pPr>
      <w:r w:rsidRPr="00175D8B">
        <w:t>Component 4: Project Management, Monitoring and Evaluation</w:t>
      </w:r>
    </w:p>
    <w:p w14:paraId="0A7500D3" w14:textId="77777777" w:rsidR="00FF064E" w:rsidRPr="00175D8B" w:rsidRDefault="00FF064E" w:rsidP="007E1FEA">
      <w:pPr>
        <w:pStyle w:val="ListeParagraf"/>
      </w:pPr>
      <w:r w:rsidRPr="00175D8B">
        <w:t xml:space="preserve">4a: For Component 1, 2 and 5 (UTP, MoEUCC) </w:t>
      </w:r>
    </w:p>
    <w:p w14:paraId="45AD62C3" w14:textId="77777777" w:rsidR="00FF064E" w:rsidRPr="00175D8B" w:rsidRDefault="00FF064E" w:rsidP="007E1FEA">
      <w:pPr>
        <w:pStyle w:val="ListeParagraf"/>
      </w:pPr>
      <w:r w:rsidRPr="00175D8B">
        <w:t xml:space="preserve">4b: For Component 3 (ILBANK) </w:t>
      </w:r>
    </w:p>
    <w:p w14:paraId="64B7F17F" w14:textId="0D581892" w:rsidR="00FF064E" w:rsidRPr="00175D8B" w:rsidRDefault="00FF064E" w:rsidP="00877B62">
      <w:pPr>
        <w:pStyle w:val="ListeParagraf"/>
        <w:numPr>
          <w:ilvl w:val="0"/>
          <w:numId w:val="3"/>
        </w:numPr>
      </w:pPr>
      <w:r w:rsidRPr="00175D8B">
        <w:t>Component 5: Contingent Emergency Response Component (CERC)</w:t>
      </w:r>
    </w:p>
    <w:p w14:paraId="480F1FCE" w14:textId="77777777" w:rsidR="00FF064E" w:rsidRPr="00175D8B" w:rsidRDefault="00FF064E" w:rsidP="007E1FEA">
      <w:r w:rsidRPr="00175D8B">
        <w:t>This Environmental and Social Management Plan (ESMP) for Sakarya Province focuses on Component 2 of the Project and is designed to inform the stakeholders, especially those who will implement and be parties to the subprojects for resilient housing, of the potential environmental and social risks and impacts as well as the ways to address these impacts and risks in line with the Türkiye’s legislation and the World Bank’s (WB) environmental and social (E&amp;S) standards.</w:t>
      </w:r>
    </w:p>
    <w:p w14:paraId="5F23EE12" w14:textId="4F72246B" w:rsidR="00AD1E5E" w:rsidRPr="00175D8B" w:rsidRDefault="00FF064E" w:rsidP="00FF064E">
      <w:r w:rsidRPr="00175D8B">
        <w:t xml:space="preserve">This province-based ESMP lays out the legal and institutional framework pertaining to the matters of environmental and social governance to which the stakeholders must adhere. </w:t>
      </w:r>
    </w:p>
    <w:p w14:paraId="0743F682" w14:textId="6900FF3A" w:rsidR="00FF064E" w:rsidRPr="00175D8B" w:rsidRDefault="00AD1E5E" w:rsidP="00FF064E">
      <w:r w:rsidRPr="00175D8B">
        <w:t>Sakarya ESMP</w:t>
      </w:r>
      <w:r w:rsidR="00FF064E" w:rsidRPr="00175D8B">
        <w:t xml:space="preserve"> introduces environmental features of the province in terms of water resources, nature, natural protected areas, urban areas, seismicity, air quality, waste management etc. The document also provides a comprehensive overview of the socioeconomic context of Sakarya and its districts as well as </w:t>
      </w:r>
      <w:r w:rsidR="00FF064E" w:rsidRPr="00175D8B">
        <w:lastRenderedPageBreak/>
        <w:t>other social baseline conditions. This ESMP is intended to serve as a reference document for preparation of E&amp;S governance documents such as E&amp;S impact assessments, Contractor ESMP (C-ESMP) checklists, Environmental and Social Action Plan (ESAP), other documents for screening, monitoring &amp; evaluation and so on.</w:t>
      </w:r>
    </w:p>
    <w:p w14:paraId="55549671" w14:textId="77777777" w:rsidR="00FF064E" w:rsidRPr="00175D8B" w:rsidRDefault="00FF064E" w:rsidP="00FF064E">
      <w:r w:rsidRPr="00175D8B">
        <w:t>The CDRC Project involves significant construction activities which are expected to generate numerous environmental and social impacts and risks that need to be addressed. Potential environmental and social risks and impacts may arise during the implementation of demolition and reconstruction activities of risky buildings in the scope of Component 2, which finances sub-loans for rightsholders to retrofit or rebuild their housing units to be more resilient to the impacts of seismic and other hazard risks. Some of the primary environmental risks/impacts include air pollution, noise pollution, water pollution, traffic accidents due to improper signs and planning, asbestos and its related incidents and so on. On the other hand, livelihood loss, temporary and permanent displacement of owners and tenants resulting from the rehabilitation/reconstruction of housing units/workspaces, inadequate outreach and stakeholder engagement, lack of dissemination of information about or access to grievance mechanisms for workers and/or Project-affected people, exclusion of poorer or vulnerable/disadvantaged individuals/groups from Project benefits can be highlighted as some of the major social risks/impacts. This ESMP details and classifies these risks and impacts and helps users explore acceptable ways to address them.</w:t>
      </w:r>
    </w:p>
    <w:p w14:paraId="291C5640" w14:textId="6CBED2D3" w:rsidR="00FF064E" w:rsidRPr="00175D8B" w:rsidRDefault="00FF064E" w:rsidP="00FF064E">
      <w:r w:rsidRPr="00175D8B">
        <w:t xml:space="preserve">The ESMP also outlines the mitigation measures, monitoring and administrative roles and responsibilities to be taken during Project implementation to prevent or eliminate adverse environmental and social impacts in Sakarya </w:t>
      </w:r>
      <w:r w:rsidR="00C72186" w:rsidRPr="00175D8B">
        <w:t>P</w:t>
      </w:r>
      <w:r w:rsidRPr="00175D8B">
        <w:t>rovince. This ESMP is aligned with Environmental and Social Management Framework (ESMF)</w:t>
      </w:r>
      <w:r w:rsidR="00F05CB7" w:rsidRPr="00175D8B">
        <w:rPr>
          <w:rStyle w:val="DipnotBavurusu"/>
        </w:rPr>
        <w:footnoteReference w:id="3"/>
      </w:r>
      <w:r w:rsidRPr="00175D8B">
        <w:t>, Stakeholder Engagement Plan (SEP)</w:t>
      </w:r>
      <w:r w:rsidR="00F05CB7" w:rsidRPr="00175D8B">
        <w:rPr>
          <w:rStyle w:val="DipnotBavurusu"/>
        </w:rPr>
        <w:footnoteReference w:id="4"/>
      </w:r>
      <w:r w:rsidRPr="00175D8B">
        <w:t xml:space="preserve"> and Labor Management Procedures (LMP)</w:t>
      </w:r>
      <w:r w:rsidR="00F05CB7" w:rsidRPr="00175D8B">
        <w:rPr>
          <w:rStyle w:val="DipnotBavurusu"/>
        </w:rPr>
        <w:footnoteReference w:id="5"/>
      </w:r>
      <w:r w:rsidRPr="00175D8B">
        <w:t xml:space="preserve"> of the CDRC Project. Sub-project (building</w:t>
      </w:r>
      <w:r w:rsidR="00831AE5" w:rsidRPr="00175D8B">
        <w:t xml:space="preserve"> or residential complex</w:t>
      </w:r>
      <w:r w:rsidRPr="00175D8B">
        <w:t xml:space="preserve">) specific C-ESMP Checklists </w:t>
      </w:r>
      <w:r w:rsidR="00032690" w:rsidRPr="00175D8B">
        <w:t>(see Annex 1</w:t>
      </w:r>
      <w:r w:rsidR="00BB1DCB">
        <w:t>4</w:t>
      </w:r>
      <w:r w:rsidR="0039706F" w:rsidRPr="00175D8B">
        <w:t xml:space="preserve"> for the </w:t>
      </w:r>
      <w:r w:rsidR="005740AD">
        <w:t>template</w:t>
      </w:r>
      <w:r w:rsidR="00032690" w:rsidRPr="00175D8B">
        <w:t xml:space="preserve">) </w:t>
      </w:r>
      <w:r w:rsidRPr="00175D8B">
        <w:t>will be developed, based on this ESMP, to address the potential environmental and social risks of each relevant sub-project in Sakarya province</w:t>
      </w:r>
      <w:r w:rsidR="00831AE5" w:rsidRPr="00175D8B">
        <w:t>.</w:t>
      </w:r>
    </w:p>
    <w:p w14:paraId="3F25AFFD" w14:textId="6FAADD3D" w:rsidR="00FF064E" w:rsidRPr="00175D8B" w:rsidRDefault="00FF064E" w:rsidP="00FF064E">
      <w:r w:rsidRPr="00175D8B">
        <w:t xml:space="preserve">The Sakarya ESMP is a living document that will be updated whenever </w:t>
      </w:r>
      <w:r w:rsidR="008319BC" w:rsidRPr="00175D8B">
        <w:t>necessary,</w:t>
      </w:r>
      <w:r w:rsidRPr="00175D8B">
        <w:t xml:space="preserve"> and it is the responsibility of the sub-project contractors to be fully aware of its contents. The Contractors are expected to provide relevant training to staff and ensure that measures/commitments are implemented to ensure compliance with this </w:t>
      </w:r>
      <w:r w:rsidR="009324AA">
        <w:t>ESMP</w:t>
      </w:r>
      <w:r w:rsidRPr="00175D8B">
        <w:t>.</w:t>
      </w:r>
    </w:p>
    <w:p w14:paraId="17750AB6" w14:textId="37717AB1" w:rsidR="00173DB2" w:rsidRPr="00175D8B" w:rsidRDefault="00BE2DAA" w:rsidP="00FF064E">
      <w:pPr>
        <w:rPr>
          <w:b/>
          <w:i/>
          <w:sz w:val="20"/>
        </w:rPr>
      </w:pPr>
      <w:bookmarkStart w:id="3" w:name="_Toc208933970"/>
      <w:r w:rsidRPr="00175D8B">
        <w:lastRenderedPageBreak/>
        <w:t xml:space="preserve">The national legal framework, including environmental and social legislation, OHS legislation as well as labor-related regulations relevant to the implementation of the project </w:t>
      </w:r>
      <w:r w:rsidR="00032690" w:rsidRPr="00175D8B">
        <w:t>are</w:t>
      </w:r>
      <w:r w:rsidRPr="00175D8B">
        <w:t xml:space="preserve"> presented in Annex 1.</w:t>
      </w:r>
    </w:p>
    <w:bookmarkEnd w:id="3"/>
    <w:p w14:paraId="7AB01695" w14:textId="26DDC6D8" w:rsidR="00CF1550" w:rsidRPr="00175D8B" w:rsidRDefault="003C0F81" w:rsidP="003C0F81">
      <w:pPr>
        <w:pStyle w:val="Balk2"/>
      </w:pPr>
      <w:r w:rsidRPr="00175D8B">
        <w:t xml:space="preserve"> </w:t>
      </w:r>
      <w:bookmarkStart w:id="4" w:name="_Toc212541846"/>
      <w:bookmarkStart w:id="5" w:name="_Toc212542357"/>
      <w:bookmarkStart w:id="6" w:name="_Toc220672768"/>
      <w:r w:rsidR="00FF064E" w:rsidRPr="00175D8B">
        <w:t>Objectives of the Climate and Disaster Resilient Cities Project</w:t>
      </w:r>
      <w:bookmarkEnd w:id="4"/>
      <w:bookmarkEnd w:id="5"/>
      <w:bookmarkEnd w:id="6"/>
      <w:r w:rsidR="00FF064E" w:rsidRPr="00175D8B">
        <w:t xml:space="preserve"> </w:t>
      </w:r>
    </w:p>
    <w:p w14:paraId="4ACEDD23" w14:textId="77777777" w:rsidR="00FF064E" w:rsidRPr="00175D8B" w:rsidRDefault="00FF064E" w:rsidP="00FF064E">
      <w:r w:rsidRPr="00175D8B">
        <w:t xml:space="preserve">Türkiye is prone to climate and disaster risks with about 70 percent of Türkiye’s population living in high and medium-high risk seismic zones. Moreover, many settlements are increasingly exposed to flooding and extreme weather events. In 2023 alone, 1475 extreme events occurred, caused mainly by heavy rains/floods, windstorms, snow and hail. Climate models predict this trend to continue with increasing anomalies in precipitation patterns with more frequent extreme rain and flooding, as well as protracted drought and wildfires, and sea-level rise. Accordingly, climate and disaster risks pose a significant risk to lives and livelihoods, and housing &amp; other assets in parallel. </w:t>
      </w:r>
    </w:p>
    <w:p w14:paraId="2295B2CC" w14:textId="08F65F48" w:rsidR="0090127F" w:rsidRPr="00175D8B" w:rsidRDefault="00FF064E" w:rsidP="0096252D">
      <w:r w:rsidRPr="00175D8B">
        <w:t xml:space="preserve">Thus, Project Development Objective (PDO) of the CDRC Project is to increase access to seismic and climate resilient housing, urban infrastructure and services in selected provinces in Türkiye. This Project will support the GT in tackling the challenges related to climate and disaster resilient housing and infrastructure interventions, focusing on the provinces of Istanbul, Izmir, Kocaeli, Sakarya, Kahramanmaras, Manisa and Tekirdag. These provinces were selected as all are highly vulnerable to the impacts of natural hazards and climate change such as flooding, drought, and heat waves; and, most importantly, all are located in areas with high seismic risk (see </w:t>
      </w:r>
      <w:r w:rsidR="001C27B5">
        <w:fldChar w:fldCharType="begin"/>
      </w:r>
      <w:r w:rsidR="001C27B5">
        <w:instrText xml:space="preserve"> REF _Ref216098412 \h </w:instrText>
      </w:r>
      <w:r w:rsidR="001C27B5">
        <w:fldChar w:fldCharType="separate"/>
      </w:r>
      <w:r w:rsidR="001C27B5" w:rsidRPr="006C58C5">
        <w:rPr>
          <w:b/>
          <w:bCs/>
        </w:rPr>
        <w:t xml:space="preserve">Figure </w:t>
      </w:r>
      <w:r w:rsidR="001C27B5" w:rsidRPr="00175D8B">
        <w:rPr>
          <w:b/>
          <w:bCs/>
          <w:noProof/>
        </w:rPr>
        <w:t>1</w:t>
      </w:r>
      <w:r w:rsidR="001C27B5">
        <w:fldChar w:fldCharType="end"/>
      </w:r>
      <w:r w:rsidRPr="00175D8B">
        <w:t xml:space="preserve">). The main activity carried out by the UTP in </w:t>
      </w:r>
      <w:r w:rsidR="0003179F">
        <w:t>Sakarya</w:t>
      </w:r>
      <w:r w:rsidR="0003179F" w:rsidRPr="00175D8B">
        <w:t xml:space="preserve"> </w:t>
      </w:r>
      <w:r w:rsidRPr="00175D8B">
        <w:t>within the scope of this project is supporting resilient housing through financing urban transformation in the province in line with the new code.</w:t>
      </w:r>
    </w:p>
    <w:p w14:paraId="7D2DFB95" w14:textId="0E3E9BA8" w:rsidR="0090127F" w:rsidRPr="00175D8B" w:rsidRDefault="0090127F" w:rsidP="00F02281"/>
    <w:p w14:paraId="12E6374D" w14:textId="7394D374" w:rsidR="0090127F" w:rsidRPr="00175D8B" w:rsidRDefault="0090127F"/>
    <w:p w14:paraId="2F80FF74" w14:textId="3F85898E" w:rsidR="0090127F" w:rsidRPr="00175D8B" w:rsidRDefault="0090127F"/>
    <w:p w14:paraId="7456A881" w14:textId="00831D6D" w:rsidR="0090127F" w:rsidRPr="00175D8B" w:rsidRDefault="0090127F" w:rsidP="002550A6">
      <w:pPr>
        <w:rPr>
          <w:rFonts w:eastAsia="Aptos" w:cs="Aptos"/>
          <w:b/>
          <w:i/>
          <w:color w:val="000000" w:themeColor="text1"/>
          <w:sz w:val="20"/>
          <w:szCs w:val="22"/>
        </w:rPr>
      </w:pPr>
      <w:bookmarkStart w:id="7" w:name="_Toc209168055"/>
    </w:p>
    <w:p w14:paraId="410C996B" w14:textId="7C226E0D" w:rsidR="00984195" w:rsidRPr="00175D8B" w:rsidRDefault="00984195" w:rsidP="002550A6">
      <w:pPr>
        <w:rPr>
          <w:rFonts w:eastAsia="Aptos" w:cs="Aptos"/>
          <w:b/>
          <w:i/>
          <w:color w:val="000000" w:themeColor="text1"/>
          <w:sz w:val="20"/>
          <w:szCs w:val="22"/>
        </w:rPr>
      </w:pPr>
    </w:p>
    <w:p w14:paraId="4FE4F0A4" w14:textId="77777777" w:rsidR="00984195" w:rsidRPr="00175D8B" w:rsidRDefault="00984195" w:rsidP="002550A6">
      <w:pPr>
        <w:rPr>
          <w:rFonts w:eastAsia="Aptos" w:cs="Aptos"/>
          <w:b/>
          <w:i/>
          <w:color w:val="000000" w:themeColor="text1"/>
          <w:sz w:val="20"/>
          <w:szCs w:val="22"/>
        </w:rPr>
      </w:pPr>
    </w:p>
    <w:p w14:paraId="458996DD" w14:textId="45C05C49" w:rsidR="0090127F" w:rsidRPr="00175D8B" w:rsidRDefault="0090127F" w:rsidP="002550A6">
      <w:pPr>
        <w:spacing w:before="120" w:after="0"/>
        <w:rPr>
          <w:rFonts w:eastAsia="Aptos" w:cs="Aptos"/>
          <w:b/>
          <w:i/>
          <w:color w:val="000000" w:themeColor="text1"/>
          <w:sz w:val="20"/>
          <w:szCs w:val="22"/>
        </w:rPr>
      </w:pPr>
      <w:bookmarkStart w:id="8" w:name="_Toc209709590"/>
    </w:p>
    <w:p w14:paraId="44116127" w14:textId="33D21FA3" w:rsidR="00831AE5" w:rsidRPr="00175D8B" w:rsidRDefault="00831AE5" w:rsidP="006C58C5">
      <w:pPr>
        <w:pStyle w:val="ResimYazs"/>
        <w:keepNext/>
        <w:jc w:val="center"/>
      </w:pPr>
      <w:bookmarkStart w:id="9" w:name="_Ref216098412"/>
      <w:bookmarkStart w:id="10" w:name="_Ref214270173"/>
      <w:bookmarkStart w:id="11" w:name="_Toc221191309"/>
      <w:bookmarkEnd w:id="7"/>
      <w:bookmarkEnd w:id="8"/>
      <w:r w:rsidRPr="006C58C5">
        <w:rPr>
          <w:b/>
          <w:bCs/>
        </w:rPr>
        <w:lastRenderedPageBreak/>
        <w:t xml:space="preserve">Figure </w:t>
      </w:r>
      <w:r w:rsidR="00C00D47" w:rsidRPr="006C58C5">
        <w:rPr>
          <w:b/>
          <w:bCs/>
        </w:rPr>
        <w:fldChar w:fldCharType="begin"/>
      </w:r>
      <w:r w:rsidR="00C00D47" w:rsidRPr="006C58C5">
        <w:rPr>
          <w:b/>
          <w:bCs/>
        </w:rPr>
        <w:instrText xml:space="preserve"> SEQ Figure \* ARABIC </w:instrText>
      </w:r>
      <w:r w:rsidR="00C00D47" w:rsidRPr="006C58C5">
        <w:rPr>
          <w:b/>
          <w:bCs/>
        </w:rPr>
        <w:fldChar w:fldCharType="separate"/>
      </w:r>
      <w:r w:rsidR="00811FB5" w:rsidRPr="00175D8B">
        <w:rPr>
          <w:b/>
          <w:bCs/>
          <w:noProof/>
        </w:rPr>
        <w:t>1</w:t>
      </w:r>
      <w:r w:rsidR="00C00D47" w:rsidRPr="006C58C5">
        <w:rPr>
          <w:b/>
          <w:bCs/>
        </w:rPr>
        <w:fldChar w:fldCharType="end"/>
      </w:r>
      <w:bookmarkEnd w:id="9"/>
      <w:r w:rsidR="00931117" w:rsidRPr="00175D8B">
        <w:t>:</w:t>
      </w:r>
      <w:bookmarkEnd w:id="10"/>
      <w:r w:rsidRPr="00175D8B">
        <w:t xml:space="preserve"> Türkiye Earthquake Hazard Map</w:t>
      </w:r>
      <w:bookmarkEnd w:id="11"/>
    </w:p>
    <w:p w14:paraId="09214767" w14:textId="77777777" w:rsidR="00FF064E" w:rsidRPr="00175D8B" w:rsidRDefault="00FF064E" w:rsidP="00FF064E">
      <w:pPr>
        <w:spacing w:before="120" w:after="0" w:line="278" w:lineRule="auto"/>
        <w:jc w:val="center"/>
        <w:rPr>
          <w:rFonts w:eastAsia="Aptos" w:cs="Aptos"/>
          <w:color w:val="000000" w:themeColor="text1"/>
          <w:szCs w:val="22"/>
        </w:rPr>
      </w:pPr>
      <w:r w:rsidRPr="00175D8B">
        <w:rPr>
          <w:rFonts w:eastAsia="Aptos" w:cs="Aptos"/>
          <w:noProof/>
          <w:color w:val="000000" w:themeColor="text1"/>
          <w:sz w:val="20"/>
          <w:szCs w:val="20"/>
          <w:lang w:val="tr-TR" w:eastAsia="tr-TR"/>
        </w:rPr>
        <w:drawing>
          <wp:inline distT="0" distB="0" distL="0" distR="0" wp14:anchorId="57B173D8" wp14:editId="4DB60BE5">
            <wp:extent cx="4320000" cy="2707200"/>
            <wp:effectExtent l="0" t="0" r="4445"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2707200"/>
                    </a:xfrm>
                    <a:prstGeom prst="rect">
                      <a:avLst/>
                    </a:prstGeom>
                    <a:noFill/>
                  </pic:spPr>
                </pic:pic>
              </a:graphicData>
            </a:graphic>
          </wp:inline>
        </w:drawing>
      </w:r>
    </w:p>
    <w:p w14:paraId="2AE3CD19" w14:textId="695381A8" w:rsidR="00FF064E" w:rsidRPr="00175D8B" w:rsidRDefault="00FF064E" w:rsidP="002550A6">
      <w:pPr>
        <w:spacing w:before="120" w:after="0"/>
        <w:jc w:val="center"/>
        <w:rPr>
          <w:rFonts w:eastAsiaTheme="majorEastAsia" w:cstheme="majorBidi"/>
          <w:b/>
          <w:color w:val="000000" w:themeColor="text1"/>
          <w:sz w:val="24"/>
          <w:szCs w:val="32"/>
        </w:rPr>
      </w:pPr>
      <w:r w:rsidRPr="00175D8B">
        <w:rPr>
          <w:rFonts w:eastAsia="Aptos" w:cs="Aptos"/>
          <w:b/>
          <w:i/>
          <w:color w:val="000000" w:themeColor="text1"/>
          <w:sz w:val="18"/>
          <w:szCs w:val="22"/>
        </w:rPr>
        <w:t xml:space="preserve">Source: </w:t>
      </w:r>
      <w:r w:rsidRPr="00175D8B">
        <w:rPr>
          <w:rFonts w:eastAsia="Aptos" w:cs="Aptos"/>
          <w:bCs/>
          <w:i/>
          <w:color w:val="000000" w:themeColor="text1"/>
          <w:sz w:val="18"/>
          <w:szCs w:val="22"/>
        </w:rPr>
        <w:t>AFAD, 2018</w:t>
      </w:r>
    </w:p>
    <w:p w14:paraId="5C747834" w14:textId="77777777" w:rsidR="003C0F81" w:rsidRPr="00175D8B" w:rsidRDefault="003C0F81" w:rsidP="003C0F81">
      <w:pPr>
        <w:pStyle w:val="ListeParagraf"/>
        <w:numPr>
          <w:ilvl w:val="0"/>
          <w:numId w:val="2"/>
        </w:numPr>
        <w:spacing w:before="160" w:after="80" w:line="278" w:lineRule="auto"/>
        <w:outlineLvl w:val="1"/>
        <w:rPr>
          <w:rFonts w:eastAsiaTheme="majorEastAsia" w:cstheme="majorBidi"/>
          <w:b/>
          <w:bCs/>
          <w:vanish/>
          <w:color w:val="000000" w:themeColor="text1"/>
          <w:sz w:val="24"/>
        </w:rPr>
      </w:pPr>
      <w:bookmarkStart w:id="12" w:name="_Toc209707907"/>
      <w:bookmarkStart w:id="13" w:name="_Toc209707992"/>
      <w:bookmarkStart w:id="14" w:name="_Toc209708071"/>
      <w:bookmarkStart w:id="15" w:name="_Toc212541847"/>
      <w:bookmarkStart w:id="16" w:name="_Toc212542358"/>
      <w:bookmarkStart w:id="17" w:name="_Toc212711903"/>
      <w:bookmarkStart w:id="18" w:name="_Toc214638316"/>
      <w:bookmarkStart w:id="19" w:name="_Toc214639873"/>
      <w:bookmarkStart w:id="20" w:name="_Toc214655045"/>
      <w:bookmarkStart w:id="21" w:name="_Toc216099207"/>
      <w:bookmarkStart w:id="22" w:name="_Toc216102281"/>
      <w:bookmarkStart w:id="23" w:name="_Toc216107941"/>
      <w:bookmarkStart w:id="24" w:name="_Toc216344319"/>
      <w:bookmarkStart w:id="25" w:name="_Toc220672435"/>
      <w:bookmarkStart w:id="26" w:name="_Toc220672515"/>
      <w:bookmarkStart w:id="27" w:name="_Toc220672690"/>
      <w:bookmarkStart w:id="28" w:name="_Toc22067276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EAB9C5E" w14:textId="77777777" w:rsidR="003C0F81" w:rsidRPr="00175D8B" w:rsidRDefault="003C0F81" w:rsidP="003C0F81">
      <w:pPr>
        <w:pStyle w:val="ListeParagraf"/>
        <w:numPr>
          <w:ilvl w:val="1"/>
          <w:numId w:val="2"/>
        </w:numPr>
        <w:spacing w:before="160" w:after="80" w:line="278" w:lineRule="auto"/>
        <w:outlineLvl w:val="1"/>
        <w:rPr>
          <w:rFonts w:eastAsiaTheme="majorEastAsia" w:cstheme="majorBidi"/>
          <w:b/>
          <w:bCs/>
          <w:vanish/>
          <w:color w:val="000000" w:themeColor="text1"/>
          <w:sz w:val="24"/>
        </w:rPr>
      </w:pPr>
      <w:bookmarkStart w:id="29" w:name="_Toc209707908"/>
      <w:bookmarkStart w:id="30" w:name="_Toc209707993"/>
      <w:bookmarkStart w:id="31" w:name="_Toc209708072"/>
      <w:bookmarkStart w:id="32" w:name="_Toc212541848"/>
      <w:bookmarkStart w:id="33" w:name="_Toc212542359"/>
      <w:bookmarkStart w:id="34" w:name="_Toc212711904"/>
      <w:bookmarkStart w:id="35" w:name="_Toc214638317"/>
      <w:bookmarkStart w:id="36" w:name="_Toc214639874"/>
      <w:bookmarkStart w:id="37" w:name="_Toc214655046"/>
      <w:bookmarkStart w:id="38" w:name="_Toc216099208"/>
      <w:bookmarkStart w:id="39" w:name="_Toc216102282"/>
      <w:bookmarkStart w:id="40" w:name="_Toc216107942"/>
      <w:bookmarkStart w:id="41" w:name="_Toc216344320"/>
      <w:bookmarkStart w:id="42" w:name="_Toc220672436"/>
      <w:bookmarkStart w:id="43" w:name="_Toc220672516"/>
      <w:bookmarkStart w:id="44" w:name="_Toc220672691"/>
      <w:bookmarkStart w:id="45" w:name="_Toc22067277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69DB299B" w14:textId="3601E9A2" w:rsidR="00FF064E" w:rsidRPr="00175D8B" w:rsidRDefault="00FF064E" w:rsidP="002550A6">
      <w:pPr>
        <w:pStyle w:val="Balk2"/>
        <w:numPr>
          <w:ilvl w:val="1"/>
          <w:numId w:val="2"/>
        </w:numPr>
      </w:pPr>
      <w:bookmarkStart w:id="46" w:name="_Toc212541849"/>
      <w:bookmarkStart w:id="47" w:name="_Toc212542360"/>
      <w:bookmarkStart w:id="48" w:name="_Toc220672771"/>
      <w:r w:rsidRPr="00175D8B">
        <w:t xml:space="preserve">Potential Sub-Projects and </w:t>
      </w:r>
      <w:r w:rsidRPr="006C58C5">
        <w:rPr>
          <w:rStyle w:val="Balk2Char"/>
          <w:b/>
          <w:bCs/>
        </w:rPr>
        <w:t>Project Activities in Sakarya</w:t>
      </w:r>
      <w:bookmarkEnd w:id="46"/>
      <w:bookmarkEnd w:id="47"/>
      <w:bookmarkEnd w:id="48"/>
      <w:r w:rsidRPr="00175D8B">
        <w:t xml:space="preserve"> </w:t>
      </w:r>
    </w:p>
    <w:p w14:paraId="31FB00FE" w14:textId="740B2094" w:rsidR="00FF064E" w:rsidRPr="00175D8B" w:rsidRDefault="00FF064E" w:rsidP="007E1FEA">
      <w:pPr>
        <w:spacing w:before="120" w:after="0"/>
        <w:rPr>
          <w:rFonts w:eastAsia="Aptos" w:cs="Aptos"/>
          <w:color w:val="000000" w:themeColor="text1"/>
          <w:szCs w:val="22"/>
        </w:rPr>
      </w:pPr>
      <w:r w:rsidRPr="00175D8B">
        <w:rPr>
          <w:rFonts w:eastAsia="Aptos" w:cs="Aptos"/>
          <w:color w:val="000000" w:themeColor="text1"/>
          <w:szCs w:val="22"/>
        </w:rPr>
        <w:t>The specific justification of Component 2 is the requirement for climate and disaster resilient housing, which will highly contribute to the overall resilience of the selected provinces against climate and disasters. Specifically, the GT faces several challenges in the implementation of the national regulatory framework supporting seismic and climate-resilient urban transformation. Key challenges include the need for greater affordability of retrofitting or demolishing and reconstructing risk-prone housing to meet resilient and energy-efficient standards, leveraging available resources and mobilizing finance for municipalities to increase investments in resilient urban infrastructure. Accordingly, the sub-project types relevant to the activity to be performed can be listed as follows:</w:t>
      </w:r>
    </w:p>
    <w:p w14:paraId="57C71BCF" w14:textId="68A1B7A1" w:rsidR="00DD57A6" w:rsidRPr="00175D8B" w:rsidRDefault="00FF064E" w:rsidP="00877B62">
      <w:pPr>
        <w:pStyle w:val="ListeParagraf"/>
        <w:numPr>
          <w:ilvl w:val="0"/>
          <w:numId w:val="3"/>
        </w:numPr>
      </w:pPr>
      <w:bookmarkStart w:id="49" w:name="_4d34og8" w:colFirst="0" w:colLast="0"/>
      <w:bookmarkEnd w:id="49"/>
      <w:r w:rsidRPr="00175D8B">
        <w:rPr>
          <w:b/>
          <w:bCs/>
        </w:rPr>
        <w:t>Type-I:</w:t>
      </w:r>
      <w:r w:rsidRPr="00175D8B">
        <w:t xml:space="preserve"> </w:t>
      </w:r>
      <w:r w:rsidRPr="00175D8B">
        <w:rPr>
          <w:i/>
        </w:rPr>
        <w:t xml:space="preserve">The sub-projects with </w:t>
      </w:r>
      <w:r w:rsidRPr="00175D8B">
        <w:rPr>
          <w:b/>
          <w:i/>
        </w:rPr>
        <w:t>demolition and reconstruction</w:t>
      </w:r>
      <w:r w:rsidRPr="00175D8B">
        <w:t xml:space="preserve"> - buildings were registered as risky buildings, however, no demolition activity has been performed at the time of loan application,</w:t>
      </w:r>
    </w:p>
    <w:p w14:paraId="0C82B622" w14:textId="38584AF7" w:rsidR="00DD57A6" w:rsidRPr="00175D8B" w:rsidRDefault="00FF064E" w:rsidP="00877B62">
      <w:pPr>
        <w:pStyle w:val="ListeParagraf"/>
        <w:numPr>
          <w:ilvl w:val="0"/>
          <w:numId w:val="3"/>
        </w:numPr>
      </w:pPr>
      <w:r w:rsidRPr="00175D8B">
        <w:rPr>
          <w:b/>
          <w:bCs/>
        </w:rPr>
        <w:t>Type-II:</w:t>
      </w:r>
      <w:r w:rsidRPr="00175D8B">
        <w:t xml:space="preserve"> </w:t>
      </w:r>
      <w:r w:rsidRPr="00175D8B">
        <w:rPr>
          <w:i/>
        </w:rPr>
        <w:t xml:space="preserve">The sub-projects with </w:t>
      </w:r>
      <w:r w:rsidRPr="00175D8B">
        <w:rPr>
          <w:b/>
          <w:i/>
        </w:rPr>
        <w:t>retrofitting</w:t>
      </w:r>
      <w:r w:rsidRPr="00175D8B">
        <w:t xml:space="preserve"> - buildings were registered as risky buildings, however, loan application is made only for retrofitting rather than demolition and reconstruction, and</w:t>
      </w:r>
    </w:p>
    <w:p w14:paraId="0D91F957" w14:textId="204D9954" w:rsidR="00DD57A6" w:rsidRPr="00175D8B" w:rsidRDefault="00FF064E" w:rsidP="00877B62">
      <w:pPr>
        <w:pStyle w:val="ListeParagraf"/>
        <w:numPr>
          <w:ilvl w:val="0"/>
          <w:numId w:val="3"/>
        </w:numPr>
      </w:pPr>
      <w:r w:rsidRPr="00175D8B">
        <w:rPr>
          <w:b/>
          <w:bCs/>
        </w:rPr>
        <w:t>Type-III:</w:t>
      </w:r>
      <w:r w:rsidRPr="00175D8B">
        <w:t xml:space="preserve"> </w:t>
      </w:r>
      <w:r w:rsidRPr="00175D8B">
        <w:rPr>
          <w:i/>
        </w:rPr>
        <w:t xml:space="preserve">The sub-projects with </w:t>
      </w:r>
      <w:r w:rsidRPr="00175D8B">
        <w:rPr>
          <w:b/>
          <w:i/>
        </w:rPr>
        <w:t>only reconstruction</w:t>
      </w:r>
      <w:r w:rsidRPr="00175D8B">
        <w:rPr>
          <w:b/>
        </w:rPr>
        <w:t xml:space="preserve"> </w:t>
      </w:r>
      <w:r w:rsidRPr="00175D8B">
        <w:t>- buildings were registered as risky buildings and demolished before loan application, and the application is only made for reconstruction.</w:t>
      </w:r>
    </w:p>
    <w:p w14:paraId="405200A3" w14:textId="2C77EED8" w:rsidR="00931117" w:rsidRPr="00175D8B" w:rsidRDefault="004D577E" w:rsidP="00931117">
      <w:r w:rsidRPr="00175D8B">
        <w:rPr>
          <w:rFonts w:cs="Tahoma"/>
        </w:rPr>
        <w:t xml:space="preserve">According to the records of the Urban Transformation </w:t>
      </w:r>
      <w:r w:rsidR="0003179F">
        <w:rPr>
          <w:rFonts w:cs="Tahoma"/>
        </w:rPr>
        <w:t>P</w:t>
      </w:r>
      <w:r w:rsidRPr="00175D8B">
        <w:rPr>
          <w:rFonts w:cs="Tahoma"/>
        </w:rPr>
        <w:t>r</w:t>
      </w:r>
      <w:r w:rsidR="0003179F">
        <w:rPr>
          <w:rFonts w:cs="Tahoma"/>
        </w:rPr>
        <w:t>esidency</w:t>
      </w:r>
      <w:r w:rsidRPr="00175D8B">
        <w:rPr>
          <w:rFonts w:cs="Tahoma"/>
        </w:rPr>
        <w:t xml:space="preserve"> there are a total of 694 risky structures in Sakarya province. </w:t>
      </w:r>
      <w:r w:rsidR="00C77724" w:rsidRPr="00C77724">
        <w:rPr>
          <w:rFonts w:cs="Tahoma"/>
        </w:rPr>
        <w:t xml:space="preserve">These risky structures comprise a total of 6,560 independent units. Buildings that have not yet been demolished (Types 1 and 2) and those that have been demolished but </w:t>
      </w:r>
      <w:r w:rsidR="00C77724" w:rsidRPr="00C77724">
        <w:rPr>
          <w:rFonts w:cs="Tahoma"/>
        </w:rPr>
        <w:lastRenderedPageBreak/>
        <w:t>are pending reconstruction (Type 3) are anticipated to form the potential subprojects of the Project in Sakarya Province under Component 2.</w:t>
      </w:r>
      <w:r w:rsidR="00713C34" w:rsidRPr="00175D8B">
        <w:t xml:space="preserve">Apart from the application and implementation processes of the three types of sub-projects, </w:t>
      </w:r>
      <w:r w:rsidR="00467B41">
        <w:t>C</w:t>
      </w:r>
      <w:r w:rsidR="00713C34" w:rsidRPr="00175D8B">
        <w:t>omponent 2 of CDRC Project involves also a lot of communication, stakeholder engagement, information dissemination and consultation activities.</w:t>
      </w:r>
      <w:r w:rsidR="00D652C6" w:rsidRPr="00D652C6">
        <w:t xml:space="preserve"> </w:t>
      </w:r>
      <w:r w:rsidR="00D652C6" w:rsidRPr="00445FA4">
        <w:t xml:space="preserve">A dedicated project office will be established in </w:t>
      </w:r>
      <w:r w:rsidR="00D652C6">
        <w:t>Sakarya</w:t>
      </w:r>
      <w:r w:rsidR="00D652C6" w:rsidRPr="00445FA4">
        <w:t xml:space="preserve"> and staffed by consultants responsible for E&amp;S monitoring and evaluation, documentation and reporting, day-to-day coordination with the UTP PMU, and stakeholder engagement with owners of risky structures, contractors, and other local stakeholders.</w:t>
      </w:r>
    </w:p>
    <w:p w14:paraId="53A35C7A" w14:textId="7CF86E4B" w:rsidR="002F048B" w:rsidRPr="00175D8B" w:rsidRDefault="001C61AF" w:rsidP="006C58C5">
      <w:pPr>
        <w:pStyle w:val="ResimYazs"/>
        <w:keepNext/>
        <w:jc w:val="center"/>
      </w:pPr>
      <w:r w:rsidRPr="00175D8B">
        <w:rPr>
          <w:rFonts w:cs="Tahoma"/>
        </w:rPr>
        <w:t xml:space="preserve"> </w:t>
      </w:r>
      <w:bookmarkStart w:id="50" w:name="_Ref214635926"/>
      <w:bookmarkStart w:id="51" w:name="_Toc216344418"/>
      <w:r w:rsidR="002F048B" w:rsidRPr="006C58C5">
        <w:rPr>
          <w:b/>
          <w:bCs/>
        </w:rPr>
        <w:t xml:space="preserve">Table </w:t>
      </w:r>
      <w:r w:rsidR="002F048B" w:rsidRPr="006C58C5">
        <w:rPr>
          <w:b/>
          <w:bCs/>
        </w:rPr>
        <w:fldChar w:fldCharType="begin"/>
      </w:r>
      <w:r w:rsidR="002F048B" w:rsidRPr="006C58C5">
        <w:rPr>
          <w:b/>
          <w:bCs/>
        </w:rPr>
        <w:instrText xml:space="preserve"> SEQ Table \* ARABIC </w:instrText>
      </w:r>
      <w:r w:rsidR="002F048B" w:rsidRPr="006C58C5">
        <w:rPr>
          <w:b/>
          <w:bCs/>
        </w:rPr>
        <w:fldChar w:fldCharType="separate"/>
      </w:r>
      <w:r w:rsidR="00FE5FDE" w:rsidRPr="00175D8B">
        <w:rPr>
          <w:b/>
          <w:bCs/>
          <w:noProof/>
        </w:rPr>
        <w:t>1</w:t>
      </w:r>
      <w:r w:rsidR="002F048B" w:rsidRPr="006C58C5">
        <w:rPr>
          <w:b/>
          <w:bCs/>
        </w:rPr>
        <w:fldChar w:fldCharType="end"/>
      </w:r>
      <w:bookmarkEnd w:id="50"/>
      <w:r w:rsidR="006D791E" w:rsidRPr="00175D8B">
        <w:rPr>
          <w:b/>
          <w:bCs/>
        </w:rPr>
        <w:t>:</w:t>
      </w:r>
      <w:r w:rsidR="002F048B" w:rsidRPr="00175D8B">
        <w:rPr>
          <w:b/>
          <w:bCs/>
        </w:rPr>
        <w:t xml:space="preserve"> </w:t>
      </w:r>
      <w:r w:rsidR="002F048B" w:rsidRPr="006C58C5">
        <w:t>Sakarya Province Risky Building Status by Districts</w:t>
      </w:r>
      <w:bookmarkEnd w:id="51"/>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276"/>
        <w:gridCol w:w="1417"/>
        <w:gridCol w:w="1418"/>
        <w:gridCol w:w="3548"/>
      </w:tblGrid>
      <w:tr w:rsidR="00713C34" w:rsidRPr="00175D8B" w14:paraId="7B260B09" w14:textId="77777777" w:rsidTr="00DF417A">
        <w:trPr>
          <w:tblHeader/>
          <w:jc w:val="center"/>
        </w:trPr>
        <w:tc>
          <w:tcPr>
            <w:tcW w:w="1413" w:type="dxa"/>
            <w:shd w:val="clear" w:color="auto" w:fill="ABB7C1"/>
            <w:vAlign w:val="bottom"/>
          </w:tcPr>
          <w:p w14:paraId="14F0B8EB" w14:textId="77777777" w:rsidR="00713C34" w:rsidRPr="00175D8B" w:rsidRDefault="00713C34" w:rsidP="00713C34">
            <w:pPr>
              <w:spacing w:before="120" w:after="0" w:line="276" w:lineRule="auto"/>
              <w:jc w:val="center"/>
              <w:rPr>
                <w:rFonts w:eastAsia="Aptos" w:cs="Aptos"/>
                <w:b/>
                <w:color w:val="000000" w:themeColor="text1"/>
                <w:sz w:val="20"/>
                <w:szCs w:val="20"/>
              </w:rPr>
            </w:pPr>
            <w:r w:rsidRPr="00175D8B">
              <w:rPr>
                <w:rFonts w:eastAsia="Aptos" w:cs="Aptos"/>
                <w:b/>
                <w:color w:val="000000" w:themeColor="text1"/>
                <w:sz w:val="20"/>
                <w:szCs w:val="20"/>
              </w:rPr>
              <w:t>Districts</w:t>
            </w:r>
          </w:p>
        </w:tc>
        <w:tc>
          <w:tcPr>
            <w:tcW w:w="1276" w:type="dxa"/>
            <w:shd w:val="clear" w:color="auto" w:fill="ABB7C1"/>
            <w:vAlign w:val="bottom"/>
          </w:tcPr>
          <w:p w14:paraId="71F2CD42" w14:textId="77777777" w:rsidR="00713C34" w:rsidRPr="00175D8B" w:rsidRDefault="00713C34" w:rsidP="00713C34">
            <w:pPr>
              <w:spacing w:before="120" w:after="0" w:line="276" w:lineRule="auto"/>
              <w:jc w:val="center"/>
              <w:rPr>
                <w:rFonts w:eastAsia="Aptos" w:cs="Aptos"/>
                <w:b/>
                <w:color w:val="000000" w:themeColor="text1"/>
                <w:sz w:val="20"/>
                <w:szCs w:val="20"/>
              </w:rPr>
            </w:pPr>
            <w:r w:rsidRPr="00175D8B">
              <w:rPr>
                <w:rFonts w:eastAsia="Aptos" w:cs="Aptos"/>
                <w:b/>
                <w:color w:val="000000" w:themeColor="text1"/>
                <w:sz w:val="20"/>
                <w:szCs w:val="20"/>
              </w:rPr>
              <w:t>Number of Buildings</w:t>
            </w:r>
          </w:p>
        </w:tc>
        <w:tc>
          <w:tcPr>
            <w:tcW w:w="1417" w:type="dxa"/>
            <w:shd w:val="clear" w:color="auto" w:fill="ABB7C1"/>
            <w:vAlign w:val="bottom"/>
          </w:tcPr>
          <w:p w14:paraId="0AB95E88" w14:textId="77777777" w:rsidR="00713C34" w:rsidRPr="00175D8B" w:rsidRDefault="00713C34" w:rsidP="00713C34">
            <w:pPr>
              <w:spacing w:before="120" w:after="0" w:line="276" w:lineRule="auto"/>
              <w:jc w:val="center"/>
              <w:rPr>
                <w:rFonts w:eastAsia="Aptos" w:cs="Aptos"/>
                <w:b/>
                <w:color w:val="000000" w:themeColor="text1"/>
                <w:sz w:val="20"/>
                <w:szCs w:val="20"/>
              </w:rPr>
            </w:pPr>
            <w:r w:rsidRPr="00175D8B">
              <w:rPr>
                <w:rFonts w:eastAsia="Aptos" w:cs="Aptos"/>
                <w:b/>
                <w:color w:val="000000" w:themeColor="text1"/>
                <w:sz w:val="20"/>
                <w:szCs w:val="20"/>
              </w:rPr>
              <w:t>Number of Residences</w:t>
            </w:r>
          </w:p>
        </w:tc>
        <w:tc>
          <w:tcPr>
            <w:tcW w:w="1418" w:type="dxa"/>
            <w:shd w:val="clear" w:color="auto" w:fill="ABB7C1"/>
            <w:vAlign w:val="bottom"/>
          </w:tcPr>
          <w:p w14:paraId="046C3D22" w14:textId="77777777" w:rsidR="00713C34" w:rsidRPr="00175D8B" w:rsidRDefault="00713C34" w:rsidP="00713C34">
            <w:pPr>
              <w:spacing w:before="120" w:after="0" w:line="276" w:lineRule="auto"/>
              <w:jc w:val="center"/>
              <w:rPr>
                <w:rFonts w:eastAsia="Aptos" w:cs="Aptos"/>
                <w:b/>
                <w:color w:val="000000" w:themeColor="text1"/>
                <w:sz w:val="20"/>
                <w:szCs w:val="20"/>
              </w:rPr>
            </w:pPr>
            <w:r w:rsidRPr="00175D8B">
              <w:rPr>
                <w:rFonts w:eastAsia="Aptos" w:cs="Aptos"/>
                <w:b/>
                <w:color w:val="000000" w:themeColor="text1"/>
                <w:sz w:val="20"/>
                <w:szCs w:val="20"/>
              </w:rPr>
              <w:t>Number of Workplaces</w:t>
            </w:r>
          </w:p>
        </w:tc>
        <w:tc>
          <w:tcPr>
            <w:tcW w:w="3548" w:type="dxa"/>
            <w:shd w:val="clear" w:color="auto" w:fill="ABB7C1"/>
            <w:vAlign w:val="bottom"/>
          </w:tcPr>
          <w:p w14:paraId="4771FDE5" w14:textId="77777777" w:rsidR="00713C34" w:rsidRPr="00175D8B" w:rsidRDefault="00713C34" w:rsidP="00713C34">
            <w:pPr>
              <w:spacing w:before="120" w:after="0" w:line="276" w:lineRule="auto"/>
              <w:jc w:val="center"/>
              <w:rPr>
                <w:rFonts w:eastAsia="Aptos" w:cs="Aptos"/>
                <w:b/>
                <w:color w:val="000000" w:themeColor="text1"/>
                <w:sz w:val="20"/>
                <w:szCs w:val="20"/>
              </w:rPr>
            </w:pPr>
            <w:r w:rsidRPr="00175D8B">
              <w:rPr>
                <w:rFonts w:eastAsia="Aptos" w:cs="Aptos"/>
                <w:b/>
                <w:color w:val="000000" w:themeColor="text1"/>
                <w:sz w:val="20"/>
                <w:szCs w:val="20"/>
              </w:rPr>
              <w:t>Number of Independent Sections (Total)</w:t>
            </w:r>
          </w:p>
        </w:tc>
      </w:tr>
      <w:tr w:rsidR="004D577E" w:rsidRPr="00175D8B" w14:paraId="49CD696F"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D825818" w14:textId="7D8EE9A5"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Adapazarı</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C7A8C6E" w14:textId="7F88C104"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253</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46A073D" w14:textId="0A2DADDA"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1145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2A4A09B" w14:textId="022E1C03"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274</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0B20DF0" w14:textId="060BC643"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1419</w:t>
            </w:r>
          </w:p>
        </w:tc>
      </w:tr>
      <w:tr w:rsidR="004D577E" w:rsidRPr="00175D8B" w14:paraId="7D28A7FF"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852AF77" w14:textId="7BC40FC9"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Akyazı</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472267C2" w14:textId="7D0BEA12"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41</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DF35D2A" w14:textId="556B4313"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396</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4C49C603" w14:textId="0647898C"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111</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453E2BF1" w14:textId="6D314820"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507</w:t>
            </w:r>
          </w:p>
        </w:tc>
      </w:tr>
      <w:tr w:rsidR="004D577E" w:rsidRPr="00175D8B" w14:paraId="339C33AE"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BC1CD9C" w14:textId="680CA6D7"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Arifiye</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4F9A9C4" w14:textId="10CB9379"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11</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8F2CB13" w14:textId="32351586"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57</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5656FF2" w14:textId="1C836211"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14</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F845ACD" w14:textId="340FE764"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71</w:t>
            </w:r>
          </w:p>
        </w:tc>
      </w:tr>
      <w:tr w:rsidR="004D577E" w:rsidRPr="00175D8B" w14:paraId="2F2811C5"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A775F73" w14:textId="0D405D31"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Erenler</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0956BF6" w14:textId="3C8F1E4F"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29</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F5B8427" w14:textId="3176A392"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169</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4E98019" w14:textId="24308117"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21</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CE3EDD6" w14:textId="505E5A15"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190</w:t>
            </w:r>
          </w:p>
        </w:tc>
      </w:tr>
      <w:tr w:rsidR="004D577E" w:rsidRPr="00175D8B" w14:paraId="0621A5FC"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F3E830A" w14:textId="37E79EEC"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Ferizli</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C35F39F" w14:textId="697D2BA4"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7</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CCFDE33" w14:textId="5C4CF877"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54</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D8C104A" w14:textId="59288A05"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9</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1599E7B" w14:textId="5A6E7796"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63</w:t>
            </w:r>
          </w:p>
        </w:tc>
      </w:tr>
      <w:tr w:rsidR="004D577E" w:rsidRPr="00175D8B" w14:paraId="474D4198"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3E96B18" w14:textId="108CCF90"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Geyve</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CBE5A8D" w14:textId="6FCFBCF8"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53</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DA49D19" w14:textId="57C23265"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462</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F2BCC07" w14:textId="2FCF2450"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72</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E3F23CD" w14:textId="7450672F"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534</w:t>
            </w:r>
          </w:p>
        </w:tc>
      </w:tr>
      <w:tr w:rsidR="004D577E" w:rsidRPr="00175D8B" w14:paraId="45C5414C"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9DA410D" w14:textId="72C2F866"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Hendek</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44FE91F3" w14:textId="37803F6B"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53</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531E56D" w14:textId="7E056FB6"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606</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63B71BF" w14:textId="3B2FFB1F"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145</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1877CA4" w14:textId="34C4FBA9"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751</w:t>
            </w:r>
          </w:p>
        </w:tc>
      </w:tr>
      <w:tr w:rsidR="004D577E" w:rsidRPr="00175D8B" w14:paraId="21C73769"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B66D069" w14:textId="40A63D7B"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Karapürçek</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2561C3D" w14:textId="1C1E8372"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C865707" w14:textId="3CD1AC28"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8C5A5F2" w14:textId="1F969B8E"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17C1F3D" w14:textId="256EECF1"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7</w:t>
            </w:r>
          </w:p>
        </w:tc>
      </w:tr>
      <w:tr w:rsidR="004D577E" w:rsidRPr="00175D8B" w14:paraId="1B049DAE"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2A57F39" w14:textId="1A6A7174"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Karasu</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20EA3DE" w14:textId="11C1EFF3"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46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6B166B9" w14:textId="350A04AB"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354</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EBE9057" w14:textId="32ED33CF"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111</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FB417DF" w14:textId="23A08EF5"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465</w:t>
            </w:r>
          </w:p>
        </w:tc>
      </w:tr>
      <w:tr w:rsidR="004D577E" w:rsidRPr="00175D8B" w14:paraId="525669F2"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B21E39F" w14:textId="45A02143"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Kaynarca</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E260235" w14:textId="58D52495"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11</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32F94FB" w14:textId="2829E688"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32</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373200D" w14:textId="75B57208"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20</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2A15569" w14:textId="77A30167"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52</w:t>
            </w:r>
          </w:p>
        </w:tc>
      </w:tr>
      <w:tr w:rsidR="004D577E" w:rsidRPr="00175D8B" w14:paraId="6FC2CBFA"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82B49B8" w14:textId="33105D0F"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Kocaali</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FB80BC3" w14:textId="3A733D96"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11</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2A7EB3E" w14:textId="2DB1FCAB"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510</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EF8743B" w14:textId="78E40BEF"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83</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C8FB295" w14:textId="363DB6D3"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593</w:t>
            </w:r>
          </w:p>
        </w:tc>
      </w:tr>
      <w:tr w:rsidR="004D577E" w:rsidRPr="00175D8B" w14:paraId="36020945"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F182B76" w14:textId="05678040"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Pamukova</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D48083C" w14:textId="674C26E6"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77</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4F70D2BE" w14:textId="3001A228"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523</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651A10F" w14:textId="7D4DE190"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85</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49C94B6" w14:textId="5B01AEA5"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608</w:t>
            </w:r>
          </w:p>
        </w:tc>
      </w:tr>
      <w:tr w:rsidR="004D577E" w:rsidRPr="00175D8B" w14:paraId="5C466AFF"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72A7F5A" w14:textId="1081A2C9"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Sapanca</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46446A9" w14:textId="6080D02C"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34</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5F78642" w14:textId="66E5FD15"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482</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3E642AE" w14:textId="2E6EF85B"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25</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4398E999" w14:textId="48F11572"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507</w:t>
            </w:r>
          </w:p>
        </w:tc>
      </w:tr>
      <w:tr w:rsidR="004D577E" w:rsidRPr="00175D8B" w14:paraId="285D1BDC"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4839F5E" w14:textId="558544E7"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Serdivan</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8858DC0" w14:textId="4C55BE3C"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65</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69BC5DB" w14:textId="2E0C8E19"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655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1024ADC" w14:textId="408DDE0D"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136</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FFEADC4" w14:textId="304D4D66"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791</w:t>
            </w:r>
          </w:p>
        </w:tc>
      </w:tr>
      <w:tr w:rsidR="004D577E" w:rsidRPr="00175D8B" w14:paraId="5AE80F8D"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70290BB" w14:textId="12123C79"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Söğütlü</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8770630" w14:textId="7260FE71"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9353860" w14:textId="530985C1"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9C0AC04" w14:textId="235A2864"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F93F9EF" w14:textId="3A2F43E1"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2</w:t>
            </w:r>
          </w:p>
        </w:tc>
      </w:tr>
      <w:tr w:rsidR="004D577E" w:rsidRPr="00175D8B" w14:paraId="331CDEA4"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3A98A3D" w14:textId="7323BE96"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Taraklı</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A28FCDB" w14:textId="42FC5258"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41794E53" w14:textId="6213018C"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5BEAE27" w14:textId="463BB30D"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F2BEC80" w14:textId="641C4C26" w:rsidR="004D577E" w:rsidRPr="00175D8B" w:rsidRDefault="004D577E" w:rsidP="00713C34">
            <w:pPr>
              <w:spacing w:before="120" w:after="0" w:line="276" w:lineRule="auto"/>
              <w:jc w:val="center"/>
              <w:rPr>
                <w:rFonts w:eastAsia="Aptos" w:cs="Aptos"/>
                <w:bCs/>
                <w:color w:val="000000" w:themeColor="text1"/>
                <w:sz w:val="20"/>
                <w:szCs w:val="20"/>
              </w:rPr>
            </w:pPr>
            <w:r w:rsidRPr="00175D8B">
              <w:rPr>
                <w:rFonts w:eastAsia="Aptos" w:cs="Aptos"/>
                <w:bCs/>
                <w:color w:val="000000" w:themeColor="text1"/>
                <w:sz w:val="20"/>
                <w:szCs w:val="20"/>
              </w:rPr>
              <w:t>-</w:t>
            </w:r>
          </w:p>
        </w:tc>
      </w:tr>
      <w:tr w:rsidR="004D577E" w:rsidRPr="00175D8B" w14:paraId="1FCF5AF5" w14:textId="77777777" w:rsidTr="00A0367D">
        <w:trPr>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759601E2" w14:textId="43A1F0C2" w:rsidR="004D577E" w:rsidRPr="00175D8B" w:rsidRDefault="004D577E" w:rsidP="00713C34">
            <w:pPr>
              <w:spacing w:before="120" w:after="0" w:line="276" w:lineRule="auto"/>
              <w:jc w:val="center"/>
              <w:rPr>
                <w:rFonts w:eastAsia="Aptos" w:cs="Aptos"/>
                <w:b/>
                <w:color w:val="000000" w:themeColor="text1"/>
                <w:sz w:val="20"/>
                <w:szCs w:val="20"/>
              </w:rPr>
            </w:pPr>
            <w:r w:rsidRPr="00175D8B">
              <w:rPr>
                <w:rFonts w:eastAsia="Aptos" w:cs="Aptos"/>
                <w:b/>
                <w:color w:val="000000" w:themeColor="text1"/>
                <w:sz w:val="20"/>
                <w:szCs w:val="20"/>
              </w:rPr>
              <w:t>To</w:t>
            </w:r>
            <w:r w:rsidR="001C61AF" w:rsidRPr="00175D8B">
              <w:rPr>
                <w:rFonts w:eastAsia="Aptos" w:cs="Aptos"/>
                <w:b/>
                <w:color w:val="000000" w:themeColor="text1"/>
                <w:sz w:val="20"/>
                <w:szCs w:val="20"/>
              </w:rPr>
              <w:t>tal</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6D31FCF" w14:textId="1974E512" w:rsidR="004D577E" w:rsidRPr="00175D8B" w:rsidRDefault="004D577E" w:rsidP="00713C34">
            <w:pPr>
              <w:spacing w:before="120" w:after="0" w:line="276" w:lineRule="auto"/>
              <w:jc w:val="center"/>
              <w:rPr>
                <w:rFonts w:eastAsia="Aptos" w:cs="Aptos"/>
                <w:b/>
                <w:color w:val="000000" w:themeColor="text1"/>
                <w:sz w:val="20"/>
                <w:szCs w:val="20"/>
              </w:rPr>
            </w:pPr>
            <w:r w:rsidRPr="00175D8B">
              <w:rPr>
                <w:rFonts w:eastAsia="Aptos" w:cs="Aptos"/>
                <w:b/>
                <w:color w:val="000000" w:themeColor="text1"/>
                <w:sz w:val="20"/>
                <w:szCs w:val="20"/>
              </w:rPr>
              <w:t>694</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C780079" w14:textId="369E1D71" w:rsidR="004D577E" w:rsidRPr="00175D8B" w:rsidRDefault="004D577E" w:rsidP="00713C34">
            <w:pPr>
              <w:spacing w:before="120" w:after="0" w:line="276" w:lineRule="auto"/>
              <w:jc w:val="center"/>
              <w:rPr>
                <w:rFonts w:eastAsia="Aptos" w:cs="Aptos"/>
                <w:b/>
                <w:color w:val="000000" w:themeColor="text1"/>
                <w:sz w:val="20"/>
                <w:szCs w:val="20"/>
              </w:rPr>
            </w:pPr>
            <w:r w:rsidRPr="00175D8B">
              <w:rPr>
                <w:rFonts w:eastAsia="Aptos" w:cs="Aptos"/>
                <w:b/>
                <w:color w:val="000000" w:themeColor="text1"/>
                <w:sz w:val="20"/>
                <w:szCs w:val="20"/>
              </w:rPr>
              <w:t>5</w:t>
            </w:r>
            <w:r w:rsidR="001C61AF" w:rsidRPr="00175D8B">
              <w:rPr>
                <w:rFonts w:eastAsia="Aptos" w:cs="Aptos"/>
                <w:b/>
                <w:color w:val="000000" w:themeColor="text1"/>
                <w:sz w:val="20"/>
                <w:szCs w:val="20"/>
              </w:rPr>
              <w:t>,</w:t>
            </w:r>
            <w:r w:rsidRPr="00175D8B">
              <w:rPr>
                <w:rFonts w:eastAsia="Aptos" w:cs="Aptos"/>
                <w:b/>
                <w:color w:val="000000" w:themeColor="text1"/>
                <w:sz w:val="20"/>
                <w:szCs w:val="20"/>
              </w:rPr>
              <w:t>454</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2B6E53E" w14:textId="6ADC3F28" w:rsidR="004D577E" w:rsidRPr="00175D8B" w:rsidRDefault="004D577E" w:rsidP="00713C34">
            <w:pPr>
              <w:spacing w:before="120" w:after="0" w:line="276" w:lineRule="auto"/>
              <w:jc w:val="center"/>
              <w:rPr>
                <w:rFonts w:eastAsia="Aptos" w:cs="Aptos"/>
                <w:b/>
                <w:color w:val="000000" w:themeColor="text1"/>
                <w:sz w:val="20"/>
                <w:szCs w:val="20"/>
              </w:rPr>
            </w:pPr>
            <w:r w:rsidRPr="00175D8B">
              <w:rPr>
                <w:rFonts w:eastAsia="Aptos" w:cs="Aptos"/>
                <w:b/>
                <w:color w:val="000000" w:themeColor="text1"/>
                <w:sz w:val="20"/>
                <w:szCs w:val="20"/>
              </w:rPr>
              <w:t>1</w:t>
            </w:r>
            <w:r w:rsidR="001C61AF" w:rsidRPr="00175D8B">
              <w:rPr>
                <w:rFonts w:eastAsia="Aptos" w:cs="Aptos"/>
                <w:b/>
                <w:color w:val="000000" w:themeColor="text1"/>
                <w:sz w:val="20"/>
                <w:szCs w:val="20"/>
              </w:rPr>
              <w:t>,</w:t>
            </w:r>
            <w:r w:rsidRPr="00175D8B">
              <w:rPr>
                <w:rFonts w:eastAsia="Aptos" w:cs="Aptos"/>
                <w:b/>
                <w:color w:val="000000" w:themeColor="text1"/>
                <w:sz w:val="20"/>
                <w:szCs w:val="20"/>
              </w:rPr>
              <w:t>106</w:t>
            </w:r>
          </w:p>
        </w:tc>
        <w:tc>
          <w:tcPr>
            <w:tcW w:w="3548"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D8559B6" w14:textId="1E6FC9D5" w:rsidR="004D577E" w:rsidRPr="00175D8B" w:rsidRDefault="004D577E" w:rsidP="00713C34">
            <w:pPr>
              <w:spacing w:before="120" w:after="0" w:line="276" w:lineRule="auto"/>
              <w:jc w:val="center"/>
              <w:rPr>
                <w:rFonts w:eastAsia="Aptos" w:cs="Aptos"/>
                <w:b/>
                <w:color w:val="000000" w:themeColor="text1"/>
                <w:sz w:val="20"/>
                <w:szCs w:val="20"/>
              </w:rPr>
            </w:pPr>
            <w:r w:rsidRPr="00175D8B">
              <w:rPr>
                <w:rFonts w:eastAsia="Aptos" w:cs="Aptos"/>
                <w:b/>
                <w:color w:val="000000" w:themeColor="text1"/>
                <w:sz w:val="20"/>
                <w:szCs w:val="20"/>
              </w:rPr>
              <w:t>6</w:t>
            </w:r>
            <w:r w:rsidR="001C61AF" w:rsidRPr="00175D8B">
              <w:rPr>
                <w:rFonts w:eastAsia="Aptos" w:cs="Aptos"/>
                <w:b/>
                <w:color w:val="000000" w:themeColor="text1"/>
                <w:sz w:val="20"/>
                <w:szCs w:val="20"/>
              </w:rPr>
              <w:t>,</w:t>
            </w:r>
            <w:r w:rsidRPr="00175D8B">
              <w:rPr>
                <w:rFonts w:eastAsia="Aptos" w:cs="Aptos"/>
                <w:b/>
                <w:color w:val="000000" w:themeColor="text1"/>
                <w:sz w:val="20"/>
                <w:szCs w:val="20"/>
              </w:rPr>
              <w:t>560</w:t>
            </w:r>
          </w:p>
        </w:tc>
      </w:tr>
    </w:tbl>
    <w:p w14:paraId="08360545" w14:textId="77777777" w:rsidR="004D577E" w:rsidRPr="00175D8B" w:rsidRDefault="004D577E" w:rsidP="004D577E">
      <w:pPr>
        <w:spacing w:before="120" w:after="0" w:line="278" w:lineRule="auto"/>
        <w:rPr>
          <w:rFonts w:eastAsia="Aptos" w:cs="Aptos"/>
          <w:b/>
          <w:i/>
          <w:color w:val="000000" w:themeColor="text1"/>
          <w:sz w:val="18"/>
          <w:szCs w:val="18"/>
        </w:rPr>
      </w:pPr>
    </w:p>
    <w:p w14:paraId="12BCA8E8" w14:textId="02DAA25E" w:rsidR="00E94211" w:rsidRPr="00175D8B" w:rsidRDefault="00713C34" w:rsidP="00762675">
      <w:pPr>
        <w:spacing w:before="120" w:after="0" w:line="278" w:lineRule="auto"/>
        <w:jc w:val="center"/>
        <w:rPr>
          <w:rFonts w:eastAsia="Aptos" w:cs="Aptos"/>
          <w:i/>
          <w:color w:val="000000" w:themeColor="text1"/>
          <w:sz w:val="18"/>
          <w:szCs w:val="18"/>
        </w:rPr>
      </w:pPr>
      <w:r w:rsidRPr="00175D8B">
        <w:rPr>
          <w:rFonts w:eastAsia="Aptos" w:cs="Aptos"/>
          <w:b/>
          <w:i/>
          <w:color w:val="000000" w:themeColor="text1"/>
          <w:sz w:val="18"/>
          <w:szCs w:val="18"/>
        </w:rPr>
        <w:t xml:space="preserve">Source: </w:t>
      </w:r>
      <w:r w:rsidRPr="00175D8B">
        <w:rPr>
          <w:rFonts w:eastAsia="Aptos" w:cs="Aptos"/>
          <w:i/>
          <w:color w:val="000000" w:themeColor="text1"/>
          <w:sz w:val="18"/>
          <w:szCs w:val="18"/>
        </w:rPr>
        <w:t>Sakarya</w:t>
      </w:r>
      <w:r w:rsidR="00DF1963" w:rsidRPr="00175D8B">
        <w:rPr>
          <w:rFonts w:eastAsia="Aptos" w:cs="Aptos"/>
          <w:i/>
          <w:color w:val="000000" w:themeColor="text1"/>
          <w:sz w:val="18"/>
          <w:szCs w:val="18"/>
        </w:rPr>
        <w:t xml:space="preserve"> Metropolitan Municipality, 202</w:t>
      </w:r>
      <w:r w:rsidR="0096252D" w:rsidRPr="00175D8B">
        <w:rPr>
          <w:rFonts w:eastAsia="Aptos" w:cs="Aptos"/>
          <w:i/>
          <w:color w:val="000000" w:themeColor="text1"/>
          <w:sz w:val="18"/>
          <w:szCs w:val="18"/>
        </w:rPr>
        <w:t>5</w:t>
      </w:r>
    </w:p>
    <w:p w14:paraId="5CA8F689" w14:textId="10207C8E" w:rsidR="00D80A2F" w:rsidRPr="00175D8B" w:rsidRDefault="00713C34" w:rsidP="002550A6">
      <w:pPr>
        <w:pStyle w:val="Balk2"/>
        <w:numPr>
          <w:ilvl w:val="1"/>
          <w:numId w:val="2"/>
        </w:numPr>
      </w:pPr>
      <w:bookmarkStart w:id="52" w:name="_Toc212541850"/>
      <w:bookmarkStart w:id="53" w:name="_Toc212542361"/>
      <w:bookmarkStart w:id="54" w:name="_Toc220672772"/>
      <w:r w:rsidRPr="00175D8B">
        <w:t>Project Benefits and Positive Impacts</w:t>
      </w:r>
      <w:bookmarkEnd w:id="52"/>
      <w:bookmarkEnd w:id="53"/>
      <w:bookmarkEnd w:id="54"/>
    </w:p>
    <w:p w14:paraId="4803EFF3" w14:textId="0C451FBF" w:rsidR="0039767C" w:rsidRPr="00175D8B" w:rsidRDefault="00713C34" w:rsidP="007E1FEA">
      <w:r w:rsidRPr="00175D8B">
        <w:t>The main potential positive environmental and social benefits and impacts of the activities and sub-projects linked to resilient housing are as follows:</w:t>
      </w:r>
    </w:p>
    <w:p w14:paraId="5A190DF9" w14:textId="1012AF83" w:rsidR="0039767C" w:rsidRPr="00175D8B" w:rsidRDefault="00713C34" w:rsidP="00877B62">
      <w:pPr>
        <w:pStyle w:val="ListeParagraf"/>
        <w:numPr>
          <w:ilvl w:val="0"/>
          <w:numId w:val="4"/>
        </w:numPr>
      </w:pPr>
      <w:r w:rsidRPr="00175D8B">
        <w:lastRenderedPageBreak/>
        <w:t>The fact that risky buildings are generally built at an earlier date than non-risky buildings cause the energy efficiency of the former residences failing to meet current standards and practices. Within the scope of the Project, the reconstruction of buildings will reduce the use of energy for air conditioning and heating, with the construction of well-insulated houses.</w:t>
      </w:r>
    </w:p>
    <w:p w14:paraId="0E39FB5A" w14:textId="6C86888C" w:rsidR="0039767C" w:rsidRPr="00175D8B" w:rsidRDefault="00713C34" w:rsidP="00877B62">
      <w:pPr>
        <w:pStyle w:val="ListeParagraf"/>
        <w:numPr>
          <w:ilvl w:val="0"/>
          <w:numId w:val="4"/>
        </w:numPr>
      </w:pPr>
      <w:r w:rsidRPr="00175D8B">
        <w:t>Emissions, which decrease directly with the decrease in the use of fuel for heating and indirectly with the decrease in the use of electricity for air conditioning, will have a positive impact on both air quality and climate change.</w:t>
      </w:r>
    </w:p>
    <w:p w14:paraId="70E7E187" w14:textId="77777777" w:rsidR="00713C34" w:rsidRPr="00175D8B" w:rsidRDefault="00713C34" w:rsidP="00877B62">
      <w:pPr>
        <w:pStyle w:val="ListeParagraf"/>
        <w:numPr>
          <w:ilvl w:val="0"/>
          <w:numId w:val="4"/>
        </w:numPr>
      </w:pPr>
      <w:r w:rsidRPr="00175D8B">
        <w:t>Within the scope of Component 2, during the reconstruction of structures in certain neighborhoods in Sakarya where coal is still used for heating purposes, the heating systems can be operated with fuels with lower carbon emissions, thus positive effects will emerge in terms of both air quality and climate change.</w:t>
      </w:r>
    </w:p>
    <w:p w14:paraId="0AC3FB9F" w14:textId="32E2CE1F" w:rsidR="00713C34" w:rsidRPr="00175D8B" w:rsidRDefault="00713C34" w:rsidP="00877B62">
      <w:pPr>
        <w:pStyle w:val="ListeParagraf"/>
        <w:numPr>
          <w:ilvl w:val="0"/>
          <w:numId w:val="4"/>
        </w:numPr>
      </w:pPr>
      <w:r w:rsidRPr="00175D8B">
        <w:t>In the scope of national legislation, the Planned Areas Zoning Regulation was amended at the beginning of 2021 and a new obligation was introduced. Accordingly, the mechanical installation projects of the buildings to be built on parcels larger than 2000 m² must include a rainwater collection system for the rainwater to be collected from the roof surface, if necessary, to be filtered and collected in a tank and used in building toilet flushes. Within the scope of the Project, sub-projects that will be included in this scope will indirectly contribute to water efficiency.</w:t>
      </w:r>
    </w:p>
    <w:p w14:paraId="1B98B4BE" w14:textId="1DE340FD" w:rsidR="00713C34" w:rsidRPr="00175D8B" w:rsidRDefault="00713C34" w:rsidP="00877B62">
      <w:pPr>
        <w:pStyle w:val="ListeParagraf"/>
        <w:numPr>
          <w:ilvl w:val="0"/>
          <w:numId w:val="4"/>
        </w:numPr>
      </w:pPr>
      <w:r w:rsidRPr="00175D8B">
        <w:t>Risky structures will be reconstructed into disaster-resistant structures by demolishing the structures identified as risky and constructing or reinforcing safe structures in compliance with the standards.</w:t>
      </w:r>
    </w:p>
    <w:p w14:paraId="4C5A966B" w14:textId="7D183508" w:rsidR="00713C34" w:rsidRPr="00175D8B" w:rsidRDefault="00713C34" w:rsidP="00877B62">
      <w:pPr>
        <w:pStyle w:val="ListeParagraf"/>
        <w:numPr>
          <w:ilvl w:val="0"/>
          <w:numId w:val="4"/>
        </w:numPr>
      </w:pPr>
      <w:r w:rsidRPr="00175D8B">
        <w:t>Low-income households or vulnerable groups living in risky structures will be able to obtain safe housing by taking advantage of appropriate loan opportunities and rent support.</w:t>
      </w:r>
    </w:p>
    <w:p w14:paraId="64ABAC05" w14:textId="773927B8" w:rsidR="00C00D47" w:rsidRDefault="00713C34" w:rsidP="006C58C5">
      <w:pPr>
        <w:pStyle w:val="ListeParagraf"/>
        <w:numPr>
          <w:ilvl w:val="0"/>
          <w:numId w:val="4"/>
        </w:numPr>
      </w:pPr>
      <w:r w:rsidRPr="00175D8B">
        <w:t>Awareness about risky structure and urban resilience will be raised by explaining the Project to the public within the scope of stakeholder engagement activities and making it public.</w:t>
      </w:r>
    </w:p>
    <w:p w14:paraId="73A0B5A9" w14:textId="77777777" w:rsidR="00EC7CA3" w:rsidRDefault="00EC7CA3" w:rsidP="00EC7CA3">
      <w:pPr>
        <w:pStyle w:val="ListeParagraf"/>
        <w:sectPr w:rsidR="00EC7CA3" w:rsidSect="007C6114">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709" w:footer="709" w:gutter="0"/>
          <w:cols w:space="708"/>
          <w:docGrid w:linePitch="360"/>
        </w:sectPr>
      </w:pPr>
    </w:p>
    <w:p w14:paraId="65D2B9F5" w14:textId="6D9E3E29" w:rsidR="00D80A2F" w:rsidRPr="00175D8B" w:rsidRDefault="00713C34">
      <w:pPr>
        <w:pStyle w:val="Balk1"/>
        <w:numPr>
          <w:ilvl w:val="0"/>
          <w:numId w:val="2"/>
        </w:numPr>
        <w:rPr>
          <w:b/>
          <w:sz w:val="28"/>
          <w:szCs w:val="28"/>
        </w:rPr>
      </w:pPr>
      <w:bookmarkStart w:id="55" w:name="_Toc216344323"/>
      <w:bookmarkStart w:id="56" w:name="_Toc212541851"/>
      <w:bookmarkStart w:id="57" w:name="_Toc212542362"/>
      <w:bookmarkStart w:id="58" w:name="_Toc220672773"/>
      <w:bookmarkEnd w:id="55"/>
      <w:r w:rsidRPr="00175D8B">
        <w:rPr>
          <w:b/>
          <w:sz w:val="28"/>
          <w:szCs w:val="28"/>
        </w:rPr>
        <w:lastRenderedPageBreak/>
        <w:t>ENVIRONMENTAL AND SOCIAL BASELINE AND PROJECT AREA CONDITIONS</w:t>
      </w:r>
      <w:bookmarkEnd w:id="56"/>
      <w:bookmarkEnd w:id="57"/>
      <w:bookmarkEnd w:id="58"/>
    </w:p>
    <w:p w14:paraId="4C58F006" w14:textId="30FDBC17" w:rsidR="00DB19D7" w:rsidRPr="00175D8B" w:rsidRDefault="00713C34" w:rsidP="007E1FEA">
      <w:r w:rsidRPr="00175D8B">
        <w:t xml:space="preserve">This section presents some of the environmental and social baseline conditions for Sakarya Province where the CDRC Project will be implemented. The environmental baseline provides information on the province's water resources, natural protected areas, urban areas, seismic activity, air quality and waste management. The social baseline describes the existing social conditions in the province, such as the demographic situation in the province and districts, including information on vulnerable groups, such as Roma population and Syrians under temporary protection (SuTP), education and socioeconomic </w:t>
      </w:r>
      <w:r w:rsidR="009D1233" w:rsidRPr="00175D8B">
        <w:t xml:space="preserve">situation </w:t>
      </w:r>
      <w:r w:rsidRPr="00175D8B">
        <w:t xml:space="preserve">as well as cultural heritage.  The baseline presents relevant issues for specific investments in Sakarya Province under the </w:t>
      </w:r>
      <w:r w:rsidR="00DB19D7" w:rsidRPr="00175D8B">
        <w:t>CDRC Project</w:t>
      </w:r>
      <w:r w:rsidR="00365CEA" w:rsidRPr="00175D8B">
        <w:t xml:space="preserve">. </w:t>
      </w:r>
    </w:p>
    <w:p w14:paraId="752B4EC0" w14:textId="557FC260" w:rsidR="00D80A2F" w:rsidRPr="00175D8B" w:rsidRDefault="00713C34" w:rsidP="79FD7082">
      <w:pPr>
        <w:pStyle w:val="Balk2"/>
        <w:keepNext w:val="0"/>
        <w:keepLines w:val="0"/>
        <w:numPr>
          <w:ilvl w:val="1"/>
          <w:numId w:val="2"/>
        </w:numPr>
      </w:pPr>
      <w:bookmarkStart w:id="59" w:name="_Toc392900625"/>
      <w:bookmarkStart w:id="60" w:name="_Toc212541852"/>
      <w:bookmarkStart w:id="61" w:name="_Toc212542363"/>
      <w:bookmarkStart w:id="62" w:name="_Toc220672774"/>
      <w:r w:rsidRPr="00175D8B">
        <w:t>Environmental Baseline Conditions</w:t>
      </w:r>
      <w:bookmarkEnd w:id="59"/>
      <w:bookmarkEnd w:id="60"/>
      <w:bookmarkEnd w:id="61"/>
      <w:bookmarkEnd w:id="62"/>
    </w:p>
    <w:p w14:paraId="34B914FE" w14:textId="336EAFA3" w:rsidR="00D80A2F" w:rsidRPr="00175D8B" w:rsidRDefault="00713C34" w:rsidP="00094556">
      <w:pPr>
        <w:pStyle w:val="Balk3"/>
        <w:numPr>
          <w:ilvl w:val="2"/>
          <w:numId w:val="2"/>
        </w:numPr>
      </w:pPr>
      <w:bookmarkStart w:id="63" w:name="_Toc212541853"/>
      <w:bookmarkStart w:id="64" w:name="_Toc212542364"/>
      <w:bookmarkStart w:id="65" w:name="_Toc220672775"/>
      <w:r w:rsidRPr="00175D8B">
        <w:t>Water Resources and Potential of Sakarya Province</w:t>
      </w:r>
      <w:bookmarkEnd w:id="63"/>
      <w:bookmarkEnd w:id="64"/>
      <w:bookmarkEnd w:id="65"/>
    </w:p>
    <w:p w14:paraId="469DA1B1" w14:textId="101B0CC2" w:rsidR="00E0180B" w:rsidRPr="00175D8B" w:rsidRDefault="00713C34" w:rsidP="007E1FEA">
      <w:r w:rsidRPr="00175D8B">
        <w:t xml:space="preserve">Sakarya is a province located in the northwest of Türkiye, in the eastern part of the Marmara Region. </w:t>
      </w:r>
      <w:r w:rsidR="00D652C6">
        <w:t>Sakarya possesses a northern coastline on the Black Sea and share borders with the provinces of Kocaeli, Bilecik, Bolu, an Düzce.</w:t>
      </w:r>
      <w:r w:rsidRPr="00175D8B">
        <w:t xml:space="preserve"> The province is situated between 40°17′ and 41°13′ north latitude and 29°57′ and 31°05′ east longitude. Sakarya, with a total area of 4,878 km², consists of 16 districts. The highest altitude in the province reaches about 1,725 meters above sea level. Within the borders of Sakarya, there are low plains along the Black Sea coast in the north and the extensions of the Samanlı Mountains and Köroğlu Mountains in the south. The Sakarya River, one of the important rivers of Türkiye, flows through the province and empties into the Black Sea. In addition, Sapanca Lake, located within the borders of the province, is one of the important water resources of the region both ecologically and economically.</w:t>
      </w:r>
    </w:p>
    <w:p w14:paraId="71B3751B" w14:textId="2F85C1CB" w:rsidR="00890057" w:rsidRPr="00175D8B" w:rsidRDefault="00713C34" w:rsidP="00094556">
      <w:pPr>
        <w:pStyle w:val="Balk3"/>
        <w:numPr>
          <w:ilvl w:val="3"/>
          <w:numId w:val="2"/>
        </w:numPr>
      </w:pPr>
      <w:bookmarkStart w:id="66" w:name="_Toc209708078"/>
      <w:bookmarkStart w:id="67" w:name="_Toc212541854"/>
      <w:bookmarkStart w:id="68" w:name="_Toc212542365"/>
      <w:bookmarkStart w:id="69" w:name="_Toc220672776"/>
      <w:r w:rsidRPr="00175D8B">
        <w:t>Surface Waters</w:t>
      </w:r>
      <w:bookmarkEnd w:id="66"/>
      <w:bookmarkEnd w:id="67"/>
      <w:bookmarkEnd w:id="68"/>
      <w:bookmarkEnd w:id="69"/>
    </w:p>
    <w:p w14:paraId="65098094" w14:textId="4378E962" w:rsidR="00890057" w:rsidRPr="00175D8B" w:rsidRDefault="00713C34" w:rsidP="00094556">
      <w:pPr>
        <w:pStyle w:val="Balk3"/>
        <w:numPr>
          <w:ilvl w:val="4"/>
          <w:numId w:val="2"/>
        </w:numPr>
        <w:rPr>
          <w:i/>
        </w:rPr>
      </w:pPr>
      <w:bookmarkStart w:id="70" w:name="_Toc209708079"/>
      <w:bookmarkStart w:id="71" w:name="_Toc212541855"/>
      <w:bookmarkStart w:id="72" w:name="_Toc212542366"/>
      <w:bookmarkStart w:id="73" w:name="_Toc220672777"/>
      <w:r w:rsidRPr="00175D8B">
        <w:rPr>
          <w:i/>
        </w:rPr>
        <w:t>Rivers and Streams</w:t>
      </w:r>
      <w:bookmarkEnd w:id="70"/>
      <w:bookmarkEnd w:id="71"/>
      <w:bookmarkEnd w:id="72"/>
      <w:bookmarkEnd w:id="73"/>
    </w:p>
    <w:p w14:paraId="4EBFF318" w14:textId="78C52300" w:rsidR="001E4C65" w:rsidRPr="00175D8B" w:rsidRDefault="00713C34" w:rsidP="006C58C5">
      <w:pPr>
        <w:rPr>
          <w:rFonts w:eastAsia="Aptos" w:cs="Aptos"/>
          <w:i/>
          <w:color w:val="000000" w:themeColor="text1"/>
          <w:sz w:val="20"/>
          <w:szCs w:val="20"/>
        </w:rPr>
      </w:pPr>
      <w:r w:rsidRPr="00175D8B">
        <w:t xml:space="preserve">The Sakarya River, the third longest river in Türkiye, is one of the important surface water resources of the province. The river, formed by the combination of various branches originating from Afyon and Eskişehir provinces, enters the province of Sakarya through the Pamukova and Geyve Strait, incorporating the Porsuk and Ankara Streams. The river flows from the borders of Karasu district to the </w:t>
      </w:r>
      <w:r w:rsidRPr="00175D8B">
        <w:lastRenderedPageBreak/>
        <w:t xml:space="preserve">Black Sea. Apart from the Sakarya River, there are other rivers of various sizes within the borders of the province. The main rivers in Sakarya province are presented in </w:t>
      </w:r>
      <w:r w:rsidR="009C61E6" w:rsidRPr="00320C8D">
        <w:fldChar w:fldCharType="begin"/>
      </w:r>
      <w:r w:rsidR="009C61E6" w:rsidRPr="00320C8D">
        <w:instrText xml:space="preserve"> REF _Ref214632703 \h </w:instrText>
      </w:r>
      <w:r w:rsidR="00320C8D" w:rsidRPr="00320C8D">
        <w:instrText xml:space="preserve"> \* MERGEFORMAT </w:instrText>
      </w:r>
      <w:r w:rsidR="009C61E6" w:rsidRPr="00320C8D">
        <w:fldChar w:fldCharType="separate"/>
      </w:r>
      <w:r w:rsidR="009C61E6" w:rsidRPr="00320C8D">
        <w:t xml:space="preserve">Table </w:t>
      </w:r>
      <w:r w:rsidR="009C61E6" w:rsidRPr="00320C8D">
        <w:rPr>
          <w:noProof/>
        </w:rPr>
        <w:t>2</w:t>
      </w:r>
      <w:r w:rsidR="009C61E6" w:rsidRPr="00320C8D">
        <w:fldChar w:fldCharType="end"/>
      </w:r>
      <w:r w:rsidRPr="00175D8B">
        <w:t>.</w:t>
      </w:r>
      <w:r w:rsidR="008E433A" w:rsidRPr="00175D8B">
        <w:rPr>
          <w:sz w:val="20"/>
          <w:szCs w:val="20"/>
          <w:vertAlign w:val="superscript"/>
        </w:rPr>
        <w:footnoteReference w:id="6"/>
      </w:r>
      <w:bookmarkStart w:id="74" w:name="_heading=h.jqu1772y7r1x" w:colFirst="0" w:colLast="0"/>
      <w:bookmarkStart w:id="75" w:name="_heading=h.3t2jixbotds4" w:colFirst="0" w:colLast="0"/>
      <w:bookmarkStart w:id="76" w:name="_Toc209169595"/>
      <w:bookmarkEnd w:id="74"/>
      <w:bookmarkEnd w:id="75"/>
    </w:p>
    <w:p w14:paraId="454CAEC3" w14:textId="6E6D45FF" w:rsidR="00C00D47" w:rsidRPr="00175D8B" w:rsidRDefault="00C00D47" w:rsidP="006C58C5">
      <w:pPr>
        <w:pStyle w:val="ResimYazs"/>
        <w:keepNext/>
        <w:jc w:val="center"/>
      </w:pPr>
      <w:bookmarkStart w:id="77" w:name="_Ref214632703"/>
      <w:bookmarkStart w:id="78" w:name="_Toc216344419"/>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2</w:t>
      </w:r>
      <w:r w:rsidRPr="006C58C5">
        <w:rPr>
          <w:b/>
          <w:bCs/>
        </w:rPr>
        <w:fldChar w:fldCharType="end"/>
      </w:r>
      <w:bookmarkEnd w:id="77"/>
      <w:r w:rsidR="006D791E" w:rsidRPr="00175D8B">
        <w:rPr>
          <w:b/>
          <w:bCs/>
        </w:rPr>
        <w:t>:</w:t>
      </w:r>
      <w:r w:rsidRPr="00175D8B">
        <w:t xml:space="preserve"> </w:t>
      </w:r>
      <w:r w:rsidRPr="00175D8B">
        <w:rPr>
          <w:rFonts w:eastAsia="Aptos" w:cs="Aptos"/>
          <w:color w:val="000000"/>
          <w:szCs w:val="20"/>
        </w:rPr>
        <w:t>Characteristics of Rivers in Sakarya Province</w:t>
      </w:r>
      <w:bookmarkEnd w:id="78"/>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1791"/>
        <w:gridCol w:w="2536"/>
        <w:gridCol w:w="1768"/>
      </w:tblGrid>
      <w:tr w:rsidR="001E4C65" w:rsidRPr="00175D8B" w14:paraId="64F228D2" w14:textId="77777777" w:rsidTr="00DF417A">
        <w:trPr>
          <w:cantSplit/>
          <w:tblHeader/>
          <w:jc w:val="center"/>
        </w:trPr>
        <w:tc>
          <w:tcPr>
            <w:tcW w:w="2977" w:type="dxa"/>
            <w:shd w:val="clear" w:color="auto" w:fill="ABB7C1"/>
            <w:vAlign w:val="center"/>
          </w:tcPr>
          <w:p w14:paraId="34DDBB0F" w14:textId="77777777" w:rsidR="001E4C65" w:rsidRPr="00175D8B" w:rsidRDefault="001E4C65" w:rsidP="001E4C65">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Name of the Stream</w:t>
            </w:r>
          </w:p>
        </w:tc>
        <w:tc>
          <w:tcPr>
            <w:tcW w:w="1791" w:type="dxa"/>
            <w:shd w:val="clear" w:color="auto" w:fill="ABB7C1"/>
            <w:vAlign w:val="center"/>
          </w:tcPr>
          <w:p w14:paraId="395DF209" w14:textId="77777777" w:rsidR="001E4C65" w:rsidRPr="00175D8B" w:rsidRDefault="001E4C65" w:rsidP="001E4C65">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Total Length (km)</w:t>
            </w:r>
          </w:p>
        </w:tc>
        <w:tc>
          <w:tcPr>
            <w:tcW w:w="2536" w:type="dxa"/>
            <w:shd w:val="clear" w:color="auto" w:fill="ABB7C1"/>
            <w:vAlign w:val="center"/>
          </w:tcPr>
          <w:p w14:paraId="641B16F6" w14:textId="77777777" w:rsidR="001E4C65" w:rsidRPr="00175D8B" w:rsidRDefault="001E4C65" w:rsidP="001E4C65">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Length within the Provincial Borders (km)</w:t>
            </w:r>
          </w:p>
        </w:tc>
        <w:tc>
          <w:tcPr>
            <w:tcW w:w="1768" w:type="dxa"/>
            <w:shd w:val="clear" w:color="auto" w:fill="ABB7C1"/>
            <w:vAlign w:val="center"/>
          </w:tcPr>
          <w:p w14:paraId="7E4CD772" w14:textId="77777777" w:rsidR="001E4C65" w:rsidRPr="00175D8B" w:rsidRDefault="001E4C65" w:rsidP="001E4C65">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The stream of which it is a branch</w:t>
            </w:r>
          </w:p>
        </w:tc>
      </w:tr>
      <w:tr w:rsidR="001E4C65" w:rsidRPr="00175D8B" w14:paraId="73C3883F" w14:textId="77777777" w:rsidTr="00DF417A">
        <w:trPr>
          <w:cantSplit/>
          <w:jc w:val="center"/>
        </w:trPr>
        <w:tc>
          <w:tcPr>
            <w:tcW w:w="2977" w:type="dxa"/>
            <w:shd w:val="clear" w:color="auto" w:fill="F2F2F2"/>
            <w:vAlign w:val="center"/>
          </w:tcPr>
          <w:p w14:paraId="3914FC99" w14:textId="77777777" w:rsidR="001E4C65" w:rsidRPr="00175D8B" w:rsidRDefault="001E4C65" w:rsidP="001E4C65">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Sakarya River</w:t>
            </w:r>
          </w:p>
        </w:tc>
        <w:tc>
          <w:tcPr>
            <w:tcW w:w="1791" w:type="dxa"/>
            <w:shd w:val="clear" w:color="auto" w:fill="F2F2F2"/>
            <w:vAlign w:val="center"/>
          </w:tcPr>
          <w:p w14:paraId="752B3A2B" w14:textId="77777777" w:rsidR="001E4C65" w:rsidRPr="00175D8B" w:rsidRDefault="001E4C65" w:rsidP="001E4C65">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824 km</w:t>
            </w:r>
          </w:p>
        </w:tc>
        <w:tc>
          <w:tcPr>
            <w:tcW w:w="2536" w:type="dxa"/>
            <w:shd w:val="clear" w:color="auto" w:fill="F2F2F2"/>
            <w:vAlign w:val="center"/>
          </w:tcPr>
          <w:p w14:paraId="1663737E" w14:textId="77777777" w:rsidR="001E4C65" w:rsidRPr="00175D8B" w:rsidRDefault="001E4C65" w:rsidP="001E4C65">
            <w:pPr>
              <w:spacing w:before="120" w:after="0" w:line="278" w:lineRule="auto"/>
              <w:jc w:val="left"/>
              <w:rPr>
                <w:rFonts w:eastAsia="Aptos" w:cs="Aptos"/>
                <w:color w:val="000000" w:themeColor="text1"/>
                <w:sz w:val="20"/>
                <w:szCs w:val="20"/>
              </w:rPr>
            </w:pPr>
            <w:r w:rsidRPr="00175D8B">
              <w:rPr>
                <w:rFonts w:eastAsia="Aptos" w:cs="Aptos"/>
                <w:color w:val="000000" w:themeColor="text1"/>
                <w:sz w:val="20"/>
                <w:szCs w:val="20"/>
              </w:rPr>
              <w:t>150 km</w:t>
            </w:r>
          </w:p>
        </w:tc>
        <w:tc>
          <w:tcPr>
            <w:tcW w:w="1768" w:type="dxa"/>
            <w:shd w:val="clear" w:color="auto" w:fill="F2F2F2"/>
            <w:vAlign w:val="center"/>
          </w:tcPr>
          <w:p w14:paraId="00526399" w14:textId="77777777" w:rsidR="001E4C65" w:rsidRPr="00175D8B" w:rsidRDefault="001E4C65" w:rsidP="001E4C65">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r>
      <w:tr w:rsidR="001E4C65" w:rsidRPr="00175D8B" w14:paraId="2691D082" w14:textId="77777777" w:rsidTr="00DF417A">
        <w:trPr>
          <w:cantSplit/>
          <w:jc w:val="center"/>
        </w:trPr>
        <w:tc>
          <w:tcPr>
            <w:tcW w:w="2977" w:type="dxa"/>
            <w:shd w:val="clear" w:color="auto" w:fill="F2F2F2"/>
            <w:vAlign w:val="center"/>
          </w:tcPr>
          <w:p w14:paraId="2F4EC469"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Mudurnu Stream</w:t>
            </w:r>
          </w:p>
        </w:tc>
        <w:tc>
          <w:tcPr>
            <w:tcW w:w="1791" w:type="dxa"/>
            <w:shd w:val="clear" w:color="auto" w:fill="F2F2F2"/>
            <w:vAlign w:val="center"/>
          </w:tcPr>
          <w:p w14:paraId="7BD1CB2E"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65 km</w:t>
            </w:r>
          </w:p>
        </w:tc>
        <w:tc>
          <w:tcPr>
            <w:tcW w:w="2536" w:type="dxa"/>
            <w:shd w:val="clear" w:color="auto" w:fill="F2F2F2"/>
            <w:vAlign w:val="center"/>
          </w:tcPr>
          <w:p w14:paraId="3A6C9826" w14:textId="77777777" w:rsidR="001E4C65" w:rsidRPr="00175D8B" w:rsidRDefault="001E4C65" w:rsidP="001E4C65">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It flows within the borders of the province.</w:t>
            </w:r>
          </w:p>
        </w:tc>
        <w:tc>
          <w:tcPr>
            <w:tcW w:w="1768" w:type="dxa"/>
            <w:shd w:val="clear" w:color="auto" w:fill="F2F2F2"/>
            <w:vAlign w:val="center"/>
          </w:tcPr>
          <w:p w14:paraId="7315CE22"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Sakarya River</w:t>
            </w:r>
          </w:p>
        </w:tc>
      </w:tr>
      <w:tr w:rsidR="001E4C65" w:rsidRPr="00175D8B" w14:paraId="153CF7B9" w14:textId="77777777" w:rsidTr="00DF417A">
        <w:trPr>
          <w:cantSplit/>
          <w:jc w:val="center"/>
        </w:trPr>
        <w:tc>
          <w:tcPr>
            <w:tcW w:w="2977" w:type="dxa"/>
            <w:shd w:val="clear" w:color="auto" w:fill="F2F2F2"/>
            <w:vAlign w:val="center"/>
          </w:tcPr>
          <w:p w14:paraId="42F8E344"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Dinsiz Stream</w:t>
            </w:r>
          </w:p>
        </w:tc>
        <w:tc>
          <w:tcPr>
            <w:tcW w:w="1791" w:type="dxa"/>
            <w:shd w:val="clear" w:color="auto" w:fill="F2F2F2"/>
            <w:vAlign w:val="center"/>
          </w:tcPr>
          <w:p w14:paraId="613391F3"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34 km</w:t>
            </w:r>
          </w:p>
        </w:tc>
        <w:tc>
          <w:tcPr>
            <w:tcW w:w="2536" w:type="dxa"/>
            <w:shd w:val="clear" w:color="auto" w:fill="F2F2F2"/>
            <w:vAlign w:val="center"/>
          </w:tcPr>
          <w:p w14:paraId="127306D9" w14:textId="77777777" w:rsidR="001E4C65" w:rsidRPr="00175D8B" w:rsidRDefault="001E4C65" w:rsidP="001E4C65">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It flows within the borders of the province.</w:t>
            </w:r>
          </w:p>
        </w:tc>
        <w:tc>
          <w:tcPr>
            <w:tcW w:w="1768" w:type="dxa"/>
            <w:shd w:val="clear" w:color="auto" w:fill="F2F2F2"/>
            <w:vAlign w:val="center"/>
          </w:tcPr>
          <w:p w14:paraId="61DA7810"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sz w:val="20"/>
                <w:szCs w:val="20"/>
              </w:rPr>
              <w:t>Mudurnu Stream</w:t>
            </w:r>
          </w:p>
        </w:tc>
      </w:tr>
      <w:tr w:rsidR="001E4C65" w:rsidRPr="00175D8B" w14:paraId="3A881A91" w14:textId="77777777" w:rsidTr="00DF417A">
        <w:trPr>
          <w:cantSplit/>
          <w:jc w:val="center"/>
        </w:trPr>
        <w:tc>
          <w:tcPr>
            <w:tcW w:w="2977" w:type="dxa"/>
            <w:shd w:val="clear" w:color="auto" w:fill="F2F2F2"/>
            <w:vAlign w:val="center"/>
          </w:tcPr>
          <w:p w14:paraId="5EF83BFD"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Çark Creek</w:t>
            </w:r>
          </w:p>
        </w:tc>
        <w:tc>
          <w:tcPr>
            <w:tcW w:w="1791" w:type="dxa"/>
            <w:shd w:val="clear" w:color="auto" w:fill="F2F2F2"/>
            <w:vAlign w:val="center"/>
          </w:tcPr>
          <w:p w14:paraId="74223332"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45 km</w:t>
            </w:r>
          </w:p>
        </w:tc>
        <w:tc>
          <w:tcPr>
            <w:tcW w:w="2536" w:type="dxa"/>
            <w:shd w:val="clear" w:color="auto" w:fill="F2F2F2"/>
            <w:vAlign w:val="center"/>
          </w:tcPr>
          <w:p w14:paraId="5F1300A5" w14:textId="77777777" w:rsidR="001E4C65" w:rsidRPr="00175D8B" w:rsidRDefault="001E4C65" w:rsidP="001E4C65">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It flows within the borders of the province.</w:t>
            </w:r>
          </w:p>
        </w:tc>
        <w:tc>
          <w:tcPr>
            <w:tcW w:w="1768" w:type="dxa"/>
            <w:shd w:val="clear" w:color="auto" w:fill="F2F2F2"/>
            <w:vAlign w:val="center"/>
          </w:tcPr>
          <w:p w14:paraId="770CA0F7"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Sakarya River</w:t>
            </w:r>
          </w:p>
        </w:tc>
      </w:tr>
      <w:tr w:rsidR="001E4C65" w:rsidRPr="00175D8B" w14:paraId="5690A092" w14:textId="77777777" w:rsidTr="00DF417A">
        <w:trPr>
          <w:cantSplit/>
          <w:jc w:val="center"/>
        </w:trPr>
        <w:tc>
          <w:tcPr>
            <w:tcW w:w="2977" w:type="dxa"/>
            <w:shd w:val="clear" w:color="auto" w:fill="F2F2F2"/>
            <w:vAlign w:val="center"/>
          </w:tcPr>
          <w:p w14:paraId="127009D1"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 xml:space="preserve">Maden </w:t>
            </w:r>
            <w:r w:rsidRPr="00175D8B">
              <w:rPr>
                <w:rFonts w:eastAsia="Aptos" w:cs="Aptos"/>
                <w:color w:val="000000"/>
                <w:sz w:val="20"/>
                <w:szCs w:val="20"/>
              </w:rPr>
              <w:t>Creek</w:t>
            </w:r>
          </w:p>
        </w:tc>
        <w:tc>
          <w:tcPr>
            <w:tcW w:w="1791" w:type="dxa"/>
            <w:shd w:val="clear" w:color="auto" w:fill="F2F2F2"/>
            <w:vAlign w:val="center"/>
          </w:tcPr>
          <w:p w14:paraId="6F3541EF"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30 km</w:t>
            </w:r>
          </w:p>
        </w:tc>
        <w:tc>
          <w:tcPr>
            <w:tcW w:w="2536" w:type="dxa"/>
            <w:shd w:val="clear" w:color="auto" w:fill="F2F2F2"/>
            <w:vAlign w:val="center"/>
          </w:tcPr>
          <w:p w14:paraId="692F51B4" w14:textId="77777777" w:rsidR="001E4C65" w:rsidRPr="00175D8B" w:rsidRDefault="001E4C65" w:rsidP="001E4C65">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It flows within the borders of the province.</w:t>
            </w:r>
          </w:p>
        </w:tc>
        <w:tc>
          <w:tcPr>
            <w:tcW w:w="1768" w:type="dxa"/>
            <w:shd w:val="clear" w:color="auto" w:fill="F2F2F2"/>
            <w:vAlign w:val="center"/>
          </w:tcPr>
          <w:p w14:paraId="575E452C"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sz w:val="20"/>
                <w:szCs w:val="20"/>
              </w:rPr>
              <w:t>Karasu</w:t>
            </w:r>
          </w:p>
        </w:tc>
      </w:tr>
      <w:tr w:rsidR="001E4C65" w:rsidRPr="00175D8B" w14:paraId="6637C833" w14:textId="77777777" w:rsidTr="00DF417A">
        <w:trPr>
          <w:cantSplit/>
          <w:jc w:val="center"/>
        </w:trPr>
        <w:tc>
          <w:tcPr>
            <w:tcW w:w="2977" w:type="dxa"/>
            <w:shd w:val="clear" w:color="auto" w:fill="F2F2F2"/>
            <w:vAlign w:val="center"/>
          </w:tcPr>
          <w:p w14:paraId="056CD6FC"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Eşmegölü Creek</w:t>
            </w:r>
          </w:p>
        </w:tc>
        <w:tc>
          <w:tcPr>
            <w:tcW w:w="1791" w:type="dxa"/>
            <w:shd w:val="clear" w:color="auto" w:fill="F2F2F2"/>
            <w:vAlign w:val="center"/>
          </w:tcPr>
          <w:p w14:paraId="3B804223"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22 km</w:t>
            </w:r>
          </w:p>
        </w:tc>
        <w:tc>
          <w:tcPr>
            <w:tcW w:w="2536" w:type="dxa"/>
            <w:shd w:val="clear" w:color="auto" w:fill="F2F2F2"/>
            <w:vAlign w:val="center"/>
          </w:tcPr>
          <w:p w14:paraId="42760238" w14:textId="77777777" w:rsidR="001E4C65" w:rsidRPr="00175D8B" w:rsidRDefault="001E4C65" w:rsidP="001E4C65">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It flows within the borders of the province.</w:t>
            </w:r>
          </w:p>
        </w:tc>
        <w:tc>
          <w:tcPr>
            <w:tcW w:w="1768" w:type="dxa"/>
            <w:shd w:val="clear" w:color="auto" w:fill="F2F2F2"/>
            <w:vAlign w:val="center"/>
          </w:tcPr>
          <w:p w14:paraId="443FFF73"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sz w:val="20"/>
                <w:szCs w:val="20"/>
              </w:rPr>
              <w:t>-</w:t>
            </w:r>
          </w:p>
        </w:tc>
      </w:tr>
      <w:tr w:rsidR="001E4C65" w:rsidRPr="00175D8B" w14:paraId="570043D1" w14:textId="77777777" w:rsidTr="00DF417A">
        <w:trPr>
          <w:cantSplit/>
          <w:jc w:val="center"/>
        </w:trPr>
        <w:tc>
          <w:tcPr>
            <w:tcW w:w="2977" w:type="dxa"/>
            <w:shd w:val="clear" w:color="auto" w:fill="F2F2F2"/>
            <w:vAlign w:val="center"/>
          </w:tcPr>
          <w:p w14:paraId="05083C2D"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Darıçayır Deresi</w:t>
            </w:r>
          </w:p>
        </w:tc>
        <w:tc>
          <w:tcPr>
            <w:tcW w:w="1791" w:type="dxa"/>
            <w:shd w:val="clear" w:color="auto" w:fill="F2F2F2"/>
            <w:vAlign w:val="center"/>
          </w:tcPr>
          <w:p w14:paraId="27F93030"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33 km</w:t>
            </w:r>
          </w:p>
        </w:tc>
        <w:tc>
          <w:tcPr>
            <w:tcW w:w="2536" w:type="dxa"/>
            <w:shd w:val="clear" w:color="auto" w:fill="F2F2F2"/>
            <w:vAlign w:val="center"/>
          </w:tcPr>
          <w:p w14:paraId="1DBA70DD" w14:textId="77777777" w:rsidR="001E4C65" w:rsidRPr="00175D8B" w:rsidRDefault="001E4C65" w:rsidP="001E4C65">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It flows within the borders of the province.</w:t>
            </w:r>
          </w:p>
        </w:tc>
        <w:tc>
          <w:tcPr>
            <w:tcW w:w="1768" w:type="dxa"/>
            <w:shd w:val="clear" w:color="auto" w:fill="F2F2F2"/>
            <w:vAlign w:val="center"/>
          </w:tcPr>
          <w:p w14:paraId="14889672" w14:textId="77777777" w:rsidR="001E4C65" w:rsidRPr="00175D8B" w:rsidRDefault="001E4C65" w:rsidP="001E4C65">
            <w:pPr>
              <w:spacing w:before="120" w:after="0" w:line="276" w:lineRule="auto"/>
              <w:jc w:val="center"/>
              <w:rPr>
                <w:rFonts w:eastAsia="Aptos" w:cs="Aptos"/>
                <w:color w:val="000000"/>
                <w:sz w:val="20"/>
                <w:szCs w:val="20"/>
              </w:rPr>
            </w:pPr>
            <w:r w:rsidRPr="00175D8B">
              <w:rPr>
                <w:rFonts w:eastAsia="Aptos" w:cs="Aptos"/>
                <w:color w:val="000000"/>
                <w:sz w:val="20"/>
                <w:szCs w:val="20"/>
              </w:rPr>
              <w:t>Sakarya River</w:t>
            </w:r>
          </w:p>
        </w:tc>
      </w:tr>
      <w:tr w:rsidR="001E4C65" w:rsidRPr="00175D8B" w14:paraId="17444EEC" w14:textId="77777777" w:rsidTr="00DF417A">
        <w:trPr>
          <w:cantSplit/>
          <w:jc w:val="center"/>
        </w:trPr>
        <w:tc>
          <w:tcPr>
            <w:tcW w:w="2977" w:type="dxa"/>
            <w:shd w:val="clear" w:color="auto" w:fill="F2F2F2"/>
            <w:vAlign w:val="center"/>
          </w:tcPr>
          <w:p w14:paraId="40368FCD"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Melen Creek</w:t>
            </w:r>
          </w:p>
        </w:tc>
        <w:tc>
          <w:tcPr>
            <w:tcW w:w="1791" w:type="dxa"/>
            <w:shd w:val="clear" w:color="auto" w:fill="F2F2F2"/>
            <w:vAlign w:val="center"/>
          </w:tcPr>
          <w:p w14:paraId="08379460"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30 km</w:t>
            </w:r>
          </w:p>
        </w:tc>
        <w:tc>
          <w:tcPr>
            <w:tcW w:w="2536" w:type="dxa"/>
            <w:shd w:val="clear" w:color="auto" w:fill="F2F2F2"/>
            <w:vAlign w:val="center"/>
          </w:tcPr>
          <w:p w14:paraId="5743E5BD" w14:textId="77777777" w:rsidR="001E4C65" w:rsidRPr="00175D8B" w:rsidRDefault="001E4C65" w:rsidP="001E4C65">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It flows within the borders of the province.</w:t>
            </w:r>
          </w:p>
        </w:tc>
        <w:tc>
          <w:tcPr>
            <w:tcW w:w="1768" w:type="dxa"/>
            <w:shd w:val="clear" w:color="auto" w:fill="F2F2F2"/>
            <w:vAlign w:val="center"/>
          </w:tcPr>
          <w:p w14:paraId="62D16CB5" w14:textId="77777777" w:rsidR="001E4C65" w:rsidRPr="00175D8B" w:rsidRDefault="001E4C65" w:rsidP="001E4C65">
            <w:pPr>
              <w:spacing w:before="120" w:after="0" w:line="276" w:lineRule="auto"/>
              <w:jc w:val="center"/>
              <w:rPr>
                <w:rFonts w:eastAsia="Aptos" w:cs="Aptos"/>
                <w:color w:val="000000"/>
                <w:sz w:val="20"/>
                <w:szCs w:val="20"/>
              </w:rPr>
            </w:pPr>
            <w:r w:rsidRPr="00175D8B">
              <w:rPr>
                <w:rFonts w:eastAsia="Aptos" w:cs="Aptos"/>
                <w:color w:val="000000"/>
                <w:sz w:val="20"/>
                <w:szCs w:val="20"/>
              </w:rPr>
              <w:t>Black Sea</w:t>
            </w:r>
          </w:p>
        </w:tc>
      </w:tr>
      <w:tr w:rsidR="001E4C65" w:rsidRPr="00175D8B" w14:paraId="1B31A01B" w14:textId="77777777" w:rsidTr="00DF417A">
        <w:trPr>
          <w:cantSplit/>
          <w:jc w:val="center"/>
        </w:trPr>
        <w:tc>
          <w:tcPr>
            <w:tcW w:w="2977" w:type="dxa"/>
            <w:shd w:val="clear" w:color="auto" w:fill="F2F2F2"/>
            <w:vAlign w:val="center"/>
          </w:tcPr>
          <w:p w14:paraId="32946E2E"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Sapanca Aygır Creek</w:t>
            </w:r>
          </w:p>
        </w:tc>
        <w:tc>
          <w:tcPr>
            <w:tcW w:w="1791" w:type="dxa"/>
            <w:shd w:val="clear" w:color="auto" w:fill="F2F2F2"/>
            <w:vAlign w:val="center"/>
          </w:tcPr>
          <w:p w14:paraId="0353A844"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15 km</w:t>
            </w:r>
          </w:p>
        </w:tc>
        <w:tc>
          <w:tcPr>
            <w:tcW w:w="2536" w:type="dxa"/>
            <w:shd w:val="clear" w:color="auto" w:fill="F2F2F2"/>
            <w:vAlign w:val="center"/>
          </w:tcPr>
          <w:p w14:paraId="3B6AEC1B" w14:textId="77777777" w:rsidR="001E4C65" w:rsidRPr="00175D8B" w:rsidRDefault="001E4C65" w:rsidP="001E4C65">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It flows within the borders of the province.</w:t>
            </w:r>
          </w:p>
        </w:tc>
        <w:tc>
          <w:tcPr>
            <w:tcW w:w="1768" w:type="dxa"/>
            <w:shd w:val="clear" w:color="auto" w:fill="F2F2F2"/>
            <w:vAlign w:val="center"/>
          </w:tcPr>
          <w:p w14:paraId="0FF09285" w14:textId="77777777" w:rsidR="001E4C65" w:rsidRPr="00175D8B" w:rsidRDefault="001E4C65" w:rsidP="001E4C65">
            <w:pPr>
              <w:spacing w:before="120" w:after="0" w:line="276" w:lineRule="auto"/>
              <w:jc w:val="center"/>
              <w:rPr>
                <w:rFonts w:eastAsia="Aptos" w:cs="Aptos"/>
                <w:color w:val="000000"/>
                <w:sz w:val="20"/>
                <w:szCs w:val="20"/>
              </w:rPr>
            </w:pPr>
            <w:r w:rsidRPr="00175D8B">
              <w:rPr>
                <w:rFonts w:eastAsia="Aptos" w:cs="Aptos"/>
                <w:color w:val="000000"/>
                <w:sz w:val="20"/>
                <w:szCs w:val="20"/>
              </w:rPr>
              <w:t>Sapanca Lake</w:t>
            </w:r>
          </w:p>
        </w:tc>
      </w:tr>
      <w:tr w:rsidR="001E4C65" w:rsidRPr="00175D8B" w14:paraId="352A4E89" w14:textId="77777777" w:rsidTr="00DF417A">
        <w:trPr>
          <w:cantSplit/>
          <w:jc w:val="center"/>
        </w:trPr>
        <w:tc>
          <w:tcPr>
            <w:tcW w:w="2977" w:type="dxa"/>
            <w:shd w:val="clear" w:color="auto" w:fill="F2F2F2"/>
            <w:vAlign w:val="center"/>
          </w:tcPr>
          <w:p w14:paraId="59D7F097"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Kurtköy Creek</w:t>
            </w:r>
          </w:p>
        </w:tc>
        <w:tc>
          <w:tcPr>
            <w:tcW w:w="1791" w:type="dxa"/>
            <w:shd w:val="clear" w:color="auto" w:fill="F2F2F2"/>
            <w:vAlign w:val="center"/>
          </w:tcPr>
          <w:p w14:paraId="4C35C751"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13 km</w:t>
            </w:r>
          </w:p>
        </w:tc>
        <w:tc>
          <w:tcPr>
            <w:tcW w:w="2536" w:type="dxa"/>
            <w:shd w:val="clear" w:color="auto" w:fill="F2F2F2"/>
            <w:vAlign w:val="center"/>
          </w:tcPr>
          <w:p w14:paraId="462C4EEF" w14:textId="77777777" w:rsidR="001E4C65" w:rsidRPr="00175D8B" w:rsidRDefault="001E4C65" w:rsidP="001E4C65">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It flows within the borders of the province.</w:t>
            </w:r>
          </w:p>
        </w:tc>
        <w:tc>
          <w:tcPr>
            <w:tcW w:w="1768" w:type="dxa"/>
            <w:shd w:val="clear" w:color="auto" w:fill="F2F2F2"/>
            <w:vAlign w:val="center"/>
          </w:tcPr>
          <w:p w14:paraId="2CDCFEDE" w14:textId="77777777" w:rsidR="001E4C65" w:rsidRPr="00175D8B" w:rsidRDefault="001E4C65" w:rsidP="001E4C65">
            <w:pPr>
              <w:spacing w:before="120" w:after="0" w:line="276" w:lineRule="auto"/>
              <w:jc w:val="center"/>
              <w:rPr>
                <w:rFonts w:eastAsia="Aptos" w:cs="Aptos"/>
                <w:color w:val="000000"/>
                <w:sz w:val="20"/>
                <w:szCs w:val="20"/>
              </w:rPr>
            </w:pPr>
            <w:r w:rsidRPr="00175D8B">
              <w:rPr>
                <w:rFonts w:eastAsia="Aptos" w:cs="Aptos"/>
                <w:color w:val="000000"/>
                <w:sz w:val="20"/>
                <w:szCs w:val="20"/>
              </w:rPr>
              <w:t>-</w:t>
            </w:r>
          </w:p>
        </w:tc>
      </w:tr>
      <w:tr w:rsidR="001E4C65" w:rsidRPr="00175D8B" w14:paraId="64523523" w14:textId="77777777" w:rsidTr="00DF417A">
        <w:trPr>
          <w:cantSplit/>
          <w:jc w:val="center"/>
        </w:trPr>
        <w:tc>
          <w:tcPr>
            <w:tcW w:w="2977" w:type="dxa"/>
            <w:shd w:val="clear" w:color="auto" w:fill="F2F2F2"/>
            <w:vAlign w:val="center"/>
          </w:tcPr>
          <w:p w14:paraId="3313A6FA"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Gevye Doğançay Creek</w:t>
            </w:r>
          </w:p>
        </w:tc>
        <w:tc>
          <w:tcPr>
            <w:tcW w:w="1791" w:type="dxa"/>
            <w:shd w:val="clear" w:color="auto" w:fill="F2F2F2"/>
            <w:vAlign w:val="center"/>
          </w:tcPr>
          <w:p w14:paraId="13F98A0F"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18 km</w:t>
            </w:r>
          </w:p>
        </w:tc>
        <w:tc>
          <w:tcPr>
            <w:tcW w:w="2536" w:type="dxa"/>
            <w:shd w:val="clear" w:color="auto" w:fill="F2F2F2"/>
            <w:vAlign w:val="center"/>
          </w:tcPr>
          <w:p w14:paraId="67320EA1" w14:textId="77777777" w:rsidR="001E4C65" w:rsidRPr="00175D8B" w:rsidRDefault="001E4C65" w:rsidP="001E4C65">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It flows within the borders of the province.</w:t>
            </w:r>
          </w:p>
        </w:tc>
        <w:tc>
          <w:tcPr>
            <w:tcW w:w="1768" w:type="dxa"/>
            <w:shd w:val="clear" w:color="auto" w:fill="F2F2F2"/>
            <w:vAlign w:val="center"/>
          </w:tcPr>
          <w:p w14:paraId="066824A3" w14:textId="77777777" w:rsidR="001E4C65" w:rsidRPr="00175D8B" w:rsidRDefault="001E4C65" w:rsidP="001E4C65">
            <w:pPr>
              <w:spacing w:before="120" w:after="0" w:line="276" w:lineRule="auto"/>
              <w:jc w:val="center"/>
              <w:rPr>
                <w:rFonts w:eastAsia="Aptos" w:cs="Aptos"/>
                <w:color w:val="000000"/>
                <w:sz w:val="20"/>
                <w:szCs w:val="20"/>
              </w:rPr>
            </w:pPr>
            <w:r w:rsidRPr="00175D8B">
              <w:rPr>
                <w:rFonts w:eastAsia="Aptos" w:cs="Aptos"/>
                <w:color w:val="000000"/>
                <w:sz w:val="20"/>
                <w:szCs w:val="20"/>
              </w:rPr>
              <w:t>Sakarya River</w:t>
            </w:r>
          </w:p>
        </w:tc>
      </w:tr>
      <w:tr w:rsidR="001E4C65" w:rsidRPr="00175D8B" w14:paraId="0FDC4A4F" w14:textId="77777777" w:rsidTr="00DF417A">
        <w:trPr>
          <w:cantSplit/>
          <w:jc w:val="center"/>
        </w:trPr>
        <w:tc>
          <w:tcPr>
            <w:tcW w:w="2977" w:type="dxa"/>
            <w:shd w:val="clear" w:color="auto" w:fill="F2F2F2"/>
            <w:vAlign w:val="center"/>
          </w:tcPr>
          <w:p w14:paraId="40CD7B32"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Değirmendere</w:t>
            </w:r>
          </w:p>
        </w:tc>
        <w:tc>
          <w:tcPr>
            <w:tcW w:w="1791" w:type="dxa"/>
            <w:shd w:val="clear" w:color="auto" w:fill="F2F2F2"/>
            <w:vAlign w:val="center"/>
          </w:tcPr>
          <w:p w14:paraId="25FC1431"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12 km</w:t>
            </w:r>
          </w:p>
        </w:tc>
        <w:tc>
          <w:tcPr>
            <w:tcW w:w="2536" w:type="dxa"/>
            <w:shd w:val="clear" w:color="auto" w:fill="F2F2F2"/>
            <w:vAlign w:val="center"/>
          </w:tcPr>
          <w:p w14:paraId="529F6C46" w14:textId="77777777" w:rsidR="001E4C65" w:rsidRPr="00175D8B" w:rsidRDefault="001E4C65" w:rsidP="001E4C65">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It flows within the borders of the province.</w:t>
            </w:r>
          </w:p>
        </w:tc>
        <w:tc>
          <w:tcPr>
            <w:tcW w:w="1768" w:type="dxa"/>
            <w:shd w:val="clear" w:color="auto" w:fill="F2F2F2"/>
            <w:vAlign w:val="center"/>
          </w:tcPr>
          <w:p w14:paraId="4909966A" w14:textId="77777777" w:rsidR="001E4C65" w:rsidRPr="00175D8B" w:rsidRDefault="001E4C65" w:rsidP="001E4C65">
            <w:pPr>
              <w:spacing w:before="120" w:after="0" w:line="276" w:lineRule="auto"/>
              <w:jc w:val="center"/>
              <w:rPr>
                <w:rFonts w:eastAsia="Aptos" w:cs="Aptos"/>
                <w:color w:val="000000"/>
                <w:sz w:val="20"/>
                <w:szCs w:val="20"/>
              </w:rPr>
            </w:pPr>
            <w:r w:rsidRPr="00175D8B">
              <w:rPr>
                <w:rFonts w:eastAsia="Aptos" w:cs="Aptos"/>
                <w:color w:val="000000"/>
                <w:sz w:val="20"/>
                <w:szCs w:val="20"/>
              </w:rPr>
              <w:t>-</w:t>
            </w:r>
          </w:p>
        </w:tc>
      </w:tr>
      <w:tr w:rsidR="001E4C65" w:rsidRPr="00175D8B" w14:paraId="45AB0079" w14:textId="77777777" w:rsidTr="00DF417A">
        <w:trPr>
          <w:cantSplit/>
          <w:jc w:val="center"/>
        </w:trPr>
        <w:tc>
          <w:tcPr>
            <w:tcW w:w="2977" w:type="dxa"/>
            <w:shd w:val="clear" w:color="auto" w:fill="F2F2F2"/>
            <w:vAlign w:val="center"/>
          </w:tcPr>
          <w:p w14:paraId="111B7E76"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Yırtmaç Creek</w:t>
            </w:r>
          </w:p>
        </w:tc>
        <w:tc>
          <w:tcPr>
            <w:tcW w:w="1791" w:type="dxa"/>
            <w:shd w:val="clear" w:color="auto" w:fill="F2F2F2"/>
            <w:vAlign w:val="center"/>
          </w:tcPr>
          <w:p w14:paraId="66CF2C76"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10 km</w:t>
            </w:r>
          </w:p>
        </w:tc>
        <w:tc>
          <w:tcPr>
            <w:tcW w:w="2536" w:type="dxa"/>
            <w:shd w:val="clear" w:color="auto" w:fill="F2F2F2"/>
            <w:vAlign w:val="center"/>
          </w:tcPr>
          <w:p w14:paraId="34E9A287" w14:textId="77777777" w:rsidR="001E4C65" w:rsidRPr="00175D8B" w:rsidRDefault="001E4C65" w:rsidP="001E4C65">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It flows within the borders of the province.</w:t>
            </w:r>
          </w:p>
        </w:tc>
        <w:tc>
          <w:tcPr>
            <w:tcW w:w="1768" w:type="dxa"/>
            <w:shd w:val="clear" w:color="auto" w:fill="F2F2F2"/>
            <w:vAlign w:val="center"/>
          </w:tcPr>
          <w:p w14:paraId="020CF1F5" w14:textId="77777777" w:rsidR="001E4C65" w:rsidRPr="00175D8B" w:rsidRDefault="001E4C65" w:rsidP="001E4C65">
            <w:pPr>
              <w:spacing w:before="120" w:after="0" w:line="276" w:lineRule="auto"/>
              <w:jc w:val="center"/>
              <w:rPr>
                <w:rFonts w:eastAsia="Aptos" w:cs="Aptos"/>
                <w:color w:val="000000"/>
                <w:sz w:val="20"/>
                <w:szCs w:val="20"/>
              </w:rPr>
            </w:pPr>
            <w:r w:rsidRPr="00175D8B">
              <w:rPr>
                <w:rFonts w:eastAsia="Aptos" w:cs="Aptos"/>
                <w:color w:val="000000"/>
                <w:sz w:val="20"/>
                <w:szCs w:val="20"/>
              </w:rPr>
              <w:t>Acarlar Lake</w:t>
            </w:r>
          </w:p>
        </w:tc>
      </w:tr>
      <w:tr w:rsidR="001E4C65" w:rsidRPr="00175D8B" w14:paraId="3F71D0C5" w14:textId="77777777" w:rsidTr="00DF417A">
        <w:trPr>
          <w:cantSplit/>
          <w:jc w:val="center"/>
        </w:trPr>
        <w:tc>
          <w:tcPr>
            <w:tcW w:w="2977" w:type="dxa"/>
            <w:shd w:val="clear" w:color="auto" w:fill="F2F2F2"/>
            <w:vAlign w:val="center"/>
          </w:tcPr>
          <w:p w14:paraId="4C3DEBD7"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Akçay Creek</w:t>
            </w:r>
          </w:p>
        </w:tc>
        <w:tc>
          <w:tcPr>
            <w:tcW w:w="1791" w:type="dxa"/>
            <w:shd w:val="clear" w:color="auto" w:fill="F2F2F2"/>
            <w:vAlign w:val="center"/>
          </w:tcPr>
          <w:p w14:paraId="7E8D6554"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26 km</w:t>
            </w:r>
          </w:p>
        </w:tc>
        <w:tc>
          <w:tcPr>
            <w:tcW w:w="2536" w:type="dxa"/>
            <w:shd w:val="clear" w:color="auto" w:fill="F2F2F2"/>
            <w:vAlign w:val="center"/>
          </w:tcPr>
          <w:p w14:paraId="117539A2" w14:textId="77777777" w:rsidR="001E4C65" w:rsidRPr="00175D8B" w:rsidRDefault="001E4C65" w:rsidP="001E4C65">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It flows within the borders of the province.</w:t>
            </w:r>
          </w:p>
        </w:tc>
        <w:tc>
          <w:tcPr>
            <w:tcW w:w="1768" w:type="dxa"/>
            <w:shd w:val="clear" w:color="auto" w:fill="F2F2F2"/>
            <w:vAlign w:val="center"/>
          </w:tcPr>
          <w:p w14:paraId="5930C7E7" w14:textId="77777777" w:rsidR="001E4C65" w:rsidRPr="00175D8B" w:rsidRDefault="001E4C65" w:rsidP="001E4C65">
            <w:pPr>
              <w:spacing w:before="120" w:after="0" w:line="276" w:lineRule="auto"/>
              <w:jc w:val="center"/>
              <w:rPr>
                <w:rFonts w:eastAsia="Aptos" w:cs="Aptos"/>
                <w:color w:val="000000"/>
                <w:sz w:val="20"/>
                <w:szCs w:val="20"/>
              </w:rPr>
            </w:pPr>
            <w:r w:rsidRPr="00175D8B">
              <w:rPr>
                <w:rFonts w:eastAsia="Aptos" w:cs="Aptos"/>
                <w:color w:val="000000"/>
                <w:sz w:val="20"/>
                <w:szCs w:val="20"/>
              </w:rPr>
              <w:t>-</w:t>
            </w:r>
          </w:p>
        </w:tc>
      </w:tr>
      <w:tr w:rsidR="001E4C65" w:rsidRPr="00175D8B" w14:paraId="29429A43" w14:textId="77777777" w:rsidTr="00DF417A">
        <w:trPr>
          <w:cantSplit/>
          <w:jc w:val="center"/>
        </w:trPr>
        <w:tc>
          <w:tcPr>
            <w:tcW w:w="2977" w:type="dxa"/>
            <w:shd w:val="clear" w:color="auto" w:fill="F2F2F2"/>
            <w:vAlign w:val="center"/>
          </w:tcPr>
          <w:p w14:paraId="0C62E5F8"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Karaçay Creek</w:t>
            </w:r>
          </w:p>
        </w:tc>
        <w:tc>
          <w:tcPr>
            <w:tcW w:w="1791" w:type="dxa"/>
            <w:shd w:val="clear" w:color="auto" w:fill="F2F2F2"/>
            <w:vAlign w:val="center"/>
          </w:tcPr>
          <w:p w14:paraId="491D0ABF" w14:textId="77777777"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23 km</w:t>
            </w:r>
          </w:p>
        </w:tc>
        <w:tc>
          <w:tcPr>
            <w:tcW w:w="2536" w:type="dxa"/>
            <w:shd w:val="clear" w:color="auto" w:fill="F2F2F2"/>
            <w:vAlign w:val="center"/>
          </w:tcPr>
          <w:p w14:paraId="7A322F4E" w14:textId="77777777" w:rsidR="001E4C65" w:rsidRPr="00175D8B" w:rsidRDefault="001E4C65" w:rsidP="001E4C65">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It flows within the borders of the province.</w:t>
            </w:r>
          </w:p>
        </w:tc>
        <w:tc>
          <w:tcPr>
            <w:tcW w:w="1768" w:type="dxa"/>
            <w:shd w:val="clear" w:color="auto" w:fill="F2F2F2"/>
            <w:vAlign w:val="center"/>
          </w:tcPr>
          <w:p w14:paraId="724DAF15" w14:textId="77777777" w:rsidR="001E4C65" w:rsidRPr="00175D8B" w:rsidRDefault="001E4C65" w:rsidP="001E4C65">
            <w:pPr>
              <w:spacing w:before="120" w:after="0" w:line="276" w:lineRule="auto"/>
              <w:jc w:val="center"/>
              <w:rPr>
                <w:rFonts w:eastAsia="Aptos" w:cs="Aptos"/>
                <w:color w:val="000000"/>
                <w:sz w:val="20"/>
                <w:szCs w:val="20"/>
              </w:rPr>
            </w:pPr>
            <w:r w:rsidRPr="00175D8B">
              <w:rPr>
                <w:rFonts w:eastAsia="Aptos" w:cs="Aptos"/>
                <w:color w:val="000000"/>
                <w:sz w:val="20"/>
                <w:szCs w:val="20"/>
              </w:rPr>
              <w:t>Sakarya River</w:t>
            </w:r>
          </w:p>
        </w:tc>
      </w:tr>
      <w:tr w:rsidR="001E4C65" w:rsidRPr="00175D8B" w14:paraId="45D68785" w14:textId="77777777" w:rsidTr="00DF417A">
        <w:trPr>
          <w:cantSplit/>
          <w:jc w:val="center"/>
        </w:trPr>
        <w:tc>
          <w:tcPr>
            <w:tcW w:w="2977" w:type="dxa"/>
            <w:shd w:val="clear" w:color="auto" w:fill="F2F2F2"/>
            <w:vAlign w:val="center"/>
          </w:tcPr>
          <w:p w14:paraId="2B989E3A" w14:textId="77777777" w:rsidR="001B7C82" w:rsidRPr="00175D8B" w:rsidRDefault="001B7C82" w:rsidP="001E4C65">
            <w:pPr>
              <w:spacing w:before="120" w:after="0" w:line="276" w:lineRule="auto"/>
              <w:jc w:val="center"/>
              <w:rPr>
                <w:rFonts w:eastAsia="Aptos" w:cs="Aptos"/>
                <w:color w:val="000000" w:themeColor="text1"/>
                <w:sz w:val="20"/>
                <w:szCs w:val="20"/>
              </w:rPr>
            </w:pPr>
          </w:p>
          <w:p w14:paraId="7B24C9E3" w14:textId="403AD20A"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Sapanca Yanık River</w:t>
            </w:r>
          </w:p>
        </w:tc>
        <w:tc>
          <w:tcPr>
            <w:tcW w:w="1791" w:type="dxa"/>
            <w:shd w:val="clear" w:color="auto" w:fill="F2F2F2"/>
            <w:vAlign w:val="center"/>
          </w:tcPr>
          <w:p w14:paraId="4D620997" w14:textId="403BFDA4" w:rsidR="001E4C65" w:rsidRPr="00175D8B" w:rsidRDefault="001E4C65" w:rsidP="001E4C65">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7 km</w:t>
            </w:r>
          </w:p>
        </w:tc>
        <w:tc>
          <w:tcPr>
            <w:tcW w:w="2536" w:type="dxa"/>
            <w:shd w:val="clear" w:color="auto" w:fill="F2F2F2"/>
            <w:vAlign w:val="center"/>
          </w:tcPr>
          <w:p w14:paraId="4516D712" w14:textId="2AE57811" w:rsidR="001E4C65" w:rsidRPr="00175D8B" w:rsidRDefault="001E4C65" w:rsidP="001E4C65">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It flows within the borders of the province.</w:t>
            </w:r>
          </w:p>
        </w:tc>
        <w:tc>
          <w:tcPr>
            <w:tcW w:w="1768" w:type="dxa"/>
            <w:shd w:val="clear" w:color="auto" w:fill="F2F2F2"/>
            <w:vAlign w:val="center"/>
          </w:tcPr>
          <w:p w14:paraId="1845B8FD" w14:textId="52EB6098" w:rsidR="001E4C65" w:rsidRPr="00175D8B" w:rsidRDefault="001E4C65" w:rsidP="001E4C65">
            <w:pPr>
              <w:spacing w:before="120" w:after="0" w:line="276" w:lineRule="auto"/>
              <w:jc w:val="center"/>
              <w:rPr>
                <w:rFonts w:eastAsia="Aptos" w:cs="Aptos"/>
                <w:color w:val="000000"/>
                <w:sz w:val="20"/>
                <w:szCs w:val="20"/>
              </w:rPr>
            </w:pPr>
            <w:r w:rsidRPr="00175D8B">
              <w:rPr>
                <w:rFonts w:eastAsia="Aptos" w:cs="Aptos"/>
                <w:color w:val="000000"/>
                <w:sz w:val="20"/>
                <w:szCs w:val="20"/>
              </w:rPr>
              <w:t>-</w:t>
            </w:r>
          </w:p>
        </w:tc>
      </w:tr>
    </w:tbl>
    <w:p w14:paraId="36B5BBC6" w14:textId="77777777" w:rsidR="001F6155" w:rsidRPr="00175D8B" w:rsidRDefault="001F6155" w:rsidP="002550A6">
      <w:pPr>
        <w:spacing w:before="120" w:after="0"/>
        <w:ind w:left="360"/>
        <w:contextualSpacing/>
        <w:jc w:val="center"/>
        <w:rPr>
          <w:rFonts w:eastAsia="Aptos" w:cs="Aptos"/>
          <w:b/>
          <w:i/>
          <w:color w:val="000000" w:themeColor="text1"/>
          <w:sz w:val="18"/>
          <w:szCs w:val="18"/>
        </w:rPr>
      </w:pPr>
    </w:p>
    <w:p w14:paraId="4CF26159" w14:textId="3274BA49" w:rsidR="001E4C65" w:rsidRPr="00175D8B" w:rsidRDefault="001E4C65" w:rsidP="00931117">
      <w:pPr>
        <w:spacing w:before="120" w:after="0"/>
        <w:ind w:left="360"/>
        <w:contextualSpacing/>
        <w:jc w:val="center"/>
        <w:rPr>
          <w:rFonts w:eastAsia="Aptos" w:cs="Aptos"/>
          <w:i/>
          <w:iCs/>
          <w:color w:val="000000" w:themeColor="text1"/>
          <w:sz w:val="20"/>
          <w:szCs w:val="20"/>
        </w:rPr>
      </w:pPr>
      <w:r w:rsidRPr="00175D8B">
        <w:rPr>
          <w:rFonts w:eastAsia="Aptos" w:cs="Aptos"/>
          <w:b/>
          <w:i/>
          <w:color w:val="000000" w:themeColor="text1"/>
          <w:sz w:val="18"/>
          <w:szCs w:val="18"/>
        </w:rPr>
        <w:t>Source:</w:t>
      </w:r>
      <w:r w:rsidRPr="00175D8B">
        <w:rPr>
          <w:rFonts w:eastAsia="Aptos" w:cs="Aptos"/>
          <w:i/>
          <w:color w:val="000000" w:themeColor="text1"/>
          <w:sz w:val="18"/>
          <w:szCs w:val="18"/>
        </w:rPr>
        <w:t xml:space="preserve"> DSI 3. Regional Directorate, 2024</w:t>
      </w:r>
      <w:bookmarkStart w:id="79" w:name="_Toc209168056"/>
      <w:bookmarkEnd w:id="76"/>
    </w:p>
    <w:p w14:paraId="5F0AAF21" w14:textId="431B5265" w:rsidR="00C00D47" w:rsidRPr="00175D8B" w:rsidRDefault="00C00D47" w:rsidP="006C58C5">
      <w:pPr>
        <w:pStyle w:val="ResimYazs"/>
        <w:keepNext/>
        <w:jc w:val="center"/>
      </w:pPr>
      <w:bookmarkStart w:id="80" w:name="_Toc221191310"/>
      <w:r w:rsidRPr="006C58C5">
        <w:rPr>
          <w:b/>
          <w:bCs/>
        </w:rPr>
        <w:t xml:space="preserve">Figure </w:t>
      </w:r>
      <w:r w:rsidRPr="006C58C5">
        <w:rPr>
          <w:b/>
          <w:bCs/>
        </w:rPr>
        <w:fldChar w:fldCharType="begin"/>
      </w:r>
      <w:r w:rsidRPr="006C58C5">
        <w:rPr>
          <w:b/>
          <w:bCs/>
        </w:rPr>
        <w:instrText xml:space="preserve"> SEQ Figure \* ARABIC </w:instrText>
      </w:r>
      <w:r w:rsidRPr="006C58C5">
        <w:rPr>
          <w:b/>
          <w:bCs/>
        </w:rPr>
        <w:fldChar w:fldCharType="separate"/>
      </w:r>
      <w:r w:rsidR="00811FB5" w:rsidRPr="00175D8B">
        <w:rPr>
          <w:b/>
          <w:bCs/>
          <w:noProof/>
        </w:rPr>
        <w:t>2</w:t>
      </w:r>
      <w:r w:rsidRPr="006C58C5">
        <w:rPr>
          <w:b/>
          <w:bCs/>
        </w:rPr>
        <w:fldChar w:fldCharType="end"/>
      </w:r>
      <w:r w:rsidR="006D791E" w:rsidRPr="00175D8B">
        <w:rPr>
          <w:b/>
          <w:bCs/>
        </w:rPr>
        <w:t>:</w:t>
      </w:r>
      <w:r w:rsidRPr="00175D8B">
        <w:t xml:space="preserve"> </w:t>
      </w:r>
      <w:r w:rsidRPr="00175D8B">
        <w:rPr>
          <w:rFonts w:eastAsia="Aptos" w:cs="Aptos"/>
          <w:szCs w:val="20"/>
        </w:rPr>
        <w:t>Rivers and Streams of Sakarya</w:t>
      </w:r>
      <w:bookmarkEnd w:id="80"/>
    </w:p>
    <w:p w14:paraId="098D6BE7" w14:textId="77777777" w:rsidR="001E4C65" w:rsidRPr="00175D8B" w:rsidRDefault="00DA298D" w:rsidP="001E4C65">
      <w:pPr>
        <w:spacing w:before="120" w:after="0" w:line="278" w:lineRule="auto"/>
        <w:ind w:left="360"/>
        <w:contextualSpacing/>
        <w:jc w:val="center"/>
        <w:rPr>
          <w:rFonts w:eastAsia="Aptos" w:cs="Aptos"/>
          <w:color w:val="000000" w:themeColor="text1"/>
          <w:sz w:val="20"/>
          <w:szCs w:val="20"/>
          <w:u w:val="single"/>
        </w:rPr>
      </w:pPr>
      <w:r w:rsidRPr="00175D8B">
        <w:rPr>
          <w:rFonts w:eastAsia="Aptos" w:cs="Aptos"/>
          <w:noProof/>
          <w:color w:val="000000" w:themeColor="text1"/>
          <w:sz w:val="20"/>
          <w:szCs w:val="20"/>
          <w:u w:val="single"/>
        </w:rPr>
        <w:drawing>
          <wp:inline distT="0" distB="0" distL="0" distR="0" wp14:anchorId="125AB085" wp14:editId="7D928263">
            <wp:extent cx="4320000" cy="4143600"/>
            <wp:effectExtent l="19050" t="19050" r="23495" b="28575"/>
            <wp:docPr id="173041404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4143600"/>
                    </a:xfrm>
                    <a:prstGeom prst="rect">
                      <a:avLst/>
                    </a:prstGeom>
                    <a:noFill/>
                    <a:ln>
                      <a:solidFill>
                        <a:srgbClr val="767171"/>
                      </a:solidFill>
                    </a:ln>
                  </pic:spPr>
                </pic:pic>
              </a:graphicData>
            </a:graphic>
          </wp:inline>
        </w:drawing>
      </w:r>
    </w:p>
    <w:p w14:paraId="117124DC" w14:textId="4C7D3BEC" w:rsidR="001E4C65" w:rsidRPr="00175D8B" w:rsidRDefault="001E4C65" w:rsidP="001E4C65">
      <w:pPr>
        <w:spacing w:before="120" w:after="0" w:line="278" w:lineRule="auto"/>
        <w:ind w:left="360"/>
        <w:contextualSpacing/>
        <w:jc w:val="center"/>
        <w:rPr>
          <w:rFonts w:eastAsia="Aptos" w:cs="Aptos"/>
          <w:i/>
          <w:color w:val="000000" w:themeColor="text1"/>
          <w:sz w:val="18"/>
          <w:szCs w:val="18"/>
        </w:rPr>
      </w:pPr>
      <w:r w:rsidRPr="00175D8B">
        <w:rPr>
          <w:rFonts w:eastAsia="Aptos" w:cs="Aptos"/>
          <w:b/>
          <w:i/>
          <w:color w:val="000000" w:themeColor="text1"/>
          <w:sz w:val="18"/>
          <w:szCs w:val="18"/>
        </w:rPr>
        <w:t>Source:</w:t>
      </w:r>
      <w:r w:rsidRPr="00175D8B">
        <w:rPr>
          <w:rFonts w:eastAsia="Aptos" w:cs="Aptos"/>
          <w:i/>
          <w:color w:val="000000" w:themeColor="text1"/>
          <w:sz w:val="18"/>
          <w:szCs w:val="18"/>
        </w:rPr>
        <w:t xml:space="preserve"> Sakarya Metropolitan Municipality</w:t>
      </w:r>
    </w:p>
    <w:p w14:paraId="6C2DFDD1" w14:textId="77777777" w:rsidR="007B0C91" w:rsidRPr="00175D8B" w:rsidRDefault="007B0C91" w:rsidP="007B0C91">
      <w:r w:rsidRPr="00175D8B">
        <w:t>A large number of watercourses located within the provincial boundaries of Sakarya play an important role in shaping the hydrological structure of the region. The Sakarya River, which is the largest watercourse in the area, has a total length of 824 km, of which approximately 150 km flows within the borders of the province. The main tributaries discharging into the Sakarya River include Mudurnu Stream, Çark Stream, Darıçayır Stream and Geyve Doğançay Stream. These watercourses flow across the province and contribute to the regional drainage network.</w:t>
      </w:r>
    </w:p>
    <w:p w14:paraId="3B6F295F" w14:textId="77777777" w:rsidR="007B0C91" w:rsidRPr="00175D8B" w:rsidRDefault="007B0C91" w:rsidP="007B0C91"/>
    <w:p w14:paraId="4A460E70" w14:textId="573F1997" w:rsidR="007B0C91" w:rsidRPr="00175D8B" w:rsidRDefault="007B0C91" w:rsidP="007B0C91">
      <w:r w:rsidRPr="00175D8B">
        <w:lastRenderedPageBreak/>
        <w:t>Melen Stream, located in the province, flows westward and discharges into the Black Sea. Sapanca Aygır Stream directs its flow towards Lake Sapanca and contributes to the lake’s water regime. Yırtmaç Stream is also among the significant surface water resources in the region and ultimately reaches Acarlar Lake.</w:t>
      </w:r>
    </w:p>
    <w:p w14:paraId="0DA1270E" w14:textId="663A7E8C" w:rsidR="00440F56" w:rsidRPr="00175D8B" w:rsidRDefault="007B0C91" w:rsidP="003B005D">
      <w:pPr>
        <w:rPr>
          <w:i/>
          <w:sz w:val="14"/>
          <w:szCs w:val="18"/>
        </w:rPr>
      </w:pPr>
      <w:r w:rsidRPr="00175D8B">
        <w:t>Small-scale streams such as Dinsiz, Maden, Esmegölü, Kurtköy, Değirmendere, Akçay, Karacay and Sapanca Yanık Stream complete their flow courses within the provincial boundaries of Sakarya. The flow rates of these watercourses vary depending on seasonal precipitation, with noticeable increases particularly during the spring and autumn periods. The stream network of Sakarya constitutes one of the key components ensuring the continuity of the region’s natural water resources.</w:t>
      </w:r>
      <w:bookmarkEnd w:id="79"/>
    </w:p>
    <w:p w14:paraId="3A3B8885" w14:textId="55C024E8" w:rsidR="00A30388" w:rsidRPr="00175D8B" w:rsidRDefault="00DF21BC" w:rsidP="00094556">
      <w:pPr>
        <w:pStyle w:val="Balk3"/>
        <w:numPr>
          <w:ilvl w:val="4"/>
          <w:numId w:val="2"/>
        </w:numPr>
      </w:pPr>
      <w:bookmarkStart w:id="81" w:name="_Toc209708080"/>
      <w:bookmarkStart w:id="82" w:name="_Toc212541856"/>
      <w:bookmarkStart w:id="83" w:name="_Toc212542367"/>
      <w:bookmarkStart w:id="84" w:name="_Toc220672778"/>
      <w:r w:rsidRPr="00175D8B">
        <w:t>Natural Lakes, Ponds</w:t>
      </w:r>
      <w:bookmarkEnd w:id="81"/>
      <w:bookmarkEnd w:id="82"/>
      <w:bookmarkEnd w:id="83"/>
      <w:bookmarkEnd w:id="84"/>
    </w:p>
    <w:p w14:paraId="2F1CB667" w14:textId="78AA6F36" w:rsidR="008E433A" w:rsidRPr="00175D8B" w:rsidRDefault="00DF21BC" w:rsidP="008E433A">
      <w:pPr>
        <w:pStyle w:val="ListeParagraf"/>
        <w:ind w:left="0"/>
        <w:rPr>
          <w:sz w:val="8"/>
        </w:rPr>
      </w:pPr>
      <w:r w:rsidRPr="00175D8B">
        <w:t xml:space="preserve">There are natural lakes of various sizes within the borders of Sakarya province. </w:t>
      </w:r>
      <w:r w:rsidR="00EA1393" w:rsidRPr="00175D8B">
        <w:t>As a result of the fractures and folds that occurred within the provincial area, the compressional movements directed toward the Black Sea led to the formation of a watershed between the Marmara Sea and the Black Sea. Subsequently, lakes were formed as the depressional zones on the Black Sea–facing slope of this barrier became filled.</w:t>
      </w:r>
    </w:p>
    <w:p w14:paraId="1C247A3F" w14:textId="016FCFFD" w:rsidR="008E433A" w:rsidRPr="00175D8B" w:rsidRDefault="008E433A" w:rsidP="008E433A">
      <w:pPr>
        <w:pStyle w:val="ListeParagraf"/>
        <w:ind w:left="0"/>
      </w:pPr>
      <w:bookmarkStart w:id="85" w:name="_heading=h.t8nexki86kbv" w:colFirst="0" w:colLast="0"/>
      <w:bookmarkEnd w:id="85"/>
      <w:r w:rsidRPr="00175D8B">
        <w:rPr>
          <w:b/>
          <w:u w:val="single"/>
        </w:rPr>
        <w:t xml:space="preserve">Sapanca </w:t>
      </w:r>
      <w:r w:rsidR="00065FF4" w:rsidRPr="00175D8B">
        <w:rPr>
          <w:b/>
          <w:u w:val="single"/>
        </w:rPr>
        <w:t>Lake</w:t>
      </w:r>
      <w:r w:rsidRPr="00175D8B">
        <w:rPr>
          <w:b/>
          <w:u w:val="single"/>
        </w:rPr>
        <w:t>:</w:t>
      </w:r>
      <w:r w:rsidR="00C92F65" w:rsidRPr="00175D8B">
        <w:t xml:space="preserve"> Lake Sapanca, which has a total surface area of 42 km², is situated largely within the administrative boundaries of Sakarya Province. Geomorphological accretions that developed to the east of the Gulf of İzmit resulted in the interruption of the lake’s former hydrological connection to the Sea of Marmara. In this context, Lake Sapanca is regarded as a geomorphological and hydrological continuation of the Gulf of İzmit and Lake İznik.</w:t>
      </w:r>
    </w:p>
    <w:p w14:paraId="3E72960F" w14:textId="49E59893" w:rsidR="008E433A" w:rsidRPr="00175D8B" w:rsidRDefault="008E433A" w:rsidP="008E433A">
      <w:bookmarkStart w:id="86" w:name="_heading=h.sk82bwkmqfib" w:colFirst="0" w:colLast="0"/>
      <w:bookmarkEnd w:id="86"/>
      <w:r w:rsidRPr="00175D8B">
        <w:rPr>
          <w:b/>
          <w:u w:val="single"/>
        </w:rPr>
        <w:t xml:space="preserve">Poyrazlar (Teke) </w:t>
      </w:r>
      <w:r w:rsidR="00065FF4" w:rsidRPr="00175D8B">
        <w:rPr>
          <w:b/>
          <w:u w:val="single"/>
        </w:rPr>
        <w:t>Lake</w:t>
      </w:r>
      <w:r w:rsidRPr="00175D8B">
        <w:rPr>
          <w:b/>
          <w:u w:val="single"/>
        </w:rPr>
        <w:t>:</w:t>
      </w:r>
      <w:r w:rsidRPr="00175D8B">
        <w:t xml:space="preserve"> </w:t>
      </w:r>
      <w:r w:rsidR="00065FF4" w:rsidRPr="00175D8B">
        <w:t>Poyrazlar Lake, which has a surface area of 60 hectares, was formed in the old bed of the Sakarya River. The lake has a very deep structure, and the southern shores consist of shallow and reed areas. Various freshwater fish live in the lake.</w:t>
      </w:r>
    </w:p>
    <w:p w14:paraId="4CF388C0" w14:textId="7E951AF1" w:rsidR="008E433A" w:rsidRPr="00175D8B" w:rsidRDefault="008E433A" w:rsidP="008E433A">
      <w:bookmarkStart w:id="87" w:name="_heading=h.4cv9pnpcm3x6" w:colFirst="0" w:colLast="0"/>
      <w:bookmarkEnd w:id="87"/>
      <w:r w:rsidRPr="00175D8B">
        <w:rPr>
          <w:b/>
          <w:u w:val="single"/>
        </w:rPr>
        <w:t>Küçük Akgöl:</w:t>
      </w:r>
      <w:r w:rsidRPr="00175D8B">
        <w:t xml:space="preserve"> </w:t>
      </w:r>
      <w:r w:rsidR="00065FF4" w:rsidRPr="00175D8B">
        <w:t>Küçük Akgöl, which has a surface area of 20 hectares, is fed by boiling water from the bottom. The lake, which discharges its excess water into Çark Water, has a freshwater feature, and its water is turbid. There are no freshwater fish in the lake.</w:t>
      </w:r>
    </w:p>
    <w:p w14:paraId="35D21CA5" w14:textId="51C72C5D" w:rsidR="008E433A" w:rsidRPr="00175D8B" w:rsidRDefault="008E433A" w:rsidP="008E433A">
      <w:bookmarkStart w:id="88" w:name="_heading=h.oo5o4mj09xd8" w:colFirst="0" w:colLast="0"/>
      <w:bookmarkEnd w:id="88"/>
      <w:r w:rsidRPr="00175D8B">
        <w:rPr>
          <w:b/>
          <w:u w:val="single"/>
        </w:rPr>
        <w:t>Büyük Akgöl:</w:t>
      </w:r>
      <w:r w:rsidRPr="00175D8B">
        <w:rPr>
          <w:b/>
        </w:rPr>
        <w:t xml:space="preserve"> </w:t>
      </w:r>
      <w:r w:rsidR="00065FF4" w:rsidRPr="00175D8B">
        <w:t>Büyük Akgöl, which has a surface area of 190 hectares, consists of reeds and swamps spread over large areas. There is an abundant fish population in the lake, and wild geese and ducks can be found in the vicinity.</w:t>
      </w:r>
    </w:p>
    <w:p w14:paraId="58A1B930" w14:textId="765038AD" w:rsidR="008E433A" w:rsidRPr="00175D8B" w:rsidRDefault="008E433A" w:rsidP="008E433A">
      <w:bookmarkStart w:id="89" w:name="_heading=h.l99tgjhx3unm" w:colFirst="0" w:colLast="0"/>
      <w:bookmarkEnd w:id="89"/>
      <w:r w:rsidRPr="00175D8B">
        <w:rPr>
          <w:b/>
          <w:u w:val="single"/>
        </w:rPr>
        <w:lastRenderedPageBreak/>
        <w:t>Acarlar Gölü:</w:t>
      </w:r>
      <w:r w:rsidRPr="00175D8B">
        <w:t xml:space="preserve"> </w:t>
      </w:r>
      <w:r w:rsidR="00065FF4" w:rsidRPr="00175D8B">
        <w:t>Acarlar Lake, with a surface area of 1,562 hectares, has 261 hectares of swampy area. The excess waters of the lake discharge into the Sakarya River. The forested areas around the lake extend to the swampy part.</w:t>
      </w:r>
    </w:p>
    <w:p w14:paraId="7D2D842E" w14:textId="3DDC9D81" w:rsidR="00AF41BC" w:rsidRPr="00175D8B" w:rsidRDefault="00065FF4" w:rsidP="002550A6">
      <w:pPr>
        <w:spacing w:before="120" w:after="0" w:line="278" w:lineRule="auto"/>
        <w:rPr>
          <w:rFonts w:eastAsia="Aptos" w:cs="Aptos"/>
          <w:b/>
          <w:i/>
          <w:color w:val="000000" w:themeColor="text1"/>
          <w:sz w:val="20"/>
          <w:szCs w:val="22"/>
        </w:rPr>
      </w:pPr>
      <w:bookmarkStart w:id="90" w:name="_heading=h.8931vehnnxmq" w:colFirst="0" w:colLast="0"/>
      <w:bookmarkEnd w:id="90"/>
      <w:r w:rsidRPr="00175D8B">
        <w:t xml:space="preserve">The main lakes, ponds, and dams in Sakarya province are presented in </w:t>
      </w:r>
      <w:r w:rsidR="009C61E6" w:rsidRPr="00320C8D">
        <w:fldChar w:fldCharType="begin"/>
      </w:r>
      <w:r w:rsidR="009C61E6" w:rsidRPr="00320C8D">
        <w:instrText xml:space="preserve"> REF _Ref214632815 \h </w:instrText>
      </w:r>
      <w:r w:rsidR="00320C8D" w:rsidRPr="00320C8D">
        <w:instrText xml:space="preserve"> \* MERGEFORMAT </w:instrText>
      </w:r>
      <w:r w:rsidR="009C61E6" w:rsidRPr="00320C8D">
        <w:fldChar w:fldCharType="separate"/>
      </w:r>
      <w:r w:rsidR="009C61E6" w:rsidRPr="00320C8D">
        <w:t xml:space="preserve">Table </w:t>
      </w:r>
      <w:r w:rsidR="009C61E6" w:rsidRPr="00320C8D">
        <w:rPr>
          <w:noProof/>
        </w:rPr>
        <w:t>3</w:t>
      </w:r>
      <w:r w:rsidR="009C61E6" w:rsidRPr="00320C8D">
        <w:fldChar w:fldCharType="end"/>
      </w:r>
      <w:r w:rsidR="008E433A" w:rsidRPr="00175D8B">
        <w:t>.</w:t>
      </w:r>
      <w:r w:rsidR="008E433A" w:rsidRPr="00175D8B">
        <w:rPr>
          <w:vertAlign w:val="superscript"/>
        </w:rPr>
        <w:footnoteReference w:id="7"/>
      </w:r>
      <w:bookmarkStart w:id="91" w:name="_Toc209707239"/>
      <w:bookmarkStart w:id="92" w:name="_Hlk209537586"/>
    </w:p>
    <w:p w14:paraId="0D680DF2" w14:textId="17D1D56E" w:rsidR="00E969C6" w:rsidRPr="00175D8B" w:rsidRDefault="00E969C6" w:rsidP="002550A6">
      <w:pPr>
        <w:spacing w:before="120" w:after="0" w:line="278" w:lineRule="auto"/>
        <w:rPr>
          <w:rFonts w:eastAsia="Aptos" w:cs="Aptos"/>
          <w:b/>
          <w:i/>
          <w:color w:val="000000" w:themeColor="text1"/>
          <w:sz w:val="20"/>
          <w:szCs w:val="22"/>
        </w:rPr>
      </w:pPr>
    </w:p>
    <w:p w14:paraId="086A19FE" w14:textId="379CEE1A" w:rsidR="00C00D47" w:rsidRPr="00175D8B" w:rsidRDefault="00C00D47" w:rsidP="006C58C5">
      <w:pPr>
        <w:pStyle w:val="ResimYazs"/>
        <w:keepNext/>
        <w:jc w:val="center"/>
      </w:pPr>
      <w:bookmarkStart w:id="93" w:name="_Ref214632815"/>
      <w:bookmarkStart w:id="94" w:name="_Toc216344420"/>
      <w:bookmarkEnd w:id="91"/>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3</w:t>
      </w:r>
      <w:r w:rsidRPr="006C58C5">
        <w:rPr>
          <w:b/>
          <w:bCs/>
        </w:rPr>
        <w:fldChar w:fldCharType="end"/>
      </w:r>
      <w:bookmarkEnd w:id="93"/>
      <w:r w:rsidR="006D791E" w:rsidRPr="00175D8B">
        <w:rPr>
          <w:b/>
          <w:bCs/>
        </w:rPr>
        <w:t>:</w:t>
      </w:r>
      <w:r w:rsidRPr="00175D8B">
        <w:t xml:space="preserve"> </w:t>
      </w:r>
      <w:r w:rsidRPr="00175D8B">
        <w:rPr>
          <w:rFonts w:eastAsia="Aptos" w:cs="Aptos"/>
          <w:color w:val="000000"/>
          <w:szCs w:val="22"/>
        </w:rPr>
        <w:t>Existing Lakes, Ponds and Reservoirs</w:t>
      </w:r>
      <w:bookmarkEnd w:id="94"/>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1206"/>
        <w:gridCol w:w="1530"/>
        <w:gridCol w:w="1035"/>
        <w:gridCol w:w="2055"/>
        <w:gridCol w:w="1715"/>
      </w:tblGrid>
      <w:tr w:rsidR="00E47114" w:rsidRPr="00175D8B" w14:paraId="076570C7" w14:textId="77777777" w:rsidTr="00DF417A">
        <w:trPr>
          <w:cantSplit/>
          <w:tblHeader/>
          <w:jc w:val="center"/>
        </w:trPr>
        <w:tc>
          <w:tcPr>
            <w:tcW w:w="1531" w:type="dxa"/>
            <w:shd w:val="clear" w:color="auto" w:fill="ABB7C1"/>
            <w:vAlign w:val="center"/>
          </w:tcPr>
          <w:bookmarkEnd w:id="92"/>
          <w:p w14:paraId="4ED9EE85" w14:textId="50F680D0" w:rsidR="00E47114" w:rsidRPr="00175D8B" w:rsidRDefault="00E47114" w:rsidP="00E47114">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Name of Lake, Reservoir or Pond</w:t>
            </w:r>
          </w:p>
        </w:tc>
        <w:tc>
          <w:tcPr>
            <w:tcW w:w="1206" w:type="dxa"/>
            <w:shd w:val="clear" w:color="auto" w:fill="ABB7C1"/>
            <w:vAlign w:val="center"/>
          </w:tcPr>
          <w:p w14:paraId="19A05264" w14:textId="20B01A23" w:rsidR="00E47114" w:rsidRPr="00175D8B" w:rsidRDefault="00E47114" w:rsidP="00E47114">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Types</w:t>
            </w:r>
          </w:p>
        </w:tc>
        <w:tc>
          <w:tcPr>
            <w:tcW w:w="1530" w:type="dxa"/>
            <w:shd w:val="clear" w:color="auto" w:fill="ABB7C1"/>
            <w:vAlign w:val="center"/>
          </w:tcPr>
          <w:p w14:paraId="36857349" w14:textId="15921804" w:rsidR="00E47114" w:rsidRPr="00175D8B" w:rsidRDefault="00E47114" w:rsidP="00E47114">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Volume (hm³)</w:t>
            </w:r>
          </w:p>
        </w:tc>
        <w:tc>
          <w:tcPr>
            <w:tcW w:w="1035" w:type="dxa"/>
            <w:shd w:val="clear" w:color="auto" w:fill="ABB7C1"/>
            <w:vAlign w:val="center"/>
          </w:tcPr>
          <w:p w14:paraId="38A490C3" w14:textId="09156A0D" w:rsidR="00E47114" w:rsidRPr="00175D8B" w:rsidRDefault="00E47114" w:rsidP="00E47114">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Irrigation Area (ha)</w:t>
            </w:r>
          </w:p>
        </w:tc>
        <w:tc>
          <w:tcPr>
            <w:tcW w:w="2055" w:type="dxa"/>
            <w:shd w:val="clear" w:color="auto" w:fill="ABB7C1"/>
            <w:vAlign w:val="center"/>
          </w:tcPr>
          <w:p w14:paraId="1C524921" w14:textId="6DBD0FD6" w:rsidR="00E47114" w:rsidRPr="00175D8B" w:rsidRDefault="00E47114" w:rsidP="00E47114">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Amount of Water Withdrawn, (m³)</w:t>
            </w:r>
          </w:p>
        </w:tc>
        <w:tc>
          <w:tcPr>
            <w:tcW w:w="1715" w:type="dxa"/>
            <w:shd w:val="clear" w:color="auto" w:fill="ABB7C1"/>
            <w:vAlign w:val="center"/>
          </w:tcPr>
          <w:p w14:paraId="1BCC4AFC" w14:textId="604C649F" w:rsidR="00E47114" w:rsidRPr="00175D8B" w:rsidRDefault="00E47114" w:rsidP="00E47114">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Intended Use</w:t>
            </w:r>
          </w:p>
        </w:tc>
      </w:tr>
      <w:tr w:rsidR="00E47114" w:rsidRPr="00175D8B" w14:paraId="70035F1B" w14:textId="77777777" w:rsidTr="002550A6">
        <w:trPr>
          <w:cantSplit/>
          <w:tblHeader/>
          <w:jc w:val="center"/>
        </w:trPr>
        <w:tc>
          <w:tcPr>
            <w:tcW w:w="1531" w:type="dxa"/>
            <w:shd w:val="clear" w:color="auto" w:fill="F2F2F2"/>
            <w:vAlign w:val="center"/>
          </w:tcPr>
          <w:p w14:paraId="59A443DB" w14:textId="77777777" w:rsidR="00E47114" w:rsidRPr="00175D8B" w:rsidRDefault="00E47114" w:rsidP="00065E3C">
            <w:pPr>
              <w:tabs>
                <w:tab w:val="right" w:pos="2297"/>
              </w:tabs>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Sapanca Lake</w:t>
            </w:r>
          </w:p>
        </w:tc>
        <w:tc>
          <w:tcPr>
            <w:tcW w:w="1206" w:type="dxa"/>
            <w:shd w:val="clear" w:color="auto" w:fill="F2F2F2"/>
            <w:vAlign w:val="center"/>
          </w:tcPr>
          <w:p w14:paraId="0DCBFFEE"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Natural Lake</w:t>
            </w:r>
          </w:p>
        </w:tc>
        <w:tc>
          <w:tcPr>
            <w:tcW w:w="1530" w:type="dxa"/>
            <w:shd w:val="clear" w:color="auto" w:fill="F2F2F2"/>
            <w:vAlign w:val="center"/>
          </w:tcPr>
          <w:p w14:paraId="6625F8FE"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1356x10₆</w:t>
            </w:r>
          </w:p>
        </w:tc>
        <w:tc>
          <w:tcPr>
            <w:tcW w:w="1035" w:type="dxa"/>
            <w:shd w:val="clear" w:color="auto" w:fill="F2F2F2"/>
            <w:vAlign w:val="center"/>
          </w:tcPr>
          <w:p w14:paraId="59CE1691"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2055" w:type="dxa"/>
            <w:shd w:val="clear" w:color="auto" w:fill="F2F2F2"/>
            <w:vAlign w:val="center"/>
          </w:tcPr>
          <w:p w14:paraId="5244A0E6"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120x10₆ (Tahsisli)</w:t>
            </w:r>
          </w:p>
        </w:tc>
        <w:tc>
          <w:tcPr>
            <w:tcW w:w="1715" w:type="dxa"/>
            <w:shd w:val="clear" w:color="auto" w:fill="F2F2F2"/>
            <w:vAlign w:val="center"/>
          </w:tcPr>
          <w:p w14:paraId="2DDD8ACC" w14:textId="2F1530CD"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Drinking, Using,</w:t>
            </w:r>
          </w:p>
          <w:p w14:paraId="27227586"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Industry, Agriculture</w:t>
            </w:r>
          </w:p>
        </w:tc>
      </w:tr>
      <w:tr w:rsidR="00E47114" w:rsidRPr="00175D8B" w14:paraId="3B1FB310" w14:textId="77777777" w:rsidTr="002550A6">
        <w:trPr>
          <w:cantSplit/>
          <w:tblHeader/>
          <w:jc w:val="center"/>
        </w:trPr>
        <w:tc>
          <w:tcPr>
            <w:tcW w:w="1531" w:type="dxa"/>
            <w:shd w:val="clear" w:color="auto" w:fill="F2F2F2"/>
            <w:vAlign w:val="center"/>
          </w:tcPr>
          <w:p w14:paraId="4C648F4F" w14:textId="6B6C445D" w:rsidR="00E47114" w:rsidRPr="00175D8B" w:rsidRDefault="009E58F5"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Akgöl Lake</w:t>
            </w:r>
          </w:p>
        </w:tc>
        <w:tc>
          <w:tcPr>
            <w:tcW w:w="1206" w:type="dxa"/>
            <w:shd w:val="clear" w:color="auto" w:fill="F2F2F2"/>
            <w:vAlign w:val="center"/>
          </w:tcPr>
          <w:p w14:paraId="48DAB752" w14:textId="31B3176E"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Natural Lake</w:t>
            </w:r>
          </w:p>
        </w:tc>
        <w:tc>
          <w:tcPr>
            <w:tcW w:w="1530" w:type="dxa"/>
            <w:shd w:val="clear" w:color="auto" w:fill="F2F2F2"/>
            <w:vAlign w:val="center"/>
          </w:tcPr>
          <w:p w14:paraId="09B794AB"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1035" w:type="dxa"/>
            <w:shd w:val="clear" w:color="auto" w:fill="F2F2F2"/>
            <w:vAlign w:val="center"/>
          </w:tcPr>
          <w:p w14:paraId="62CF095C"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2055" w:type="dxa"/>
            <w:shd w:val="clear" w:color="auto" w:fill="F2F2F2"/>
            <w:vAlign w:val="center"/>
          </w:tcPr>
          <w:p w14:paraId="3BA6F2D4"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1715" w:type="dxa"/>
            <w:shd w:val="clear" w:color="auto" w:fill="F2F2F2"/>
            <w:vAlign w:val="center"/>
          </w:tcPr>
          <w:p w14:paraId="0EBE71C8" w14:textId="77777777" w:rsidR="00E47114" w:rsidRPr="00175D8B" w:rsidRDefault="00E47114" w:rsidP="00065E3C">
            <w:pPr>
              <w:spacing w:before="120" w:after="0" w:line="240" w:lineRule="auto"/>
              <w:jc w:val="center"/>
              <w:rPr>
                <w:rFonts w:eastAsia="Aptos" w:cs="Aptos"/>
                <w:color w:val="000000" w:themeColor="text1"/>
                <w:sz w:val="20"/>
                <w:szCs w:val="20"/>
              </w:rPr>
            </w:pPr>
          </w:p>
        </w:tc>
      </w:tr>
      <w:tr w:rsidR="00E47114" w:rsidRPr="00175D8B" w14:paraId="40B9045F" w14:textId="77777777" w:rsidTr="002550A6">
        <w:trPr>
          <w:cantSplit/>
          <w:tblHeader/>
          <w:jc w:val="center"/>
        </w:trPr>
        <w:tc>
          <w:tcPr>
            <w:tcW w:w="1531" w:type="dxa"/>
            <w:shd w:val="clear" w:color="auto" w:fill="F2F2F2"/>
            <w:vAlign w:val="center"/>
          </w:tcPr>
          <w:p w14:paraId="4A254980"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Poyrazlar Lake</w:t>
            </w:r>
          </w:p>
        </w:tc>
        <w:tc>
          <w:tcPr>
            <w:tcW w:w="1206" w:type="dxa"/>
            <w:shd w:val="clear" w:color="auto" w:fill="F2F2F2"/>
            <w:vAlign w:val="center"/>
          </w:tcPr>
          <w:p w14:paraId="1381816E" w14:textId="5842EC6A"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Natural Lake</w:t>
            </w:r>
          </w:p>
        </w:tc>
        <w:tc>
          <w:tcPr>
            <w:tcW w:w="1530" w:type="dxa"/>
            <w:shd w:val="clear" w:color="auto" w:fill="F2F2F2"/>
            <w:vAlign w:val="center"/>
          </w:tcPr>
          <w:p w14:paraId="6A4F08D6"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1035" w:type="dxa"/>
            <w:shd w:val="clear" w:color="auto" w:fill="F2F2F2"/>
            <w:vAlign w:val="center"/>
          </w:tcPr>
          <w:p w14:paraId="7512FC90"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2055" w:type="dxa"/>
            <w:shd w:val="clear" w:color="auto" w:fill="F2F2F2"/>
            <w:vAlign w:val="center"/>
          </w:tcPr>
          <w:p w14:paraId="7470260E"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1715" w:type="dxa"/>
            <w:shd w:val="clear" w:color="auto" w:fill="F2F2F2"/>
            <w:vAlign w:val="center"/>
          </w:tcPr>
          <w:p w14:paraId="0D70F022" w14:textId="77777777" w:rsidR="00E47114" w:rsidRPr="00175D8B" w:rsidRDefault="00E47114" w:rsidP="00065E3C">
            <w:pPr>
              <w:spacing w:before="120" w:after="0" w:line="240" w:lineRule="auto"/>
              <w:jc w:val="center"/>
              <w:rPr>
                <w:rFonts w:eastAsia="Aptos" w:cs="Aptos"/>
                <w:color w:val="000000" w:themeColor="text1"/>
                <w:sz w:val="20"/>
                <w:szCs w:val="20"/>
              </w:rPr>
            </w:pPr>
          </w:p>
        </w:tc>
      </w:tr>
      <w:tr w:rsidR="00E47114" w:rsidRPr="00175D8B" w14:paraId="09CE4309" w14:textId="77777777" w:rsidTr="002550A6">
        <w:trPr>
          <w:cantSplit/>
          <w:tblHeader/>
          <w:jc w:val="center"/>
        </w:trPr>
        <w:tc>
          <w:tcPr>
            <w:tcW w:w="1531" w:type="dxa"/>
            <w:shd w:val="clear" w:color="auto" w:fill="F2F2F2"/>
            <w:vAlign w:val="center"/>
          </w:tcPr>
          <w:p w14:paraId="14E976F3"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Asırlar Pond</w:t>
            </w:r>
          </w:p>
        </w:tc>
        <w:tc>
          <w:tcPr>
            <w:tcW w:w="1206" w:type="dxa"/>
            <w:shd w:val="clear" w:color="auto" w:fill="F2F2F2"/>
            <w:vAlign w:val="center"/>
          </w:tcPr>
          <w:p w14:paraId="5B84F1DC"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Pond</w:t>
            </w:r>
          </w:p>
        </w:tc>
        <w:tc>
          <w:tcPr>
            <w:tcW w:w="1530" w:type="dxa"/>
            <w:shd w:val="clear" w:color="auto" w:fill="F2F2F2"/>
            <w:vAlign w:val="center"/>
          </w:tcPr>
          <w:p w14:paraId="163F7DDC" w14:textId="3387929B"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876</w:t>
            </w:r>
            <w:r w:rsidR="00287D53" w:rsidRPr="00175D8B">
              <w:rPr>
                <w:rFonts w:eastAsia="Aptos" w:cs="Aptos"/>
                <w:color w:val="000000" w:themeColor="text1"/>
                <w:sz w:val="20"/>
                <w:szCs w:val="20"/>
              </w:rPr>
              <w:t>,</w:t>
            </w:r>
            <w:r w:rsidRPr="00175D8B">
              <w:rPr>
                <w:rFonts w:eastAsia="Aptos" w:cs="Aptos"/>
                <w:color w:val="000000" w:themeColor="text1"/>
                <w:sz w:val="20"/>
                <w:szCs w:val="20"/>
              </w:rPr>
              <w:t>239</w:t>
            </w:r>
          </w:p>
        </w:tc>
        <w:tc>
          <w:tcPr>
            <w:tcW w:w="1035" w:type="dxa"/>
            <w:shd w:val="clear" w:color="auto" w:fill="F2F2F2"/>
            <w:vAlign w:val="center"/>
          </w:tcPr>
          <w:p w14:paraId="1CCC1AD8"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177</w:t>
            </w:r>
          </w:p>
        </w:tc>
        <w:tc>
          <w:tcPr>
            <w:tcW w:w="2055" w:type="dxa"/>
            <w:shd w:val="clear" w:color="auto" w:fill="F2F2F2"/>
            <w:vAlign w:val="center"/>
          </w:tcPr>
          <w:p w14:paraId="5D2E939A"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1715" w:type="dxa"/>
            <w:shd w:val="clear" w:color="auto" w:fill="F2F2F2"/>
            <w:vAlign w:val="center"/>
          </w:tcPr>
          <w:p w14:paraId="5EE1718E" w14:textId="039844B8"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Watering</w:t>
            </w:r>
          </w:p>
        </w:tc>
      </w:tr>
      <w:tr w:rsidR="00E47114" w:rsidRPr="00175D8B" w14:paraId="75BF7486" w14:textId="77777777" w:rsidTr="002550A6">
        <w:trPr>
          <w:cantSplit/>
          <w:tblHeader/>
          <w:jc w:val="center"/>
        </w:trPr>
        <w:tc>
          <w:tcPr>
            <w:tcW w:w="1531" w:type="dxa"/>
            <w:shd w:val="clear" w:color="auto" w:fill="F2F2F2"/>
            <w:vAlign w:val="center"/>
          </w:tcPr>
          <w:p w14:paraId="48EE59B4"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Kemaliye Pond</w:t>
            </w:r>
          </w:p>
        </w:tc>
        <w:tc>
          <w:tcPr>
            <w:tcW w:w="1206" w:type="dxa"/>
            <w:shd w:val="clear" w:color="auto" w:fill="F2F2F2"/>
            <w:vAlign w:val="center"/>
          </w:tcPr>
          <w:p w14:paraId="7AF43963"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Pond</w:t>
            </w:r>
          </w:p>
        </w:tc>
        <w:tc>
          <w:tcPr>
            <w:tcW w:w="1530" w:type="dxa"/>
            <w:shd w:val="clear" w:color="auto" w:fill="F2F2F2"/>
            <w:vAlign w:val="center"/>
          </w:tcPr>
          <w:p w14:paraId="064A737E" w14:textId="731010A8"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292</w:t>
            </w:r>
            <w:r w:rsidR="00287D53" w:rsidRPr="00175D8B">
              <w:rPr>
                <w:rFonts w:eastAsia="Aptos" w:cs="Aptos"/>
                <w:color w:val="000000" w:themeColor="text1"/>
                <w:sz w:val="20"/>
                <w:szCs w:val="20"/>
              </w:rPr>
              <w:t>,</w:t>
            </w:r>
            <w:r w:rsidRPr="00175D8B">
              <w:rPr>
                <w:rFonts w:eastAsia="Aptos" w:cs="Aptos"/>
                <w:color w:val="000000" w:themeColor="text1"/>
                <w:sz w:val="20"/>
                <w:szCs w:val="20"/>
              </w:rPr>
              <w:t>000</w:t>
            </w:r>
          </w:p>
          <w:p w14:paraId="713D6B3B" w14:textId="77777777" w:rsidR="00E47114" w:rsidRPr="00175D8B" w:rsidRDefault="00E47114" w:rsidP="002550A6">
            <w:pPr>
              <w:spacing w:before="120" w:after="0" w:line="240" w:lineRule="auto"/>
              <w:jc w:val="center"/>
              <w:rPr>
                <w:rFonts w:eastAsia="Aptos" w:cs="Aptos"/>
                <w:color w:val="000000" w:themeColor="text1"/>
                <w:sz w:val="20"/>
                <w:szCs w:val="20"/>
              </w:rPr>
            </w:pPr>
          </w:p>
        </w:tc>
        <w:tc>
          <w:tcPr>
            <w:tcW w:w="1035" w:type="dxa"/>
            <w:shd w:val="clear" w:color="auto" w:fill="F2F2F2"/>
            <w:vAlign w:val="center"/>
          </w:tcPr>
          <w:p w14:paraId="5C47BB0E" w14:textId="4A5C00C1"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164</w:t>
            </w:r>
            <w:r w:rsidR="00410F4B" w:rsidRPr="00175D8B">
              <w:rPr>
                <w:rFonts w:eastAsia="Aptos" w:cs="Aptos"/>
                <w:color w:val="000000" w:themeColor="text1"/>
                <w:sz w:val="20"/>
                <w:szCs w:val="20"/>
              </w:rPr>
              <w:t>.</w:t>
            </w:r>
            <w:r w:rsidRPr="00175D8B">
              <w:rPr>
                <w:rFonts w:eastAsia="Aptos" w:cs="Aptos"/>
                <w:color w:val="000000" w:themeColor="text1"/>
                <w:sz w:val="20"/>
                <w:szCs w:val="20"/>
              </w:rPr>
              <w:t>29</w:t>
            </w:r>
          </w:p>
        </w:tc>
        <w:tc>
          <w:tcPr>
            <w:tcW w:w="2055" w:type="dxa"/>
            <w:shd w:val="clear" w:color="auto" w:fill="F2F2F2"/>
            <w:vAlign w:val="center"/>
          </w:tcPr>
          <w:p w14:paraId="46DFF568"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1715" w:type="dxa"/>
            <w:shd w:val="clear" w:color="auto" w:fill="F2F2F2"/>
            <w:vAlign w:val="center"/>
          </w:tcPr>
          <w:p w14:paraId="18D67126" w14:textId="47583945"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Watering</w:t>
            </w:r>
          </w:p>
        </w:tc>
      </w:tr>
      <w:tr w:rsidR="00E47114" w:rsidRPr="00175D8B" w14:paraId="51C951A4" w14:textId="77777777" w:rsidTr="002550A6">
        <w:trPr>
          <w:cantSplit/>
          <w:tblHeader/>
          <w:jc w:val="center"/>
        </w:trPr>
        <w:tc>
          <w:tcPr>
            <w:tcW w:w="1531" w:type="dxa"/>
            <w:shd w:val="clear" w:color="auto" w:fill="F2F2F2"/>
            <w:vAlign w:val="center"/>
          </w:tcPr>
          <w:p w14:paraId="4CE641F3"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Çilekli Pond</w:t>
            </w:r>
          </w:p>
        </w:tc>
        <w:tc>
          <w:tcPr>
            <w:tcW w:w="1206" w:type="dxa"/>
            <w:shd w:val="clear" w:color="auto" w:fill="F2F2F2"/>
            <w:vAlign w:val="center"/>
          </w:tcPr>
          <w:p w14:paraId="387CD820"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Pond</w:t>
            </w:r>
          </w:p>
        </w:tc>
        <w:tc>
          <w:tcPr>
            <w:tcW w:w="1530" w:type="dxa"/>
            <w:shd w:val="clear" w:color="auto" w:fill="F2F2F2"/>
            <w:vAlign w:val="center"/>
          </w:tcPr>
          <w:p w14:paraId="287C1D17" w14:textId="4695D28A"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915</w:t>
            </w:r>
            <w:r w:rsidR="00287D53" w:rsidRPr="00175D8B">
              <w:rPr>
                <w:rFonts w:eastAsia="Aptos" w:cs="Aptos"/>
                <w:color w:val="000000" w:themeColor="text1"/>
                <w:sz w:val="20"/>
                <w:szCs w:val="20"/>
              </w:rPr>
              <w:t>,</w:t>
            </w:r>
            <w:r w:rsidRPr="00175D8B">
              <w:rPr>
                <w:rFonts w:eastAsia="Aptos" w:cs="Aptos"/>
                <w:color w:val="000000" w:themeColor="text1"/>
                <w:sz w:val="20"/>
                <w:szCs w:val="20"/>
              </w:rPr>
              <w:t>000</w:t>
            </w:r>
          </w:p>
          <w:p w14:paraId="3C74D08D"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1035" w:type="dxa"/>
            <w:shd w:val="clear" w:color="auto" w:fill="F2F2F2"/>
            <w:vAlign w:val="center"/>
          </w:tcPr>
          <w:p w14:paraId="687178DA"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277</w:t>
            </w:r>
          </w:p>
        </w:tc>
        <w:tc>
          <w:tcPr>
            <w:tcW w:w="2055" w:type="dxa"/>
            <w:shd w:val="clear" w:color="auto" w:fill="F2F2F2"/>
            <w:vAlign w:val="center"/>
          </w:tcPr>
          <w:p w14:paraId="643635E9"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1715" w:type="dxa"/>
            <w:shd w:val="clear" w:color="auto" w:fill="F2F2F2"/>
            <w:vAlign w:val="center"/>
          </w:tcPr>
          <w:p w14:paraId="0EBF0902" w14:textId="61A53834"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Watering</w:t>
            </w:r>
          </w:p>
        </w:tc>
      </w:tr>
      <w:tr w:rsidR="00E47114" w:rsidRPr="00175D8B" w14:paraId="57542C91" w14:textId="77777777" w:rsidTr="002550A6">
        <w:trPr>
          <w:cantSplit/>
          <w:tblHeader/>
          <w:jc w:val="center"/>
        </w:trPr>
        <w:tc>
          <w:tcPr>
            <w:tcW w:w="1531" w:type="dxa"/>
            <w:shd w:val="clear" w:color="auto" w:fill="F2F2F2"/>
            <w:vAlign w:val="center"/>
          </w:tcPr>
          <w:p w14:paraId="334DD818"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Nalköy Pond</w:t>
            </w:r>
          </w:p>
        </w:tc>
        <w:tc>
          <w:tcPr>
            <w:tcW w:w="1206" w:type="dxa"/>
            <w:shd w:val="clear" w:color="auto" w:fill="F2F2F2"/>
            <w:vAlign w:val="center"/>
          </w:tcPr>
          <w:p w14:paraId="4C67F08D"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Pond</w:t>
            </w:r>
          </w:p>
        </w:tc>
        <w:tc>
          <w:tcPr>
            <w:tcW w:w="1530" w:type="dxa"/>
            <w:shd w:val="clear" w:color="auto" w:fill="F2F2F2"/>
            <w:vAlign w:val="center"/>
          </w:tcPr>
          <w:p w14:paraId="4A843746" w14:textId="27D39B16"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3</w:t>
            </w:r>
            <w:r w:rsidR="00287D53" w:rsidRPr="00175D8B">
              <w:rPr>
                <w:rFonts w:eastAsia="Aptos" w:cs="Aptos"/>
                <w:color w:val="000000" w:themeColor="text1"/>
                <w:sz w:val="20"/>
                <w:szCs w:val="20"/>
              </w:rPr>
              <w:t>,</w:t>
            </w:r>
            <w:r w:rsidRPr="00175D8B">
              <w:rPr>
                <w:rFonts w:eastAsia="Aptos" w:cs="Aptos"/>
                <w:color w:val="000000" w:themeColor="text1"/>
                <w:sz w:val="20"/>
                <w:szCs w:val="20"/>
              </w:rPr>
              <w:t>650</w:t>
            </w:r>
            <w:r w:rsidR="00287D53" w:rsidRPr="00175D8B">
              <w:rPr>
                <w:rFonts w:eastAsia="Aptos" w:cs="Aptos"/>
                <w:color w:val="000000" w:themeColor="text1"/>
                <w:sz w:val="20"/>
                <w:szCs w:val="20"/>
              </w:rPr>
              <w:t>,</w:t>
            </w:r>
            <w:r w:rsidRPr="00175D8B">
              <w:rPr>
                <w:rFonts w:eastAsia="Aptos" w:cs="Aptos"/>
                <w:color w:val="000000" w:themeColor="text1"/>
                <w:sz w:val="20"/>
                <w:szCs w:val="20"/>
              </w:rPr>
              <w:t>000</w:t>
            </w:r>
          </w:p>
          <w:p w14:paraId="4D496167"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1035" w:type="dxa"/>
            <w:shd w:val="clear" w:color="auto" w:fill="F2F2F2"/>
            <w:vAlign w:val="center"/>
          </w:tcPr>
          <w:p w14:paraId="132A989E" w14:textId="7BF15B81"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677</w:t>
            </w:r>
            <w:r w:rsidR="00410F4B" w:rsidRPr="00175D8B">
              <w:rPr>
                <w:rFonts w:eastAsia="Aptos" w:cs="Aptos"/>
                <w:color w:val="000000" w:themeColor="text1"/>
                <w:sz w:val="20"/>
                <w:szCs w:val="20"/>
              </w:rPr>
              <w:t>.</w:t>
            </w:r>
            <w:r w:rsidRPr="00175D8B">
              <w:rPr>
                <w:rFonts w:eastAsia="Aptos" w:cs="Aptos"/>
                <w:color w:val="000000" w:themeColor="text1"/>
                <w:sz w:val="20"/>
                <w:szCs w:val="20"/>
              </w:rPr>
              <w:t>18</w:t>
            </w:r>
          </w:p>
        </w:tc>
        <w:tc>
          <w:tcPr>
            <w:tcW w:w="2055" w:type="dxa"/>
            <w:shd w:val="clear" w:color="auto" w:fill="F2F2F2"/>
            <w:vAlign w:val="center"/>
          </w:tcPr>
          <w:p w14:paraId="642DA3F6"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1715" w:type="dxa"/>
            <w:shd w:val="clear" w:color="auto" w:fill="F2F2F2"/>
            <w:vAlign w:val="center"/>
          </w:tcPr>
          <w:p w14:paraId="45F807E8" w14:textId="74E1776A"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Watering</w:t>
            </w:r>
          </w:p>
        </w:tc>
      </w:tr>
      <w:tr w:rsidR="00E47114" w:rsidRPr="00175D8B" w14:paraId="4A23139F" w14:textId="77777777" w:rsidTr="002550A6">
        <w:trPr>
          <w:cantSplit/>
          <w:tblHeader/>
          <w:jc w:val="center"/>
        </w:trPr>
        <w:tc>
          <w:tcPr>
            <w:tcW w:w="1531" w:type="dxa"/>
            <w:shd w:val="clear" w:color="auto" w:fill="F2F2F2"/>
            <w:vAlign w:val="center"/>
          </w:tcPr>
          <w:p w14:paraId="533E95FC" w14:textId="51F8074D" w:rsidR="00E47114" w:rsidRPr="00175D8B" w:rsidRDefault="005A4C56"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Topçu Pond</w:t>
            </w:r>
          </w:p>
        </w:tc>
        <w:tc>
          <w:tcPr>
            <w:tcW w:w="1206" w:type="dxa"/>
            <w:shd w:val="clear" w:color="auto" w:fill="F2F2F2"/>
            <w:vAlign w:val="center"/>
          </w:tcPr>
          <w:p w14:paraId="230CC030"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Pond</w:t>
            </w:r>
          </w:p>
        </w:tc>
        <w:tc>
          <w:tcPr>
            <w:tcW w:w="1530" w:type="dxa"/>
            <w:shd w:val="clear" w:color="auto" w:fill="F2F2F2"/>
            <w:vAlign w:val="center"/>
          </w:tcPr>
          <w:p w14:paraId="3B35AA89" w14:textId="333CE8BE"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973</w:t>
            </w:r>
            <w:r w:rsidR="00287D53" w:rsidRPr="00175D8B">
              <w:rPr>
                <w:rFonts w:eastAsia="Aptos" w:cs="Aptos"/>
                <w:color w:val="000000" w:themeColor="text1"/>
                <w:sz w:val="20"/>
                <w:szCs w:val="20"/>
              </w:rPr>
              <w:t>,</w:t>
            </w:r>
            <w:r w:rsidRPr="00175D8B">
              <w:rPr>
                <w:rFonts w:eastAsia="Aptos" w:cs="Aptos"/>
                <w:color w:val="000000" w:themeColor="text1"/>
                <w:sz w:val="20"/>
                <w:szCs w:val="20"/>
              </w:rPr>
              <w:t>000</w:t>
            </w:r>
          </w:p>
          <w:p w14:paraId="14DC0CFC"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1035" w:type="dxa"/>
            <w:shd w:val="clear" w:color="auto" w:fill="F2F2F2"/>
            <w:vAlign w:val="center"/>
          </w:tcPr>
          <w:p w14:paraId="58EAD066"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296</w:t>
            </w:r>
          </w:p>
        </w:tc>
        <w:tc>
          <w:tcPr>
            <w:tcW w:w="2055" w:type="dxa"/>
            <w:shd w:val="clear" w:color="auto" w:fill="F2F2F2"/>
            <w:vAlign w:val="center"/>
          </w:tcPr>
          <w:p w14:paraId="4349C361"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1715" w:type="dxa"/>
            <w:shd w:val="clear" w:color="auto" w:fill="F2F2F2"/>
            <w:vAlign w:val="center"/>
          </w:tcPr>
          <w:p w14:paraId="7FD93068"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Watering</w:t>
            </w:r>
          </w:p>
        </w:tc>
      </w:tr>
      <w:tr w:rsidR="00E47114" w:rsidRPr="00175D8B" w14:paraId="50D53409" w14:textId="77777777" w:rsidTr="002550A6">
        <w:trPr>
          <w:cantSplit/>
          <w:tblHeader/>
          <w:jc w:val="center"/>
        </w:trPr>
        <w:tc>
          <w:tcPr>
            <w:tcW w:w="1531" w:type="dxa"/>
            <w:shd w:val="clear" w:color="auto" w:fill="F2F2F2"/>
            <w:vAlign w:val="center"/>
          </w:tcPr>
          <w:p w14:paraId="3EB48EC2"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Elmalı Pond</w:t>
            </w:r>
          </w:p>
        </w:tc>
        <w:tc>
          <w:tcPr>
            <w:tcW w:w="1206" w:type="dxa"/>
            <w:shd w:val="clear" w:color="auto" w:fill="F2F2F2"/>
            <w:vAlign w:val="center"/>
          </w:tcPr>
          <w:p w14:paraId="2FD573B5"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Pond</w:t>
            </w:r>
          </w:p>
        </w:tc>
        <w:tc>
          <w:tcPr>
            <w:tcW w:w="1530" w:type="dxa"/>
            <w:shd w:val="clear" w:color="auto" w:fill="F2F2F2"/>
            <w:vAlign w:val="center"/>
          </w:tcPr>
          <w:p w14:paraId="2AC4A851" w14:textId="42B99DB6"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836</w:t>
            </w:r>
            <w:r w:rsidR="00287D53" w:rsidRPr="00175D8B">
              <w:rPr>
                <w:rFonts w:eastAsia="Aptos" w:cs="Aptos"/>
                <w:color w:val="000000" w:themeColor="text1"/>
                <w:sz w:val="20"/>
                <w:szCs w:val="20"/>
              </w:rPr>
              <w:t>,</w:t>
            </w:r>
            <w:r w:rsidRPr="00175D8B">
              <w:rPr>
                <w:rFonts w:eastAsia="Aptos" w:cs="Aptos"/>
                <w:color w:val="000000" w:themeColor="text1"/>
                <w:sz w:val="20"/>
                <w:szCs w:val="20"/>
              </w:rPr>
              <w:t>800</w:t>
            </w:r>
          </w:p>
          <w:p w14:paraId="557A02CB"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1035" w:type="dxa"/>
            <w:shd w:val="clear" w:color="auto" w:fill="F2F2F2"/>
            <w:vAlign w:val="center"/>
          </w:tcPr>
          <w:p w14:paraId="44C9F7A5"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211</w:t>
            </w:r>
          </w:p>
        </w:tc>
        <w:tc>
          <w:tcPr>
            <w:tcW w:w="2055" w:type="dxa"/>
            <w:shd w:val="clear" w:color="auto" w:fill="F2F2F2"/>
            <w:vAlign w:val="center"/>
          </w:tcPr>
          <w:p w14:paraId="132E3CE0" w14:textId="77777777" w:rsidR="00E47114" w:rsidRPr="00175D8B" w:rsidRDefault="00E47114" w:rsidP="00065E3C">
            <w:pPr>
              <w:spacing w:before="120" w:after="0" w:line="240" w:lineRule="auto"/>
              <w:jc w:val="center"/>
              <w:rPr>
                <w:rFonts w:eastAsia="Aptos" w:cs="Aptos"/>
                <w:color w:val="000000" w:themeColor="text1"/>
                <w:sz w:val="20"/>
                <w:szCs w:val="20"/>
              </w:rPr>
            </w:pPr>
          </w:p>
        </w:tc>
        <w:tc>
          <w:tcPr>
            <w:tcW w:w="1715" w:type="dxa"/>
            <w:shd w:val="clear" w:color="auto" w:fill="F2F2F2"/>
            <w:vAlign w:val="center"/>
          </w:tcPr>
          <w:p w14:paraId="6FE21F3C" w14:textId="77777777" w:rsidR="00E47114" w:rsidRPr="00175D8B" w:rsidRDefault="00E47114" w:rsidP="00065E3C">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Watering</w:t>
            </w:r>
          </w:p>
        </w:tc>
      </w:tr>
    </w:tbl>
    <w:p w14:paraId="0C835C83" w14:textId="60356F42" w:rsidR="00E47114" w:rsidRPr="00175D8B" w:rsidRDefault="00E47114" w:rsidP="00493E5E">
      <w:pPr>
        <w:spacing w:before="120" w:after="0" w:line="278" w:lineRule="auto"/>
        <w:ind w:left="360"/>
        <w:contextualSpacing/>
        <w:jc w:val="center"/>
        <w:rPr>
          <w:rFonts w:eastAsia="Aptos" w:cs="Aptos"/>
          <w:i/>
          <w:color w:val="000000" w:themeColor="text1"/>
          <w:sz w:val="18"/>
          <w:szCs w:val="18"/>
        </w:rPr>
      </w:pPr>
      <w:r w:rsidRPr="00175D8B">
        <w:rPr>
          <w:rFonts w:eastAsia="Aptos" w:cs="Aptos"/>
          <w:b/>
          <w:i/>
          <w:color w:val="000000" w:themeColor="text1"/>
          <w:sz w:val="18"/>
          <w:szCs w:val="18"/>
        </w:rPr>
        <w:t>Source</w:t>
      </w:r>
      <w:r w:rsidRPr="00175D8B">
        <w:rPr>
          <w:rFonts w:eastAsia="Aptos" w:cs="Aptos"/>
          <w:i/>
          <w:color w:val="000000" w:themeColor="text1"/>
          <w:sz w:val="18"/>
          <w:szCs w:val="18"/>
        </w:rPr>
        <w:t>: DSI 3. Regional Directorate, 2024</w:t>
      </w:r>
    </w:p>
    <w:p w14:paraId="5B595F98" w14:textId="1B26C336" w:rsidR="00E47114" w:rsidRPr="00175D8B" w:rsidRDefault="00E47114" w:rsidP="00094556">
      <w:pPr>
        <w:pStyle w:val="Balk3"/>
        <w:numPr>
          <w:ilvl w:val="3"/>
          <w:numId w:val="2"/>
        </w:numPr>
      </w:pPr>
      <w:bookmarkStart w:id="95" w:name="_Toc209708081"/>
      <w:bookmarkStart w:id="96" w:name="_Toc212541857"/>
      <w:bookmarkStart w:id="97" w:name="_Toc212542368"/>
      <w:bookmarkStart w:id="98" w:name="_Toc220672779"/>
      <w:r w:rsidRPr="00175D8B">
        <w:t>Ground water</w:t>
      </w:r>
      <w:bookmarkEnd w:id="95"/>
      <w:bookmarkEnd w:id="96"/>
      <w:bookmarkEnd w:id="97"/>
      <w:bookmarkEnd w:id="98"/>
    </w:p>
    <w:p w14:paraId="23C02BF9" w14:textId="77777777" w:rsidR="00362DE3" w:rsidRPr="00175D8B" w:rsidRDefault="00362DE3" w:rsidP="00362DE3">
      <w:pPr>
        <w:spacing w:before="120" w:after="0"/>
        <w:rPr>
          <w:rFonts w:eastAsia="Aptos" w:cs="Aptos"/>
          <w:color w:val="000000" w:themeColor="text1"/>
          <w:szCs w:val="22"/>
        </w:rPr>
      </w:pPr>
      <w:r w:rsidRPr="00175D8B">
        <w:rPr>
          <w:rFonts w:eastAsia="Aptos" w:cs="Aptos"/>
          <w:color w:val="000000" w:themeColor="text1"/>
          <w:szCs w:val="22"/>
        </w:rPr>
        <w:t>Most of the groundwater in Sakarya province is used for industrial purposes, as well as for drinking and utility water supply.</w:t>
      </w:r>
    </w:p>
    <w:p w14:paraId="42F8830E" w14:textId="77777777" w:rsidR="006C78CE" w:rsidRPr="00175D8B" w:rsidRDefault="006C78CE" w:rsidP="006C78CE">
      <w:pPr>
        <w:spacing w:before="120" w:after="0"/>
        <w:rPr>
          <w:rFonts w:eastAsia="Aptos" w:cs="Aptos"/>
          <w:color w:val="000000" w:themeColor="text1"/>
          <w:szCs w:val="22"/>
        </w:rPr>
      </w:pPr>
      <w:r w:rsidRPr="00175D8B">
        <w:rPr>
          <w:rFonts w:eastAsia="Aptos" w:cs="Aptos"/>
          <w:color w:val="000000" w:themeColor="text1"/>
          <w:szCs w:val="22"/>
        </w:rPr>
        <w:t>The most important aquifers that store and transmit groundwater in Sakarya province are the alluviums located on the Sakarya Plain and the Karasu coastline.</w:t>
      </w:r>
    </w:p>
    <w:p w14:paraId="52C897A3" w14:textId="77777777" w:rsidR="006C78CE" w:rsidRPr="00175D8B" w:rsidRDefault="006C78CE" w:rsidP="006C78CE">
      <w:pPr>
        <w:spacing w:before="120" w:after="0"/>
        <w:rPr>
          <w:rFonts w:eastAsia="Aptos" w:cs="Aptos"/>
          <w:color w:val="000000" w:themeColor="text1"/>
          <w:szCs w:val="22"/>
        </w:rPr>
      </w:pPr>
      <w:r w:rsidRPr="00175D8B">
        <w:rPr>
          <w:rFonts w:eastAsia="Aptos" w:cs="Aptos"/>
          <w:color w:val="000000" w:themeColor="text1"/>
          <w:szCs w:val="22"/>
        </w:rPr>
        <w:lastRenderedPageBreak/>
        <w:t>The Sakarya Plain, which includes the city center of Sakarya, is a tectonic plain formed as a result of the filling of a depression area developed due to faulting with alluvium carried by the Sakarya River and its tributaries.</w:t>
      </w:r>
    </w:p>
    <w:p w14:paraId="746E231A" w14:textId="09EC402D" w:rsidR="006C78CE" w:rsidRPr="00175D8B" w:rsidRDefault="006C78CE" w:rsidP="006C78CE">
      <w:pPr>
        <w:spacing w:before="120" w:after="0"/>
        <w:rPr>
          <w:rFonts w:eastAsia="Aptos" w:cs="Aptos"/>
          <w:color w:val="000000" w:themeColor="text1"/>
          <w:szCs w:val="22"/>
        </w:rPr>
      </w:pPr>
      <w:r w:rsidRPr="00175D8B">
        <w:rPr>
          <w:rFonts w:eastAsia="Aptos" w:cs="Aptos"/>
          <w:color w:val="000000" w:themeColor="text1"/>
          <w:szCs w:val="22"/>
        </w:rPr>
        <w:t xml:space="preserve">The difference in the topographic and geological features of the Sakarya River and the drainage area of its tributaries causes the physical properties of the alluvium carried in these areas to change; </w:t>
      </w:r>
      <w:r w:rsidR="00E34EDC" w:rsidRPr="00175D8B">
        <w:rPr>
          <w:rStyle w:val="DipnotBavurusu"/>
          <w:rFonts w:eastAsia="Aptos" w:cs="Aptos"/>
          <w:color w:val="000000" w:themeColor="text1"/>
          <w:szCs w:val="22"/>
        </w:rPr>
        <w:footnoteReference w:id="8"/>
      </w:r>
      <w:r w:rsidR="00287D53" w:rsidRPr="00175D8B">
        <w:rPr>
          <w:rFonts w:eastAsia="Aptos" w:cs="Aptos"/>
          <w:color w:val="000000" w:themeColor="text1"/>
          <w:szCs w:val="22"/>
        </w:rPr>
        <w:t xml:space="preserve"> </w:t>
      </w:r>
      <w:r w:rsidRPr="00175D8B">
        <w:rPr>
          <w:rFonts w:eastAsia="Aptos" w:cs="Aptos"/>
          <w:color w:val="000000" w:themeColor="text1"/>
          <w:szCs w:val="22"/>
        </w:rPr>
        <w:t>therefore, it leads to variations in hydraulic parameters concerning groundwater. This results in different groundwater yields being encountered in wells drilled in plain alluvium.</w:t>
      </w:r>
    </w:p>
    <w:p w14:paraId="1E63AD33" w14:textId="52047719" w:rsidR="00362DE3" w:rsidRPr="00175D8B" w:rsidRDefault="006C78CE" w:rsidP="00931117">
      <w:pPr>
        <w:spacing w:before="120" w:after="0"/>
        <w:rPr>
          <w:rFonts w:eastAsia="Aptos" w:cs="Aptos"/>
          <w:i/>
          <w:iCs/>
          <w:color w:val="000000" w:themeColor="text1"/>
          <w:sz w:val="20"/>
          <w:szCs w:val="20"/>
        </w:rPr>
      </w:pPr>
      <w:r w:rsidRPr="00175D8B">
        <w:rPr>
          <w:rFonts w:eastAsia="Aptos" w:cs="Aptos"/>
          <w:color w:val="000000" w:themeColor="text1"/>
          <w:szCs w:val="22"/>
        </w:rPr>
        <w:t>In addition to alluvium, Eocene sandstones and conglomerates, particularly in the west of Adapazarı, can also be defined as weak-to-medium aquifers. The thickness of these formations throughout the plain exceeds 300 meters.</w:t>
      </w:r>
    </w:p>
    <w:p w14:paraId="51AEC27A" w14:textId="64BB4EDB" w:rsidR="00C00D47" w:rsidRPr="00175D8B" w:rsidRDefault="00C00D47" w:rsidP="006C58C5">
      <w:pPr>
        <w:pStyle w:val="ResimYazs"/>
        <w:keepNext/>
        <w:jc w:val="center"/>
      </w:pPr>
      <w:bookmarkStart w:id="100" w:name="_Toc216344421"/>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4</w:t>
      </w:r>
      <w:r w:rsidRPr="006C58C5">
        <w:rPr>
          <w:b/>
          <w:bCs/>
        </w:rPr>
        <w:fldChar w:fldCharType="end"/>
      </w:r>
      <w:r w:rsidR="006D791E" w:rsidRPr="00175D8B">
        <w:rPr>
          <w:b/>
          <w:bCs/>
        </w:rPr>
        <w:t>:</w:t>
      </w:r>
      <w:r w:rsidRPr="00175D8B">
        <w:t xml:space="preserve"> </w:t>
      </w:r>
      <w:r w:rsidRPr="00175D8B">
        <w:rPr>
          <w:rFonts w:eastAsia="Aptos" w:cs="Aptos"/>
          <w:color w:val="000000"/>
          <w:kern w:val="0"/>
          <w:szCs w:val="20"/>
          <w:lang w:eastAsia="tr-TR"/>
          <w14:ligatures w14:val="none"/>
        </w:rPr>
        <w:t>Sakarya Province Groundwater Potential</w:t>
      </w:r>
      <w:bookmarkEnd w:id="10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1725"/>
        <w:gridCol w:w="1417"/>
        <w:gridCol w:w="1701"/>
        <w:gridCol w:w="2698"/>
      </w:tblGrid>
      <w:tr w:rsidR="00362DE3" w:rsidRPr="00175D8B" w14:paraId="083E0E33" w14:textId="77777777" w:rsidTr="00DF417A">
        <w:trPr>
          <w:cantSplit/>
          <w:tblHeader/>
          <w:jc w:val="center"/>
        </w:trPr>
        <w:tc>
          <w:tcPr>
            <w:tcW w:w="1531" w:type="dxa"/>
            <w:shd w:val="clear" w:color="auto" w:fill="ABB7C1"/>
            <w:vAlign w:val="center"/>
          </w:tcPr>
          <w:p w14:paraId="70F84AC7" w14:textId="77777777" w:rsidR="00362DE3" w:rsidRPr="00175D8B" w:rsidRDefault="00362DE3" w:rsidP="00362DE3">
            <w:pPr>
              <w:spacing w:before="120" w:after="0" w:line="278" w:lineRule="auto"/>
              <w:jc w:val="center"/>
              <w:rPr>
                <w:rFonts w:eastAsia="Aptos" w:cs="Aptos"/>
                <w:b/>
                <w:color w:val="000000" w:themeColor="text1"/>
                <w:kern w:val="0"/>
                <w:sz w:val="20"/>
                <w:szCs w:val="20"/>
                <w:lang w:eastAsia="tr-TR"/>
                <w14:ligatures w14:val="none"/>
              </w:rPr>
            </w:pPr>
          </w:p>
        </w:tc>
        <w:tc>
          <w:tcPr>
            <w:tcW w:w="7541" w:type="dxa"/>
            <w:gridSpan w:val="4"/>
            <w:shd w:val="clear" w:color="auto" w:fill="ABB7C1"/>
            <w:vAlign w:val="center"/>
          </w:tcPr>
          <w:p w14:paraId="0059988D" w14:textId="77777777" w:rsidR="00362DE3" w:rsidRPr="00175D8B" w:rsidRDefault="00362DE3" w:rsidP="00362DE3">
            <w:pPr>
              <w:spacing w:before="240" w:after="0" w:line="278" w:lineRule="auto"/>
              <w:jc w:val="center"/>
              <w:rPr>
                <w:rFonts w:eastAsia="Aptos" w:cs="Aptos"/>
                <w:b/>
                <w:color w:val="000000" w:themeColor="text1"/>
                <w:kern w:val="0"/>
                <w:sz w:val="20"/>
                <w:szCs w:val="20"/>
                <w:lang w:eastAsia="tr-TR"/>
                <w14:ligatures w14:val="none"/>
              </w:rPr>
            </w:pPr>
            <w:r w:rsidRPr="00175D8B">
              <w:rPr>
                <w:rFonts w:eastAsia="Aptos" w:cs="Aptos"/>
                <w:b/>
                <w:color w:val="000000" w:themeColor="text1"/>
                <w:kern w:val="0"/>
                <w:sz w:val="20"/>
                <w:szCs w:val="20"/>
                <w:lang w:eastAsia="tr-TR"/>
                <w14:ligatures w14:val="none"/>
              </w:rPr>
              <w:t>Intended use and quantity used, hm₃ / year</w:t>
            </w:r>
          </w:p>
        </w:tc>
      </w:tr>
      <w:tr w:rsidR="00362DE3" w:rsidRPr="00175D8B" w14:paraId="656286AA" w14:textId="77777777" w:rsidTr="00DF417A">
        <w:trPr>
          <w:cantSplit/>
          <w:tblHeader/>
          <w:jc w:val="center"/>
        </w:trPr>
        <w:tc>
          <w:tcPr>
            <w:tcW w:w="1531" w:type="dxa"/>
            <w:shd w:val="clear" w:color="auto" w:fill="ABB7C1"/>
            <w:vAlign w:val="center"/>
          </w:tcPr>
          <w:p w14:paraId="4FB37E1D" w14:textId="77777777" w:rsidR="00362DE3" w:rsidRPr="00175D8B" w:rsidRDefault="00362DE3" w:rsidP="00362DE3">
            <w:pPr>
              <w:spacing w:before="120" w:after="0" w:line="278" w:lineRule="auto"/>
              <w:jc w:val="center"/>
              <w:rPr>
                <w:rFonts w:eastAsia="Aptos" w:cs="Aptos"/>
                <w:b/>
                <w:color w:val="000000" w:themeColor="text1"/>
                <w:kern w:val="0"/>
                <w:sz w:val="20"/>
                <w:szCs w:val="20"/>
                <w:lang w:eastAsia="tr-TR"/>
                <w14:ligatures w14:val="none"/>
              </w:rPr>
            </w:pPr>
            <w:r w:rsidRPr="00175D8B">
              <w:rPr>
                <w:rFonts w:eastAsia="Aptos" w:cs="Aptos"/>
                <w:b/>
                <w:color w:val="000000" w:themeColor="text1"/>
                <w:kern w:val="0"/>
                <w:sz w:val="20"/>
                <w:szCs w:val="20"/>
                <w:lang w:eastAsia="tr-TR"/>
                <w14:ligatures w14:val="none"/>
              </w:rPr>
              <w:t>Type of Water Source</w:t>
            </w:r>
          </w:p>
        </w:tc>
        <w:tc>
          <w:tcPr>
            <w:tcW w:w="1725" w:type="dxa"/>
            <w:shd w:val="clear" w:color="auto" w:fill="ABB7C1"/>
            <w:vAlign w:val="center"/>
          </w:tcPr>
          <w:p w14:paraId="33FA009C" w14:textId="77777777" w:rsidR="00362DE3" w:rsidRPr="00175D8B" w:rsidRDefault="00362DE3" w:rsidP="00362DE3">
            <w:pPr>
              <w:spacing w:before="120" w:after="0" w:line="278" w:lineRule="auto"/>
              <w:jc w:val="center"/>
              <w:rPr>
                <w:rFonts w:eastAsia="Aptos" w:cs="Aptos"/>
                <w:b/>
                <w:color w:val="000000" w:themeColor="text1"/>
                <w:kern w:val="0"/>
                <w:sz w:val="20"/>
                <w:szCs w:val="20"/>
                <w:lang w:eastAsia="tr-TR"/>
                <w14:ligatures w14:val="none"/>
              </w:rPr>
            </w:pPr>
            <w:r w:rsidRPr="00175D8B">
              <w:rPr>
                <w:rFonts w:eastAsia="Aptos" w:cs="Aptos"/>
                <w:b/>
                <w:color w:val="000000" w:themeColor="text1"/>
                <w:kern w:val="0"/>
                <w:sz w:val="20"/>
                <w:szCs w:val="20"/>
                <w:lang w:eastAsia="tr-TR"/>
                <w14:ligatures w14:val="none"/>
              </w:rPr>
              <w:t>Drinking and utility water</w:t>
            </w:r>
          </w:p>
        </w:tc>
        <w:tc>
          <w:tcPr>
            <w:tcW w:w="1417" w:type="dxa"/>
            <w:shd w:val="clear" w:color="auto" w:fill="ABB7C1"/>
            <w:vAlign w:val="center"/>
          </w:tcPr>
          <w:p w14:paraId="18F62250" w14:textId="77777777" w:rsidR="00362DE3" w:rsidRPr="00175D8B" w:rsidRDefault="00362DE3" w:rsidP="00362DE3">
            <w:pPr>
              <w:spacing w:before="120" w:after="0" w:line="278" w:lineRule="auto"/>
              <w:jc w:val="center"/>
              <w:rPr>
                <w:rFonts w:eastAsia="Aptos" w:cs="Aptos"/>
                <w:b/>
                <w:color w:val="000000" w:themeColor="text1"/>
                <w:kern w:val="0"/>
                <w:sz w:val="20"/>
                <w:szCs w:val="20"/>
                <w:lang w:eastAsia="tr-TR"/>
                <w14:ligatures w14:val="none"/>
              </w:rPr>
            </w:pPr>
            <w:r w:rsidRPr="00175D8B">
              <w:rPr>
                <w:rFonts w:eastAsia="Aptos" w:cs="Aptos"/>
                <w:b/>
                <w:color w:val="000000" w:themeColor="text1"/>
                <w:kern w:val="0"/>
                <w:sz w:val="20"/>
                <w:szCs w:val="20"/>
                <w:lang w:eastAsia="tr-TR"/>
                <w14:ligatures w14:val="none"/>
              </w:rPr>
              <w:t>Energy</w:t>
            </w:r>
          </w:p>
        </w:tc>
        <w:tc>
          <w:tcPr>
            <w:tcW w:w="1701" w:type="dxa"/>
            <w:shd w:val="clear" w:color="auto" w:fill="ABB7C1"/>
            <w:vAlign w:val="center"/>
          </w:tcPr>
          <w:p w14:paraId="358F0F09" w14:textId="77777777" w:rsidR="00362DE3" w:rsidRPr="00175D8B" w:rsidRDefault="00362DE3" w:rsidP="00362DE3">
            <w:pPr>
              <w:spacing w:before="120" w:after="0" w:line="278" w:lineRule="auto"/>
              <w:jc w:val="center"/>
              <w:rPr>
                <w:rFonts w:eastAsia="Aptos" w:cs="Aptos"/>
                <w:b/>
                <w:color w:val="000000" w:themeColor="text1"/>
                <w:kern w:val="0"/>
                <w:sz w:val="20"/>
                <w:szCs w:val="20"/>
                <w:lang w:eastAsia="tr-TR"/>
                <w14:ligatures w14:val="none"/>
              </w:rPr>
            </w:pPr>
            <w:r w:rsidRPr="00175D8B">
              <w:rPr>
                <w:rFonts w:eastAsia="Aptos" w:cs="Aptos"/>
                <w:b/>
                <w:color w:val="000000" w:themeColor="text1"/>
                <w:kern w:val="0"/>
                <w:sz w:val="20"/>
                <w:szCs w:val="20"/>
                <w:lang w:eastAsia="tr-TR"/>
                <w14:ligatures w14:val="none"/>
              </w:rPr>
              <w:t>Irrigation water</w:t>
            </w:r>
          </w:p>
        </w:tc>
        <w:tc>
          <w:tcPr>
            <w:tcW w:w="2698" w:type="dxa"/>
            <w:shd w:val="clear" w:color="auto" w:fill="ABB7C1"/>
            <w:vAlign w:val="center"/>
          </w:tcPr>
          <w:p w14:paraId="4C409A0B" w14:textId="77777777" w:rsidR="00362DE3" w:rsidRPr="00175D8B" w:rsidRDefault="00362DE3" w:rsidP="00362DE3">
            <w:pPr>
              <w:spacing w:before="120" w:after="0" w:line="278" w:lineRule="auto"/>
              <w:jc w:val="center"/>
              <w:rPr>
                <w:rFonts w:eastAsia="Aptos" w:cs="Aptos"/>
                <w:b/>
                <w:color w:val="000000" w:themeColor="text1"/>
                <w:kern w:val="0"/>
                <w:sz w:val="20"/>
                <w:szCs w:val="20"/>
                <w:lang w:eastAsia="tr-TR"/>
                <w14:ligatures w14:val="none"/>
              </w:rPr>
            </w:pPr>
            <w:r w:rsidRPr="00175D8B">
              <w:rPr>
                <w:rFonts w:eastAsia="Aptos" w:cs="Aptos"/>
                <w:b/>
                <w:color w:val="000000" w:themeColor="text1"/>
                <w:kern w:val="0"/>
                <w:sz w:val="20"/>
                <w:szCs w:val="20"/>
                <w:lang w:eastAsia="tr-TR"/>
                <w14:ligatures w14:val="none"/>
              </w:rPr>
              <w:t>Industrial water supply</w:t>
            </w:r>
          </w:p>
        </w:tc>
      </w:tr>
      <w:tr w:rsidR="00362DE3" w:rsidRPr="00175D8B" w14:paraId="403184DD" w14:textId="77777777" w:rsidTr="00DF417A">
        <w:trPr>
          <w:cantSplit/>
          <w:trHeight w:val="476"/>
          <w:tblHeader/>
          <w:jc w:val="center"/>
        </w:trPr>
        <w:tc>
          <w:tcPr>
            <w:tcW w:w="1531" w:type="dxa"/>
            <w:shd w:val="clear" w:color="auto" w:fill="F2F2F2"/>
            <w:vAlign w:val="center"/>
          </w:tcPr>
          <w:p w14:paraId="0FD50C77" w14:textId="77777777" w:rsidR="00362DE3" w:rsidRPr="00175D8B" w:rsidRDefault="00362DE3" w:rsidP="00362DE3">
            <w:pPr>
              <w:tabs>
                <w:tab w:val="right" w:pos="2297"/>
              </w:tabs>
              <w:spacing w:before="120" w:after="0" w:line="278" w:lineRule="auto"/>
              <w:jc w:val="center"/>
              <w:rPr>
                <w:rFonts w:eastAsia="Aptos" w:cs="Aptos"/>
                <w:color w:val="000000" w:themeColor="text1"/>
                <w:kern w:val="0"/>
                <w:sz w:val="20"/>
                <w:szCs w:val="20"/>
                <w:lang w:eastAsia="tr-TR"/>
                <w14:ligatures w14:val="none"/>
              </w:rPr>
            </w:pPr>
            <w:r w:rsidRPr="00175D8B">
              <w:rPr>
                <w:rFonts w:eastAsia="Aptos" w:cs="Aptos"/>
                <w:color w:val="000000" w:themeColor="text1"/>
                <w:kern w:val="0"/>
                <w:sz w:val="20"/>
                <w:szCs w:val="20"/>
                <w:lang w:eastAsia="tr-TR"/>
                <w14:ligatures w14:val="none"/>
              </w:rPr>
              <w:t>Groundwater</w:t>
            </w:r>
          </w:p>
        </w:tc>
        <w:tc>
          <w:tcPr>
            <w:tcW w:w="1725" w:type="dxa"/>
            <w:shd w:val="clear" w:color="auto" w:fill="F2F2F2"/>
            <w:vAlign w:val="center"/>
          </w:tcPr>
          <w:p w14:paraId="7B4BE980" w14:textId="65E41D0A" w:rsidR="00362DE3" w:rsidRPr="00175D8B" w:rsidRDefault="00362DE3" w:rsidP="00362DE3">
            <w:pPr>
              <w:spacing w:before="120" w:after="0" w:line="278" w:lineRule="auto"/>
              <w:jc w:val="center"/>
              <w:rPr>
                <w:rFonts w:eastAsia="Aptos" w:cs="Aptos"/>
                <w:color w:val="000000" w:themeColor="text1"/>
                <w:kern w:val="0"/>
                <w:sz w:val="20"/>
                <w:szCs w:val="20"/>
                <w:lang w:eastAsia="tr-TR"/>
                <w14:ligatures w14:val="none"/>
              </w:rPr>
            </w:pPr>
            <w:r w:rsidRPr="00175D8B">
              <w:rPr>
                <w:rFonts w:eastAsia="Aptos" w:cs="Aptos"/>
                <w:color w:val="000000" w:themeColor="text1"/>
                <w:kern w:val="0"/>
                <w:sz w:val="20"/>
                <w:szCs w:val="20"/>
                <w:lang w:eastAsia="tr-TR"/>
                <w14:ligatures w14:val="none"/>
              </w:rPr>
              <w:t>56</w:t>
            </w:r>
            <w:r w:rsidR="00065E3C" w:rsidRPr="00175D8B">
              <w:rPr>
                <w:rFonts w:eastAsia="Aptos" w:cs="Aptos"/>
                <w:color w:val="000000" w:themeColor="text1"/>
                <w:kern w:val="0"/>
                <w:sz w:val="20"/>
                <w:szCs w:val="20"/>
                <w:lang w:eastAsia="tr-TR"/>
                <w14:ligatures w14:val="none"/>
              </w:rPr>
              <w:t>.</w:t>
            </w:r>
            <w:r w:rsidRPr="00175D8B">
              <w:rPr>
                <w:rFonts w:eastAsia="Aptos" w:cs="Aptos"/>
                <w:color w:val="000000" w:themeColor="text1"/>
                <w:kern w:val="0"/>
                <w:sz w:val="20"/>
                <w:szCs w:val="20"/>
                <w:lang w:eastAsia="tr-TR"/>
                <w14:ligatures w14:val="none"/>
              </w:rPr>
              <w:t>22</w:t>
            </w:r>
          </w:p>
        </w:tc>
        <w:tc>
          <w:tcPr>
            <w:tcW w:w="1417" w:type="dxa"/>
            <w:shd w:val="clear" w:color="auto" w:fill="F2F2F2"/>
            <w:vAlign w:val="center"/>
          </w:tcPr>
          <w:p w14:paraId="2A49BD27" w14:textId="77777777" w:rsidR="00362DE3" w:rsidRPr="00175D8B" w:rsidRDefault="00362DE3" w:rsidP="00362DE3">
            <w:pPr>
              <w:spacing w:before="120" w:after="0" w:line="278" w:lineRule="auto"/>
              <w:jc w:val="center"/>
              <w:rPr>
                <w:rFonts w:eastAsia="Aptos" w:cs="Aptos"/>
                <w:color w:val="000000" w:themeColor="text1"/>
                <w:kern w:val="0"/>
                <w:sz w:val="20"/>
                <w:szCs w:val="20"/>
                <w:lang w:eastAsia="tr-TR"/>
                <w14:ligatures w14:val="none"/>
              </w:rPr>
            </w:pPr>
            <w:r w:rsidRPr="00175D8B">
              <w:rPr>
                <w:rFonts w:eastAsia="Aptos" w:cs="Aptos"/>
                <w:color w:val="000000" w:themeColor="text1"/>
                <w:kern w:val="0"/>
                <w:sz w:val="20"/>
                <w:szCs w:val="20"/>
                <w:lang w:eastAsia="tr-TR"/>
                <w14:ligatures w14:val="none"/>
              </w:rPr>
              <w:t>-</w:t>
            </w:r>
          </w:p>
        </w:tc>
        <w:tc>
          <w:tcPr>
            <w:tcW w:w="1701" w:type="dxa"/>
            <w:shd w:val="clear" w:color="auto" w:fill="F2F2F2"/>
            <w:vAlign w:val="center"/>
          </w:tcPr>
          <w:p w14:paraId="69EA3923" w14:textId="7B3B053C" w:rsidR="00362DE3" w:rsidRPr="00175D8B" w:rsidRDefault="00362DE3" w:rsidP="00362DE3">
            <w:pPr>
              <w:spacing w:before="120" w:after="0" w:line="278" w:lineRule="auto"/>
              <w:jc w:val="center"/>
              <w:rPr>
                <w:rFonts w:eastAsia="Aptos" w:cs="Aptos"/>
                <w:color w:val="000000" w:themeColor="text1"/>
                <w:kern w:val="0"/>
                <w:sz w:val="20"/>
                <w:szCs w:val="20"/>
                <w:lang w:eastAsia="tr-TR"/>
                <w14:ligatures w14:val="none"/>
              </w:rPr>
            </w:pPr>
            <w:r w:rsidRPr="00175D8B">
              <w:rPr>
                <w:rFonts w:eastAsia="Aptos" w:cs="Aptos"/>
                <w:color w:val="000000" w:themeColor="text1"/>
                <w:kern w:val="0"/>
                <w:sz w:val="20"/>
                <w:szCs w:val="20"/>
                <w:lang w:eastAsia="tr-TR"/>
                <w14:ligatures w14:val="none"/>
              </w:rPr>
              <w:t>3</w:t>
            </w:r>
            <w:r w:rsidR="00065E3C" w:rsidRPr="00175D8B">
              <w:rPr>
                <w:rFonts w:eastAsia="Aptos" w:cs="Aptos"/>
                <w:color w:val="000000" w:themeColor="text1"/>
                <w:kern w:val="0"/>
                <w:sz w:val="20"/>
                <w:szCs w:val="20"/>
                <w:lang w:eastAsia="tr-TR"/>
                <w14:ligatures w14:val="none"/>
              </w:rPr>
              <w:t>.</w:t>
            </w:r>
            <w:r w:rsidRPr="00175D8B">
              <w:rPr>
                <w:rFonts w:eastAsia="Aptos" w:cs="Aptos"/>
                <w:color w:val="000000" w:themeColor="text1"/>
                <w:kern w:val="0"/>
                <w:sz w:val="20"/>
                <w:szCs w:val="20"/>
                <w:lang w:eastAsia="tr-TR"/>
                <w14:ligatures w14:val="none"/>
              </w:rPr>
              <w:t>58</w:t>
            </w:r>
          </w:p>
        </w:tc>
        <w:tc>
          <w:tcPr>
            <w:tcW w:w="2698" w:type="dxa"/>
            <w:shd w:val="clear" w:color="auto" w:fill="F2F2F2"/>
            <w:vAlign w:val="center"/>
          </w:tcPr>
          <w:p w14:paraId="599EE7DA" w14:textId="2244D1A0" w:rsidR="00362DE3" w:rsidRPr="00175D8B" w:rsidRDefault="00362DE3" w:rsidP="00362DE3">
            <w:pPr>
              <w:spacing w:before="120" w:after="0" w:line="278" w:lineRule="auto"/>
              <w:jc w:val="center"/>
              <w:rPr>
                <w:rFonts w:eastAsia="Aptos" w:cs="Aptos"/>
                <w:color w:val="000000" w:themeColor="text1"/>
                <w:kern w:val="0"/>
                <w:sz w:val="20"/>
                <w:szCs w:val="20"/>
                <w:lang w:eastAsia="tr-TR"/>
                <w14:ligatures w14:val="none"/>
              </w:rPr>
            </w:pPr>
            <w:r w:rsidRPr="00175D8B">
              <w:rPr>
                <w:rFonts w:eastAsia="Aptos" w:cs="Aptos"/>
                <w:color w:val="000000" w:themeColor="text1"/>
                <w:kern w:val="0"/>
                <w:sz w:val="20"/>
                <w:szCs w:val="20"/>
                <w:lang w:eastAsia="tr-TR"/>
                <w14:ligatures w14:val="none"/>
              </w:rPr>
              <w:t>46</w:t>
            </w:r>
            <w:r w:rsidR="00065E3C" w:rsidRPr="00175D8B">
              <w:rPr>
                <w:rFonts w:eastAsia="Aptos" w:cs="Aptos"/>
                <w:color w:val="000000" w:themeColor="text1"/>
                <w:kern w:val="0"/>
                <w:sz w:val="20"/>
                <w:szCs w:val="20"/>
                <w:lang w:eastAsia="tr-TR"/>
                <w14:ligatures w14:val="none"/>
              </w:rPr>
              <w:t>.</w:t>
            </w:r>
            <w:r w:rsidRPr="00175D8B">
              <w:rPr>
                <w:rFonts w:eastAsia="Aptos" w:cs="Aptos"/>
                <w:color w:val="000000" w:themeColor="text1"/>
                <w:kern w:val="0"/>
                <w:sz w:val="20"/>
                <w:szCs w:val="20"/>
                <w:lang w:eastAsia="tr-TR"/>
                <w14:ligatures w14:val="none"/>
              </w:rPr>
              <w:t>61</w:t>
            </w:r>
          </w:p>
        </w:tc>
      </w:tr>
    </w:tbl>
    <w:p w14:paraId="46C2F6FD" w14:textId="77777777" w:rsidR="00362DE3" w:rsidRPr="00175D8B" w:rsidRDefault="00362DE3" w:rsidP="00362DE3">
      <w:pPr>
        <w:spacing w:before="120" w:after="0" w:line="278" w:lineRule="auto"/>
        <w:jc w:val="center"/>
        <w:rPr>
          <w:rFonts w:eastAsia="Aptos" w:cs="Aptos"/>
          <w:i/>
          <w:color w:val="000000" w:themeColor="text1"/>
          <w:kern w:val="0"/>
          <w:sz w:val="18"/>
          <w:szCs w:val="18"/>
          <w:lang w:eastAsia="tr-TR"/>
          <w14:ligatures w14:val="none"/>
        </w:rPr>
      </w:pPr>
      <w:r w:rsidRPr="00175D8B">
        <w:rPr>
          <w:rFonts w:eastAsia="Aptos" w:cs="Aptos"/>
          <w:b/>
          <w:i/>
          <w:color w:val="000000" w:themeColor="text1"/>
          <w:kern w:val="0"/>
          <w:sz w:val="18"/>
          <w:szCs w:val="18"/>
          <w:lang w:eastAsia="tr-TR"/>
          <w14:ligatures w14:val="none"/>
        </w:rPr>
        <w:t xml:space="preserve">Source: </w:t>
      </w:r>
      <w:r w:rsidRPr="00175D8B">
        <w:rPr>
          <w:rFonts w:eastAsia="Aptos" w:cs="Aptos"/>
          <w:i/>
          <w:color w:val="000000" w:themeColor="text1"/>
          <w:kern w:val="0"/>
          <w:sz w:val="18"/>
          <w:szCs w:val="18"/>
          <w:lang w:eastAsia="tr-TR"/>
          <w14:ligatures w14:val="none"/>
        </w:rPr>
        <w:t>DSI 3. Regional Directorate, 2024</w:t>
      </w:r>
    </w:p>
    <w:p w14:paraId="24E3F411" w14:textId="4ED5E834" w:rsidR="00362DE3" w:rsidRPr="00175D8B" w:rsidRDefault="00362DE3" w:rsidP="00362DE3">
      <w:pPr>
        <w:spacing w:before="120" w:after="0"/>
        <w:rPr>
          <w:rFonts w:eastAsia="Aptos" w:cs="Aptos"/>
          <w:color w:val="000000" w:themeColor="text1"/>
          <w:kern w:val="0"/>
          <w:szCs w:val="22"/>
          <w:lang w:eastAsia="tr-TR"/>
          <w14:ligatures w14:val="none"/>
        </w:rPr>
      </w:pPr>
      <w:r w:rsidRPr="00175D8B">
        <w:rPr>
          <w:rFonts w:eastAsia="Aptos" w:cs="Aptos"/>
          <w:color w:val="000000" w:themeColor="text1"/>
          <w:kern w:val="0"/>
          <w:szCs w:val="22"/>
          <w:lang w:eastAsia="tr-TR"/>
          <w14:ligatures w14:val="none"/>
        </w:rPr>
        <w:t xml:space="preserve">In Sakarya, the </w:t>
      </w:r>
      <w:r w:rsidR="00D652C6">
        <w:rPr>
          <w:rFonts w:eastAsia="Aptos" w:cs="Aptos"/>
          <w:color w:val="000000" w:themeColor="text1"/>
          <w:kern w:val="0"/>
          <w:szCs w:val="22"/>
          <w:lang w:eastAsia="tr-TR"/>
          <w14:ligatures w14:val="none"/>
        </w:rPr>
        <w:t>center of the province</w:t>
      </w:r>
      <w:r w:rsidRPr="00175D8B">
        <w:rPr>
          <w:rFonts w:eastAsia="Aptos" w:cs="Aptos"/>
          <w:color w:val="000000" w:themeColor="text1"/>
          <w:kern w:val="0"/>
          <w:szCs w:val="22"/>
          <w:lang w:eastAsia="tr-TR"/>
          <w14:ligatures w14:val="none"/>
        </w:rPr>
        <w:t xml:space="preserve"> is completely on river sediments. Adapazarı Plain, located in the depression area; Sakarya, Çark water consists of thick alluvium brought and deposited by rivers such as Mudurnu and Uludere. The groundwater level in this alluvium is quite high; In some regions, there are swampy situations.</w:t>
      </w:r>
    </w:p>
    <w:p w14:paraId="02AC5DE3" w14:textId="7F39FA10" w:rsidR="00362DE3" w:rsidRPr="00175D8B" w:rsidRDefault="00362DE3" w:rsidP="00362DE3">
      <w:pPr>
        <w:spacing w:before="120" w:after="0"/>
        <w:rPr>
          <w:rFonts w:eastAsia="Aptos" w:cs="Aptos"/>
          <w:color w:val="000000" w:themeColor="text1"/>
          <w:szCs w:val="22"/>
        </w:rPr>
      </w:pPr>
      <w:r w:rsidRPr="00175D8B">
        <w:rPr>
          <w:rFonts w:eastAsia="Aptos" w:cs="Aptos"/>
          <w:color w:val="000000" w:themeColor="text1"/>
          <w:kern w:val="0"/>
          <w:szCs w:val="22"/>
          <w:lang w:eastAsia="tr-TR"/>
          <w14:ligatures w14:val="none"/>
        </w:rPr>
        <w:t xml:space="preserve">The ground in Arifiye district is flat and full; The groundwater level is 2-2.5 meters deep in the plain. In Söğütlü district, the ground consists of deposits brought by the Sakarya river and groundwater provides continuity at a depth of 3-4 m. The groundwater level in Akyazı district is 3-5 m deep and the city is generally located on the alluvial parcel. In Pamukova and Taraklı districts, there is no significant groundwater </w:t>
      </w:r>
      <w:r w:rsidR="00173A4A">
        <w:rPr>
          <w:rFonts w:eastAsia="Aptos" w:cs="Aptos"/>
          <w:color w:val="000000" w:themeColor="text1"/>
          <w:kern w:val="0"/>
          <w:szCs w:val="22"/>
          <w:lang w:eastAsia="tr-TR"/>
          <w14:ligatures w14:val="none"/>
        </w:rPr>
        <w:t>resources</w:t>
      </w:r>
      <w:r w:rsidRPr="00175D8B">
        <w:rPr>
          <w:rFonts w:eastAsia="Aptos" w:cs="Aptos"/>
          <w:color w:val="000000" w:themeColor="text1"/>
          <w:kern w:val="0"/>
          <w:szCs w:val="22"/>
          <w:lang w:eastAsia="tr-TR"/>
          <w14:ligatures w14:val="none"/>
        </w:rPr>
        <w:t xml:space="preserve">. The groundwater level in the residential area of Hendek district is 2-3 m deep and 10-15 m deep in the north. In Karasu, Kocaali and Kaynarca districts, the groundwater level varies between 0-10 m depending on the topography. </w:t>
      </w:r>
      <w:r w:rsidRPr="00175D8B">
        <w:rPr>
          <w:rFonts w:eastAsia="Aptos" w:cs="Aptos"/>
          <w:color w:val="000000" w:themeColor="text1"/>
          <w:szCs w:val="22"/>
        </w:rPr>
        <w:t>In Sapanca district, the groundwater level is 2 meters in the areas close to the lake and deepens towards the southeast.</w:t>
      </w:r>
    </w:p>
    <w:p w14:paraId="299A6D3C" w14:textId="65966FFE" w:rsidR="00362DE3" w:rsidRPr="00175D8B" w:rsidRDefault="00362DE3" w:rsidP="00362DE3">
      <w:pPr>
        <w:spacing w:before="120" w:after="0"/>
        <w:contextualSpacing/>
        <w:rPr>
          <w:rFonts w:eastAsia="Aptos" w:cs="Aptos"/>
          <w:color w:val="000000" w:themeColor="text1"/>
          <w:szCs w:val="22"/>
        </w:rPr>
      </w:pPr>
      <w:r w:rsidRPr="005203E2">
        <w:rPr>
          <w:rFonts w:eastAsia="Aptos" w:cs="Aptos"/>
          <w:color w:val="000000" w:themeColor="text1"/>
          <w:szCs w:val="22"/>
        </w:rPr>
        <w:lastRenderedPageBreak/>
        <w:t xml:space="preserve">The formations that provide groundwater in Sakarya province consist of alluvium, pebbles, and siltstones. </w:t>
      </w:r>
      <w:r w:rsidR="005203E2">
        <w:rPr>
          <w:rFonts w:eastAsia="Aptos" w:cs="Aptos"/>
          <w:color w:val="000000" w:themeColor="text1"/>
          <w:szCs w:val="22"/>
        </w:rPr>
        <w:t>Efforts to remove illegal structures around</w:t>
      </w:r>
      <w:r w:rsidR="005203E2" w:rsidRPr="005203E2">
        <w:rPr>
          <w:rFonts w:eastAsia="Aptos" w:cs="Aptos"/>
          <w:color w:val="000000" w:themeColor="text1"/>
          <w:szCs w:val="22"/>
        </w:rPr>
        <w:t xml:space="preserve"> </w:t>
      </w:r>
      <w:r w:rsidR="005203E2">
        <w:rPr>
          <w:rFonts w:eastAsia="Aptos" w:cs="Aptos"/>
          <w:color w:val="000000" w:themeColor="text1"/>
          <w:szCs w:val="22"/>
        </w:rPr>
        <w:t>Lake Sapanca and to clean the lakebed are ongoing.</w:t>
      </w:r>
      <w:r w:rsidRPr="005203E2">
        <w:rPr>
          <w:rFonts w:eastAsia="Aptos" w:cs="Aptos"/>
          <w:color w:val="000000" w:themeColor="text1"/>
          <w:szCs w:val="22"/>
        </w:rPr>
        <w:t xml:space="preserve"> Although there are seasonal decreases in the groundwater level due to water withdrawals, particularly during the irrigation season, these decreases do not yet pose a risk to the groundwater potential.</w:t>
      </w:r>
    </w:p>
    <w:p w14:paraId="5B11B0B2" w14:textId="23306617" w:rsidR="006C78CE" w:rsidRPr="00175D8B" w:rsidRDefault="0096252D" w:rsidP="002550A6">
      <w:pPr>
        <w:pStyle w:val="Balk3"/>
        <w:ind w:firstLine="708"/>
        <w:rPr>
          <w:rFonts w:eastAsia="Aptos" w:cs="Aptos"/>
        </w:rPr>
      </w:pPr>
      <w:bookmarkStart w:id="101" w:name="_Toc212541858"/>
      <w:bookmarkStart w:id="102" w:name="_Toc212542369"/>
      <w:bookmarkStart w:id="103" w:name="_Toc220672780"/>
      <w:r w:rsidRPr="00175D8B">
        <w:t xml:space="preserve">2.1.2 </w:t>
      </w:r>
      <w:r w:rsidR="002D17B6" w:rsidRPr="00175D8B">
        <w:t>Current Status of Sakarya Province Wastewater</w:t>
      </w:r>
      <w:bookmarkEnd w:id="101"/>
      <w:bookmarkEnd w:id="102"/>
      <w:bookmarkEnd w:id="103"/>
    </w:p>
    <w:p w14:paraId="78FD069E" w14:textId="653A5870" w:rsidR="00E47114" w:rsidRPr="00175D8B" w:rsidRDefault="00362DE3" w:rsidP="00931117">
      <w:pPr>
        <w:spacing w:before="120" w:after="0"/>
        <w:contextualSpacing/>
        <w:rPr>
          <w:rFonts w:eastAsia="Aptos" w:cs="Aptos"/>
          <w:i/>
          <w:iCs/>
          <w:color w:val="000000" w:themeColor="text1"/>
          <w:sz w:val="20"/>
          <w:szCs w:val="20"/>
        </w:rPr>
      </w:pPr>
      <w:r w:rsidRPr="00175D8B">
        <w:rPr>
          <w:rFonts w:eastAsia="Aptos" w:cs="Aptos"/>
          <w:color w:val="000000" w:themeColor="text1"/>
          <w:szCs w:val="22"/>
        </w:rPr>
        <w:t>As of 2022, the total length of the sewer line in Sakarya province is 3,202,595 meters. The existing sewerage network serves 885,665 people. Wastewater treatment services are provided by 6 facilities located in Adapazarı, Akyazı, Hendek, Geyve, Karasu, and Kocaali districts. With these 6 wastewater treatment plants, 12 district municipalities, including Adapazarı, Serdivan, Erenler, Sapanca, Arifiye, Akyazı, Karapürçek, Hendek, Geyve, Pamukova, Karasu, and Kocaali municipalities, are served. The ratio of the population receiving wastewater treatment services to the total municipal population is 80% in 2023.</w:t>
      </w:r>
      <w:r w:rsidR="002D17B6" w:rsidRPr="00175D8B">
        <w:rPr>
          <w:rStyle w:val="DipnotBavurusu"/>
          <w:rFonts w:eastAsia="Aptos" w:cs="Aptos"/>
          <w:color w:val="000000" w:themeColor="text1"/>
          <w:szCs w:val="22"/>
        </w:rPr>
        <w:footnoteReference w:id="9"/>
      </w:r>
    </w:p>
    <w:p w14:paraId="73F63B96" w14:textId="096E2F7B" w:rsidR="00C00D47" w:rsidRPr="00175D8B" w:rsidRDefault="00C00D47" w:rsidP="006C58C5">
      <w:pPr>
        <w:pStyle w:val="ResimYazs"/>
        <w:keepNext/>
        <w:jc w:val="center"/>
      </w:pPr>
      <w:bookmarkStart w:id="104" w:name="_Ref216102718"/>
      <w:bookmarkStart w:id="105" w:name="_Toc216344422"/>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5</w:t>
      </w:r>
      <w:r w:rsidRPr="006C58C5">
        <w:rPr>
          <w:b/>
          <w:bCs/>
        </w:rPr>
        <w:fldChar w:fldCharType="end"/>
      </w:r>
      <w:bookmarkEnd w:id="104"/>
      <w:r w:rsidR="006D791E" w:rsidRPr="00175D8B">
        <w:rPr>
          <w:b/>
          <w:bCs/>
        </w:rPr>
        <w:t>:</w:t>
      </w:r>
      <w:r w:rsidRPr="00175D8B">
        <w:t xml:space="preserve"> </w:t>
      </w:r>
      <w:r w:rsidRPr="00175D8B">
        <w:rPr>
          <w:rFonts w:eastAsia="Aptos" w:cs="Aptos"/>
          <w:color w:val="000000"/>
          <w:szCs w:val="20"/>
        </w:rPr>
        <w:t>Status of Urban Wastewater Treatment Plants in Sakarya Province</w:t>
      </w:r>
      <w:bookmarkEnd w:id="105"/>
    </w:p>
    <w:tbl>
      <w:tblPr>
        <w:tblW w:w="9072" w:type="dxa"/>
        <w:jc w:val="center"/>
        <w:tblBorders>
          <w:top w:val="nil"/>
          <w:left w:val="nil"/>
          <w:bottom w:val="nil"/>
          <w:right w:val="nil"/>
          <w:insideH w:val="nil"/>
          <w:insideV w:val="nil"/>
        </w:tblBorders>
        <w:tblLayout w:type="fixed"/>
        <w:tblLook w:val="0600" w:firstRow="0" w:lastRow="0" w:firstColumn="0" w:lastColumn="0" w:noHBand="1" w:noVBand="1"/>
      </w:tblPr>
      <w:tblGrid>
        <w:gridCol w:w="970"/>
        <w:gridCol w:w="895"/>
        <w:gridCol w:w="681"/>
        <w:gridCol w:w="850"/>
        <w:gridCol w:w="842"/>
        <w:gridCol w:w="1710"/>
        <w:gridCol w:w="1134"/>
        <w:gridCol w:w="992"/>
        <w:gridCol w:w="998"/>
      </w:tblGrid>
      <w:tr w:rsidR="00E47114" w:rsidRPr="00175D8B" w14:paraId="276EA105" w14:textId="77777777" w:rsidTr="002550A6">
        <w:trPr>
          <w:trHeight w:val="645"/>
          <w:tblHeader/>
          <w:jc w:val="center"/>
        </w:trPr>
        <w:tc>
          <w:tcPr>
            <w:tcW w:w="970" w:type="dxa"/>
            <w:vMerge w:val="restart"/>
            <w:tcBorders>
              <w:top w:val="single" w:sz="5" w:space="0" w:color="000000"/>
              <w:left w:val="single" w:sz="5" w:space="0" w:color="000000"/>
              <w:bottom w:val="single" w:sz="5" w:space="0" w:color="000000"/>
              <w:right w:val="single" w:sz="5" w:space="0" w:color="000000"/>
            </w:tcBorders>
            <w:shd w:val="clear" w:color="auto" w:fill="ABB7C1"/>
            <w:tcMar>
              <w:top w:w="0" w:type="dxa"/>
              <w:left w:w="0" w:type="dxa"/>
              <w:bottom w:w="0" w:type="dxa"/>
              <w:right w:w="0" w:type="dxa"/>
            </w:tcMar>
          </w:tcPr>
          <w:p w14:paraId="1DF3D529" w14:textId="77777777" w:rsidR="00E47114" w:rsidRPr="00175D8B" w:rsidRDefault="00E47114" w:rsidP="00E47114">
            <w:pPr>
              <w:spacing w:before="120" w:after="0" w:line="240" w:lineRule="auto"/>
              <w:jc w:val="center"/>
              <w:rPr>
                <w:rFonts w:eastAsia="Aptos" w:cs="Aptos"/>
                <w:b/>
                <w:color w:val="000000" w:themeColor="text1"/>
                <w:sz w:val="16"/>
                <w:szCs w:val="16"/>
              </w:rPr>
            </w:pPr>
          </w:p>
          <w:p w14:paraId="2E453FD1" w14:textId="77777777" w:rsidR="00E47114" w:rsidRPr="00175D8B" w:rsidRDefault="00E47114" w:rsidP="00E47114">
            <w:pPr>
              <w:spacing w:before="120" w:after="0" w:line="240" w:lineRule="auto"/>
              <w:jc w:val="center"/>
              <w:rPr>
                <w:rFonts w:eastAsia="Aptos" w:cs="Aptos"/>
                <w:b/>
                <w:color w:val="000000" w:themeColor="text1"/>
                <w:sz w:val="16"/>
                <w:szCs w:val="16"/>
              </w:rPr>
            </w:pPr>
          </w:p>
          <w:p w14:paraId="31ADF810" w14:textId="77777777" w:rsidR="00E47114" w:rsidRPr="00175D8B" w:rsidRDefault="00E47114" w:rsidP="00E47114">
            <w:pPr>
              <w:spacing w:before="120" w:after="0" w:line="240" w:lineRule="auto"/>
              <w:jc w:val="center"/>
              <w:rPr>
                <w:rFonts w:eastAsia="Aptos" w:cs="Aptos"/>
                <w:b/>
                <w:color w:val="000000" w:themeColor="text1"/>
                <w:sz w:val="16"/>
                <w:szCs w:val="16"/>
              </w:rPr>
            </w:pPr>
            <w:r w:rsidRPr="00175D8B">
              <w:rPr>
                <w:rFonts w:eastAsia="Aptos" w:cs="Aptos"/>
                <w:b/>
                <w:color w:val="000000" w:themeColor="text1"/>
                <w:sz w:val="16"/>
                <w:szCs w:val="16"/>
              </w:rPr>
              <w:t>Settlement</w:t>
            </w:r>
          </w:p>
        </w:tc>
        <w:tc>
          <w:tcPr>
            <w:tcW w:w="895" w:type="dxa"/>
            <w:vMerge w:val="restart"/>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7A124E0F" w14:textId="77777777" w:rsidR="00E47114" w:rsidRPr="00175D8B" w:rsidRDefault="00E47114" w:rsidP="00E47114">
            <w:pPr>
              <w:spacing w:before="120" w:after="0" w:line="240" w:lineRule="auto"/>
              <w:jc w:val="center"/>
              <w:rPr>
                <w:rFonts w:eastAsia="Aptos" w:cs="Aptos"/>
                <w:b/>
                <w:color w:val="000000" w:themeColor="text1"/>
                <w:sz w:val="16"/>
                <w:szCs w:val="16"/>
              </w:rPr>
            </w:pPr>
          </w:p>
          <w:p w14:paraId="2B4983E5" w14:textId="77777777" w:rsidR="00E47114" w:rsidRPr="00175D8B" w:rsidRDefault="00E47114" w:rsidP="00E47114">
            <w:pPr>
              <w:spacing w:before="120" w:after="0" w:line="240" w:lineRule="auto"/>
              <w:jc w:val="center"/>
              <w:rPr>
                <w:rFonts w:eastAsia="Aptos" w:cs="Aptos"/>
                <w:b/>
                <w:color w:val="000000" w:themeColor="text1"/>
                <w:sz w:val="16"/>
                <w:szCs w:val="16"/>
              </w:rPr>
            </w:pPr>
          </w:p>
          <w:p w14:paraId="3E55B824" w14:textId="77777777" w:rsidR="00E47114" w:rsidRPr="00175D8B" w:rsidRDefault="00E47114" w:rsidP="00E47114">
            <w:pPr>
              <w:spacing w:before="120" w:after="0" w:line="240" w:lineRule="auto"/>
              <w:jc w:val="center"/>
              <w:rPr>
                <w:rFonts w:eastAsia="Aptos" w:cs="Aptos"/>
                <w:b/>
                <w:color w:val="000000" w:themeColor="text1"/>
                <w:sz w:val="16"/>
                <w:szCs w:val="16"/>
              </w:rPr>
            </w:pPr>
            <w:r w:rsidRPr="00175D8B">
              <w:rPr>
                <w:rFonts w:eastAsia="Aptos" w:cs="Aptos"/>
                <w:b/>
                <w:color w:val="000000" w:themeColor="text1"/>
                <w:sz w:val="16"/>
                <w:szCs w:val="16"/>
              </w:rPr>
              <w:t>Name of Wastewater Treatment Plant</w:t>
            </w:r>
          </w:p>
        </w:tc>
        <w:tc>
          <w:tcPr>
            <w:tcW w:w="2373" w:type="dxa"/>
            <w:gridSpan w:val="3"/>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79860FA5" w14:textId="77777777" w:rsidR="00E47114" w:rsidRPr="00175D8B" w:rsidRDefault="00E47114" w:rsidP="00E47114">
            <w:pPr>
              <w:spacing w:before="120" w:after="0" w:line="240" w:lineRule="auto"/>
              <w:jc w:val="center"/>
              <w:rPr>
                <w:rFonts w:eastAsia="Aptos" w:cs="Aptos"/>
                <w:b/>
                <w:color w:val="000000" w:themeColor="text1"/>
                <w:sz w:val="16"/>
                <w:szCs w:val="16"/>
              </w:rPr>
            </w:pPr>
            <w:r w:rsidRPr="00175D8B">
              <w:rPr>
                <w:rFonts w:eastAsia="Aptos" w:cs="Aptos"/>
                <w:b/>
                <w:color w:val="000000" w:themeColor="text1"/>
                <w:sz w:val="16"/>
                <w:szCs w:val="16"/>
              </w:rPr>
              <w:t>Type of Treatment Plant</w:t>
            </w:r>
          </w:p>
        </w:tc>
        <w:tc>
          <w:tcPr>
            <w:tcW w:w="1710" w:type="dxa"/>
            <w:vMerge w:val="restart"/>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27133397" w14:textId="77777777" w:rsidR="00E47114" w:rsidRPr="00175D8B" w:rsidRDefault="00E47114" w:rsidP="00E47114">
            <w:pPr>
              <w:spacing w:before="120" w:after="0" w:line="240" w:lineRule="auto"/>
              <w:jc w:val="center"/>
              <w:rPr>
                <w:rFonts w:eastAsia="Aptos" w:cs="Aptos"/>
                <w:b/>
                <w:color w:val="000000" w:themeColor="text1"/>
                <w:sz w:val="16"/>
                <w:szCs w:val="16"/>
              </w:rPr>
            </w:pPr>
          </w:p>
          <w:p w14:paraId="26AEEB11" w14:textId="77777777" w:rsidR="00E47114" w:rsidRPr="00175D8B" w:rsidRDefault="00E47114" w:rsidP="00E47114">
            <w:pPr>
              <w:spacing w:before="120" w:after="0" w:line="240" w:lineRule="auto"/>
              <w:jc w:val="center"/>
              <w:rPr>
                <w:rFonts w:eastAsia="Aptos" w:cs="Aptos"/>
                <w:b/>
                <w:color w:val="000000" w:themeColor="text1"/>
                <w:sz w:val="16"/>
                <w:szCs w:val="16"/>
              </w:rPr>
            </w:pPr>
          </w:p>
          <w:p w14:paraId="1F7CC265" w14:textId="77777777" w:rsidR="00E47114" w:rsidRPr="00175D8B" w:rsidRDefault="00E47114" w:rsidP="00E47114">
            <w:pPr>
              <w:spacing w:before="120" w:after="0" w:line="240" w:lineRule="auto"/>
              <w:jc w:val="center"/>
              <w:rPr>
                <w:rFonts w:eastAsia="Aptos" w:cs="Aptos"/>
                <w:b/>
                <w:color w:val="000000" w:themeColor="text1"/>
                <w:sz w:val="16"/>
                <w:szCs w:val="16"/>
              </w:rPr>
            </w:pPr>
            <w:r w:rsidRPr="00175D8B">
              <w:rPr>
                <w:rFonts w:eastAsia="Aptos" w:cs="Aptos"/>
                <w:b/>
                <w:color w:val="000000" w:themeColor="text1"/>
                <w:sz w:val="16"/>
                <w:szCs w:val="16"/>
              </w:rPr>
              <w:t>Current Capacity (tons/day)</w:t>
            </w:r>
          </w:p>
        </w:tc>
        <w:tc>
          <w:tcPr>
            <w:tcW w:w="1134" w:type="dxa"/>
            <w:vMerge w:val="restart"/>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vAlign w:val="center"/>
          </w:tcPr>
          <w:p w14:paraId="0816DE52" w14:textId="77777777" w:rsidR="00BF190A" w:rsidRPr="00175D8B" w:rsidRDefault="00E47114" w:rsidP="00BF190A">
            <w:pPr>
              <w:spacing w:before="120" w:after="0" w:line="240" w:lineRule="auto"/>
              <w:jc w:val="center"/>
              <w:rPr>
                <w:rFonts w:eastAsia="Aptos" w:cs="Aptos"/>
                <w:b/>
                <w:color w:val="000000" w:themeColor="text1"/>
                <w:sz w:val="16"/>
                <w:szCs w:val="16"/>
              </w:rPr>
            </w:pPr>
            <w:r w:rsidRPr="00175D8B">
              <w:rPr>
                <w:rFonts w:eastAsia="Aptos" w:cs="Aptos"/>
                <w:b/>
                <w:color w:val="000000" w:themeColor="text1"/>
                <w:sz w:val="16"/>
                <w:szCs w:val="16"/>
              </w:rPr>
              <w:t>Treated/</w:t>
            </w:r>
          </w:p>
          <w:p w14:paraId="103A60A8" w14:textId="5D0AF2F1" w:rsidR="00E47114" w:rsidRPr="00175D8B" w:rsidRDefault="00E47114" w:rsidP="00BF190A">
            <w:pPr>
              <w:spacing w:before="120" w:after="0" w:line="240" w:lineRule="auto"/>
              <w:jc w:val="center"/>
              <w:rPr>
                <w:rFonts w:eastAsia="Aptos" w:cs="Aptos"/>
                <w:b/>
                <w:color w:val="000000" w:themeColor="text1"/>
                <w:sz w:val="16"/>
                <w:szCs w:val="16"/>
              </w:rPr>
            </w:pPr>
            <w:r w:rsidRPr="00175D8B">
              <w:rPr>
                <w:rFonts w:eastAsia="Aptos" w:cs="Aptos"/>
                <w:b/>
                <w:color w:val="000000" w:themeColor="text1"/>
                <w:sz w:val="16"/>
                <w:szCs w:val="16"/>
              </w:rPr>
              <w:t>Discharged Wastewater (m³/year)</w:t>
            </w:r>
          </w:p>
        </w:tc>
        <w:tc>
          <w:tcPr>
            <w:tcW w:w="992" w:type="dxa"/>
            <w:vMerge w:val="restart"/>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2A9AB6D8" w14:textId="77777777" w:rsidR="00E47114" w:rsidRPr="00175D8B" w:rsidRDefault="00E47114" w:rsidP="00E47114">
            <w:pPr>
              <w:spacing w:before="120" w:after="0" w:line="240" w:lineRule="auto"/>
              <w:jc w:val="center"/>
              <w:rPr>
                <w:rFonts w:eastAsia="Aptos" w:cs="Aptos"/>
                <w:b/>
                <w:color w:val="000000" w:themeColor="text1"/>
                <w:sz w:val="16"/>
                <w:szCs w:val="16"/>
              </w:rPr>
            </w:pPr>
          </w:p>
          <w:p w14:paraId="0C653D96" w14:textId="77777777" w:rsidR="00E47114" w:rsidRPr="00175D8B" w:rsidRDefault="00E47114" w:rsidP="00E47114">
            <w:pPr>
              <w:spacing w:before="120" w:after="0" w:line="240" w:lineRule="auto"/>
              <w:jc w:val="center"/>
              <w:rPr>
                <w:rFonts w:eastAsia="Aptos" w:cs="Aptos"/>
                <w:b/>
                <w:color w:val="000000" w:themeColor="text1"/>
                <w:sz w:val="16"/>
                <w:szCs w:val="16"/>
              </w:rPr>
            </w:pPr>
          </w:p>
          <w:p w14:paraId="22F8510D" w14:textId="77777777" w:rsidR="00E47114" w:rsidRPr="00175D8B" w:rsidRDefault="00E47114" w:rsidP="00E47114">
            <w:pPr>
              <w:spacing w:before="120" w:after="0" w:line="240" w:lineRule="auto"/>
              <w:jc w:val="center"/>
              <w:rPr>
                <w:rFonts w:eastAsia="Aptos" w:cs="Aptos"/>
                <w:b/>
                <w:color w:val="000000" w:themeColor="text1"/>
                <w:sz w:val="16"/>
                <w:szCs w:val="16"/>
              </w:rPr>
            </w:pPr>
            <w:r w:rsidRPr="00175D8B">
              <w:rPr>
                <w:rFonts w:eastAsia="Aptos" w:cs="Aptos"/>
                <w:b/>
                <w:color w:val="000000" w:themeColor="text1"/>
                <w:sz w:val="16"/>
                <w:szCs w:val="16"/>
              </w:rPr>
              <w:t>Discharge Point</w:t>
            </w:r>
          </w:p>
        </w:tc>
        <w:tc>
          <w:tcPr>
            <w:tcW w:w="998" w:type="dxa"/>
            <w:vMerge w:val="restart"/>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2B4A23FC" w14:textId="77777777" w:rsidR="00E47114" w:rsidRPr="00175D8B" w:rsidRDefault="00E47114" w:rsidP="00E47114">
            <w:pPr>
              <w:spacing w:before="120" w:after="0" w:line="240" w:lineRule="auto"/>
              <w:jc w:val="center"/>
              <w:rPr>
                <w:rFonts w:eastAsia="Aptos" w:cs="Aptos"/>
                <w:b/>
                <w:color w:val="000000" w:themeColor="text1"/>
                <w:sz w:val="16"/>
                <w:szCs w:val="16"/>
              </w:rPr>
            </w:pPr>
          </w:p>
          <w:p w14:paraId="5653403B" w14:textId="77777777" w:rsidR="00E47114" w:rsidRPr="00175D8B" w:rsidRDefault="00E47114" w:rsidP="00E47114">
            <w:pPr>
              <w:spacing w:before="120" w:after="0" w:line="240" w:lineRule="auto"/>
              <w:jc w:val="center"/>
              <w:rPr>
                <w:rFonts w:eastAsia="Aptos" w:cs="Aptos"/>
                <w:b/>
                <w:color w:val="000000" w:themeColor="text1"/>
                <w:sz w:val="16"/>
                <w:szCs w:val="16"/>
              </w:rPr>
            </w:pPr>
          </w:p>
          <w:p w14:paraId="52D3EE6D" w14:textId="77777777" w:rsidR="00E47114" w:rsidRPr="00175D8B" w:rsidRDefault="00E47114" w:rsidP="00E47114">
            <w:pPr>
              <w:spacing w:before="120" w:after="0" w:line="240" w:lineRule="auto"/>
              <w:jc w:val="center"/>
              <w:rPr>
                <w:rFonts w:eastAsia="Aptos" w:cs="Aptos"/>
                <w:b/>
                <w:color w:val="000000" w:themeColor="text1"/>
                <w:sz w:val="16"/>
                <w:szCs w:val="16"/>
              </w:rPr>
            </w:pPr>
            <w:r w:rsidRPr="00175D8B">
              <w:rPr>
                <w:rFonts w:eastAsia="Aptos" w:cs="Aptos"/>
                <w:b/>
                <w:color w:val="000000" w:themeColor="text1"/>
                <w:sz w:val="16"/>
                <w:szCs w:val="16"/>
              </w:rPr>
              <w:t>Population Served</w:t>
            </w:r>
          </w:p>
        </w:tc>
      </w:tr>
      <w:tr w:rsidR="00D04762" w:rsidRPr="00175D8B" w14:paraId="3FB4CFDE" w14:textId="77777777" w:rsidTr="009D4498">
        <w:trPr>
          <w:trHeight w:val="705"/>
          <w:tblHeader/>
          <w:jc w:val="center"/>
        </w:trPr>
        <w:tc>
          <w:tcPr>
            <w:tcW w:w="970" w:type="dxa"/>
            <w:vMerge/>
            <w:tcBorders>
              <w:top w:val="single" w:sz="5" w:space="0" w:color="000000"/>
              <w:left w:val="single" w:sz="5" w:space="0" w:color="000000"/>
              <w:bottom w:val="single" w:sz="5" w:space="0" w:color="000000"/>
              <w:right w:val="single" w:sz="5" w:space="0" w:color="000000"/>
            </w:tcBorders>
            <w:shd w:val="clear" w:color="auto" w:fill="ABB7C1"/>
            <w:tcMar>
              <w:top w:w="0" w:type="dxa"/>
              <w:left w:w="0" w:type="dxa"/>
              <w:bottom w:w="0" w:type="dxa"/>
              <w:right w:w="0" w:type="dxa"/>
            </w:tcMar>
          </w:tcPr>
          <w:p w14:paraId="5A23F2FD" w14:textId="77777777" w:rsidR="00E47114" w:rsidRPr="00175D8B" w:rsidRDefault="00E47114" w:rsidP="00E47114">
            <w:pPr>
              <w:widowControl w:val="0"/>
              <w:pBdr>
                <w:between w:val="nil"/>
              </w:pBdr>
              <w:spacing w:before="120" w:after="0" w:line="276" w:lineRule="auto"/>
              <w:jc w:val="center"/>
              <w:rPr>
                <w:rFonts w:eastAsia="Aptos" w:cs="Aptos"/>
                <w:b/>
                <w:color w:val="000000" w:themeColor="text1"/>
                <w:sz w:val="20"/>
                <w:szCs w:val="20"/>
              </w:rPr>
            </w:pPr>
          </w:p>
        </w:tc>
        <w:tc>
          <w:tcPr>
            <w:tcW w:w="895" w:type="dxa"/>
            <w:vMerge/>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302DBA43" w14:textId="77777777" w:rsidR="00E47114" w:rsidRPr="00175D8B" w:rsidRDefault="00E47114" w:rsidP="00E47114">
            <w:pPr>
              <w:widowControl w:val="0"/>
              <w:pBdr>
                <w:between w:val="nil"/>
              </w:pBdr>
              <w:spacing w:before="120" w:after="0" w:line="276" w:lineRule="auto"/>
              <w:jc w:val="center"/>
              <w:rPr>
                <w:rFonts w:eastAsia="Aptos" w:cs="Aptos"/>
                <w:b/>
                <w:color w:val="000000" w:themeColor="text1"/>
                <w:sz w:val="20"/>
                <w:szCs w:val="20"/>
              </w:rPr>
            </w:pPr>
          </w:p>
        </w:tc>
        <w:tc>
          <w:tcPr>
            <w:tcW w:w="681" w:type="dxa"/>
            <w:tcBorders>
              <w:top w:val="nil"/>
              <w:left w:val="nil"/>
              <w:bottom w:val="single" w:sz="5" w:space="0" w:color="000000"/>
              <w:right w:val="single" w:sz="5" w:space="0" w:color="000000"/>
            </w:tcBorders>
            <w:shd w:val="clear" w:color="auto" w:fill="ABB7C1"/>
            <w:tcMar>
              <w:top w:w="0" w:type="dxa"/>
              <w:left w:w="0" w:type="dxa"/>
              <w:bottom w:w="0" w:type="dxa"/>
              <w:right w:w="0" w:type="dxa"/>
            </w:tcMar>
          </w:tcPr>
          <w:p w14:paraId="654F7AD3" w14:textId="77777777" w:rsidR="00E47114" w:rsidRPr="00175D8B" w:rsidRDefault="00E47114" w:rsidP="00E47114">
            <w:pPr>
              <w:spacing w:before="120" w:after="0" w:line="240" w:lineRule="auto"/>
              <w:jc w:val="center"/>
              <w:rPr>
                <w:rFonts w:eastAsia="Aptos" w:cs="Aptos"/>
                <w:b/>
                <w:color w:val="000000" w:themeColor="text1"/>
                <w:sz w:val="16"/>
                <w:szCs w:val="16"/>
              </w:rPr>
            </w:pPr>
          </w:p>
          <w:p w14:paraId="3527CC5E" w14:textId="77777777" w:rsidR="00E47114" w:rsidRPr="00175D8B" w:rsidRDefault="00E47114" w:rsidP="00E47114">
            <w:pPr>
              <w:spacing w:before="120" w:after="0" w:line="240" w:lineRule="auto"/>
              <w:jc w:val="center"/>
              <w:rPr>
                <w:rFonts w:eastAsia="Aptos" w:cs="Aptos"/>
                <w:b/>
                <w:color w:val="000000" w:themeColor="text1"/>
                <w:sz w:val="16"/>
                <w:szCs w:val="16"/>
              </w:rPr>
            </w:pPr>
            <w:r w:rsidRPr="00175D8B">
              <w:rPr>
                <w:rFonts w:eastAsia="Aptos" w:cs="Aptos"/>
                <w:b/>
                <w:color w:val="000000" w:themeColor="text1"/>
                <w:sz w:val="16"/>
                <w:szCs w:val="16"/>
              </w:rPr>
              <w:t>Physical</w:t>
            </w:r>
          </w:p>
        </w:tc>
        <w:tc>
          <w:tcPr>
            <w:tcW w:w="850" w:type="dxa"/>
            <w:tcBorders>
              <w:top w:val="nil"/>
              <w:left w:val="nil"/>
              <w:bottom w:val="single" w:sz="5" w:space="0" w:color="000000"/>
              <w:right w:val="single" w:sz="5" w:space="0" w:color="000000"/>
            </w:tcBorders>
            <w:shd w:val="clear" w:color="auto" w:fill="ABB7C1"/>
            <w:tcMar>
              <w:top w:w="0" w:type="dxa"/>
              <w:left w:w="0" w:type="dxa"/>
              <w:bottom w:w="0" w:type="dxa"/>
              <w:right w:w="0" w:type="dxa"/>
            </w:tcMar>
          </w:tcPr>
          <w:p w14:paraId="52D7F236" w14:textId="77777777" w:rsidR="00E47114" w:rsidRPr="00175D8B" w:rsidRDefault="00E47114" w:rsidP="00E47114">
            <w:pPr>
              <w:spacing w:before="120" w:after="0" w:line="240" w:lineRule="auto"/>
              <w:jc w:val="center"/>
              <w:rPr>
                <w:rFonts w:eastAsia="Aptos" w:cs="Aptos"/>
                <w:b/>
                <w:color w:val="000000" w:themeColor="text1"/>
                <w:sz w:val="16"/>
                <w:szCs w:val="16"/>
              </w:rPr>
            </w:pPr>
          </w:p>
          <w:p w14:paraId="4173E712" w14:textId="77777777" w:rsidR="00E47114" w:rsidRPr="00175D8B" w:rsidRDefault="00E47114" w:rsidP="00E47114">
            <w:pPr>
              <w:spacing w:before="120" w:after="0" w:line="240" w:lineRule="auto"/>
              <w:jc w:val="center"/>
              <w:rPr>
                <w:rFonts w:eastAsia="Aptos" w:cs="Aptos"/>
                <w:b/>
                <w:color w:val="000000" w:themeColor="text1"/>
                <w:sz w:val="16"/>
                <w:szCs w:val="16"/>
              </w:rPr>
            </w:pPr>
            <w:r w:rsidRPr="00175D8B">
              <w:rPr>
                <w:rFonts w:eastAsia="Aptos" w:cs="Aptos"/>
                <w:b/>
                <w:color w:val="000000" w:themeColor="text1"/>
                <w:sz w:val="16"/>
                <w:szCs w:val="16"/>
              </w:rPr>
              <w:t>Biological</w:t>
            </w:r>
          </w:p>
        </w:tc>
        <w:tc>
          <w:tcPr>
            <w:tcW w:w="842" w:type="dxa"/>
            <w:tcBorders>
              <w:top w:val="nil"/>
              <w:left w:val="nil"/>
              <w:bottom w:val="single" w:sz="5" w:space="0" w:color="000000"/>
              <w:right w:val="single" w:sz="5" w:space="0" w:color="000000"/>
            </w:tcBorders>
            <w:shd w:val="clear" w:color="auto" w:fill="ABB7C1"/>
            <w:tcMar>
              <w:top w:w="0" w:type="dxa"/>
              <w:left w:w="0" w:type="dxa"/>
              <w:bottom w:w="0" w:type="dxa"/>
              <w:right w:w="0" w:type="dxa"/>
            </w:tcMar>
          </w:tcPr>
          <w:p w14:paraId="16747522" w14:textId="77777777" w:rsidR="00E47114" w:rsidRPr="00175D8B" w:rsidRDefault="00E47114" w:rsidP="00E47114">
            <w:pPr>
              <w:spacing w:before="120" w:after="0" w:line="240" w:lineRule="auto"/>
              <w:jc w:val="center"/>
              <w:rPr>
                <w:rFonts w:eastAsia="Aptos" w:cs="Aptos"/>
                <w:b/>
                <w:color w:val="000000" w:themeColor="text1"/>
                <w:sz w:val="16"/>
                <w:szCs w:val="16"/>
              </w:rPr>
            </w:pPr>
          </w:p>
          <w:p w14:paraId="0CBE59CB" w14:textId="77777777" w:rsidR="00E47114" w:rsidRPr="00175D8B" w:rsidRDefault="00E47114" w:rsidP="00E47114">
            <w:pPr>
              <w:spacing w:before="120" w:after="0" w:line="240" w:lineRule="auto"/>
              <w:jc w:val="center"/>
              <w:rPr>
                <w:rFonts w:eastAsia="Aptos" w:cs="Aptos"/>
                <w:b/>
                <w:color w:val="000000" w:themeColor="text1"/>
                <w:sz w:val="16"/>
                <w:szCs w:val="16"/>
              </w:rPr>
            </w:pPr>
            <w:r w:rsidRPr="00175D8B">
              <w:rPr>
                <w:rFonts w:eastAsia="Aptos" w:cs="Aptos"/>
                <w:b/>
                <w:color w:val="000000" w:themeColor="text1"/>
                <w:sz w:val="16"/>
                <w:szCs w:val="16"/>
              </w:rPr>
              <w:t>Advanced</w:t>
            </w:r>
          </w:p>
        </w:tc>
        <w:tc>
          <w:tcPr>
            <w:tcW w:w="1710" w:type="dxa"/>
            <w:vMerge/>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7D877C50" w14:textId="77777777" w:rsidR="00E47114" w:rsidRPr="00175D8B" w:rsidRDefault="00E47114" w:rsidP="00E47114">
            <w:pPr>
              <w:widowControl w:val="0"/>
              <w:pBdr>
                <w:between w:val="nil"/>
              </w:pBdr>
              <w:spacing w:before="120" w:after="0" w:line="276" w:lineRule="auto"/>
              <w:jc w:val="center"/>
              <w:rPr>
                <w:rFonts w:eastAsia="Aptos" w:cs="Aptos"/>
                <w:b/>
                <w:color w:val="000000" w:themeColor="text1"/>
                <w:sz w:val="20"/>
                <w:szCs w:val="20"/>
              </w:rPr>
            </w:pPr>
          </w:p>
        </w:tc>
        <w:tc>
          <w:tcPr>
            <w:tcW w:w="1134" w:type="dxa"/>
            <w:vMerge/>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51B8F269" w14:textId="77777777" w:rsidR="00E47114" w:rsidRPr="00175D8B" w:rsidRDefault="00E47114" w:rsidP="00E47114">
            <w:pPr>
              <w:widowControl w:val="0"/>
              <w:pBdr>
                <w:between w:val="nil"/>
              </w:pBdr>
              <w:spacing w:before="120" w:after="0" w:line="276" w:lineRule="auto"/>
              <w:jc w:val="center"/>
              <w:rPr>
                <w:rFonts w:eastAsia="Aptos" w:cs="Aptos"/>
                <w:b/>
                <w:color w:val="000000" w:themeColor="text1"/>
                <w:sz w:val="20"/>
                <w:szCs w:val="20"/>
              </w:rPr>
            </w:pPr>
          </w:p>
        </w:tc>
        <w:tc>
          <w:tcPr>
            <w:tcW w:w="992" w:type="dxa"/>
            <w:vMerge/>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3F388EF8" w14:textId="77777777" w:rsidR="00E47114" w:rsidRPr="00175D8B" w:rsidRDefault="00E47114" w:rsidP="00E47114">
            <w:pPr>
              <w:widowControl w:val="0"/>
              <w:pBdr>
                <w:between w:val="nil"/>
              </w:pBdr>
              <w:spacing w:before="120" w:after="0" w:line="276" w:lineRule="auto"/>
              <w:jc w:val="center"/>
              <w:rPr>
                <w:rFonts w:eastAsia="Aptos" w:cs="Aptos"/>
                <w:b/>
                <w:color w:val="000000" w:themeColor="text1"/>
                <w:sz w:val="20"/>
                <w:szCs w:val="20"/>
              </w:rPr>
            </w:pPr>
          </w:p>
        </w:tc>
        <w:tc>
          <w:tcPr>
            <w:tcW w:w="998" w:type="dxa"/>
            <w:vMerge/>
            <w:tcBorders>
              <w:top w:val="single" w:sz="5" w:space="0" w:color="000000"/>
              <w:left w:val="nil"/>
              <w:bottom w:val="single" w:sz="5" w:space="0" w:color="000000"/>
              <w:right w:val="single" w:sz="5" w:space="0" w:color="000000"/>
            </w:tcBorders>
            <w:shd w:val="clear" w:color="auto" w:fill="ABB7C1"/>
            <w:tcMar>
              <w:top w:w="0" w:type="dxa"/>
              <w:left w:w="0" w:type="dxa"/>
              <w:bottom w:w="0" w:type="dxa"/>
              <w:right w:w="0" w:type="dxa"/>
            </w:tcMar>
          </w:tcPr>
          <w:p w14:paraId="77D19E5A" w14:textId="77777777" w:rsidR="00E47114" w:rsidRPr="00175D8B" w:rsidRDefault="00E47114" w:rsidP="00E47114">
            <w:pPr>
              <w:widowControl w:val="0"/>
              <w:pBdr>
                <w:between w:val="nil"/>
              </w:pBdr>
              <w:spacing w:before="120" w:after="0" w:line="276" w:lineRule="auto"/>
              <w:jc w:val="center"/>
              <w:rPr>
                <w:rFonts w:eastAsia="Aptos" w:cs="Aptos"/>
                <w:b/>
                <w:color w:val="000000" w:themeColor="text1"/>
                <w:sz w:val="20"/>
                <w:szCs w:val="20"/>
              </w:rPr>
            </w:pPr>
          </w:p>
        </w:tc>
      </w:tr>
      <w:tr w:rsidR="00E47114" w:rsidRPr="00175D8B" w14:paraId="0A751EDD" w14:textId="77777777" w:rsidTr="002550A6">
        <w:trPr>
          <w:trHeight w:val="585"/>
          <w:jc w:val="center"/>
        </w:trPr>
        <w:tc>
          <w:tcPr>
            <w:tcW w:w="970" w:type="dxa"/>
            <w:tcBorders>
              <w:top w:val="nil"/>
              <w:left w:val="single" w:sz="5" w:space="0" w:color="000000"/>
              <w:bottom w:val="single" w:sz="5" w:space="0" w:color="000000"/>
              <w:right w:val="single" w:sz="5" w:space="0" w:color="000000"/>
            </w:tcBorders>
            <w:shd w:val="clear" w:color="auto" w:fill="F1F1F1"/>
            <w:tcMar>
              <w:top w:w="0" w:type="dxa"/>
              <w:left w:w="0" w:type="dxa"/>
              <w:bottom w:w="0" w:type="dxa"/>
              <w:right w:w="0" w:type="dxa"/>
            </w:tcMar>
          </w:tcPr>
          <w:p w14:paraId="16974427"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441E511A"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City Center</w:t>
            </w:r>
          </w:p>
        </w:tc>
        <w:tc>
          <w:tcPr>
            <w:tcW w:w="89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5A1A307B"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39C2B6F3"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Karaman AAT</w:t>
            </w:r>
          </w:p>
        </w:tc>
        <w:tc>
          <w:tcPr>
            <w:tcW w:w="681"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DF16110"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85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025AC62"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84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052F1F6"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79193358"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171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56D3B406"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12AE2A2A" w14:textId="45AE1D9A"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198</w:t>
            </w:r>
            <w:r w:rsidR="00F2113F" w:rsidRPr="00175D8B">
              <w:rPr>
                <w:rFonts w:eastAsia="Aptos" w:cs="Aptos"/>
                <w:color w:val="000000" w:themeColor="text1"/>
                <w:sz w:val="20"/>
                <w:szCs w:val="20"/>
              </w:rPr>
              <w:t>,</w:t>
            </w:r>
            <w:r w:rsidRPr="00175D8B">
              <w:rPr>
                <w:rFonts w:eastAsia="Aptos" w:cs="Aptos"/>
                <w:color w:val="000000" w:themeColor="text1"/>
                <w:sz w:val="20"/>
                <w:szCs w:val="20"/>
              </w:rPr>
              <w:t>800</w:t>
            </w:r>
          </w:p>
        </w:tc>
        <w:tc>
          <w:tcPr>
            <w:tcW w:w="1134"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E945AE2"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5C6F70D5"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w:t>
            </w:r>
          </w:p>
        </w:tc>
        <w:tc>
          <w:tcPr>
            <w:tcW w:w="99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A488853"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Çark Creek</w:t>
            </w:r>
          </w:p>
          <w:p w14:paraId="0BA2B60A"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7C2E67F5"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998"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B572967"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79DC1095" w14:textId="43B285C5"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575</w:t>
            </w:r>
            <w:r w:rsidR="00F2113F" w:rsidRPr="00175D8B">
              <w:rPr>
                <w:rFonts w:eastAsia="Aptos" w:cs="Aptos"/>
                <w:color w:val="000000" w:themeColor="text1"/>
                <w:sz w:val="20"/>
                <w:szCs w:val="20"/>
              </w:rPr>
              <w:t>,</w:t>
            </w:r>
            <w:r w:rsidRPr="00175D8B">
              <w:rPr>
                <w:rFonts w:eastAsia="Aptos" w:cs="Aptos"/>
                <w:color w:val="000000" w:themeColor="text1"/>
                <w:sz w:val="20"/>
                <w:szCs w:val="20"/>
              </w:rPr>
              <w:t>339</w:t>
            </w:r>
          </w:p>
        </w:tc>
      </w:tr>
      <w:tr w:rsidR="00E47114" w:rsidRPr="00175D8B" w14:paraId="6ADEE933" w14:textId="77777777" w:rsidTr="002550A6">
        <w:trPr>
          <w:trHeight w:val="585"/>
          <w:jc w:val="center"/>
        </w:trPr>
        <w:tc>
          <w:tcPr>
            <w:tcW w:w="970" w:type="dxa"/>
            <w:tcBorders>
              <w:top w:val="nil"/>
              <w:left w:val="single" w:sz="5" w:space="0" w:color="000000"/>
              <w:bottom w:val="single" w:sz="5" w:space="0" w:color="000000"/>
              <w:right w:val="single" w:sz="5" w:space="0" w:color="000000"/>
            </w:tcBorders>
            <w:shd w:val="clear" w:color="auto" w:fill="F1F1F1"/>
            <w:tcMar>
              <w:top w:w="0" w:type="dxa"/>
              <w:left w:w="0" w:type="dxa"/>
              <w:bottom w:w="0" w:type="dxa"/>
              <w:right w:w="0" w:type="dxa"/>
            </w:tcMar>
          </w:tcPr>
          <w:p w14:paraId="4A2DCC24"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County</w:t>
            </w:r>
          </w:p>
        </w:tc>
        <w:tc>
          <w:tcPr>
            <w:tcW w:w="89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59FD6255"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Hendek WWTP</w:t>
            </w:r>
          </w:p>
        </w:tc>
        <w:tc>
          <w:tcPr>
            <w:tcW w:w="681"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8B24E3D"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85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B706190"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84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415B9E44"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171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2D35F15" w14:textId="32C2B4D4"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12</w:t>
            </w:r>
            <w:r w:rsidR="00F2113F" w:rsidRPr="00175D8B">
              <w:rPr>
                <w:rFonts w:eastAsia="Aptos" w:cs="Aptos"/>
                <w:color w:val="000000" w:themeColor="text1"/>
                <w:sz w:val="20"/>
                <w:szCs w:val="20"/>
              </w:rPr>
              <w:t>.</w:t>
            </w:r>
            <w:r w:rsidRPr="00175D8B">
              <w:rPr>
                <w:rFonts w:eastAsia="Aptos" w:cs="Aptos"/>
                <w:color w:val="000000" w:themeColor="text1"/>
                <w:sz w:val="20"/>
                <w:szCs w:val="20"/>
              </w:rPr>
              <w:t>97</w:t>
            </w:r>
          </w:p>
        </w:tc>
        <w:tc>
          <w:tcPr>
            <w:tcW w:w="1134"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1F3944D" w14:textId="729FEFD2"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0</w:t>
            </w:r>
            <w:r w:rsidR="00F2113F" w:rsidRPr="00175D8B">
              <w:rPr>
                <w:rFonts w:eastAsia="Aptos" w:cs="Aptos"/>
                <w:color w:val="000000" w:themeColor="text1"/>
                <w:sz w:val="20"/>
                <w:szCs w:val="20"/>
              </w:rPr>
              <w:t>.</w:t>
            </w:r>
            <w:r w:rsidRPr="00175D8B">
              <w:rPr>
                <w:rFonts w:eastAsia="Aptos" w:cs="Aptos"/>
                <w:color w:val="000000" w:themeColor="text1"/>
                <w:sz w:val="20"/>
                <w:szCs w:val="20"/>
              </w:rPr>
              <w:t>09</w:t>
            </w:r>
          </w:p>
        </w:tc>
        <w:tc>
          <w:tcPr>
            <w:tcW w:w="99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88D288F"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Mute</w:t>
            </w:r>
          </w:p>
          <w:p w14:paraId="0A59E6F2"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Creek</w:t>
            </w:r>
          </w:p>
        </w:tc>
        <w:tc>
          <w:tcPr>
            <w:tcW w:w="998"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5FD8218"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5974A4B0" w14:textId="7CC03E13"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63</w:t>
            </w:r>
            <w:r w:rsidR="00F2113F" w:rsidRPr="00175D8B">
              <w:rPr>
                <w:rFonts w:eastAsia="Aptos" w:cs="Aptos"/>
                <w:color w:val="000000" w:themeColor="text1"/>
                <w:sz w:val="20"/>
                <w:szCs w:val="20"/>
              </w:rPr>
              <w:t>,</w:t>
            </w:r>
            <w:r w:rsidRPr="00175D8B">
              <w:rPr>
                <w:rFonts w:eastAsia="Aptos" w:cs="Aptos"/>
                <w:color w:val="000000" w:themeColor="text1"/>
                <w:sz w:val="20"/>
                <w:szCs w:val="20"/>
              </w:rPr>
              <w:t>102</w:t>
            </w:r>
          </w:p>
        </w:tc>
      </w:tr>
      <w:tr w:rsidR="00E47114" w:rsidRPr="00175D8B" w14:paraId="7EF4A5D3" w14:textId="77777777" w:rsidTr="002550A6">
        <w:trPr>
          <w:trHeight w:val="525"/>
          <w:jc w:val="center"/>
        </w:trPr>
        <w:tc>
          <w:tcPr>
            <w:tcW w:w="970" w:type="dxa"/>
            <w:tcBorders>
              <w:top w:val="nil"/>
              <w:left w:val="single" w:sz="5" w:space="0" w:color="000000"/>
              <w:bottom w:val="single" w:sz="5" w:space="0" w:color="000000"/>
              <w:right w:val="single" w:sz="5" w:space="0" w:color="000000"/>
            </w:tcBorders>
            <w:shd w:val="clear" w:color="auto" w:fill="F1F1F1"/>
            <w:tcMar>
              <w:top w:w="0" w:type="dxa"/>
              <w:left w:w="0" w:type="dxa"/>
              <w:bottom w:w="0" w:type="dxa"/>
              <w:right w:w="0" w:type="dxa"/>
            </w:tcMar>
          </w:tcPr>
          <w:p w14:paraId="04A52DA3"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4FD46D1A"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County</w:t>
            </w:r>
          </w:p>
        </w:tc>
        <w:tc>
          <w:tcPr>
            <w:tcW w:w="89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236A62B4"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Akyazı WWTP</w:t>
            </w:r>
          </w:p>
        </w:tc>
        <w:tc>
          <w:tcPr>
            <w:tcW w:w="681"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43594837"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85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533441FE"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84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6D48937"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72A0B195"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171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9C9A096"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67224CEB"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15</w:t>
            </w:r>
          </w:p>
        </w:tc>
        <w:tc>
          <w:tcPr>
            <w:tcW w:w="1134"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29EDB694"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1F821220" w14:textId="761A699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0</w:t>
            </w:r>
            <w:r w:rsidR="00F2113F" w:rsidRPr="00175D8B">
              <w:rPr>
                <w:rFonts w:eastAsia="Aptos" w:cs="Aptos"/>
                <w:color w:val="000000" w:themeColor="text1"/>
                <w:sz w:val="20"/>
                <w:szCs w:val="20"/>
              </w:rPr>
              <w:t>.</w:t>
            </w:r>
            <w:r w:rsidRPr="00175D8B">
              <w:rPr>
                <w:rFonts w:eastAsia="Aptos" w:cs="Aptos"/>
                <w:color w:val="000000" w:themeColor="text1"/>
                <w:sz w:val="20"/>
                <w:szCs w:val="20"/>
              </w:rPr>
              <w:t>21</w:t>
            </w:r>
          </w:p>
        </w:tc>
        <w:tc>
          <w:tcPr>
            <w:tcW w:w="99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5BFE1E9B"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Karacasu</w:t>
            </w:r>
          </w:p>
          <w:p w14:paraId="3EE8F700"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Creek</w:t>
            </w:r>
          </w:p>
        </w:tc>
        <w:tc>
          <w:tcPr>
            <w:tcW w:w="998"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0A589AE9"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043BA34E" w14:textId="6E51CE72"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64</w:t>
            </w:r>
            <w:r w:rsidR="00F2113F" w:rsidRPr="00175D8B">
              <w:rPr>
                <w:rFonts w:eastAsia="Aptos" w:cs="Aptos"/>
                <w:color w:val="000000" w:themeColor="text1"/>
                <w:sz w:val="20"/>
                <w:szCs w:val="20"/>
              </w:rPr>
              <w:t>,</w:t>
            </w:r>
            <w:r w:rsidRPr="00175D8B">
              <w:rPr>
                <w:rFonts w:eastAsia="Aptos" w:cs="Aptos"/>
                <w:color w:val="000000" w:themeColor="text1"/>
                <w:sz w:val="20"/>
                <w:szCs w:val="20"/>
              </w:rPr>
              <w:t>138</w:t>
            </w:r>
          </w:p>
        </w:tc>
      </w:tr>
      <w:tr w:rsidR="00E47114" w:rsidRPr="00175D8B" w14:paraId="5026EF72" w14:textId="77777777" w:rsidTr="002550A6">
        <w:trPr>
          <w:trHeight w:val="810"/>
          <w:jc w:val="center"/>
        </w:trPr>
        <w:tc>
          <w:tcPr>
            <w:tcW w:w="970" w:type="dxa"/>
            <w:tcBorders>
              <w:top w:val="nil"/>
              <w:left w:val="single" w:sz="5" w:space="0" w:color="000000"/>
              <w:bottom w:val="single" w:sz="5" w:space="0" w:color="000000"/>
              <w:right w:val="single" w:sz="5" w:space="0" w:color="000000"/>
            </w:tcBorders>
            <w:shd w:val="clear" w:color="auto" w:fill="F1F1F1"/>
            <w:tcMar>
              <w:top w:w="0" w:type="dxa"/>
              <w:left w:w="0" w:type="dxa"/>
              <w:bottom w:w="0" w:type="dxa"/>
              <w:right w:w="0" w:type="dxa"/>
            </w:tcMar>
          </w:tcPr>
          <w:p w14:paraId="0A8A7C3A"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7DCC782F"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County</w:t>
            </w:r>
          </w:p>
        </w:tc>
        <w:tc>
          <w:tcPr>
            <w:tcW w:w="89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282BAF57"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Karasu AAT</w:t>
            </w:r>
          </w:p>
        </w:tc>
        <w:tc>
          <w:tcPr>
            <w:tcW w:w="681"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2EF277A5"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85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26E4C305"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84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11A54A2"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5A2D9F12"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171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233C55AD"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5CAF830C" w14:textId="5369F0B6"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9</w:t>
            </w:r>
            <w:r w:rsidR="00F2113F" w:rsidRPr="00175D8B">
              <w:rPr>
                <w:rFonts w:eastAsia="Aptos" w:cs="Aptos"/>
                <w:color w:val="000000" w:themeColor="text1"/>
                <w:sz w:val="20"/>
                <w:szCs w:val="20"/>
              </w:rPr>
              <w:t>.</w:t>
            </w:r>
            <w:r w:rsidRPr="00175D8B">
              <w:rPr>
                <w:rFonts w:eastAsia="Aptos" w:cs="Aptos"/>
                <w:color w:val="000000" w:themeColor="text1"/>
                <w:sz w:val="20"/>
                <w:szCs w:val="20"/>
              </w:rPr>
              <w:t>5</w:t>
            </w:r>
          </w:p>
        </w:tc>
        <w:tc>
          <w:tcPr>
            <w:tcW w:w="1134"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54433BD9"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325BE187" w14:textId="2244555A"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0</w:t>
            </w:r>
            <w:r w:rsidR="00F2113F" w:rsidRPr="00175D8B">
              <w:rPr>
                <w:rFonts w:eastAsia="Aptos" w:cs="Aptos"/>
                <w:color w:val="000000" w:themeColor="text1"/>
                <w:sz w:val="20"/>
                <w:szCs w:val="20"/>
              </w:rPr>
              <w:t>.</w:t>
            </w:r>
            <w:r w:rsidRPr="00175D8B">
              <w:rPr>
                <w:rFonts w:eastAsia="Aptos" w:cs="Aptos"/>
                <w:color w:val="000000" w:themeColor="text1"/>
                <w:sz w:val="20"/>
                <w:szCs w:val="20"/>
              </w:rPr>
              <w:t>12</w:t>
            </w:r>
          </w:p>
        </w:tc>
        <w:tc>
          <w:tcPr>
            <w:tcW w:w="99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09E7CEE3"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DSI</w:t>
            </w:r>
          </w:p>
          <w:p w14:paraId="1CF8A1F3"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Drying Channel</w:t>
            </w:r>
          </w:p>
        </w:tc>
        <w:tc>
          <w:tcPr>
            <w:tcW w:w="998"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0969A5B2"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35065CE8" w14:textId="328B325E"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49</w:t>
            </w:r>
            <w:r w:rsidR="00F2113F" w:rsidRPr="00175D8B">
              <w:rPr>
                <w:rFonts w:eastAsia="Aptos" w:cs="Aptos"/>
                <w:color w:val="000000" w:themeColor="text1"/>
                <w:sz w:val="20"/>
                <w:szCs w:val="20"/>
              </w:rPr>
              <w:t>,</w:t>
            </w:r>
            <w:r w:rsidRPr="00175D8B">
              <w:rPr>
                <w:rFonts w:eastAsia="Aptos" w:cs="Aptos"/>
                <w:color w:val="000000" w:themeColor="text1"/>
                <w:sz w:val="20"/>
                <w:szCs w:val="20"/>
              </w:rPr>
              <w:t>858</w:t>
            </w:r>
          </w:p>
        </w:tc>
      </w:tr>
      <w:tr w:rsidR="00E47114" w:rsidRPr="00175D8B" w14:paraId="38E89B52" w14:textId="77777777" w:rsidTr="002550A6">
        <w:trPr>
          <w:trHeight w:val="555"/>
          <w:jc w:val="center"/>
        </w:trPr>
        <w:tc>
          <w:tcPr>
            <w:tcW w:w="970" w:type="dxa"/>
            <w:tcBorders>
              <w:top w:val="nil"/>
              <w:left w:val="single" w:sz="5" w:space="0" w:color="000000"/>
              <w:bottom w:val="single" w:sz="5" w:space="0" w:color="000000"/>
              <w:right w:val="single" w:sz="5" w:space="0" w:color="000000"/>
            </w:tcBorders>
            <w:shd w:val="clear" w:color="auto" w:fill="F1F1F1"/>
            <w:tcMar>
              <w:top w:w="0" w:type="dxa"/>
              <w:left w:w="0" w:type="dxa"/>
              <w:bottom w:w="0" w:type="dxa"/>
              <w:right w:w="0" w:type="dxa"/>
            </w:tcMar>
          </w:tcPr>
          <w:p w14:paraId="00BCC6FA"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County</w:t>
            </w:r>
          </w:p>
        </w:tc>
        <w:tc>
          <w:tcPr>
            <w:tcW w:w="89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52A2123"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Kocaali WWTP</w:t>
            </w:r>
          </w:p>
        </w:tc>
        <w:tc>
          <w:tcPr>
            <w:tcW w:w="681"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C461E06"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85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48FA971C"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84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5083D939"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171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D31478E"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w:t>
            </w:r>
          </w:p>
        </w:tc>
        <w:tc>
          <w:tcPr>
            <w:tcW w:w="1134"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693095A" w14:textId="2117FD5E"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0</w:t>
            </w:r>
            <w:r w:rsidR="00F2113F" w:rsidRPr="00175D8B">
              <w:rPr>
                <w:rFonts w:eastAsia="Aptos" w:cs="Aptos"/>
                <w:color w:val="000000" w:themeColor="text1"/>
                <w:sz w:val="20"/>
                <w:szCs w:val="20"/>
              </w:rPr>
              <w:t>.</w:t>
            </w:r>
            <w:r w:rsidRPr="00175D8B">
              <w:rPr>
                <w:rFonts w:eastAsia="Aptos" w:cs="Aptos"/>
                <w:color w:val="000000" w:themeColor="text1"/>
                <w:sz w:val="20"/>
                <w:szCs w:val="20"/>
              </w:rPr>
              <w:t>03</w:t>
            </w:r>
          </w:p>
        </w:tc>
        <w:tc>
          <w:tcPr>
            <w:tcW w:w="99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21DA716D"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Imsirli</w:t>
            </w:r>
          </w:p>
          <w:p w14:paraId="543E311F"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Creek</w:t>
            </w:r>
          </w:p>
        </w:tc>
        <w:tc>
          <w:tcPr>
            <w:tcW w:w="998"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0EF59E3"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29583B53" w14:textId="305FC1FC"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13</w:t>
            </w:r>
            <w:r w:rsidR="00F2113F" w:rsidRPr="00175D8B">
              <w:rPr>
                <w:rFonts w:eastAsia="Aptos" w:cs="Aptos"/>
                <w:color w:val="000000" w:themeColor="text1"/>
                <w:sz w:val="20"/>
                <w:szCs w:val="20"/>
              </w:rPr>
              <w:t>,</w:t>
            </w:r>
            <w:r w:rsidRPr="00175D8B">
              <w:rPr>
                <w:rFonts w:eastAsia="Aptos" w:cs="Aptos"/>
                <w:color w:val="000000" w:themeColor="text1"/>
                <w:sz w:val="20"/>
                <w:szCs w:val="20"/>
              </w:rPr>
              <w:t>920</w:t>
            </w:r>
          </w:p>
        </w:tc>
      </w:tr>
      <w:tr w:rsidR="00E47114" w:rsidRPr="00175D8B" w14:paraId="5BEEA10A" w14:textId="77777777" w:rsidTr="002550A6">
        <w:trPr>
          <w:trHeight w:val="555"/>
          <w:jc w:val="center"/>
        </w:trPr>
        <w:tc>
          <w:tcPr>
            <w:tcW w:w="970" w:type="dxa"/>
            <w:tcBorders>
              <w:top w:val="nil"/>
              <w:left w:val="single" w:sz="5" w:space="0" w:color="000000"/>
              <w:bottom w:val="single" w:sz="5" w:space="0" w:color="000000"/>
              <w:right w:val="single" w:sz="5" w:space="0" w:color="000000"/>
            </w:tcBorders>
            <w:shd w:val="clear" w:color="auto" w:fill="F1F1F1"/>
            <w:tcMar>
              <w:top w:w="0" w:type="dxa"/>
              <w:left w:w="0" w:type="dxa"/>
              <w:bottom w:w="0" w:type="dxa"/>
              <w:right w:w="0" w:type="dxa"/>
            </w:tcMar>
          </w:tcPr>
          <w:p w14:paraId="4E9B6D28"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lastRenderedPageBreak/>
              <w:t>County</w:t>
            </w:r>
          </w:p>
        </w:tc>
        <w:tc>
          <w:tcPr>
            <w:tcW w:w="89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BB7859A"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Geyve</w:t>
            </w:r>
          </w:p>
          <w:p w14:paraId="0A8D3845"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AAT</w:t>
            </w:r>
          </w:p>
        </w:tc>
        <w:tc>
          <w:tcPr>
            <w:tcW w:w="681"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6B461F1"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85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11E4134"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84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0B83BE2"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171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6DE3EB1" w14:textId="64A1BB48"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7</w:t>
            </w:r>
            <w:r w:rsidR="00F2113F" w:rsidRPr="00175D8B">
              <w:rPr>
                <w:rFonts w:eastAsia="Aptos" w:cs="Aptos"/>
                <w:color w:val="000000" w:themeColor="text1"/>
                <w:sz w:val="20"/>
                <w:szCs w:val="20"/>
              </w:rPr>
              <w:t>.</w:t>
            </w:r>
            <w:r w:rsidRPr="00175D8B">
              <w:rPr>
                <w:rFonts w:eastAsia="Aptos" w:cs="Aptos"/>
                <w:color w:val="000000" w:themeColor="text1"/>
                <w:sz w:val="20"/>
                <w:szCs w:val="20"/>
              </w:rPr>
              <w:t>6</w:t>
            </w:r>
          </w:p>
        </w:tc>
        <w:tc>
          <w:tcPr>
            <w:tcW w:w="1134"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717F439" w14:textId="2B9AB816"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0</w:t>
            </w:r>
            <w:r w:rsidR="00F2113F" w:rsidRPr="00175D8B">
              <w:rPr>
                <w:rFonts w:eastAsia="Aptos" w:cs="Aptos"/>
                <w:color w:val="000000" w:themeColor="text1"/>
                <w:sz w:val="20"/>
                <w:szCs w:val="20"/>
              </w:rPr>
              <w:t>.</w:t>
            </w:r>
            <w:r w:rsidRPr="00175D8B">
              <w:rPr>
                <w:rFonts w:eastAsia="Aptos" w:cs="Aptos"/>
                <w:color w:val="000000" w:themeColor="text1"/>
                <w:sz w:val="20"/>
                <w:szCs w:val="20"/>
              </w:rPr>
              <w:t>1</w:t>
            </w:r>
          </w:p>
        </w:tc>
        <w:tc>
          <w:tcPr>
            <w:tcW w:w="99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D012C6F"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Sakarya</w:t>
            </w:r>
          </w:p>
          <w:p w14:paraId="611296BB"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River</w:t>
            </w:r>
          </w:p>
        </w:tc>
        <w:tc>
          <w:tcPr>
            <w:tcW w:w="998"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212D803E"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699D8B1C" w14:textId="6994F24A"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58</w:t>
            </w:r>
            <w:r w:rsidR="00F2113F" w:rsidRPr="00175D8B">
              <w:rPr>
                <w:rFonts w:eastAsia="Aptos" w:cs="Aptos"/>
                <w:color w:val="000000" w:themeColor="text1"/>
                <w:sz w:val="20"/>
                <w:szCs w:val="20"/>
              </w:rPr>
              <w:t>,</w:t>
            </w:r>
            <w:r w:rsidRPr="00175D8B">
              <w:rPr>
                <w:rFonts w:eastAsia="Aptos" w:cs="Aptos"/>
                <w:color w:val="000000" w:themeColor="text1"/>
                <w:sz w:val="20"/>
                <w:szCs w:val="20"/>
              </w:rPr>
              <w:t>033</w:t>
            </w:r>
          </w:p>
        </w:tc>
      </w:tr>
      <w:tr w:rsidR="00E47114" w:rsidRPr="00175D8B" w14:paraId="2F4CD551" w14:textId="77777777" w:rsidTr="002550A6">
        <w:trPr>
          <w:trHeight w:val="540"/>
          <w:jc w:val="center"/>
        </w:trPr>
        <w:tc>
          <w:tcPr>
            <w:tcW w:w="970" w:type="dxa"/>
            <w:tcBorders>
              <w:top w:val="nil"/>
              <w:left w:val="single" w:sz="5" w:space="0" w:color="000000"/>
              <w:bottom w:val="single" w:sz="5" w:space="0" w:color="000000"/>
              <w:right w:val="single" w:sz="5" w:space="0" w:color="000000"/>
            </w:tcBorders>
            <w:shd w:val="clear" w:color="auto" w:fill="F1F1F1"/>
            <w:tcMar>
              <w:top w:w="0" w:type="dxa"/>
              <w:left w:w="0" w:type="dxa"/>
              <w:bottom w:w="0" w:type="dxa"/>
              <w:right w:w="0" w:type="dxa"/>
            </w:tcMar>
          </w:tcPr>
          <w:p w14:paraId="6CA4DDBD"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0BDB8516"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County</w:t>
            </w:r>
          </w:p>
        </w:tc>
        <w:tc>
          <w:tcPr>
            <w:tcW w:w="89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F8D6658"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Caferiye WWTP</w:t>
            </w:r>
          </w:p>
        </w:tc>
        <w:tc>
          <w:tcPr>
            <w:tcW w:w="681"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E9C3780"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85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A0A1B50"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70C6C8F7"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84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518A425"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171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D5DCF05"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42DBD9C5" w14:textId="121FF9F8"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w:t>
            </w:r>
            <w:r w:rsidR="00F2113F" w:rsidRPr="00175D8B">
              <w:rPr>
                <w:rFonts w:eastAsia="Aptos" w:cs="Aptos"/>
                <w:color w:val="000000" w:themeColor="text1"/>
                <w:sz w:val="20"/>
                <w:szCs w:val="20"/>
              </w:rPr>
              <w:t>.</w:t>
            </w:r>
            <w:r w:rsidRPr="00175D8B">
              <w:rPr>
                <w:rFonts w:eastAsia="Aptos" w:cs="Aptos"/>
                <w:color w:val="000000" w:themeColor="text1"/>
                <w:sz w:val="20"/>
                <w:szCs w:val="20"/>
              </w:rPr>
              <w:t>6</w:t>
            </w:r>
          </w:p>
        </w:tc>
        <w:tc>
          <w:tcPr>
            <w:tcW w:w="1134"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073E243A"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76006762" w14:textId="6FC566F3"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0</w:t>
            </w:r>
            <w:r w:rsidR="00F2113F" w:rsidRPr="00175D8B">
              <w:rPr>
                <w:rFonts w:eastAsia="Aptos" w:cs="Aptos"/>
                <w:color w:val="000000" w:themeColor="text1"/>
                <w:sz w:val="20"/>
                <w:szCs w:val="20"/>
              </w:rPr>
              <w:t>.</w:t>
            </w:r>
            <w:r w:rsidRPr="00175D8B">
              <w:rPr>
                <w:rFonts w:eastAsia="Aptos" w:cs="Aptos"/>
                <w:color w:val="000000" w:themeColor="text1"/>
                <w:sz w:val="20"/>
                <w:szCs w:val="20"/>
              </w:rPr>
              <w:t>001</w:t>
            </w:r>
          </w:p>
        </w:tc>
        <w:tc>
          <w:tcPr>
            <w:tcW w:w="99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088B2227"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Dry</w:t>
            </w:r>
          </w:p>
          <w:p w14:paraId="5CA9D5E8"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Stream Bed</w:t>
            </w:r>
          </w:p>
        </w:tc>
        <w:tc>
          <w:tcPr>
            <w:tcW w:w="998"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A8017C5" w14:textId="77777777" w:rsidR="00E47114" w:rsidRPr="00175D8B" w:rsidRDefault="00E47114" w:rsidP="00E47114">
            <w:pPr>
              <w:spacing w:before="120" w:after="0" w:line="278" w:lineRule="auto"/>
              <w:jc w:val="center"/>
              <w:rPr>
                <w:rFonts w:eastAsia="Aptos" w:cs="Aptos"/>
                <w:color w:val="000000" w:themeColor="text1"/>
                <w:sz w:val="20"/>
                <w:szCs w:val="20"/>
              </w:rPr>
            </w:pPr>
          </w:p>
          <w:p w14:paraId="1F1CCF63" w14:textId="130A476D"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w:t>
            </w:r>
            <w:r w:rsidR="00F2113F" w:rsidRPr="00175D8B">
              <w:rPr>
                <w:rFonts w:eastAsia="Aptos" w:cs="Aptos"/>
                <w:color w:val="000000" w:themeColor="text1"/>
                <w:sz w:val="20"/>
                <w:szCs w:val="20"/>
              </w:rPr>
              <w:t>,</w:t>
            </w:r>
            <w:r w:rsidRPr="00175D8B">
              <w:rPr>
                <w:rFonts w:eastAsia="Aptos" w:cs="Aptos"/>
                <w:color w:val="000000" w:themeColor="text1"/>
                <w:sz w:val="20"/>
                <w:szCs w:val="20"/>
              </w:rPr>
              <w:t>500</w:t>
            </w:r>
          </w:p>
        </w:tc>
      </w:tr>
      <w:tr w:rsidR="00E47114" w:rsidRPr="00175D8B" w14:paraId="1AAB463A" w14:textId="77777777" w:rsidTr="002550A6">
        <w:trPr>
          <w:trHeight w:val="270"/>
          <w:jc w:val="center"/>
        </w:trPr>
        <w:tc>
          <w:tcPr>
            <w:tcW w:w="970" w:type="dxa"/>
            <w:tcBorders>
              <w:top w:val="nil"/>
              <w:left w:val="single" w:sz="5" w:space="0" w:color="000000"/>
              <w:bottom w:val="single" w:sz="5" w:space="0" w:color="000000"/>
              <w:right w:val="single" w:sz="5" w:space="0" w:color="000000"/>
            </w:tcBorders>
            <w:shd w:val="clear" w:color="auto" w:fill="F1F1F1"/>
            <w:tcMar>
              <w:top w:w="0" w:type="dxa"/>
              <w:left w:w="0" w:type="dxa"/>
              <w:bottom w:w="0" w:type="dxa"/>
              <w:right w:w="0" w:type="dxa"/>
            </w:tcMar>
          </w:tcPr>
          <w:p w14:paraId="31A061CA"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County</w:t>
            </w:r>
          </w:p>
        </w:tc>
        <w:tc>
          <w:tcPr>
            <w:tcW w:w="895"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70D4424B"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Taraklı</w:t>
            </w:r>
          </w:p>
        </w:tc>
        <w:tc>
          <w:tcPr>
            <w:tcW w:w="681"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A003521"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85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502EC76" w14:textId="77777777" w:rsidR="00E47114" w:rsidRPr="00175D8B" w:rsidRDefault="00E47114" w:rsidP="00E47114">
            <w:pPr>
              <w:spacing w:before="120" w:after="0" w:line="278" w:lineRule="auto"/>
              <w:jc w:val="center"/>
              <w:rPr>
                <w:rFonts w:eastAsia="Aptos" w:cs="Aptos"/>
                <w:color w:val="000000" w:themeColor="text1"/>
                <w:sz w:val="20"/>
                <w:szCs w:val="20"/>
              </w:rPr>
            </w:pPr>
          </w:p>
        </w:tc>
        <w:tc>
          <w:tcPr>
            <w:tcW w:w="84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2C362A8F"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1710"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50B7290" w14:textId="030B598A"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w:t>
            </w:r>
            <w:r w:rsidR="00F2113F" w:rsidRPr="00175D8B">
              <w:rPr>
                <w:rFonts w:eastAsia="Aptos" w:cs="Aptos"/>
                <w:color w:val="000000" w:themeColor="text1"/>
                <w:sz w:val="20"/>
                <w:szCs w:val="20"/>
              </w:rPr>
              <w:t>.</w:t>
            </w:r>
            <w:r w:rsidRPr="00175D8B">
              <w:rPr>
                <w:rFonts w:eastAsia="Aptos" w:cs="Aptos"/>
                <w:color w:val="000000" w:themeColor="text1"/>
                <w:sz w:val="20"/>
                <w:szCs w:val="20"/>
              </w:rPr>
              <w:t>9</w:t>
            </w:r>
          </w:p>
        </w:tc>
        <w:tc>
          <w:tcPr>
            <w:tcW w:w="1134"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1336C426" w14:textId="6576ADEA"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0</w:t>
            </w:r>
            <w:r w:rsidR="00F2113F" w:rsidRPr="00175D8B">
              <w:rPr>
                <w:rFonts w:eastAsia="Aptos" w:cs="Aptos"/>
                <w:color w:val="000000" w:themeColor="text1"/>
                <w:sz w:val="20"/>
                <w:szCs w:val="20"/>
              </w:rPr>
              <w:t>.</w:t>
            </w:r>
            <w:r w:rsidRPr="00175D8B">
              <w:rPr>
                <w:rFonts w:eastAsia="Aptos" w:cs="Aptos"/>
                <w:color w:val="000000" w:themeColor="text1"/>
                <w:sz w:val="20"/>
                <w:szCs w:val="20"/>
              </w:rPr>
              <w:t>023</w:t>
            </w:r>
          </w:p>
        </w:tc>
        <w:tc>
          <w:tcPr>
            <w:tcW w:w="992"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370FA45F" w14:textId="14FADF5A"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 xml:space="preserve">Göynük </w:t>
            </w:r>
            <w:r w:rsidR="00F2113F" w:rsidRPr="00175D8B">
              <w:rPr>
                <w:rFonts w:eastAsia="Aptos" w:cs="Aptos"/>
                <w:color w:val="000000" w:themeColor="text1"/>
                <w:sz w:val="20"/>
                <w:szCs w:val="20"/>
              </w:rPr>
              <w:t>Creek</w:t>
            </w:r>
          </w:p>
        </w:tc>
        <w:tc>
          <w:tcPr>
            <w:tcW w:w="998" w:type="dxa"/>
            <w:tcBorders>
              <w:top w:val="nil"/>
              <w:left w:val="nil"/>
              <w:bottom w:val="single" w:sz="5" w:space="0" w:color="000000"/>
              <w:right w:val="single" w:sz="5" w:space="0" w:color="000000"/>
            </w:tcBorders>
            <w:shd w:val="clear" w:color="auto" w:fill="F1F1F1"/>
            <w:tcMar>
              <w:top w:w="0" w:type="dxa"/>
              <w:left w:w="0" w:type="dxa"/>
              <w:bottom w:w="0" w:type="dxa"/>
              <w:right w:w="0" w:type="dxa"/>
            </w:tcMar>
          </w:tcPr>
          <w:p w14:paraId="6E219DAF" w14:textId="7757350B"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17</w:t>
            </w:r>
            <w:r w:rsidR="00F2113F" w:rsidRPr="00175D8B">
              <w:rPr>
                <w:rFonts w:eastAsia="Aptos" w:cs="Aptos"/>
                <w:color w:val="000000" w:themeColor="text1"/>
                <w:sz w:val="20"/>
                <w:szCs w:val="20"/>
              </w:rPr>
              <w:t>,</w:t>
            </w:r>
            <w:r w:rsidRPr="00175D8B">
              <w:rPr>
                <w:rFonts w:eastAsia="Aptos" w:cs="Aptos"/>
                <w:color w:val="000000" w:themeColor="text1"/>
                <w:sz w:val="20"/>
                <w:szCs w:val="20"/>
              </w:rPr>
              <w:t>000</w:t>
            </w:r>
          </w:p>
        </w:tc>
      </w:tr>
    </w:tbl>
    <w:p w14:paraId="4B40297E" w14:textId="77777777" w:rsidR="00A816AD" w:rsidRPr="00175D8B" w:rsidRDefault="00A816AD" w:rsidP="00A816AD">
      <w:pPr>
        <w:pBdr>
          <w:between w:val="nil"/>
        </w:pBdr>
        <w:spacing w:before="120" w:after="200" w:line="240" w:lineRule="auto"/>
        <w:ind w:left="360"/>
        <w:contextualSpacing/>
        <w:jc w:val="center"/>
        <w:rPr>
          <w:rFonts w:eastAsia="Aptos" w:cs="Aptos"/>
          <w:i/>
          <w:color w:val="000000"/>
          <w:sz w:val="18"/>
          <w:szCs w:val="18"/>
        </w:rPr>
      </w:pPr>
    </w:p>
    <w:p w14:paraId="4F209B8E" w14:textId="448C08F3" w:rsidR="00A816AD" w:rsidRPr="00175D8B" w:rsidRDefault="00A816AD" w:rsidP="00A816AD">
      <w:pPr>
        <w:pBdr>
          <w:between w:val="nil"/>
        </w:pBdr>
        <w:spacing w:before="120" w:after="200" w:line="240" w:lineRule="auto"/>
        <w:ind w:left="360"/>
        <w:contextualSpacing/>
        <w:jc w:val="center"/>
        <w:rPr>
          <w:rFonts w:eastAsia="Aptos" w:cs="Aptos"/>
          <w:i/>
          <w:color w:val="000000"/>
          <w:sz w:val="18"/>
          <w:szCs w:val="18"/>
        </w:rPr>
      </w:pPr>
      <w:r w:rsidRPr="00175D8B">
        <w:rPr>
          <w:rFonts w:eastAsia="Aptos" w:cs="Aptos"/>
          <w:b/>
          <w:bCs/>
          <w:i/>
          <w:color w:val="000000"/>
          <w:sz w:val="18"/>
          <w:szCs w:val="18"/>
        </w:rPr>
        <w:t>Source:</w:t>
      </w:r>
      <w:r w:rsidRPr="00175D8B">
        <w:rPr>
          <w:rFonts w:eastAsia="Aptos" w:cs="Aptos"/>
          <w:b/>
          <w:i/>
          <w:color w:val="000000"/>
          <w:sz w:val="18"/>
          <w:szCs w:val="18"/>
        </w:rPr>
        <w:t xml:space="preserve"> </w:t>
      </w:r>
      <w:r w:rsidRPr="00175D8B">
        <w:rPr>
          <w:rFonts w:eastAsia="Aptos" w:cs="Aptos"/>
          <w:bCs/>
          <w:i/>
          <w:color w:val="000000"/>
          <w:sz w:val="18"/>
          <w:szCs w:val="18"/>
        </w:rPr>
        <w:t>General Directorate of</w:t>
      </w:r>
      <w:r w:rsidRPr="00175D8B">
        <w:rPr>
          <w:rFonts w:eastAsia="Aptos" w:cs="Aptos"/>
          <w:b/>
          <w:i/>
          <w:color w:val="000000"/>
          <w:sz w:val="18"/>
          <w:szCs w:val="18"/>
        </w:rPr>
        <w:t xml:space="preserve"> </w:t>
      </w:r>
      <w:r w:rsidRPr="00175D8B">
        <w:rPr>
          <w:rFonts w:eastAsia="Aptos" w:cs="Aptos"/>
          <w:i/>
          <w:color w:val="000000" w:themeColor="text1"/>
          <w:sz w:val="18"/>
          <w:szCs w:val="18"/>
        </w:rPr>
        <w:t xml:space="preserve">Sakarya </w:t>
      </w:r>
      <w:r w:rsidRPr="00175D8B">
        <w:rPr>
          <w:rFonts w:eastAsia="Aptos" w:cs="Aptos"/>
          <w:i/>
          <w:color w:val="000000"/>
          <w:sz w:val="18"/>
          <w:szCs w:val="18"/>
        </w:rPr>
        <w:t>Water and Sewerage Administration, 2022</w:t>
      </w:r>
    </w:p>
    <w:p w14:paraId="37B1D817" w14:textId="77777777" w:rsidR="00E47114" w:rsidRPr="00175D8B" w:rsidRDefault="00E47114" w:rsidP="00E47114">
      <w:pPr>
        <w:keepNext/>
        <w:pBdr>
          <w:between w:val="nil"/>
        </w:pBdr>
        <w:spacing w:before="120" w:after="200" w:line="240" w:lineRule="auto"/>
        <w:ind w:left="360"/>
        <w:contextualSpacing/>
        <w:jc w:val="left"/>
        <w:rPr>
          <w:rFonts w:eastAsia="Aptos" w:cs="Aptos"/>
          <w:i/>
          <w:color w:val="000000" w:themeColor="text1"/>
          <w:sz w:val="20"/>
          <w:szCs w:val="20"/>
        </w:rPr>
      </w:pPr>
    </w:p>
    <w:p w14:paraId="5B7369EC" w14:textId="77777777" w:rsidR="00A816AD" w:rsidRPr="00175D8B" w:rsidRDefault="00E47114" w:rsidP="00F2113F">
      <w:pPr>
        <w:pBdr>
          <w:between w:val="nil"/>
        </w:pBdr>
        <w:spacing w:before="120" w:after="200" w:line="240" w:lineRule="auto"/>
        <w:contextualSpacing/>
        <w:rPr>
          <w:rFonts w:eastAsia="Aptos" w:cs="Aptos"/>
          <w:color w:val="000000" w:themeColor="text1"/>
          <w:sz w:val="18"/>
          <w:szCs w:val="18"/>
        </w:rPr>
      </w:pPr>
      <w:r w:rsidRPr="00175D8B">
        <w:rPr>
          <w:rFonts w:eastAsia="Aptos" w:cs="Aptos"/>
          <w:color w:val="000000" w:themeColor="text1"/>
          <w:sz w:val="18"/>
          <w:szCs w:val="18"/>
        </w:rPr>
        <w:t>*Within the scope of the "Continuous Wastewater Monitoring Systems (SAIS) Communiqué" published in the Official Gazette dated 22.03.2015 and numbered 29303, flow rate, pH, Conductivity, Dissolved Oxygen, Temperature and COD (Chemical Oxygen Demand) and AKM (Suspended Solids) parameters are monitored online 24/7 in the</w:t>
      </w:r>
    </w:p>
    <w:p w14:paraId="3CBBCCF6" w14:textId="441F59DB" w:rsidR="00E47114" w:rsidRPr="00175D8B" w:rsidRDefault="00E47114" w:rsidP="00F2113F">
      <w:pPr>
        <w:pBdr>
          <w:between w:val="nil"/>
        </w:pBdr>
        <w:spacing w:before="120" w:after="200" w:line="240" w:lineRule="auto"/>
        <w:contextualSpacing/>
        <w:rPr>
          <w:rFonts w:eastAsia="Aptos" w:cs="Aptos"/>
          <w:color w:val="000000" w:themeColor="text1"/>
          <w:sz w:val="18"/>
          <w:szCs w:val="18"/>
        </w:rPr>
      </w:pPr>
      <w:r w:rsidRPr="00175D8B">
        <w:rPr>
          <w:rFonts w:eastAsia="Aptos" w:cs="Aptos"/>
          <w:color w:val="000000" w:themeColor="text1"/>
          <w:sz w:val="18"/>
          <w:szCs w:val="18"/>
        </w:rPr>
        <w:t>effluent of the wastewater treatment plant with an installed capacity of 5,000 m3/day and above throughout the country. In this way, facilities are prevented from discharging their wastewater into our water resources without treatment.</w:t>
      </w:r>
    </w:p>
    <w:p w14:paraId="0BB2D4B5" w14:textId="77777777" w:rsidR="00E47114" w:rsidRPr="00175D8B" w:rsidRDefault="00E47114" w:rsidP="00E47114">
      <w:pPr>
        <w:pBdr>
          <w:between w:val="nil"/>
        </w:pBdr>
        <w:spacing w:before="120" w:after="200" w:line="240" w:lineRule="auto"/>
        <w:contextualSpacing/>
        <w:rPr>
          <w:rFonts w:eastAsia="Aptos" w:cs="Aptos"/>
          <w:color w:val="000000"/>
          <w:sz w:val="18"/>
          <w:szCs w:val="18"/>
        </w:rPr>
      </w:pPr>
    </w:p>
    <w:p w14:paraId="720B11A8" w14:textId="2765A779" w:rsidR="00172F44" w:rsidRPr="00175D8B" w:rsidRDefault="005061F2" w:rsidP="002550A6">
      <w:pPr>
        <w:pBdr>
          <w:top w:val="nil"/>
          <w:left w:val="nil"/>
          <w:bottom w:val="nil"/>
          <w:right w:val="nil"/>
          <w:between w:val="nil"/>
        </w:pBdr>
        <w:spacing w:after="200"/>
        <w:rPr>
          <w:bCs/>
          <w:iCs/>
          <w:color w:val="000000"/>
          <w:szCs w:val="22"/>
        </w:rPr>
      </w:pPr>
      <w:r w:rsidRPr="003F3C62">
        <w:rPr>
          <w:bCs/>
          <w:iCs/>
          <w:color w:val="000000"/>
        </w:rPr>
        <w:t xml:space="preserve">In </w:t>
      </w:r>
      <w:r w:rsidR="00320C8D" w:rsidRPr="00D8459F">
        <w:rPr>
          <w:bCs/>
          <w:iCs/>
          <w:color w:val="000000"/>
        </w:rPr>
        <w:fldChar w:fldCharType="begin"/>
      </w:r>
      <w:r w:rsidR="00320C8D" w:rsidRPr="00D8459F">
        <w:rPr>
          <w:bCs/>
          <w:iCs/>
          <w:color w:val="000000"/>
        </w:rPr>
        <w:instrText xml:space="preserve"> REF _Ref216102718 \h  \* MERGEFORMAT </w:instrText>
      </w:r>
      <w:r w:rsidR="00320C8D" w:rsidRPr="00D8459F">
        <w:rPr>
          <w:bCs/>
          <w:iCs/>
          <w:color w:val="000000"/>
        </w:rPr>
      </w:r>
      <w:r w:rsidR="00320C8D" w:rsidRPr="00D8459F">
        <w:rPr>
          <w:bCs/>
          <w:iCs/>
          <w:color w:val="000000"/>
        </w:rPr>
        <w:fldChar w:fldCharType="separate"/>
      </w:r>
      <w:r w:rsidR="00320C8D" w:rsidRPr="003F3C62">
        <w:rPr>
          <w:bCs/>
        </w:rPr>
        <w:t xml:space="preserve">Table </w:t>
      </w:r>
      <w:r w:rsidR="00320C8D" w:rsidRPr="003F3C62">
        <w:rPr>
          <w:bCs/>
          <w:noProof/>
        </w:rPr>
        <w:t>5</w:t>
      </w:r>
      <w:r w:rsidR="00320C8D" w:rsidRPr="00D8459F">
        <w:rPr>
          <w:bCs/>
          <w:iCs/>
          <w:color w:val="000000"/>
        </w:rPr>
        <w:fldChar w:fldCharType="end"/>
      </w:r>
      <w:r w:rsidRPr="003F3C62">
        <w:rPr>
          <w:bCs/>
          <w:iCs/>
          <w:color w:val="000000"/>
        </w:rPr>
        <w:t xml:space="preserve">, the WWTPs in Sakarya are classified by also the technique they use for treatment. </w:t>
      </w:r>
      <w:r w:rsidR="00172F44" w:rsidRPr="003F3C62">
        <w:rPr>
          <w:bCs/>
          <w:iCs/>
          <w:color w:val="000000"/>
        </w:rPr>
        <w:t>Physical treatment mechanically removes coarse debris and settleable solids via screening, grit removal, and primary settling. Natural wastewater treatment systems—such as constructed wetlands, stabilization ponds, and soil infiltration basins—use vegetation, soils, sunlight, and native microbial communities to remove pollutants with low energy and maintenance needs. Biological treatment uses microorganisms (e.g., activated sludge, sequencing batch, membrane bioreactors) to degrade dissolved organics and, when designed, remove nitrogen and phosphorus. Advanced treatment polishes effluent for strict discharge or reuse—adding chemical phosphorus removal, filtration, disinfection (ultraviolet light or chlorine), and options like activated carbon, membranes, or advanced oxidation to cut nutrients, pathogens, and micropollutants to very low levels.</w:t>
      </w:r>
    </w:p>
    <w:p w14:paraId="4635C84D" w14:textId="4F7C6D42" w:rsidR="00E47114" w:rsidRPr="00175D8B" w:rsidRDefault="00E47114" w:rsidP="002550A6">
      <w:pPr>
        <w:pStyle w:val="Balk2"/>
        <w:numPr>
          <w:ilvl w:val="2"/>
          <w:numId w:val="152"/>
        </w:numPr>
      </w:pPr>
      <w:bookmarkStart w:id="106" w:name="_Toc212541859"/>
      <w:bookmarkStart w:id="107" w:name="_Toc212542370"/>
      <w:bookmarkStart w:id="108" w:name="_Toc220672781"/>
      <w:r w:rsidRPr="00175D8B">
        <w:t>Sakarya Province Surface Water Resources and Underground Water Resources</w:t>
      </w:r>
      <w:bookmarkEnd w:id="106"/>
      <w:bookmarkEnd w:id="107"/>
      <w:bookmarkEnd w:id="108"/>
    </w:p>
    <w:p w14:paraId="263010A8" w14:textId="75E96403" w:rsidR="00204252" w:rsidRPr="00175D8B" w:rsidRDefault="00204252" w:rsidP="007225DF">
      <w:pPr>
        <w:spacing w:before="120" w:after="0"/>
        <w:rPr>
          <w:rFonts w:eastAsia="Aptos" w:cs="Aptos"/>
          <w:color w:val="000000" w:themeColor="text1"/>
          <w:szCs w:val="22"/>
        </w:rPr>
      </w:pPr>
      <w:r w:rsidRPr="00175D8B">
        <w:rPr>
          <w:rFonts w:eastAsia="Aptos" w:cs="Aptos"/>
          <w:color w:val="000000" w:themeColor="text1"/>
          <w:szCs w:val="22"/>
        </w:rPr>
        <w:t xml:space="preserve">As shown in </w:t>
      </w:r>
      <w:r w:rsidR="00320C8D" w:rsidRPr="00320C8D">
        <w:rPr>
          <w:rFonts w:eastAsia="Aptos" w:cs="Aptos"/>
          <w:color w:val="000000" w:themeColor="text1"/>
          <w:szCs w:val="22"/>
        </w:rPr>
        <w:fldChar w:fldCharType="begin"/>
      </w:r>
      <w:r w:rsidR="00320C8D" w:rsidRPr="00320C8D">
        <w:rPr>
          <w:rFonts w:eastAsia="Aptos" w:cs="Aptos"/>
          <w:color w:val="000000" w:themeColor="text1"/>
          <w:szCs w:val="22"/>
        </w:rPr>
        <w:instrText xml:space="preserve"> REF _Ref214647824 \h  \* MERGEFORMAT </w:instrText>
      </w:r>
      <w:r w:rsidR="00320C8D" w:rsidRPr="00320C8D">
        <w:rPr>
          <w:rFonts w:eastAsia="Aptos" w:cs="Aptos"/>
          <w:color w:val="000000" w:themeColor="text1"/>
          <w:szCs w:val="22"/>
        </w:rPr>
      </w:r>
      <w:r w:rsidR="00320C8D" w:rsidRPr="00320C8D">
        <w:rPr>
          <w:rFonts w:eastAsia="Aptos" w:cs="Aptos"/>
          <w:color w:val="000000" w:themeColor="text1"/>
          <w:szCs w:val="22"/>
        </w:rPr>
        <w:fldChar w:fldCharType="separate"/>
      </w:r>
      <w:r w:rsidR="00320C8D" w:rsidRPr="00320C8D">
        <w:t xml:space="preserve">Table </w:t>
      </w:r>
      <w:r w:rsidR="00320C8D" w:rsidRPr="00320C8D">
        <w:rPr>
          <w:noProof/>
        </w:rPr>
        <w:t>6</w:t>
      </w:r>
      <w:r w:rsidR="00320C8D" w:rsidRPr="00320C8D">
        <w:rPr>
          <w:rFonts w:eastAsia="Aptos" w:cs="Aptos"/>
          <w:color w:val="000000" w:themeColor="text1"/>
          <w:szCs w:val="22"/>
        </w:rPr>
        <w:fldChar w:fldCharType="end"/>
      </w:r>
      <w:r w:rsidR="00320C8D" w:rsidRPr="00320C8D">
        <w:rPr>
          <w:rFonts w:eastAsia="Aptos" w:cs="Aptos"/>
          <w:color w:val="000000" w:themeColor="text1"/>
          <w:szCs w:val="22"/>
        </w:rPr>
        <w:t>,</w:t>
      </w:r>
      <w:r w:rsidR="00320C8D">
        <w:rPr>
          <w:rFonts w:eastAsia="Aptos" w:cs="Aptos"/>
          <w:color w:val="000000" w:themeColor="text1"/>
          <w:szCs w:val="22"/>
        </w:rPr>
        <w:t xml:space="preserve"> </w:t>
      </w:r>
      <w:r w:rsidRPr="00175D8B">
        <w:rPr>
          <w:rFonts w:eastAsia="Aptos" w:cs="Aptos"/>
          <w:color w:val="000000" w:themeColor="text1"/>
          <w:szCs w:val="22"/>
        </w:rPr>
        <w:t xml:space="preserve">water resources in Sakarya are supplied through both surface water and groundwater. Surface water resources are monitored through stations established to track trophic levels. Although measurements taken in various boreholes for groundwater resources are not included in the water quality classification, these wells are primarily used for irrigation. However, excessive </w:t>
      </w:r>
      <w:r w:rsidRPr="00175D8B">
        <w:rPr>
          <w:rFonts w:eastAsia="Aptos" w:cs="Aptos"/>
          <w:color w:val="000000" w:themeColor="text1"/>
          <w:szCs w:val="22"/>
        </w:rPr>
        <w:lastRenderedPageBreak/>
        <w:t xml:space="preserve">fertilization and improper irrigation techniques pose a risk of increasing the trophic levels in these groundwater sources over time, </w:t>
      </w:r>
      <w:r w:rsidR="00E47114" w:rsidRPr="00175D8B">
        <w:rPr>
          <w:rFonts w:eastAsia="Aptos" w:cs="Aptos"/>
          <w:color w:val="000000" w:themeColor="text1"/>
          <w:szCs w:val="22"/>
        </w:rPr>
        <w:t>leading to increased nitrate pollution.</w:t>
      </w:r>
      <w:r w:rsidR="007225DF" w:rsidRPr="00175D8B">
        <w:rPr>
          <w:rStyle w:val="DipnotBavurusu"/>
          <w:rFonts w:eastAsia="Aptos" w:cs="Aptos"/>
          <w:color w:val="000000" w:themeColor="text1"/>
          <w:szCs w:val="22"/>
        </w:rPr>
        <w:footnoteReference w:id="10"/>
      </w:r>
    </w:p>
    <w:p w14:paraId="6D173641" w14:textId="3ABE36B1" w:rsidR="00F94756" w:rsidRPr="006C58C5" w:rsidRDefault="00F94756" w:rsidP="006C58C5">
      <w:pPr>
        <w:keepNext/>
        <w:spacing w:before="120" w:after="200" w:line="278" w:lineRule="auto"/>
        <w:jc w:val="center"/>
        <w:rPr>
          <w:rFonts w:eastAsia="Aptos" w:cs="Aptos"/>
          <w:i/>
          <w:iCs/>
          <w:color w:val="000000" w:themeColor="text1"/>
          <w:sz w:val="20"/>
          <w:szCs w:val="20"/>
        </w:rPr>
      </w:pPr>
      <w:bookmarkStart w:id="109" w:name="_Ref214647824"/>
      <w:bookmarkStart w:id="110" w:name="_Toc216344423"/>
      <w:r w:rsidRPr="006C58C5">
        <w:rPr>
          <w:b/>
          <w:bCs/>
          <w:i/>
          <w:iCs/>
        </w:rPr>
        <w:t xml:space="preserve">Table </w:t>
      </w:r>
      <w:r w:rsidRPr="006C58C5">
        <w:rPr>
          <w:b/>
          <w:bCs/>
          <w:i/>
          <w:iCs/>
        </w:rPr>
        <w:fldChar w:fldCharType="begin"/>
      </w:r>
      <w:r w:rsidRPr="006C58C5">
        <w:rPr>
          <w:b/>
          <w:bCs/>
          <w:i/>
          <w:iCs/>
        </w:rPr>
        <w:instrText xml:space="preserve"> SEQ Table \* ARABIC </w:instrText>
      </w:r>
      <w:r w:rsidRPr="006C58C5">
        <w:rPr>
          <w:b/>
          <w:bCs/>
          <w:i/>
          <w:iCs/>
        </w:rPr>
        <w:fldChar w:fldCharType="separate"/>
      </w:r>
      <w:r w:rsidR="00FE5FDE" w:rsidRPr="00175D8B">
        <w:rPr>
          <w:b/>
          <w:bCs/>
          <w:i/>
          <w:iCs/>
          <w:noProof/>
        </w:rPr>
        <w:t>6</w:t>
      </w:r>
      <w:r w:rsidRPr="006C58C5">
        <w:rPr>
          <w:b/>
          <w:bCs/>
          <w:i/>
          <w:iCs/>
        </w:rPr>
        <w:fldChar w:fldCharType="end"/>
      </w:r>
      <w:bookmarkEnd w:id="109"/>
      <w:r w:rsidR="006D791E" w:rsidRPr="00175D8B">
        <w:rPr>
          <w:b/>
          <w:bCs/>
          <w:i/>
          <w:iCs/>
        </w:rPr>
        <w:t>:</w:t>
      </w:r>
      <w:r w:rsidRPr="00175D8B">
        <w:t xml:space="preserve"> </w:t>
      </w:r>
      <w:r w:rsidRPr="00175D8B">
        <w:rPr>
          <w:rFonts w:eastAsia="Aptos" w:cs="Aptos"/>
          <w:bCs/>
          <w:i/>
          <w:iCs/>
          <w:color w:val="000000" w:themeColor="text1"/>
          <w:sz w:val="20"/>
          <w:szCs w:val="20"/>
        </w:rPr>
        <w:t>The Status of Surface Water and Groundwater</w:t>
      </w:r>
      <w:bookmarkEnd w:id="110"/>
      <w:r w:rsidRPr="00175D8B" w:rsidDel="009F0B92">
        <w:rPr>
          <w:rFonts w:eastAsia="Aptos" w:cs="Aptos"/>
          <w:b/>
          <w:i/>
          <w:iCs/>
          <w:color w:val="000000" w:themeColor="text1"/>
          <w:sz w:val="20"/>
          <w:szCs w:val="20"/>
        </w:rPr>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2976"/>
        <w:gridCol w:w="1701"/>
        <w:gridCol w:w="2268"/>
      </w:tblGrid>
      <w:tr w:rsidR="00E47114" w:rsidRPr="00175D8B" w14:paraId="41F50EA5" w14:textId="77777777" w:rsidTr="007E1FEA">
        <w:trPr>
          <w:tblHeader/>
          <w:jc w:val="center"/>
        </w:trPr>
        <w:tc>
          <w:tcPr>
            <w:tcW w:w="2127" w:type="dxa"/>
            <w:shd w:val="clear" w:color="auto" w:fill="ABB7C1"/>
          </w:tcPr>
          <w:p w14:paraId="3007A333" w14:textId="77777777" w:rsidR="00E47114" w:rsidRPr="00175D8B" w:rsidRDefault="00E47114" w:rsidP="00E47114">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Type of Water Source</w:t>
            </w:r>
          </w:p>
        </w:tc>
        <w:tc>
          <w:tcPr>
            <w:tcW w:w="2976" w:type="dxa"/>
            <w:shd w:val="clear" w:color="auto" w:fill="ABB7C1"/>
          </w:tcPr>
          <w:p w14:paraId="300CBB83" w14:textId="77777777" w:rsidR="00E47114" w:rsidRPr="00175D8B" w:rsidRDefault="00E47114" w:rsidP="00E47114">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Name of the Water Source</w:t>
            </w:r>
          </w:p>
        </w:tc>
        <w:tc>
          <w:tcPr>
            <w:tcW w:w="1701" w:type="dxa"/>
            <w:shd w:val="clear" w:color="auto" w:fill="ABB7C1"/>
          </w:tcPr>
          <w:p w14:paraId="73825E36" w14:textId="77777777" w:rsidR="00E47114" w:rsidRPr="00175D8B" w:rsidRDefault="00E47114" w:rsidP="00E47114">
            <w:pPr>
              <w:autoSpaceDE w:val="0"/>
              <w:autoSpaceDN w:val="0"/>
              <w:adjustRightInd w:val="0"/>
              <w:spacing w:before="120" w:after="0" w:line="278" w:lineRule="auto"/>
              <w:jc w:val="center"/>
              <w:rPr>
                <w:rFonts w:eastAsia="Aptos" w:cs="Garamond"/>
                <w:b/>
                <w:color w:val="262626"/>
                <w:sz w:val="20"/>
                <w:szCs w:val="20"/>
              </w:rPr>
            </w:pPr>
            <w:r w:rsidRPr="00175D8B">
              <w:rPr>
                <w:rFonts w:eastAsia="Aptos" w:cs="Garamond"/>
                <w:b/>
                <w:color w:val="262626"/>
                <w:sz w:val="20"/>
                <w:szCs w:val="20"/>
              </w:rPr>
              <w:t>General Water Quality</w:t>
            </w:r>
          </w:p>
          <w:p w14:paraId="6B6544B6" w14:textId="77777777" w:rsidR="00E47114" w:rsidRPr="00175D8B" w:rsidRDefault="00E47114" w:rsidP="00E47114">
            <w:pPr>
              <w:spacing w:before="120" w:after="0" w:line="278" w:lineRule="auto"/>
              <w:jc w:val="center"/>
              <w:rPr>
                <w:rFonts w:eastAsia="Aptos" w:cs="Aptos"/>
                <w:b/>
                <w:color w:val="000000" w:themeColor="text1"/>
                <w:sz w:val="20"/>
                <w:szCs w:val="20"/>
              </w:rPr>
            </w:pPr>
            <w:r w:rsidRPr="00175D8B">
              <w:rPr>
                <w:rFonts w:eastAsia="Aptos" w:cs="Garamond"/>
                <w:b/>
                <w:color w:val="262626"/>
                <w:sz w:val="20"/>
                <w:szCs w:val="20"/>
              </w:rPr>
              <w:t>Class</w:t>
            </w:r>
          </w:p>
        </w:tc>
        <w:tc>
          <w:tcPr>
            <w:tcW w:w="2268" w:type="dxa"/>
            <w:shd w:val="clear" w:color="auto" w:fill="ABB7C1"/>
          </w:tcPr>
          <w:p w14:paraId="2709E724" w14:textId="77777777" w:rsidR="00E47114" w:rsidRPr="00175D8B" w:rsidRDefault="00E47114" w:rsidP="00E47114">
            <w:pPr>
              <w:autoSpaceDE w:val="0"/>
              <w:autoSpaceDN w:val="0"/>
              <w:adjustRightInd w:val="0"/>
              <w:spacing w:before="120" w:after="0" w:line="278" w:lineRule="auto"/>
              <w:jc w:val="center"/>
              <w:rPr>
                <w:rFonts w:eastAsia="Aptos" w:cs="Garamond"/>
                <w:b/>
                <w:color w:val="262626"/>
                <w:sz w:val="20"/>
                <w:szCs w:val="20"/>
              </w:rPr>
            </w:pPr>
            <w:r w:rsidRPr="00175D8B">
              <w:rPr>
                <w:rFonts w:eastAsia="Aptos" w:cs="Garamond"/>
                <w:b/>
                <w:color w:val="262626"/>
                <w:sz w:val="20"/>
                <w:szCs w:val="20"/>
              </w:rPr>
              <w:t>Trophic Level of the Water Source</w:t>
            </w:r>
          </w:p>
        </w:tc>
      </w:tr>
      <w:tr w:rsidR="00E47114" w:rsidRPr="00175D8B" w14:paraId="1DB59F83" w14:textId="77777777" w:rsidTr="007E1FEA">
        <w:trPr>
          <w:jc w:val="center"/>
        </w:trPr>
        <w:tc>
          <w:tcPr>
            <w:tcW w:w="2127" w:type="dxa"/>
            <w:shd w:val="clear" w:color="auto" w:fill="F2F2F2"/>
            <w:vAlign w:val="bottom"/>
          </w:tcPr>
          <w:p w14:paraId="713F9D1D" w14:textId="4D73B9E6"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307B652F"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Sakarya River</w:t>
            </w:r>
          </w:p>
        </w:tc>
        <w:tc>
          <w:tcPr>
            <w:tcW w:w="1701" w:type="dxa"/>
            <w:shd w:val="clear" w:color="auto" w:fill="F2F2F2"/>
            <w:vAlign w:val="bottom"/>
          </w:tcPr>
          <w:p w14:paraId="08E59B76"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IV</w:t>
            </w:r>
          </w:p>
        </w:tc>
        <w:tc>
          <w:tcPr>
            <w:tcW w:w="2268" w:type="dxa"/>
            <w:shd w:val="clear" w:color="auto" w:fill="F2F2F2"/>
          </w:tcPr>
          <w:p w14:paraId="6B89BA1B"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Hypereutrophic</w:t>
            </w:r>
          </w:p>
        </w:tc>
      </w:tr>
      <w:tr w:rsidR="00E47114" w:rsidRPr="00175D8B" w14:paraId="16318348" w14:textId="77777777" w:rsidTr="007E1FEA">
        <w:trPr>
          <w:jc w:val="center"/>
        </w:trPr>
        <w:tc>
          <w:tcPr>
            <w:tcW w:w="2127" w:type="dxa"/>
            <w:shd w:val="clear" w:color="auto" w:fill="F2F2F2"/>
            <w:vAlign w:val="bottom"/>
          </w:tcPr>
          <w:p w14:paraId="5BB52840" w14:textId="6BAF78FB"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4FD5F9EA"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Mudurnu Stream</w:t>
            </w:r>
          </w:p>
        </w:tc>
        <w:tc>
          <w:tcPr>
            <w:tcW w:w="1701" w:type="dxa"/>
            <w:shd w:val="clear" w:color="auto" w:fill="F2F2F2"/>
            <w:vAlign w:val="bottom"/>
          </w:tcPr>
          <w:p w14:paraId="5EE1579A"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III</w:t>
            </w:r>
          </w:p>
        </w:tc>
        <w:tc>
          <w:tcPr>
            <w:tcW w:w="2268" w:type="dxa"/>
            <w:shd w:val="clear" w:color="auto" w:fill="F2F2F2"/>
          </w:tcPr>
          <w:p w14:paraId="05EAA7BC"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Eutrophic</w:t>
            </w:r>
          </w:p>
        </w:tc>
      </w:tr>
      <w:tr w:rsidR="00E47114" w:rsidRPr="00175D8B" w14:paraId="1BC4B3AB" w14:textId="77777777" w:rsidTr="007E1FEA">
        <w:trPr>
          <w:jc w:val="center"/>
        </w:trPr>
        <w:tc>
          <w:tcPr>
            <w:tcW w:w="2127" w:type="dxa"/>
            <w:shd w:val="clear" w:color="auto" w:fill="F2F2F2"/>
            <w:vAlign w:val="bottom"/>
          </w:tcPr>
          <w:p w14:paraId="04862C8A" w14:textId="45C11983"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2A675345"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Çark Creek</w:t>
            </w:r>
          </w:p>
        </w:tc>
        <w:tc>
          <w:tcPr>
            <w:tcW w:w="1701" w:type="dxa"/>
            <w:shd w:val="clear" w:color="auto" w:fill="F2F2F2"/>
            <w:vAlign w:val="bottom"/>
          </w:tcPr>
          <w:p w14:paraId="58F24D31"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III</w:t>
            </w:r>
          </w:p>
        </w:tc>
        <w:tc>
          <w:tcPr>
            <w:tcW w:w="2268" w:type="dxa"/>
            <w:shd w:val="clear" w:color="auto" w:fill="F2F2F2"/>
          </w:tcPr>
          <w:p w14:paraId="62882372"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Eutrophic</w:t>
            </w:r>
          </w:p>
        </w:tc>
      </w:tr>
      <w:tr w:rsidR="00E47114" w:rsidRPr="00175D8B" w14:paraId="1D306370" w14:textId="77777777" w:rsidTr="007E1FEA">
        <w:trPr>
          <w:jc w:val="center"/>
        </w:trPr>
        <w:tc>
          <w:tcPr>
            <w:tcW w:w="2127" w:type="dxa"/>
            <w:shd w:val="clear" w:color="auto" w:fill="F2F2F2"/>
            <w:vAlign w:val="bottom"/>
          </w:tcPr>
          <w:p w14:paraId="642D6622" w14:textId="1BFC98D3"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3CB41D57"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Acarlar Lake</w:t>
            </w:r>
          </w:p>
        </w:tc>
        <w:tc>
          <w:tcPr>
            <w:tcW w:w="1701" w:type="dxa"/>
            <w:shd w:val="clear" w:color="auto" w:fill="F2F2F2"/>
            <w:vAlign w:val="bottom"/>
          </w:tcPr>
          <w:p w14:paraId="64D6572A"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IV</w:t>
            </w:r>
          </w:p>
        </w:tc>
        <w:tc>
          <w:tcPr>
            <w:tcW w:w="2268" w:type="dxa"/>
            <w:shd w:val="clear" w:color="auto" w:fill="F2F2F2"/>
          </w:tcPr>
          <w:p w14:paraId="0DDAC7D1"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Hypereutrophic</w:t>
            </w:r>
          </w:p>
        </w:tc>
      </w:tr>
      <w:tr w:rsidR="00E47114" w:rsidRPr="00175D8B" w14:paraId="009A6A9A" w14:textId="77777777" w:rsidTr="007E1FEA">
        <w:trPr>
          <w:jc w:val="center"/>
        </w:trPr>
        <w:tc>
          <w:tcPr>
            <w:tcW w:w="2127" w:type="dxa"/>
            <w:shd w:val="clear" w:color="auto" w:fill="F2F2F2"/>
            <w:vAlign w:val="bottom"/>
          </w:tcPr>
          <w:p w14:paraId="6463703D" w14:textId="447F8F26"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55D5C8F9"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Sapanca Lake</w:t>
            </w:r>
          </w:p>
        </w:tc>
        <w:tc>
          <w:tcPr>
            <w:tcW w:w="1701" w:type="dxa"/>
            <w:shd w:val="clear" w:color="auto" w:fill="F2F2F2"/>
            <w:vAlign w:val="bottom"/>
          </w:tcPr>
          <w:p w14:paraId="058BD91E"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II</w:t>
            </w:r>
          </w:p>
        </w:tc>
        <w:tc>
          <w:tcPr>
            <w:tcW w:w="2268" w:type="dxa"/>
            <w:shd w:val="clear" w:color="auto" w:fill="F2F2F2"/>
          </w:tcPr>
          <w:p w14:paraId="61151383"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Mesotrophic</w:t>
            </w:r>
          </w:p>
        </w:tc>
      </w:tr>
      <w:tr w:rsidR="00E47114" w:rsidRPr="00175D8B" w14:paraId="5CF5A2EA" w14:textId="77777777" w:rsidTr="007E1FEA">
        <w:trPr>
          <w:jc w:val="center"/>
        </w:trPr>
        <w:tc>
          <w:tcPr>
            <w:tcW w:w="2127" w:type="dxa"/>
            <w:shd w:val="clear" w:color="auto" w:fill="F2F2F2"/>
            <w:vAlign w:val="bottom"/>
          </w:tcPr>
          <w:p w14:paraId="3EF83989" w14:textId="6CA37CFE"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53C42153"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Büyük Akgöl</w:t>
            </w:r>
          </w:p>
        </w:tc>
        <w:tc>
          <w:tcPr>
            <w:tcW w:w="1701" w:type="dxa"/>
            <w:shd w:val="clear" w:color="auto" w:fill="F2F2F2"/>
            <w:vAlign w:val="bottom"/>
          </w:tcPr>
          <w:p w14:paraId="263F4951"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IV</w:t>
            </w:r>
          </w:p>
        </w:tc>
        <w:tc>
          <w:tcPr>
            <w:tcW w:w="2268" w:type="dxa"/>
            <w:shd w:val="clear" w:color="auto" w:fill="F2F2F2"/>
          </w:tcPr>
          <w:p w14:paraId="64EC6BEF"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Hypereutrophic</w:t>
            </w:r>
          </w:p>
        </w:tc>
      </w:tr>
      <w:tr w:rsidR="00E47114" w:rsidRPr="00175D8B" w14:paraId="47EF52DC" w14:textId="77777777" w:rsidTr="007E1FEA">
        <w:trPr>
          <w:jc w:val="center"/>
        </w:trPr>
        <w:tc>
          <w:tcPr>
            <w:tcW w:w="2127" w:type="dxa"/>
            <w:shd w:val="clear" w:color="auto" w:fill="F2F2F2"/>
            <w:vAlign w:val="bottom"/>
          </w:tcPr>
          <w:p w14:paraId="5677C4D9" w14:textId="56FF1475"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4BC78A81"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Taşkısığı Lake</w:t>
            </w:r>
          </w:p>
        </w:tc>
        <w:tc>
          <w:tcPr>
            <w:tcW w:w="1701" w:type="dxa"/>
            <w:shd w:val="clear" w:color="auto" w:fill="F2F2F2"/>
            <w:vAlign w:val="bottom"/>
          </w:tcPr>
          <w:p w14:paraId="41195041"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IV</w:t>
            </w:r>
          </w:p>
        </w:tc>
        <w:tc>
          <w:tcPr>
            <w:tcW w:w="2268" w:type="dxa"/>
            <w:shd w:val="clear" w:color="auto" w:fill="F2F2F2"/>
          </w:tcPr>
          <w:p w14:paraId="03289BD8"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Hypereutrophic</w:t>
            </w:r>
          </w:p>
        </w:tc>
      </w:tr>
      <w:tr w:rsidR="00E47114" w:rsidRPr="00175D8B" w14:paraId="611178E1" w14:textId="77777777" w:rsidTr="007E1FEA">
        <w:trPr>
          <w:jc w:val="center"/>
        </w:trPr>
        <w:tc>
          <w:tcPr>
            <w:tcW w:w="2127" w:type="dxa"/>
            <w:shd w:val="clear" w:color="auto" w:fill="F2F2F2"/>
            <w:vAlign w:val="bottom"/>
          </w:tcPr>
          <w:p w14:paraId="434A8DE7" w14:textId="12C0B3D5"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1E32A871"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Küçük Akgöl</w:t>
            </w:r>
          </w:p>
        </w:tc>
        <w:tc>
          <w:tcPr>
            <w:tcW w:w="1701" w:type="dxa"/>
            <w:shd w:val="clear" w:color="auto" w:fill="F2F2F2"/>
            <w:vAlign w:val="bottom"/>
          </w:tcPr>
          <w:p w14:paraId="1874C282"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IV</w:t>
            </w:r>
          </w:p>
        </w:tc>
        <w:tc>
          <w:tcPr>
            <w:tcW w:w="2268" w:type="dxa"/>
            <w:shd w:val="clear" w:color="auto" w:fill="F2F2F2"/>
          </w:tcPr>
          <w:p w14:paraId="5256A554"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Hypereutrophic</w:t>
            </w:r>
          </w:p>
        </w:tc>
      </w:tr>
      <w:tr w:rsidR="00E47114" w:rsidRPr="00175D8B" w14:paraId="008064C5" w14:textId="77777777" w:rsidTr="007E1FEA">
        <w:trPr>
          <w:jc w:val="center"/>
        </w:trPr>
        <w:tc>
          <w:tcPr>
            <w:tcW w:w="2127" w:type="dxa"/>
            <w:shd w:val="clear" w:color="auto" w:fill="F2F2F2"/>
            <w:vAlign w:val="bottom"/>
          </w:tcPr>
          <w:p w14:paraId="7657491E" w14:textId="05BFB85E"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0D9D0DFF"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Poyrazlar Lake</w:t>
            </w:r>
          </w:p>
        </w:tc>
        <w:tc>
          <w:tcPr>
            <w:tcW w:w="1701" w:type="dxa"/>
            <w:shd w:val="clear" w:color="auto" w:fill="F2F2F2"/>
            <w:vAlign w:val="bottom"/>
          </w:tcPr>
          <w:p w14:paraId="5D2E9A1F"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II</w:t>
            </w:r>
          </w:p>
        </w:tc>
        <w:tc>
          <w:tcPr>
            <w:tcW w:w="2268" w:type="dxa"/>
            <w:shd w:val="clear" w:color="auto" w:fill="F2F2F2"/>
          </w:tcPr>
          <w:p w14:paraId="5FDB70B9"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Mesotrophic</w:t>
            </w:r>
          </w:p>
        </w:tc>
      </w:tr>
      <w:tr w:rsidR="00E47114" w:rsidRPr="00175D8B" w14:paraId="4F55BC48" w14:textId="77777777" w:rsidTr="007E1FEA">
        <w:trPr>
          <w:jc w:val="center"/>
        </w:trPr>
        <w:tc>
          <w:tcPr>
            <w:tcW w:w="2127" w:type="dxa"/>
            <w:shd w:val="clear" w:color="auto" w:fill="F2F2F2"/>
            <w:vAlign w:val="bottom"/>
          </w:tcPr>
          <w:p w14:paraId="58A67AD5" w14:textId="2710944A"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05C33019"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Dinsiz Stream</w:t>
            </w:r>
          </w:p>
        </w:tc>
        <w:tc>
          <w:tcPr>
            <w:tcW w:w="1701" w:type="dxa"/>
            <w:shd w:val="clear" w:color="auto" w:fill="F2F2F2"/>
            <w:vAlign w:val="bottom"/>
          </w:tcPr>
          <w:p w14:paraId="2C18F18C"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III</w:t>
            </w:r>
          </w:p>
        </w:tc>
        <w:tc>
          <w:tcPr>
            <w:tcW w:w="2268" w:type="dxa"/>
            <w:shd w:val="clear" w:color="auto" w:fill="F2F2F2"/>
          </w:tcPr>
          <w:p w14:paraId="53F73FC1"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Eutrophic</w:t>
            </w:r>
          </w:p>
        </w:tc>
      </w:tr>
      <w:tr w:rsidR="00E47114" w:rsidRPr="00175D8B" w14:paraId="78A3FCC1" w14:textId="77777777" w:rsidTr="007E1FEA">
        <w:trPr>
          <w:jc w:val="center"/>
        </w:trPr>
        <w:tc>
          <w:tcPr>
            <w:tcW w:w="2127" w:type="dxa"/>
            <w:shd w:val="clear" w:color="auto" w:fill="F2F2F2"/>
            <w:vAlign w:val="bottom"/>
          </w:tcPr>
          <w:p w14:paraId="272508F3" w14:textId="42159FD1"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52D5103E"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Maden Creek</w:t>
            </w:r>
          </w:p>
        </w:tc>
        <w:tc>
          <w:tcPr>
            <w:tcW w:w="1701" w:type="dxa"/>
            <w:shd w:val="clear" w:color="auto" w:fill="F2F2F2"/>
            <w:vAlign w:val="bottom"/>
          </w:tcPr>
          <w:p w14:paraId="52DCFCAE"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III</w:t>
            </w:r>
          </w:p>
        </w:tc>
        <w:tc>
          <w:tcPr>
            <w:tcW w:w="2268" w:type="dxa"/>
            <w:shd w:val="clear" w:color="auto" w:fill="F2F2F2"/>
          </w:tcPr>
          <w:p w14:paraId="02D6771B"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Eutrophic</w:t>
            </w:r>
          </w:p>
        </w:tc>
      </w:tr>
      <w:tr w:rsidR="00E47114" w:rsidRPr="00175D8B" w14:paraId="694914D2" w14:textId="77777777" w:rsidTr="007E1FEA">
        <w:trPr>
          <w:jc w:val="center"/>
        </w:trPr>
        <w:tc>
          <w:tcPr>
            <w:tcW w:w="2127" w:type="dxa"/>
            <w:shd w:val="clear" w:color="auto" w:fill="F2F2F2"/>
            <w:vAlign w:val="bottom"/>
          </w:tcPr>
          <w:p w14:paraId="46246FED" w14:textId="52A0F2F6"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7EE6B295"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Esmegölü Creek</w:t>
            </w:r>
          </w:p>
        </w:tc>
        <w:tc>
          <w:tcPr>
            <w:tcW w:w="1701" w:type="dxa"/>
            <w:shd w:val="clear" w:color="auto" w:fill="F2F2F2"/>
            <w:vAlign w:val="bottom"/>
          </w:tcPr>
          <w:p w14:paraId="735DF603"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III</w:t>
            </w:r>
          </w:p>
        </w:tc>
        <w:tc>
          <w:tcPr>
            <w:tcW w:w="2268" w:type="dxa"/>
            <w:shd w:val="clear" w:color="auto" w:fill="F2F2F2"/>
          </w:tcPr>
          <w:p w14:paraId="76B3C2E7"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Eutrophic</w:t>
            </w:r>
          </w:p>
        </w:tc>
      </w:tr>
      <w:tr w:rsidR="00E47114" w:rsidRPr="00175D8B" w14:paraId="5CDD6530" w14:textId="77777777" w:rsidTr="007E1FEA">
        <w:trPr>
          <w:jc w:val="center"/>
        </w:trPr>
        <w:tc>
          <w:tcPr>
            <w:tcW w:w="2127" w:type="dxa"/>
            <w:shd w:val="clear" w:color="auto" w:fill="F2F2F2"/>
            <w:vAlign w:val="bottom"/>
          </w:tcPr>
          <w:p w14:paraId="33B0B4B3" w14:textId="03959FA3"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1D110CE6"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Darıçayır Creek</w:t>
            </w:r>
          </w:p>
        </w:tc>
        <w:tc>
          <w:tcPr>
            <w:tcW w:w="1701" w:type="dxa"/>
            <w:shd w:val="clear" w:color="auto" w:fill="F2F2F2"/>
            <w:vAlign w:val="bottom"/>
          </w:tcPr>
          <w:p w14:paraId="32288D2D"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IV</w:t>
            </w:r>
          </w:p>
        </w:tc>
        <w:tc>
          <w:tcPr>
            <w:tcW w:w="2268" w:type="dxa"/>
            <w:shd w:val="clear" w:color="auto" w:fill="F2F2F2"/>
          </w:tcPr>
          <w:p w14:paraId="58BCC4F9"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Hypereutrophic</w:t>
            </w:r>
          </w:p>
        </w:tc>
      </w:tr>
      <w:tr w:rsidR="00E47114" w:rsidRPr="00175D8B" w14:paraId="4FF41CC2" w14:textId="77777777" w:rsidTr="007E1FEA">
        <w:trPr>
          <w:jc w:val="center"/>
        </w:trPr>
        <w:tc>
          <w:tcPr>
            <w:tcW w:w="2127" w:type="dxa"/>
            <w:shd w:val="clear" w:color="auto" w:fill="F2F2F2"/>
            <w:vAlign w:val="bottom"/>
          </w:tcPr>
          <w:p w14:paraId="347FCF62" w14:textId="1E19E2A5"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2643C07D"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Melen Creek</w:t>
            </w:r>
          </w:p>
        </w:tc>
        <w:tc>
          <w:tcPr>
            <w:tcW w:w="1701" w:type="dxa"/>
            <w:shd w:val="clear" w:color="auto" w:fill="F2F2F2"/>
            <w:vAlign w:val="bottom"/>
          </w:tcPr>
          <w:p w14:paraId="103C45BE"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IV</w:t>
            </w:r>
          </w:p>
        </w:tc>
        <w:tc>
          <w:tcPr>
            <w:tcW w:w="2268" w:type="dxa"/>
            <w:shd w:val="clear" w:color="auto" w:fill="F2F2F2"/>
          </w:tcPr>
          <w:p w14:paraId="734C44B1"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Hypereutrophic</w:t>
            </w:r>
          </w:p>
        </w:tc>
      </w:tr>
      <w:tr w:rsidR="00E47114" w:rsidRPr="00175D8B" w14:paraId="08C6C751" w14:textId="77777777" w:rsidTr="007E1FEA">
        <w:trPr>
          <w:jc w:val="center"/>
        </w:trPr>
        <w:tc>
          <w:tcPr>
            <w:tcW w:w="2127" w:type="dxa"/>
            <w:shd w:val="clear" w:color="auto" w:fill="F2F2F2"/>
            <w:vAlign w:val="bottom"/>
          </w:tcPr>
          <w:p w14:paraId="63000C07" w14:textId="621890C8"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13DA424F"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Sapanca Aygır Creek</w:t>
            </w:r>
          </w:p>
        </w:tc>
        <w:tc>
          <w:tcPr>
            <w:tcW w:w="1701" w:type="dxa"/>
            <w:shd w:val="clear" w:color="auto" w:fill="F2F2F2"/>
            <w:vAlign w:val="bottom"/>
          </w:tcPr>
          <w:p w14:paraId="372E9B67"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III</w:t>
            </w:r>
          </w:p>
        </w:tc>
        <w:tc>
          <w:tcPr>
            <w:tcW w:w="2268" w:type="dxa"/>
            <w:shd w:val="clear" w:color="auto" w:fill="F2F2F2"/>
          </w:tcPr>
          <w:p w14:paraId="120C9BEE"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Eutrophic</w:t>
            </w:r>
          </w:p>
        </w:tc>
      </w:tr>
      <w:tr w:rsidR="00E47114" w:rsidRPr="00175D8B" w14:paraId="6C064E42" w14:textId="77777777" w:rsidTr="007E1FEA">
        <w:trPr>
          <w:jc w:val="center"/>
        </w:trPr>
        <w:tc>
          <w:tcPr>
            <w:tcW w:w="2127" w:type="dxa"/>
            <w:shd w:val="clear" w:color="auto" w:fill="F2F2F2"/>
            <w:vAlign w:val="bottom"/>
          </w:tcPr>
          <w:p w14:paraId="4CD91756" w14:textId="63773560"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3F611ED3"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Kurtköy Creek</w:t>
            </w:r>
          </w:p>
        </w:tc>
        <w:tc>
          <w:tcPr>
            <w:tcW w:w="1701" w:type="dxa"/>
            <w:shd w:val="clear" w:color="auto" w:fill="F2F2F2"/>
            <w:vAlign w:val="bottom"/>
          </w:tcPr>
          <w:p w14:paraId="0BE863AA"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III</w:t>
            </w:r>
          </w:p>
        </w:tc>
        <w:tc>
          <w:tcPr>
            <w:tcW w:w="2268" w:type="dxa"/>
            <w:shd w:val="clear" w:color="auto" w:fill="F2F2F2"/>
          </w:tcPr>
          <w:p w14:paraId="6D443085"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Eutrophic</w:t>
            </w:r>
          </w:p>
        </w:tc>
      </w:tr>
      <w:tr w:rsidR="00E47114" w:rsidRPr="00175D8B" w14:paraId="41F62A1E" w14:textId="77777777" w:rsidTr="007E1FEA">
        <w:trPr>
          <w:jc w:val="center"/>
        </w:trPr>
        <w:tc>
          <w:tcPr>
            <w:tcW w:w="2127" w:type="dxa"/>
            <w:shd w:val="clear" w:color="auto" w:fill="F2F2F2"/>
            <w:vAlign w:val="bottom"/>
          </w:tcPr>
          <w:p w14:paraId="48F52234" w14:textId="6F479337"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7F2DF1D7"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Gevye Doğançay Creek</w:t>
            </w:r>
          </w:p>
        </w:tc>
        <w:tc>
          <w:tcPr>
            <w:tcW w:w="1701" w:type="dxa"/>
            <w:shd w:val="clear" w:color="auto" w:fill="F2F2F2"/>
            <w:vAlign w:val="bottom"/>
          </w:tcPr>
          <w:p w14:paraId="20A3B3DA"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III</w:t>
            </w:r>
          </w:p>
        </w:tc>
        <w:tc>
          <w:tcPr>
            <w:tcW w:w="2268" w:type="dxa"/>
            <w:shd w:val="clear" w:color="auto" w:fill="F2F2F2"/>
          </w:tcPr>
          <w:p w14:paraId="433777A7"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Eutrophic</w:t>
            </w:r>
          </w:p>
        </w:tc>
      </w:tr>
      <w:tr w:rsidR="00E47114" w:rsidRPr="00175D8B" w14:paraId="04A7DB1E" w14:textId="77777777" w:rsidTr="007E1FEA">
        <w:trPr>
          <w:jc w:val="center"/>
        </w:trPr>
        <w:tc>
          <w:tcPr>
            <w:tcW w:w="2127" w:type="dxa"/>
            <w:shd w:val="clear" w:color="auto" w:fill="F2F2F2"/>
            <w:vAlign w:val="bottom"/>
          </w:tcPr>
          <w:p w14:paraId="1BBAA2AF" w14:textId="27E7A20A"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61FFC89F"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Değirmendere</w:t>
            </w:r>
          </w:p>
        </w:tc>
        <w:tc>
          <w:tcPr>
            <w:tcW w:w="1701" w:type="dxa"/>
            <w:shd w:val="clear" w:color="auto" w:fill="F2F2F2"/>
            <w:vAlign w:val="bottom"/>
          </w:tcPr>
          <w:p w14:paraId="2CC06CAE"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III</w:t>
            </w:r>
          </w:p>
        </w:tc>
        <w:tc>
          <w:tcPr>
            <w:tcW w:w="2268" w:type="dxa"/>
            <w:shd w:val="clear" w:color="auto" w:fill="F2F2F2"/>
          </w:tcPr>
          <w:p w14:paraId="6D161EC8"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Eutrophic</w:t>
            </w:r>
          </w:p>
        </w:tc>
      </w:tr>
      <w:tr w:rsidR="00E47114" w:rsidRPr="00175D8B" w14:paraId="2CA17C98" w14:textId="77777777" w:rsidTr="007E1FEA">
        <w:trPr>
          <w:jc w:val="center"/>
        </w:trPr>
        <w:tc>
          <w:tcPr>
            <w:tcW w:w="2127" w:type="dxa"/>
            <w:shd w:val="clear" w:color="auto" w:fill="F2F2F2"/>
            <w:vAlign w:val="bottom"/>
          </w:tcPr>
          <w:p w14:paraId="368DB623" w14:textId="7C401340"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759124F1"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Yırtmaç Creek</w:t>
            </w:r>
          </w:p>
        </w:tc>
        <w:tc>
          <w:tcPr>
            <w:tcW w:w="1701" w:type="dxa"/>
            <w:shd w:val="clear" w:color="auto" w:fill="F2F2F2"/>
            <w:vAlign w:val="bottom"/>
          </w:tcPr>
          <w:p w14:paraId="5C4335A6"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III</w:t>
            </w:r>
          </w:p>
        </w:tc>
        <w:tc>
          <w:tcPr>
            <w:tcW w:w="2268" w:type="dxa"/>
            <w:shd w:val="clear" w:color="auto" w:fill="F2F2F2"/>
          </w:tcPr>
          <w:p w14:paraId="196E0423"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Eutrophic</w:t>
            </w:r>
          </w:p>
        </w:tc>
      </w:tr>
      <w:tr w:rsidR="00E47114" w:rsidRPr="00175D8B" w14:paraId="2B91B165" w14:textId="77777777" w:rsidTr="007E1FEA">
        <w:trPr>
          <w:jc w:val="center"/>
        </w:trPr>
        <w:tc>
          <w:tcPr>
            <w:tcW w:w="2127" w:type="dxa"/>
            <w:shd w:val="clear" w:color="auto" w:fill="F2F2F2"/>
            <w:vAlign w:val="bottom"/>
          </w:tcPr>
          <w:p w14:paraId="4A35B0CE" w14:textId="412F723D"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08CCA3A9"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Akçay Creek</w:t>
            </w:r>
          </w:p>
        </w:tc>
        <w:tc>
          <w:tcPr>
            <w:tcW w:w="1701" w:type="dxa"/>
            <w:shd w:val="clear" w:color="auto" w:fill="F2F2F2"/>
            <w:vAlign w:val="bottom"/>
          </w:tcPr>
          <w:p w14:paraId="2DAF2F30"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III</w:t>
            </w:r>
          </w:p>
        </w:tc>
        <w:tc>
          <w:tcPr>
            <w:tcW w:w="2268" w:type="dxa"/>
            <w:shd w:val="clear" w:color="auto" w:fill="F2F2F2"/>
          </w:tcPr>
          <w:p w14:paraId="34B1FF08"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Eutrophic</w:t>
            </w:r>
          </w:p>
        </w:tc>
      </w:tr>
      <w:tr w:rsidR="00E47114" w:rsidRPr="00175D8B" w14:paraId="5BED6C83" w14:textId="77777777" w:rsidTr="007E1FEA">
        <w:trPr>
          <w:jc w:val="center"/>
        </w:trPr>
        <w:tc>
          <w:tcPr>
            <w:tcW w:w="2127" w:type="dxa"/>
            <w:shd w:val="clear" w:color="auto" w:fill="F2F2F2"/>
            <w:vAlign w:val="bottom"/>
          </w:tcPr>
          <w:p w14:paraId="0F4F4137" w14:textId="543E6EE4"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Calibri"/>
                <w:color w:val="000000"/>
                <w:sz w:val="20"/>
                <w:szCs w:val="20"/>
              </w:rPr>
              <w:t>Surface</w:t>
            </w:r>
          </w:p>
        </w:tc>
        <w:tc>
          <w:tcPr>
            <w:tcW w:w="2976" w:type="dxa"/>
            <w:shd w:val="clear" w:color="auto" w:fill="F2F2F2"/>
            <w:vAlign w:val="bottom"/>
          </w:tcPr>
          <w:p w14:paraId="6E85A66E"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Karaçay Creek</w:t>
            </w:r>
          </w:p>
        </w:tc>
        <w:tc>
          <w:tcPr>
            <w:tcW w:w="1701" w:type="dxa"/>
            <w:shd w:val="clear" w:color="auto" w:fill="F2F2F2"/>
            <w:vAlign w:val="bottom"/>
          </w:tcPr>
          <w:p w14:paraId="184EC6CB"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III</w:t>
            </w:r>
          </w:p>
        </w:tc>
        <w:tc>
          <w:tcPr>
            <w:tcW w:w="2268" w:type="dxa"/>
            <w:shd w:val="clear" w:color="auto" w:fill="F2F2F2"/>
          </w:tcPr>
          <w:p w14:paraId="212D24E7"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Eutrophic</w:t>
            </w:r>
          </w:p>
        </w:tc>
      </w:tr>
      <w:tr w:rsidR="00E47114" w:rsidRPr="00175D8B" w14:paraId="3C31D39F" w14:textId="77777777" w:rsidTr="007E1FEA">
        <w:trPr>
          <w:jc w:val="center"/>
        </w:trPr>
        <w:tc>
          <w:tcPr>
            <w:tcW w:w="2127" w:type="dxa"/>
            <w:shd w:val="clear" w:color="auto" w:fill="F2F2F2"/>
            <w:vAlign w:val="bottom"/>
          </w:tcPr>
          <w:p w14:paraId="3E68B914" w14:textId="7A310DC5"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29105C9"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Akyazı Drilling Tm 3</w:t>
            </w:r>
          </w:p>
        </w:tc>
        <w:tc>
          <w:tcPr>
            <w:tcW w:w="1701" w:type="dxa"/>
            <w:shd w:val="clear" w:color="auto" w:fill="F2F2F2"/>
            <w:vAlign w:val="bottom"/>
          </w:tcPr>
          <w:p w14:paraId="2097E1D6"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DBFA535"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E47114" w:rsidRPr="00175D8B" w14:paraId="61E79F5D" w14:textId="77777777" w:rsidTr="007E1FEA">
        <w:trPr>
          <w:jc w:val="center"/>
        </w:trPr>
        <w:tc>
          <w:tcPr>
            <w:tcW w:w="2127" w:type="dxa"/>
            <w:shd w:val="clear" w:color="auto" w:fill="F2F2F2"/>
            <w:vAlign w:val="bottom"/>
          </w:tcPr>
          <w:p w14:paraId="5E904DDB" w14:textId="46EA42D1"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107B541"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Acella Plateau Drilling</w:t>
            </w:r>
          </w:p>
        </w:tc>
        <w:tc>
          <w:tcPr>
            <w:tcW w:w="1701" w:type="dxa"/>
            <w:shd w:val="clear" w:color="auto" w:fill="F2F2F2"/>
            <w:vAlign w:val="bottom"/>
          </w:tcPr>
          <w:p w14:paraId="7FC171A0"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B31005C"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E47114" w:rsidRPr="00175D8B" w14:paraId="6277B6E5" w14:textId="77777777" w:rsidTr="007E1FEA">
        <w:trPr>
          <w:jc w:val="center"/>
        </w:trPr>
        <w:tc>
          <w:tcPr>
            <w:tcW w:w="2127" w:type="dxa"/>
            <w:shd w:val="clear" w:color="auto" w:fill="F2F2F2"/>
            <w:vAlign w:val="bottom"/>
          </w:tcPr>
          <w:p w14:paraId="0DD999BD" w14:textId="24121655"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FEBB12A"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Mekece Drilling 3</w:t>
            </w:r>
          </w:p>
        </w:tc>
        <w:tc>
          <w:tcPr>
            <w:tcW w:w="1701" w:type="dxa"/>
            <w:shd w:val="clear" w:color="auto" w:fill="F2F2F2"/>
            <w:vAlign w:val="bottom"/>
          </w:tcPr>
          <w:p w14:paraId="3FF8795D"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A54CE36"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E47114" w:rsidRPr="00175D8B" w14:paraId="42FAA5DE" w14:textId="77777777" w:rsidTr="007E1FEA">
        <w:trPr>
          <w:jc w:val="center"/>
        </w:trPr>
        <w:tc>
          <w:tcPr>
            <w:tcW w:w="2127" w:type="dxa"/>
            <w:shd w:val="clear" w:color="auto" w:fill="F2F2F2"/>
            <w:vAlign w:val="bottom"/>
          </w:tcPr>
          <w:p w14:paraId="25B061C2" w14:textId="64EF7C84"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lastRenderedPageBreak/>
              <w:t>Groundwater</w:t>
            </w:r>
          </w:p>
        </w:tc>
        <w:tc>
          <w:tcPr>
            <w:tcW w:w="2976" w:type="dxa"/>
            <w:shd w:val="clear" w:color="auto" w:fill="F2F2F2"/>
            <w:vAlign w:val="bottom"/>
          </w:tcPr>
          <w:p w14:paraId="7AA31EE6"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Akyazı Drilling Tm 3</w:t>
            </w:r>
          </w:p>
        </w:tc>
        <w:tc>
          <w:tcPr>
            <w:tcW w:w="1701" w:type="dxa"/>
            <w:shd w:val="clear" w:color="auto" w:fill="F2F2F2"/>
            <w:vAlign w:val="bottom"/>
          </w:tcPr>
          <w:p w14:paraId="5EE54C13"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DA44BBF"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E47114" w:rsidRPr="00175D8B" w14:paraId="265112C6" w14:textId="77777777" w:rsidTr="007E1FEA">
        <w:trPr>
          <w:jc w:val="center"/>
        </w:trPr>
        <w:tc>
          <w:tcPr>
            <w:tcW w:w="2127" w:type="dxa"/>
            <w:shd w:val="clear" w:color="auto" w:fill="F2F2F2"/>
            <w:vAlign w:val="bottom"/>
          </w:tcPr>
          <w:p w14:paraId="24BA1A6E" w14:textId="5288B249"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294AD34"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Karasu Mine Drilling 12</w:t>
            </w:r>
          </w:p>
        </w:tc>
        <w:tc>
          <w:tcPr>
            <w:tcW w:w="1701" w:type="dxa"/>
            <w:shd w:val="clear" w:color="auto" w:fill="F2F2F2"/>
            <w:vAlign w:val="bottom"/>
          </w:tcPr>
          <w:p w14:paraId="6CC5630E"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B75EEA5"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E47114" w:rsidRPr="00175D8B" w14:paraId="3E11174E" w14:textId="77777777" w:rsidTr="007E1FEA">
        <w:trPr>
          <w:jc w:val="center"/>
        </w:trPr>
        <w:tc>
          <w:tcPr>
            <w:tcW w:w="2127" w:type="dxa"/>
            <w:shd w:val="clear" w:color="auto" w:fill="F2F2F2"/>
            <w:vAlign w:val="bottom"/>
          </w:tcPr>
          <w:p w14:paraId="0F49FFE3" w14:textId="612C8EA8"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4EA65A8"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Kocaali Maden Drilling-4</w:t>
            </w:r>
          </w:p>
        </w:tc>
        <w:tc>
          <w:tcPr>
            <w:tcW w:w="1701" w:type="dxa"/>
            <w:shd w:val="clear" w:color="auto" w:fill="F2F2F2"/>
            <w:vAlign w:val="bottom"/>
          </w:tcPr>
          <w:p w14:paraId="4F4AAEBA"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F1E0775"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E47114" w:rsidRPr="00175D8B" w14:paraId="51778273" w14:textId="77777777" w:rsidTr="007E1FEA">
        <w:trPr>
          <w:jc w:val="center"/>
        </w:trPr>
        <w:tc>
          <w:tcPr>
            <w:tcW w:w="2127" w:type="dxa"/>
            <w:shd w:val="clear" w:color="auto" w:fill="F2F2F2"/>
          </w:tcPr>
          <w:p w14:paraId="30B7D24B" w14:textId="0569B1B4"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70B619D"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Acella Plateau Drilling</w:t>
            </w:r>
          </w:p>
        </w:tc>
        <w:tc>
          <w:tcPr>
            <w:tcW w:w="1701" w:type="dxa"/>
            <w:shd w:val="clear" w:color="auto" w:fill="F2F2F2"/>
            <w:vAlign w:val="bottom"/>
          </w:tcPr>
          <w:p w14:paraId="2AAC79C3"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5C7EA62"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E47114" w:rsidRPr="00175D8B" w14:paraId="099415BE" w14:textId="77777777" w:rsidTr="007E1FEA">
        <w:trPr>
          <w:jc w:val="center"/>
        </w:trPr>
        <w:tc>
          <w:tcPr>
            <w:tcW w:w="2127" w:type="dxa"/>
            <w:shd w:val="clear" w:color="auto" w:fill="F2F2F2"/>
          </w:tcPr>
          <w:p w14:paraId="70D44F3D" w14:textId="42D304BB"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BF0D2B8"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Uzunçarşı Drilling 2</w:t>
            </w:r>
          </w:p>
        </w:tc>
        <w:tc>
          <w:tcPr>
            <w:tcW w:w="1701" w:type="dxa"/>
            <w:shd w:val="clear" w:color="auto" w:fill="F2F2F2"/>
            <w:vAlign w:val="bottom"/>
          </w:tcPr>
          <w:p w14:paraId="00D0A48E"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F45888B"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E47114" w:rsidRPr="00175D8B" w14:paraId="333E6AD4" w14:textId="77777777" w:rsidTr="007E1FEA">
        <w:trPr>
          <w:jc w:val="center"/>
        </w:trPr>
        <w:tc>
          <w:tcPr>
            <w:tcW w:w="2127" w:type="dxa"/>
            <w:shd w:val="clear" w:color="auto" w:fill="F2F2F2"/>
          </w:tcPr>
          <w:p w14:paraId="1112BF6A" w14:textId="34695892"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746117D"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Sarıbeyli Drilling -</w:t>
            </w:r>
          </w:p>
        </w:tc>
        <w:tc>
          <w:tcPr>
            <w:tcW w:w="1701" w:type="dxa"/>
            <w:shd w:val="clear" w:color="auto" w:fill="F2F2F2"/>
            <w:vAlign w:val="bottom"/>
          </w:tcPr>
          <w:p w14:paraId="7619A2ED"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08C58FB"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E47114" w:rsidRPr="00175D8B" w14:paraId="3BAFCC90" w14:textId="77777777" w:rsidTr="007E1FEA">
        <w:trPr>
          <w:jc w:val="center"/>
        </w:trPr>
        <w:tc>
          <w:tcPr>
            <w:tcW w:w="2127" w:type="dxa"/>
            <w:shd w:val="clear" w:color="auto" w:fill="F2F2F2"/>
          </w:tcPr>
          <w:p w14:paraId="7C951217" w14:textId="48779C53"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DE3FCB4"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Karadiken Drilling 2 New</w:t>
            </w:r>
          </w:p>
        </w:tc>
        <w:tc>
          <w:tcPr>
            <w:tcW w:w="1701" w:type="dxa"/>
            <w:shd w:val="clear" w:color="auto" w:fill="F2F2F2"/>
            <w:vAlign w:val="bottom"/>
          </w:tcPr>
          <w:p w14:paraId="2E628B70"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58C1FE2"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E47114" w:rsidRPr="00175D8B" w14:paraId="0D1A7B09" w14:textId="77777777" w:rsidTr="007E1FEA">
        <w:trPr>
          <w:jc w:val="center"/>
        </w:trPr>
        <w:tc>
          <w:tcPr>
            <w:tcW w:w="2127" w:type="dxa"/>
            <w:shd w:val="clear" w:color="auto" w:fill="F2F2F2"/>
          </w:tcPr>
          <w:p w14:paraId="62477146" w14:textId="2FB4FA57"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9D176C6"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Şeyhtımarı-1 Drilling</w:t>
            </w:r>
          </w:p>
        </w:tc>
        <w:tc>
          <w:tcPr>
            <w:tcW w:w="1701" w:type="dxa"/>
            <w:shd w:val="clear" w:color="auto" w:fill="F2F2F2"/>
            <w:vAlign w:val="bottom"/>
          </w:tcPr>
          <w:p w14:paraId="23C67CCC"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0AE630C"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E47114" w:rsidRPr="00175D8B" w14:paraId="5FF3C3F5" w14:textId="77777777" w:rsidTr="007E1FEA">
        <w:trPr>
          <w:jc w:val="center"/>
        </w:trPr>
        <w:tc>
          <w:tcPr>
            <w:tcW w:w="2127" w:type="dxa"/>
            <w:shd w:val="clear" w:color="auto" w:fill="F2F2F2"/>
          </w:tcPr>
          <w:p w14:paraId="4BEEBA2C" w14:textId="4CF49B72"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06902C7"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Ihsanıye Drilling</w:t>
            </w:r>
          </w:p>
        </w:tc>
        <w:tc>
          <w:tcPr>
            <w:tcW w:w="1701" w:type="dxa"/>
            <w:shd w:val="clear" w:color="auto" w:fill="F2F2F2"/>
            <w:vAlign w:val="bottom"/>
          </w:tcPr>
          <w:p w14:paraId="779C4922"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41AE8A13"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E47114" w:rsidRPr="00175D8B" w14:paraId="3FFCE5DC" w14:textId="77777777" w:rsidTr="007E1FEA">
        <w:trPr>
          <w:jc w:val="center"/>
        </w:trPr>
        <w:tc>
          <w:tcPr>
            <w:tcW w:w="2127" w:type="dxa"/>
            <w:shd w:val="clear" w:color="auto" w:fill="F2F2F2"/>
          </w:tcPr>
          <w:p w14:paraId="25B16BAB" w14:textId="5EFC34F6"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27C348C"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Sıraköy Drilling</w:t>
            </w:r>
          </w:p>
        </w:tc>
        <w:tc>
          <w:tcPr>
            <w:tcW w:w="1701" w:type="dxa"/>
            <w:shd w:val="clear" w:color="auto" w:fill="F2F2F2"/>
            <w:vAlign w:val="bottom"/>
          </w:tcPr>
          <w:p w14:paraId="11F8A5E5"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B00FD2A"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E47114" w:rsidRPr="00175D8B" w14:paraId="00780565" w14:textId="77777777" w:rsidTr="007E1FEA">
        <w:trPr>
          <w:jc w:val="center"/>
        </w:trPr>
        <w:tc>
          <w:tcPr>
            <w:tcW w:w="2127" w:type="dxa"/>
            <w:shd w:val="clear" w:color="auto" w:fill="F2F2F2"/>
          </w:tcPr>
          <w:p w14:paraId="640B0C33" w14:textId="0C88A553"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6DFF438"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Dip Survey</w:t>
            </w:r>
          </w:p>
        </w:tc>
        <w:tc>
          <w:tcPr>
            <w:tcW w:w="1701" w:type="dxa"/>
            <w:shd w:val="clear" w:color="auto" w:fill="F2F2F2"/>
            <w:vAlign w:val="bottom"/>
          </w:tcPr>
          <w:p w14:paraId="28A8CD34"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ED51AF4"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E47114" w:rsidRPr="00175D8B" w14:paraId="78CCDF76" w14:textId="77777777" w:rsidTr="007E1FEA">
        <w:trPr>
          <w:jc w:val="center"/>
        </w:trPr>
        <w:tc>
          <w:tcPr>
            <w:tcW w:w="2127" w:type="dxa"/>
            <w:shd w:val="clear" w:color="auto" w:fill="F2F2F2"/>
          </w:tcPr>
          <w:p w14:paraId="1773A5D2" w14:textId="713B2077" w:rsidR="00E47114" w:rsidRPr="00175D8B" w:rsidRDefault="005405E6"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AAD309F"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Karasu Gölköprü Welding-Itm</w:t>
            </w:r>
          </w:p>
        </w:tc>
        <w:tc>
          <w:tcPr>
            <w:tcW w:w="1701" w:type="dxa"/>
            <w:shd w:val="clear" w:color="auto" w:fill="F2F2F2"/>
            <w:vAlign w:val="bottom"/>
          </w:tcPr>
          <w:p w14:paraId="712F261A"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8D5AFFA" w14:textId="77777777" w:rsidR="00E47114" w:rsidRPr="00175D8B" w:rsidRDefault="00E47114" w:rsidP="00E47114">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05891DA" w14:textId="77777777" w:rsidTr="007E1FEA">
        <w:trPr>
          <w:jc w:val="center"/>
        </w:trPr>
        <w:tc>
          <w:tcPr>
            <w:tcW w:w="2127" w:type="dxa"/>
            <w:shd w:val="clear" w:color="auto" w:fill="F2F2F2"/>
          </w:tcPr>
          <w:p w14:paraId="66A5A34E" w14:textId="045961BB"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B76E7D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Batakköy Drilling 2</w:t>
            </w:r>
          </w:p>
        </w:tc>
        <w:tc>
          <w:tcPr>
            <w:tcW w:w="1701" w:type="dxa"/>
            <w:shd w:val="clear" w:color="auto" w:fill="F2F2F2"/>
            <w:vAlign w:val="bottom"/>
          </w:tcPr>
          <w:p w14:paraId="1BA8EA4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A30E1F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289554B9" w14:textId="77777777" w:rsidTr="007E1FEA">
        <w:trPr>
          <w:jc w:val="center"/>
        </w:trPr>
        <w:tc>
          <w:tcPr>
            <w:tcW w:w="2127" w:type="dxa"/>
            <w:shd w:val="clear" w:color="auto" w:fill="F2F2F2"/>
          </w:tcPr>
          <w:p w14:paraId="60E00D9E" w14:textId="7406F702"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E7753C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Yağbasan Drilling</w:t>
            </w:r>
          </w:p>
        </w:tc>
        <w:tc>
          <w:tcPr>
            <w:tcW w:w="1701" w:type="dxa"/>
            <w:shd w:val="clear" w:color="auto" w:fill="F2F2F2"/>
            <w:vAlign w:val="bottom"/>
          </w:tcPr>
          <w:p w14:paraId="12D6827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4A57E26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7FEA9D41" w14:textId="77777777" w:rsidTr="007E1FEA">
        <w:trPr>
          <w:jc w:val="center"/>
        </w:trPr>
        <w:tc>
          <w:tcPr>
            <w:tcW w:w="2127" w:type="dxa"/>
            <w:shd w:val="clear" w:color="auto" w:fill="F2F2F2"/>
          </w:tcPr>
          <w:p w14:paraId="03E005BE" w14:textId="4A3EEAC8"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448F6E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Akyazı Drilling Tm 1</w:t>
            </w:r>
          </w:p>
        </w:tc>
        <w:tc>
          <w:tcPr>
            <w:tcW w:w="1701" w:type="dxa"/>
            <w:shd w:val="clear" w:color="auto" w:fill="F2F2F2"/>
            <w:vAlign w:val="bottom"/>
          </w:tcPr>
          <w:p w14:paraId="3E34F48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096B00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AB383EB" w14:textId="77777777" w:rsidTr="007E1FEA">
        <w:trPr>
          <w:jc w:val="center"/>
        </w:trPr>
        <w:tc>
          <w:tcPr>
            <w:tcW w:w="2127" w:type="dxa"/>
            <w:shd w:val="clear" w:color="auto" w:fill="F2F2F2"/>
          </w:tcPr>
          <w:p w14:paraId="669FBBB9" w14:textId="6AC1D99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8F1A4D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Bacı Neighborhood Drilling Station</w:t>
            </w:r>
          </w:p>
        </w:tc>
        <w:tc>
          <w:tcPr>
            <w:tcW w:w="1701" w:type="dxa"/>
            <w:shd w:val="clear" w:color="auto" w:fill="F2F2F2"/>
            <w:vAlign w:val="bottom"/>
          </w:tcPr>
          <w:p w14:paraId="094C9C0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B0A719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6371009" w14:textId="77777777" w:rsidTr="007E1FEA">
        <w:trPr>
          <w:jc w:val="center"/>
        </w:trPr>
        <w:tc>
          <w:tcPr>
            <w:tcW w:w="2127" w:type="dxa"/>
            <w:shd w:val="clear" w:color="auto" w:fill="F2F2F2"/>
          </w:tcPr>
          <w:p w14:paraId="13D8A9B6" w14:textId="29C55504"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9F36EB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Valveless Yahyalı Drilling</w:t>
            </w:r>
          </w:p>
        </w:tc>
        <w:tc>
          <w:tcPr>
            <w:tcW w:w="1701" w:type="dxa"/>
            <w:shd w:val="clear" w:color="auto" w:fill="F2F2F2"/>
            <w:vAlign w:val="bottom"/>
          </w:tcPr>
          <w:p w14:paraId="0AEAC31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B4AF8C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3EC8C42" w14:textId="77777777" w:rsidTr="007E1FEA">
        <w:trPr>
          <w:jc w:val="center"/>
        </w:trPr>
        <w:tc>
          <w:tcPr>
            <w:tcW w:w="2127" w:type="dxa"/>
            <w:shd w:val="clear" w:color="auto" w:fill="F2F2F2"/>
          </w:tcPr>
          <w:p w14:paraId="796EFB03" w14:textId="125B4828"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1A0A8D0"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Karachay-1 Drilling -</w:t>
            </w:r>
          </w:p>
          <w:p w14:paraId="7B78FDD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Bayırakçasehir Drilling Tm</w:t>
            </w:r>
          </w:p>
        </w:tc>
        <w:tc>
          <w:tcPr>
            <w:tcW w:w="1701" w:type="dxa"/>
            <w:shd w:val="clear" w:color="auto" w:fill="F2F2F2"/>
            <w:vAlign w:val="bottom"/>
          </w:tcPr>
          <w:p w14:paraId="6BAE14F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06814A4"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D5F2778" w14:textId="77777777" w:rsidTr="007E1FEA">
        <w:trPr>
          <w:jc w:val="center"/>
        </w:trPr>
        <w:tc>
          <w:tcPr>
            <w:tcW w:w="2127" w:type="dxa"/>
            <w:shd w:val="clear" w:color="auto" w:fill="F2F2F2"/>
          </w:tcPr>
          <w:p w14:paraId="24CD67B1" w14:textId="52EBE7DE"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70FAF1D"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Alifuatpaşa-2 Drilling</w:t>
            </w:r>
          </w:p>
        </w:tc>
        <w:tc>
          <w:tcPr>
            <w:tcW w:w="1701" w:type="dxa"/>
            <w:shd w:val="clear" w:color="auto" w:fill="F2F2F2"/>
            <w:vAlign w:val="bottom"/>
          </w:tcPr>
          <w:p w14:paraId="2FBDE61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331ED0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62C2DAE" w14:textId="77777777" w:rsidTr="007E1FEA">
        <w:trPr>
          <w:jc w:val="center"/>
        </w:trPr>
        <w:tc>
          <w:tcPr>
            <w:tcW w:w="2127" w:type="dxa"/>
            <w:shd w:val="clear" w:color="auto" w:fill="F2F2F2"/>
          </w:tcPr>
          <w:p w14:paraId="5679FF15" w14:textId="3F2B1879"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13BB653"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Kırkpınar Manors 2 Drilling</w:t>
            </w:r>
          </w:p>
        </w:tc>
        <w:tc>
          <w:tcPr>
            <w:tcW w:w="1701" w:type="dxa"/>
            <w:shd w:val="clear" w:color="auto" w:fill="F2F2F2"/>
            <w:vAlign w:val="bottom"/>
          </w:tcPr>
          <w:p w14:paraId="0ACE64F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B05521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1831251" w14:textId="77777777" w:rsidTr="007E1FEA">
        <w:trPr>
          <w:jc w:val="center"/>
        </w:trPr>
        <w:tc>
          <w:tcPr>
            <w:tcW w:w="2127" w:type="dxa"/>
            <w:shd w:val="clear" w:color="auto" w:fill="F2F2F2"/>
          </w:tcPr>
          <w:p w14:paraId="67E12B73" w14:textId="7356B83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44CC04E"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Sign-1-2 and Crane Drilling</w:t>
            </w:r>
          </w:p>
        </w:tc>
        <w:tc>
          <w:tcPr>
            <w:tcW w:w="1701" w:type="dxa"/>
            <w:shd w:val="clear" w:color="auto" w:fill="F2F2F2"/>
            <w:vAlign w:val="bottom"/>
          </w:tcPr>
          <w:p w14:paraId="4F7A4EE5"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23189E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CC767E8" w14:textId="77777777" w:rsidTr="007E1FEA">
        <w:trPr>
          <w:jc w:val="center"/>
        </w:trPr>
        <w:tc>
          <w:tcPr>
            <w:tcW w:w="2127" w:type="dxa"/>
            <w:shd w:val="clear" w:color="auto" w:fill="F2F2F2"/>
          </w:tcPr>
          <w:p w14:paraId="7C629340" w14:textId="60E60326"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CB7F8AE"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Esenköy Pumping Station</w:t>
            </w:r>
          </w:p>
        </w:tc>
        <w:tc>
          <w:tcPr>
            <w:tcW w:w="1701" w:type="dxa"/>
            <w:shd w:val="clear" w:color="auto" w:fill="F2F2F2"/>
            <w:vAlign w:val="bottom"/>
          </w:tcPr>
          <w:p w14:paraId="68CC23EB"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A8AE02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94C55AF" w14:textId="77777777" w:rsidTr="007E1FEA">
        <w:trPr>
          <w:jc w:val="center"/>
        </w:trPr>
        <w:tc>
          <w:tcPr>
            <w:tcW w:w="2127" w:type="dxa"/>
            <w:shd w:val="clear" w:color="auto" w:fill="F2F2F2"/>
          </w:tcPr>
          <w:p w14:paraId="48E9FA6F" w14:textId="7313BBAB"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3395548"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Kuzuluk New Drilling</w:t>
            </w:r>
          </w:p>
        </w:tc>
        <w:tc>
          <w:tcPr>
            <w:tcW w:w="1701" w:type="dxa"/>
            <w:shd w:val="clear" w:color="auto" w:fill="F2F2F2"/>
            <w:vAlign w:val="bottom"/>
          </w:tcPr>
          <w:p w14:paraId="598986A4"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BFF397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C1BA3A1" w14:textId="77777777" w:rsidTr="007E1FEA">
        <w:trPr>
          <w:jc w:val="center"/>
        </w:trPr>
        <w:tc>
          <w:tcPr>
            <w:tcW w:w="2127" w:type="dxa"/>
            <w:shd w:val="clear" w:color="auto" w:fill="F2F2F2"/>
          </w:tcPr>
          <w:p w14:paraId="607FF10A" w14:textId="57137A6B"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74EFE00"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Kırkpınar Stadium Drilling</w:t>
            </w:r>
          </w:p>
        </w:tc>
        <w:tc>
          <w:tcPr>
            <w:tcW w:w="1701" w:type="dxa"/>
            <w:shd w:val="clear" w:color="auto" w:fill="F2F2F2"/>
            <w:vAlign w:val="bottom"/>
          </w:tcPr>
          <w:p w14:paraId="1C73190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693B88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3B56522" w14:textId="77777777" w:rsidTr="007E1FEA">
        <w:trPr>
          <w:jc w:val="center"/>
        </w:trPr>
        <w:tc>
          <w:tcPr>
            <w:tcW w:w="2127" w:type="dxa"/>
            <w:shd w:val="clear" w:color="auto" w:fill="F2F2F2"/>
          </w:tcPr>
          <w:p w14:paraId="7B615058" w14:textId="214C38E9"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F543FB8"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Qamishli_Drilling</w:t>
            </w:r>
          </w:p>
        </w:tc>
        <w:tc>
          <w:tcPr>
            <w:tcW w:w="1701" w:type="dxa"/>
            <w:shd w:val="clear" w:color="auto" w:fill="F2F2F2"/>
            <w:vAlign w:val="bottom"/>
          </w:tcPr>
          <w:p w14:paraId="3E1D6A8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98BCFF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2A0F420" w14:textId="77777777" w:rsidTr="007E1FEA">
        <w:trPr>
          <w:jc w:val="center"/>
        </w:trPr>
        <w:tc>
          <w:tcPr>
            <w:tcW w:w="2127" w:type="dxa"/>
            <w:shd w:val="clear" w:color="auto" w:fill="F2F2F2"/>
          </w:tcPr>
          <w:p w14:paraId="70F5AA9B" w14:textId="042FF48D"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B9EF3AC"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Poydular (Mehmet Efendi) Drilling</w:t>
            </w:r>
          </w:p>
        </w:tc>
        <w:tc>
          <w:tcPr>
            <w:tcW w:w="1701" w:type="dxa"/>
            <w:shd w:val="clear" w:color="auto" w:fill="F2F2F2"/>
            <w:vAlign w:val="bottom"/>
          </w:tcPr>
          <w:p w14:paraId="3BF6CE9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660978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28DEDB98" w14:textId="77777777" w:rsidTr="007E1FEA">
        <w:trPr>
          <w:jc w:val="center"/>
        </w:trPr>
        <w:tc>
          <w:tcPr>
            <w:tcW w:w="2127" w:type="dxa"/>
            <w:shd w:val="clear" w:color="auto" w:fill="F2F2F2"/>
          </w:tcPr>
          <w:p w14:paraId="33C2354F" w14:textId="3EC577A6"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C83EEB1"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Red Grape Drilling</w:t>
            </w:r>
          </w:p>
        </w:tc>
        <w:tc>
          <w:tcPr>
            <w:tcW w:w="1701" w:type="dxa"/>
            <w:shd w:val="clear" w:color="auto" w:fill="F2F2F2"/>
            <w:vAlign w:val="bottom"/>
          </w:tcPr>
          <w:p w14:paraId="2C68D1B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4C425C6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202000B" w14:textId="77777777" w:rsidTr="007E1FEA">
        <w:trPr>
          <w:jc w:val="center"/>
        </w:trPr>
        <w:tc>
          <w:tcPr>
            <w:tcW w:w="2127" w:type="dxa"/>
            <w:shd w:val="clear" w:color="auto" w:fill="F2F2F2"/>
          </w:tcPr>
          <w:p w14:paraId="089B0E58" w14:textId="388BFE83"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lastRenderedPageBreak/>
              <w:t>Groundwater</w:t>
            </w:r>
          </w:p>
        </w:tc>
        <w:tc>
          <w:tcPr>
            <w:tcW w:w="2976" w:type="dxa"/>
            <w:shd w:val="clear" w:color="auto" w:fill="F2F2F2"/>
            <w:vAlign w:val="bottom"/>
          </w:tcPr>
          <w:p w14:paraId="3F81FB51"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Kuzuluk Thousand Warehouse Top Drilling</w:t>
            </w:r>
          </w:p>
        </w:tc>
        <w:tc>
          <w:tcPr>
            <w:tcW w:w="1701" w:type="dxa"/>
            <w:shd w:val="clear" w:color="auto" w:fill="F2F2F2"/>
            <w:vAlign w:val="bottom"/>
          </w:tcPr>
          <w:p w14:paraId="789338D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42F8E8A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533E851" w14:textId="77777777" w:rsidTr="007E1FEA">
        <w:trPr>
          <w:jc w:val="center"/>
        </w:trPr>
        <w:tc>
          <w:tcPr>
            <w:tcW w:w="2127" w:type="dxa"/>
            <w:shd w:val="clear" w:color="auto" w:fill="F2F2F2"/>
          </w:tcPr>
          <w:p w14:paraId="01C89ABD" w14:textId="6DAFADF2"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7E4F7FD"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Kırkpınar New-1 Drilling</w:t>
            </w:r>
          </w:p>
        </w:tc>
        <w:tc>
          <w:tcPr>
            <w:tcW w:w="1701" w:type="dxa"/>
            <w:shd w:val="clear" w:color="auto" w:fill="F2F2F2"/>
            <w:vAlign w:val="bottom"/>
          </w:tcPr>
          <w:p w14:paraId="760A68A5"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85D7A9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6FF930A" w14:textId="77777777" w:rsidTr="007E1FEA">
        <w:trPr>
          <w:jc w:val="center"/>
        </w:trPr>
        <w:tc>
          <w:tcPr>
            <w:tcW w:w="2127" w:type="dxa"/>
            <w:shd w:val="clear" w:color="auto" w:fill="F2F2F2"/>
          </w:tcPr>
          <w:p w14:paraId="33642486" w14:textId="07B10C43"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3D9EBE4"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Kr-02</w:t>
            </w:r>
          </w:p>
        </w:tc>
        <w:tc>
          <w:tcPr>
            <w:tcW w:w="1701" w:type="dxa"/>
            <w:shd w:val="clear" w:color="auto" w:fill="F2F2F2"/>
            <w:vAlign w:val="bottom"/>
          </w:tcPr>
          <w:p w14:paraId="7A3B610B"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306CD5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7252BE07" w14:textId="77777777" w:rsidTr="007E1FEA">
        <w:trPr>
          <w:jc w:val="center"/>
        </w:trPr>
        <w:tc>
          <w:tcPr>
            <w:tcW w:w="2127" w:type="dxa"/>
            <w:shd w:val="clear" w:color="auto" w:fill="F2F2F2"/>
          </w:tcPr>
          <w:p w14:paraId="55B8AEB6" w14:textId="2E3016D2"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9137248"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Karapürçek Drilling Tm 1</w:t>
            </w:r>
          </w:p>
        </w:tc>
        <w:tc>
          <w:tcPr>
            <w:tcW w:w="1701" w:type="dxa"/>
            <w:shd w:val="clear" w:color="auto" w:fill="F2F2F2"/>
            <w:vAlign w:val="bottom"/>
          </w:tcPr>
          <w:p w14:paraId="6A13F8C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B3C45E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BA5952F" w14:textId="77777777" w:rsidTr="007E1FEA">
        <w:trPr>
          <w:jc w:val="center"/>
        </w:trPr>
        <w:tc>
          <w:tcPr>
            <w:tcW w:w="2127" w:type="dxa"/>
            <w:shd w:val="clear" w:color="auto" w:fill="F2F2F2"/>
          </w:tcPr>
          <w:p w14:paraId="6B511032" w14:textId="05E83DC6"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FE73F88"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Muradiye Drilling</w:t>
            </w:r>
          </w:p>
        </w:tc>
        <w:tc>
          <w:tcPr>
            <w:tcW w:w="1701" w:type="dxa"/>
            <w:shd w:val="clear" w:color="auto" w:fill="F2F2F2"/>
            <w:vAlign w:val="bottom"/>
          </w:tcPr>
          <w:p w14:paraId="057D178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AFB743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C864E92" w14:textId="77777777" w:rsidTr="007E1FEA">
        <w:trPr>
          <w:jc w:val="center"/>
        </w:trPr>
        <w:tc>
          <w:tcPr>
            <w:tcW w:w="2127" w:type="dxa"/>
            <w:shd w:val="clear" w:color="auto" w:fill="F2F2F2"/>
          </w:tcPr>
          <w:p w14:paraId="6A58D894" w14:textId="39969358"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D79A1EB"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Yeşilvadi Drilling</w:t>
            </w:r>
          </w:p>
        </w:tc>
        <w:tc>
          <w:tcPr>
            <w:tcW w:w="1701" w:type="dxa"/>
            <w:shd w:val="clear" w:color="auto" w:fill="F2F2F2"/>
            <w:vAlign w:val="bottom"/>
          </w:tcPr>
          <w:p w14:paraId="6E45B3B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30D9E8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0223D56" w14:textId="77777777" w:rsidTr="007E1FEA">
        <w:trPr>
          <w:jc w:val="center"/>
        </w:trPr>
        <w:tc>
          <w:tcPr>
            <w:tcW w:w="2127" w:type="dxa"/>
            <w:shd w:val="clear" w:color="auto" w:fill="F2F2F2"/>
          </w:tcPr>
          <w:p w14:paraId="0781081E" w14:textId="609F7C92"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C211F8A"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Karasu Konacık Welding Itm</w:t>
            </w:r>
          </w:p>
        </w:tc>
        <w:tc>
          <w:tcPr>
            <w:tcW w:w="1701" w:type="dxa"/>
            <w:shd w:val="clear" w:color="auto" w:fill="F2F2F2"/>
            <w:vAlign w:val="bottom"/>
          </w:tcPr>
          <w:p w14:paraId="1DC3FDA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2E5ACC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27698304" w14:textId="77777777" w:rsidTr="007E1FEA">
        <w:trPr>
          <w:jc w:val="center"/>
        </w:trPr>
        <w:tc>
          <w:tcPr>
            <w:tcW w:w="2127" w:type="dxa"/>
            <w:shd w:val="clear" w:color="auto" w:fill="F2F2F2"/>
          </w:tcPr>
          <w:p w14:paraId="7C97ED6C" w14:textId="617AD291"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B7C4FA1"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Seyhvarmaz Drilling Tm</w:t>
            </w:r>
          </w:p>
        </w:tc>
        <w:tc>
          <w:tcPr>
            <w:tcW w:w="1701" w:type="dxa"/>
            <w:shd w:val="clear" w:color="auto" w:fill="F2F2F2"/>
            <w:vAlign w:val="bottom"/>
          </w:tcPr>
          <w:p w14:paraId="1B07B60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1DEB244"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C3D7813" w14:textId="77777777" w:rsidTr="007E1FEA">
        <w:trPr>
          <w:jc w:val="center"/>
        </w:trPr>
        <w:tc>
          <w:tcPr>
            <w:tcW w:w="2127" w:type="dxa"/>
            <w:shd w:val="clear" w:color="auto" w:fill="F2F2F2"/>
          </w:tcPr>
          <w:p w14:paraId="15D3FFA8" w14:textId="3FECE33C"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1038349"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Kestanepınarı Drilling</w:t>
            </w:r>
          </w:p>
        </w:tc>
        <w:tc>
          <w:tcPr>
            <w:tcW w:w="1701" w:type="dxa"/>
            <w:shd w:val="clear" w:color="auto" w:fill="F2F2F2"/>
            <w:vAlign w:val="bottom"/>
          </w:tcPr>
          <w:p w14:paraId="7ED0444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6D88A4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2D5B761" w14:textId="77777777" w:rsidTr="007E1FEA">
        <w:trPr>
          <w:jc w:val="center"/>
        </w:trPr>
        <w:tc>
          <w:tcPr>
            <w:tcW w:w="2127" w:type="dxa"/>
            <w:shd w:val="clear" w:color="auto" w:fill="F2F2F2"/>
          </w:tcPr>
          <w:p w14:paraId="2D341FCF" w14:textId="7DD65779"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3B516CD"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Ömeraga Probing-1</w:t>
            </w:r>
          </w:p>
        </w:tc>
        <w:tc>
          <w:tcPr>
            <w:tcW w:w="1701" w:type="dxa"/>
            <w:shd w:val="clear" w:color="auto" w:fill="F2F2F2"/>
            <w:vAlign w:val="bottom"/>
          </w:tcPr>
          <w:p w14:paraId="15387EB5"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3619D2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CB8F731" w14:textId="77777777" w:rsidTr="007E1FEA">
        <w:trPr>
          <w:jc w:val="center"/>
        </w:trPr>
        <w:tc>
          <w:tcPr>
            <w:tcW w:w="2127" w:type="dxa"/>
            <w:shd w:val="clear" w:color="auto" w:fill="F2F2F2"/>
          </w:tcPr>
          <w:p w14:paraId="1BE8ED84" w14:textId="22E6C5A1"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1EC9C4C"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Çardak Drilling</w:t>
            </w:r>
          </w:p>
        </w:tc>
        <w:tc>
          <w:tcPr>
            <w:tcW w:w="1701" w:type="dxa"/>
            <w:shd w:val="clear" w:color="auto" w:fill="F2F2F2"/>
            <w:vAlign w:val="bottom"/>
          </w:tcPr>
          <w:p w14:paraId="7D34E40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11DBBC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F635F56" w14:textId="77777777" w:rsidTr="007E1FEA">
        <w:trPr>
          <w:jc w:val="center"/>
        </w:trPr>
        <w:tc>
          <w:tcPr>
            <w:tcW w:w="2127" w:type="dxa"/>
            <w:shd w:val="clear" w:color="auto" w:fill="F2F2F2"/>
          </w:tcPr>
          <w:p w14:paraId="7EEFD40F" w14:textId="0A3870F5"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1A74BAB"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Burn Drilling 3</w:t>
            </w:r>
          </w:p>
        </w:tc>
        <w:tc>
          <w:tcPr>
            <w:tcW w:w="1701" w:type="dxa"/>
            <w:shd w:val="clear" w:color="auto" w:fill="F2F2F2"/>
            <w:vAlign w:val="bottom"/>
          </w:tcPr>
          <w:p w14:paraId="1A0EC1A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4327F80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C595E68" w14:textId="77777777" w:rsidTr="007E1FEA">
        <w:trPr>
          <w:jc w:val="center"/>
        </w:trPr>
        <w:tc>
          <w:tcPr>
            <w:tcW w:w="2127" w:type="dxa"/>
            <w:shd w:val="clear" w:color="auto" w:fill="F2F2F2"/>
          </w:tcPr>
          <w:p w14:paraId="524D5FED" w14:textId="325214B6"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D65E055"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Güldıbı New Drilling Tm</w:t>
            </w:r>
          </w:p>
        </w:tc>
        <w:tc>
          <w:tcPr>
            <w:tcW w:w="1701" w:type="dxa"/>
            <w:shd w:val="clear" w:color="auto" w:fill="F2F2F2"/>
            <w:vAlign w:val="bottom"/>
          </w:tcPr>
          <w:p w14:paraId="485C29E5"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2C00A5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AE65D7E" w14:textId="77777777" w:rsidTr="007E1FEA">
        <w:trPr>
          <w:jc w:val="center"/>
        </w:trPr>
        <w:tc>
          <w:tcPr>
            <w:tcW w:w="2127" w:type="dxa"/>
            <w:shd w:val="clear" w:color="auto" w:fill="F2F2F2"/>
          </w:tcPr>
          <w:p w14:paraId="3B879B77" w14:textId="11F15C51"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C63FC6B"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Pazarköy Drilling 1</w:t>
            </w:r>
          </w:p>
        </w:tc>
        <w:tc>
          <w:tcPr>
            <w:tcW w:w="1701" w:type="dxa"/>
            <w:shd w:val="clear" w:color="auto" w:fill="F2F2F2"/>
            <w:vAlign w:val="bottom"/>
          </w:tcPr>
          <w:p w14:paraId="02D78D0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24B396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475448D" w14:textId="77777777" w:rsidTr="007E1FEA">
        <w:trPr>
          <w:jc w:val="center"/>
        </w:trPr>
        <w:tc>
          <w:tcPr>
            <w:tcW w:w="2127" w:type="dxa"/>
            <w:shd w:val="clear" w:color="auto" w:fill="F2F2F2"/>
          </w:tcPr>
          <w:p w14:paraId="329D8E48" w14:textId="736F4CDD"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1681C06"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Zongildik-2 Drilling</w:t>
            </w:r>
          </w:p>
        </w:tc>
        <w:tc>
          <w:tcPr>
            <w:tcW w:w="1701" w:type="dxa"/>
            <w:shd w:val="clear" w:color="auto" w:fill="F2F2F2"/>
            <w:vAlign w:val="bottom"/>
          </w:tcPr>
          <w:p w14:paraId="7207F10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5B6E4D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36C9992" w14:textId="77777777" w:rsidTr="007E1FEA">
        <w:trPr>
          <w:jc w:val="center"/>
        </w:trPr>
        <w:tc>
          <w:tcPr>
            <w:tcW w:w="2127" w:type="dxa"/>
            <w:shd w:val="clear" w:color="auto" w:fill="F2F2F2"/>
          </w:tcPr>
          <w:p w14:paraId="61D39D27" w14:textId="0FE4B865"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E40C966"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Kocaali Maden Prodaj-1</w:t>
            </w:r>
          </w:p>
        </w:tc>
        <w:tc>
          <w:tcPr>
            <w:tcW w:w="1701" w:type="dxa"/>
            <w:shd w:val="clear" w:color="auto" w:fill="F2F2F2"/>
            <w:vAlign w:val="bottom"/>
          </w:tcPr>
          <w:p w14:paraId="667AF49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6054674"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9E880DF" w14:textId="77777777" w:rsidTr="007E1FEA">
        <w:trPr>
          <w:jc w:val="center"/>
        </w:trPr>
        <w:tc>
          <w:tcPr>
            <w:tcW w:w="2127" w:type="dxa"/>
            <w:shd w:val="clear" w:color="auto" w:fill="F2F2F2"/>
          </w:tcPr>
          <w:p w14:paraId="584C502D" w14:textId="5482A2C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2ACBBE6"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Pirler Probing</w:t>
            </w:r>
          </w:p>
        </w:tc>
        <w:tc>
          <w:tcPr>
            <w:tcW w:w="1701" w:type="dxa"/>
            <w:shd w:val="clear" w:color="auto" w:fill="F2F2F2"/>
            <w:vAlign w:val="bottom"/>
          </w:tcPr>
          <w:p w14:paraId="37B1091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DB6D3C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D4B5BB7" w14:textId="77777777" w:rsidTr="007E1FEA">
        <w:trPr>
          <w:jc w:val="center"/>
        </w:trPr>
        <w:tc>
          <w:tcPr>
            <w:tcW w:w="2127" w:type="dxa"/>
            <w:shd w:val="clear" w:color="auto" w:fill="F2F2F2"/>
          </w:tcPr>
          <w:p w14:paraId="37A4A83B" w14:textId="32AB8CF4"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2D6A245"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Sarıbeyli Drilling 2</w:t>
            </w:r>
          </w:p>
        </w:tc>
        <w:tc>
          <w:tcPr>
            <w:tcW w:w="1701" w:type="dxa"/>
            <w:shd w:val="clear" w:color="auto" w:fill="F2F2F2"/>
            <w:vAlign w:val="bottom"/>
          </w:tcPr>
          <w:p w14:paraId="3F1C0BC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1FDB66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D9D2F68" w14:textId="77777777" w:rsidTr="007E1FEA">
        <w:trPr>
          <w:jc w:val="center"/>
        </w:trPr>
        <w:tc>
          <w:tcPr>
            <w:tcW w:w="2127" w:type="dxa"/>
            <w:shd w:val="clear" w:color="auto" w:fill="F2F2F2"/>
          </w:tcPr>
          <w:p w14:paraId="7F0A7490" w14:textId="7A4B2C40"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F26A688"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Kocaali Maden Drilling-5</w:t>
            </w:r>
          </w:p>
        </w:tc>
        <w:tc>
          <w:tcPr>
            <w:tcW w:w="1701" w:type="dxa"/>
            <w:shd w:val="clear" w:color="auto" w:fill="F2F2F2"/>
            <w:vAlign w:val="bottom"/>
          </w:tcPr>
          <w:p w14:paraId="18CF90B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DF07AA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7D914440" w14:textId="77777777" w:rsidTr="007E1FEA">
        <w:trPr>
          <w:jc w:val="center"/>
        </w:trPr>
        <w:tc>
          <w:tcPr>
            <w:tcW w:w="2127" w:type="dxa"/>
            <w:shd w:val="clear" w:color="auto" w:fill="F2F2F2"/>
          </w:tcPr>
          <w:p w14:paraId="5230762E" w14:textId="30ED9B9F"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832B4E7"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Sapanca Stadium Drilling</w:t>
            </w:r>
          </w:p>
        </w:tc>
        <w:tc>
          <w:tcPr>
            <w:tcW w:w="1701" w:type="dxa"/>
            <w:shd w:val="clear" w:color="auto" w:fill="F2F2F2"/>
            <w:vAlign w:val="bottom"/>
          </w:tcPr>
          <w:p w14:paraId="3C52D4D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0BCFF0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7EAED65" w14:textId="77777777" w:rsidTr="007E1FEA">
        <w:trPr>
          <w:jc w:val="center"/>
        </w:trPr>
        <w:tc>
          <w:tcPr>
            <w:tcW w:w="2127" w:type="dxa"/>
            <w:shd w:val="clear" w:color="auto" w:fill="F2F2F2"/>
          </w:tcPr>
          <w:p w14:paraId="48F443BC" w14:textId="2677ECB8"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DD76022"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Darıçayırı Drilling</w:t>
            </w:r>
          </w:p>
        </w:tc>
        <w:tc>
          <w:tcPr>
            <w:tcW w:w="1701" w:type="dxa"/>
            <w:shd w:val="clear" w:color="auto" w:fill="F2F2F2"/>
            <w:vAlign w:val="bottom"/>
          </w:tcPr>
          <w:p w14:paraId="2A8FD43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ACD0FFB"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5C0C75A" w14:textId="77777777" w:rsidTr="007E1FEA">
        <w:trPr>
          <w:jc w:val="center"/>
        </w:trPr>
        <w:tc>
          <w:tcPr>
            <w:tcW w:w="2127" w:type="dxa"/>
            <w:shd w:val="clear" w:color="auto" w:fill="F2F2F2"/>
          </w:tcPr>
          <w:p w14:paraId="6AA21408" w14:textId="61C10D08"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6E756AA"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Pazarköy Drilling 3</w:t>
            </w:r>
          </w:p>
        </w:tc>
        <w:tc>
          <w:tcPr>
            <w:tcW w:w="1701" w:type="dxa"/>
            <w:shd w:val="clear" w:color="auto" w:fill="F2F2F2"/>
            <w:vAlign w:val="bottom"/>
          </w:tcPr>
          <w:p w14:paraId="53F496D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94BA33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9B79E94" w14:textId="77777777" w:rsidTr="007E1FEA">
        <w:trPr>
          <w:jc w:val="center"/>
        </w:trPr>
        <w:tc>
          <w:tcPr>
            <w:tcW w:w="2127" w:type="dxa"/>
            <w:shd w:val="clear" w:color="auto" w:fill="F2F2F2"/>
          </w:tcPr>
          <w:p w14:paraId="1FAC89C9" w14:textId="461DE2F8"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92E9F70"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Kirazlı Drilling</w:t>
            </w:r>
          </w:p>
        </w:tc>
        <w:tc>
          <w:tcPr>
            <w:tcW w:w="1701" w:type="dxa"/>
            <w:shd w:val="clear" w:color="auto" w:fill="F2F2F2"/>
            <w:vAlign w:val="bottom"/>
          </w:tcPr>
          <w:p w14:paraId="4CA7671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4D2B1B0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6C95A04" w14:textId="77777777" w:rsidTr="007E1FEA">
        <w:trPr>
          <w:jc w:val="center"/>
        </w:trPr>
        <w:tc>
          <w:tcPr>
            <w:tcW w:w="2127" w:type="dxa"/>
            <w:shd w:val="clear" w:color="auto" w:fill="F2F2F2"/>
          </w:tcPr>
          <w:p w14:paraId="644B437E" w14:textId="03990FA0"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6692DAA"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Akyazı Drilling Tm 10</w:t>
            </w:r>
          </w:p>
        </w:tc>
        <w:tc>
          <w:tcPr>
            <w:tcW w:w="1701" w:type="dxa"/>
            <w:shd w:val="clear" w:color="auto" w:fill="F2F2F2"/>
            <w:vAlign w:val="bottom"/>
          </w:tcPr>
          <w:p w14:paraId="7C099404"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68065A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53583FE" w14:textId="77777777" w:rsidTr="007E1FEA">
        <w:trPr>
          <w:jc w:val="center"/>
        </w:trPr>
        <w:tc>
          <w:tcPr>
            <w:tcW w:w="2127" w:type="dxa"/>
            <w:shd w:val="clear" w:color="auto" w:fill="F2F2F2"/>
          </w:tcPr>
          <w:p w14:paraId="058F1FD4" w14:textId="21F92433"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EC4A95B"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Akyazı Drilling Tm 5</w:t>
            </w:r>
          </w:p>
        </w:tc>
        <w:tc>
          <w:tcPr>
            <w:tcW w:w="1701" w:type="dxa"/>
            <w:shd w:val="clear" w:color="auto" w:fill="F2F2F2"/>
            <w:vAlign w:val="bottom"/>
          </w:tcPr>
          <w:p w14:paraId="39A201B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729AF44"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EF3C397" w14:textId="77777777" w:rsidTr="007E1FEA">
        <w:trPr>
          <w:jc w:val="center"/>
        </w:trPr>
        <w:tc>
          <w:tcPr>
            <w:tcW w:w="2127" w:type="dxa"/>
            <w:shd w:val="clear" w:color="auto" w:fill="F2F2F2"/>
          </w:tcPr>
          <w:p w14:paraId="61157B44" w14:textId="6DEE7F68"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026D14C"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Eastern Region Irrigation</w:t>
            </w:r>
          </w:p>
        </w:tc>
        <w:tc>
          <w:tcPr>
            <w:tcW w:w="1701" w:type="dxa"/>
            <w:shd w:val="clear" w:color="auto" w:fill="F2F2F2"/>
            <w:vAlign w:val="bottom"/>
          </w:tcPr>
          <w:p w14:paraId="3C38122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4E1DF95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44E4AC1" w14:textId="77777777" w:rsidTr="007E1FEA">
        <w:trPr>
          <w:jc w:val="center"/>
        </w:trPr>
        <w:tc>
          <w:tcPr>
            <w:tcW w:w="2127" w:type="dxa"/>
            <w:shd w:val="clear" w:color="auto" w:fill="F2F2F2"/>
          </w:tcPr>
          <w:p w14:paraId="18A36627" w14:textId="719AB289"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F92A808"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Kurtköy Creek</w:t>
            </w:r>
          </w:p>
        </w:tc>
        <w:tc>
          <w:tcPr>
            <w:tcW w:w="1701" w:type="dxa"/>
            <w:shd w:val="clear" w:color="auto" w:fill="F2F2F2"/>
            <w:vAlign w:val="bottom"/>
          </w:tcPr>
          <w:p w14:paraId="484507C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B486B6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5E9F660" w14:textId="77777777" w:rsidTr="007E1FEA">
        <w:trPr>
          <w:jc w:val="center"/>
        </w:trPr>
        <w:tc>
          <w:tcPr>
            <w:tcW w:w="2127" w:type="dxa"/>
            <w:shd w:val="clear" w:color="auto" w:fill="F2F2F2"/>
          </w:tcPr>
          <w:p w14:paraId="0A96A841" w14:textId="56C0386A"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0C18CCB"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Eşme Drilling - Without Valve</w:t>
            </w:r>
          </w:p>
        </w:tc>
        <w:tc>
          <w:tcPr>
            <w:tcW w:w="1701" w:type="dxa"/>
            <w:shd w:val="clear" w:color="auto" w:fill="F2F2F2"/>
            <w:vAlign w:val="bottom"/>
          </w:tcPr>
          <w:p w14:paraId="2C433704"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9A2642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F5268CB" w14:textId="77777777" w:rsidTr="007E1FEA">
        <w:trPr>
          <w:jc w:val="center"/>
        </w:trPr>
        <w:tc>
          <w:tcPr>
            <w:tcW w:w="2127" w:type="dxa"/>
            <w:shd w:val="clear" w:color="auto" w:fill="F2F2F2"/>
          </w:tcPr>
          <w:p w14:paraId="0B9DAD86" w14:textId="27412415"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lastRenderedPageBreak/>
              <w:t>Groundwater</w:t>
            </w:r>
          </w:p>
        </w:tc>
        <w:tc>
          <w:tcPr>
            <w:tcW w:w="2976" w:type="dxa"/>
            <w:shd w:val="clear" w:color="auto" w:fill="F2F2F2"/>
            <w:vAlign w:val="bottom"/>
          </w:tcPr>
          <w:p w14:paraId="3B16AFB1"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Karasu Konacık Welding Itm</w:t>
            </w:r>
          </w:p>
        </w:tc>
        <w:tc>
          <w:tcPr>
            <w:tcW w:w="1701" w:type="dxa"/>
            <w:shd w:val="clear" w:color="auto" w:fill="F2F2F2"/>
            <w:vAlign w:val="bottom"/>
          </w:tcPr>
          <w:p w14:paraId="705EF41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5C7DC1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B3AB028" w14:textId="77777777" w:rsidTr="007E1FEA">
        <w:trPr>
          <w:jc w:val="center"/>
        </w:trPr>
        <w:tc>
          <w:tcPr>
            <w:tcW w:w="2127" w:type="dxa"/>
            <w:shd w:val="clear" w:color="auto" w:fill="F2F2F2"/>
          </w:tcPr>
          <w:p w14:paraId="778B0DCF" w14:textId="091210D9"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C9DA4C7"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Şerbetpınar Drilling</w:t>
            </w:r>
          </w:p>
        </w:tc>
        <w:tc>
          <w:tcPr>
            <w:tcW w:w="1701" w:type="dxa"/>
            <w:shd w:val="clear" w:color="auto" w:fill="F2F2F2"/>
            <w:vAlign w:val="bottom"/>
          </w:tcPr>
          <w:p w14:paraId="36C73365"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30B800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7FAA1944" w14:textId="77777777" w:rsidTr="007E1FEA">
        <w:trPr>
          <w:jc w:val="center"/>
        </w:trPr>
        <w:tc>
          <w:tcPr>
            <w:tcW w:w="2127" w:type="dxa"/>
            <w:shd w:val="clear" w:color="auto" w:fill="F2F2F2"/>
          </w:tcPr>
          <w:p w14:paraId="5584C9CB" w14:textId="151D18CC"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23E53B9"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Karasu Maden Drilling-2</w:t>
            </w:r>
          </w:p>
        </w:tc>
        <w:tc>
          <w:tcPr>
            <w:tcW w:w="1701" w:type="dxa"/>
            <w:shd w:val="clear" w:color="auto" w:fill="F2F2F2"/>
            <w:vAlign w:val="bottom"/>
          </w:tcPr>
          <w:p w14:paraId="0C1EDE64"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746515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7DDE104B" w14:textId="77777777" w:rsidTr="007E1FEA">
        <w:trPr>
          <w:jc w:val="center"/>
        </w:trPr>
        <w:tc>
          <w:tcPr>
            <w:tcW w:w="2127" w:type="dxa"/>
            <w:shd w:val="clear" w:color="auto" w:fill="F2F2F2"/>
          </w:tcPr>
          <w:p w14:paraId="3B98302D" w14:textId="184CF3EC"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87D0C88"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Çamtepe Drilling-</w:t>
            </w:r>
          </w:p>
        </w:tc>
        <w:tc>
          <w:tcPr>
            <w:tcW w:w="1701" w:type="dxa"/>
            <w:shd w:val="clear" w:color="auto" w:fill="F2F2F2"/>
            <w:vAlign w:val="bottom"/>
          </w:tcPr>
          <w:p w14:paraId="5056A39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6CF683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49DCB17" w14:textId="77777777" w:rsidTr="007E1FEA">
        <w:trPr>
          <w:jc w:val="center"/>
        </w:trPr>
        <w:tc>
          <w:tcPr>
            <w:tcW w:w="2127" w:type="dxa"/>
            <w:shd w:val="clear" w:color="auto" w:fill="F2F2F2"/>
          </w:tcPr>
          <w:p w14:paraId="4B241949" w14:textId="5B3665D9"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2EAF217"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Kocaali Maden Drilling-3</w:t>
            </w:r>
          </w:p>
        </w:tc>
        <w:tc>
          <w:tcPr>
            <w:tcW w:w="1701" w:type="dxa"/>
            <w:shd w:val="clear" w:color="auto" w:fill="F2F2F2"/>
            <w:vAlign w:val="bottom"/>
          </w:tcPr>
          <w:p w14:paraId="4A563DC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98C40C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5EB46BE" w14:textId="77777777" w:rsidTr="007E1FEA">
        <w:trPr>
          <w:jc w:val="center"/>
        </w:trPr>
        <w:tc>
          <w:tcPr>
            <w:tcW w:w="2127" w:type="dxa"/>
            <w:shd w:val="clear" w:color="auto" w:fill="F2F2F2"/>
          </w:tcPr>
          <w:p w14:paraId="7484FF0E" w14:textId="50EE09C0"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D39A3CA"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Karasu Maden Çamdağı Drilling</w:t>
            </w:r>
          </w:p>
        </w:tc>
        <w:tc>
          <w:tcPr>
            <w:tcW w:w="1701" w:type="dxa"/>
            <w:shd w:val="clear" w:color="auto" w:fill="F2F2F2"/>
            <w:vAlign w:val="bottom"/>
          </w:tcPr>
          <w:p w14:paraId="174D3ED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970C2BB"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19260D5" w14:textId="77777777" w:rsidTr="007E1FEA">
        <w:trPr>
          <w:jc w:val="center"/>
        </w:trPr>
        <w:tc>
          <w:tcPr>
            <w:tcW w:w="2127" w:type="dxa"/>
            <w:shd w:val="clear" w:color="auto" w:fill="F2F2F2"/>
          </w:tcPr>
          <w:p w14:paraId="6E05B373" w14:textId="56F8F55F"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BC2271B"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Karaçay-4 Drilling</w:t>
            </w:r>
          </w:p>
        </w:tc>
        <w:tc>
          <w:tcPr>
            <w:tcW w:w="1701" w:type="dxa"/>
            <w:shd w:val="clear" w:color="auto" w:fill="F2F2F2"/>
            <w:vAlign w:val="bottom"/>
          </w:tcPr>
          <w:p w14:paraId="1263190B"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EC4739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2F2AF16" w14:textId="77777777" w:rsidTr="007E1FEA">
        <w:trPr>
          <w:jc w:val="center"/>
        </w:trPr>
        <w:tc>
          <w:tcPr>
            <w:tcW w:w="2127" w:type="dxa"/>
            <w:shd w:val="clear" w:color="auto" w:fill="F2F2F2"/>
          </w:tcPr>
          <w:p w14:paraId="7799BF97" w14:textId="27EA298F"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057F97E"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Paşalar Drilling</w:t>
            </w:r>
          </w:p>
        </w:tc>
        <w:tc>
          <w:tcPr>
            <w:tcW w:w="1701" w:type="dxa"/>
            <w:shd w:val="clear" w:color="auto" w:fill="F2F2F2"/>
            <w:vAlign w:val="bottom"/>
          </w:tcPr>
          <w:p w14:paraId="2A0B378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B5D3CD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1731A74" w14:textId="77777777" w:rsidTr="007E1FEA">
        <w:trPr>
          <w:jc w:val="center"/>
        </w:trPr>
        <w:tc>
          <w:tcPr>
            <w:tcW w:w="2127" w:type="dxa"/>
            <w:shd w:val="clear" w:color="auto" w:fill="F2F2F2"/>
          </w:tcPr>
          <w:p w14:paraId="0333A953" w14:textId="5D4929F1"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FF38FD2"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Karasu Karapınar Pumping Drilling</w:t>
            </w:r>
          </w:p>
        </w:tc>
        <w:tc>
          <w:tcPr>
            <w:tcW w:w="1701" w:type="dxa"/>
            <w:shd w:val="clear" w:color="auto" w:fill="F2F2F2"/>
            <w:vAlign w:val="bottom"/>
          </w:tcPr>
          <w:p w14:paraId="6DE14DB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7707CD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749001E" w14:textId="77777777" w:rsidTr="007E1FEA">
        <w:trPr>
          <w:jc w:val="center"/>
        </w:trPr>
        <w:tc>
          <w:tcPr>
            <w:tcW w:w="2127" w:type="dxa"/>
            <w:shd w:val="clear" w:color="auto" w:fill="F2F2F2"/>
          </w:tcPr>
          <w:p w14:paraId="27CAAAD6" w14:textId="5ADAD7F8"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5088D4A"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Akçakaya Drilling</w:t>
            </w:r>
          </w:p>
        </w:tc>
        <w:tc>
          <w:tcPr>
            <w:tcW w:w="1701" w:type="dxa"/>
            <w:shd w:val="clear" w:color="auto" w:fill="F2F2F2"/>
            <w:vAlign w:val="bottom"/>
          </w:tcPr>
          <w:p w14:paraId="5421168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46A90F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A618402" w14:textId="77777777" w:rsidTr="007E1FEA">
        <w:trPr>
          <w:jc w:val="center"/>
        </w:trPr>
        <w:tc>
          <w:tcPr>
            <w:tcW w:w="2127" w:type="dxa"/>
            <w:shd w:val="clear" w:color="auto" w:fill="F2F2F2"/>
          </w:tcPr>
          <w:p w14:paraId="2696604F" w14:textId="189C21A2"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1F96F44"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Doğancı Drilling</w:t>
            </w:r>
          </w:p>
        </w:tc>
        <w:tc>
          <w:tcPr>
            <w:tcW w:w="1701" w:type="dxa"/>
            <w:shd w:val="clear" w:color="auto" w:fill="F2F2F2"/>
            <w:vAlign w:val="bottom"/>
          </w:tcPr>
          <w:p w14:paraId="092E893B"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95343EB"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8F80D49" w14:textId="77777777" w:rsidTr="007E1FEA">
        <w:trPr>
          <w:jc w:val="center"/>
        </w:trPr>
        <w:tc>
          <w:tcPr>
            <w:tcW w:w="2127" w:type="dxa"/>
            <w:shd w:val="clear" w:color="auto" w:fill="F2F2F2"/>
          </w:tcPr>
          <w:p w14:paraId="3A12214F" w14:textId="38C303D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494B2B5"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Dereköy Drilling Tm 4</w:t>
            </w:r>
          </w:p>
        </w:tc>
        <w:tc>
          <w:tcPr>
            <w:tcW w:w="1701" w:type="dxa"/>
            <w:shd w:val="clear" w:color="auto" w:fill="F2F2F2"/>
            <w:vAlign w:val="bottom"/>
          </w:tcPr>
          <w:p w14:paraId="3798AFE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7A03AA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49D1FA2" w14:textId="77777777" w:rsidTr="007E1FEA">
        <w:trPr>
          <w:jc w:val="center"/>
        </w:trPr>
        <w:tc>
          <w:tcPr>
            <w:tcW w:w="2127" w:type="dxa"/>
            <w:shd w:val="clear" w:color="auto" w:fill="F2F2F2"/>
          </w:tcPr>
          <w:p w14:paraId="3F228EE6" w14:textId="2C772D9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BD0DE2E"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Cardigan Drilling</w:t>
            </w:r>
          </w:p>
        </w:tc>
        <w:tc>
          <w:tcPr>
            <w:tcW w:w="1701" w:type="dxa"/>
            <w:shd w:val="clear" w:color="auto" w:fill="F2F2F2"/>
            <w:vAlign w:val="bottom"/>
          </w:tcPr>
          <w:p w14:paraId="06E84F4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935EBA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829D98E" w14:textId="77777777" w:rsidTr="007E1FEA">
        <w:trPr>
          <w:jc w:val="center"/>
        </w:trPr>
        <w:tc>
          <w:tcPr>
            <w:tcW w:w="2127" w:type="dxa"/>
            <w:shd w:val="clear" w:color="auto" w:fill="F2F2F2"/>
          </w:tcPr>
          <w:p w14:paraId="5AD360C4" w14:textId="731CD591"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A343403"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Aksekı Drilling</w:t>
            </w:r>
          </w:p>
        </w:tc>
        <w:tc>
          <w:tcPr>
            <w:tcW w:w="1701" w:type="dxa"/>
            <w:shd w:val="clear" w:color="auto" w:fill="F2F2F2"/>
            <w:vAlign w:val="bottom"/>
          </w:tcPr>
          <w:p w14:paraId="3FBC5E1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8733E4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08F73E0" w14:textId="77777777" w:rsidTr="007E1FEA">
        <w:trPr>
          <w:jc w:val="center"/>
        </w:trPr>
        <w:tc>
          <w:tcPr>
            <w:tcW w:w="2127" w:type="dxa"/>
            <w:shd w:val="clear" w:color="auto" w:fill="F2F2F2"/>
          </w:tcPr>
          <w:p w14:paraId="388BDE4D" w14:textId="343A021B"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8DBEEE9"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Sucati _Drilling</w:t>
            </w:r>
          </w:p>
        </w:tc>
        <w:tc>
          <w:tcPr>
            <w:tcW w:w="1701" w:type="dxa"/>
            <w:shd w:val="clear" w:color="auto" w:fill="F2F2F2"/>
            <w:vAlign w:val="bottom"/>
          </w:tcPr>
          <w:p w14:paraId="586950A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B48527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6F81D0C" w14:textId="77777777" w:rsidTr="007E1FEA">
        <w:trPr>
          <w:jc w:val="center"/>
        </w:trPr>
        <w:tc>
          <w:tcPr>
            <w:tcW w:w="2127" w:type="dxa"/>
            <w:shd w:val="clear" w:color="auto" w:fill="F2F2F2"/>
          </w:tcPr>
          <w:p w14:paraId="1A5CFC0B" w14:textId="306F84F9"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C3DF727"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Büyükyanık Drilling</w:t>
            </w:r>
          </w:p>
        </w:tc>
        <w:tc>
          <w:tcPr>
            <w:tcW w:w="1701" w:type="dxa"/>
            <w:shd w:val="clear" w:color="auto" w:fill="F2F2F2"/>
            <w:vAlign w:val="bottom"/>
          </w:tcPr>
          <w:p w14:paraId="703F919B"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1C1E84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7627983A" w14:textId="77777777" w:rsidTr="007E1FEA">
        <w:trPr>
          <w:jc w:val="center"/>
        </w:trPr>
        <w:tc>
          <w:tcPr>
            <w:tcW w:w="2127" w:type="dxa"/>
            <w:shd w:val="clear" w:color="auto" w:fill="F2F2F2"/>
          </w:tcPr>
          <w:p w14:paraId="477F0C82" w14:textId="414D2304"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00FA513"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Gümüşoluk Drilling</w:t>
            </w:r>
          </w:p>
        </w:tc>
        <w:tc>
          <w:tcPr>
            <w:tcW w:w="1701" w:type="dxa"/>
            <w:shd w:val="clear" w:color="auto" w:fill="F2F2F2"/>
            <w:vAlign w:val="bottom"/>
          </w:tcPr>
          <w:p w14:paraId="233CBF8B"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C8CF1D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FE057B7" w14:textId="77777777" w:rsidTr="007E1FEA">
        <w:trPr>
          <w:jc w:val="center"/>
        </w:trPr>
        <w:tc>
          <w:tcPr>
            <w:tcW w:w="2127" w:type="dxa"/>
            <w:shd w:val="clear" w:color="auto" w:fill="F2F2F2"/>
          </w:tcPr>
          <w:p w14:paraId="6807ED77" w14:textId="47453322"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32DECF0"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Eski Yayla Drilling</w:t>
            </w:r>
          </w:p>
        </w:tc>
        <w:tc>
          <w:tcPr>
            <w:tcW w:w="1701" w:type="dxa"/>
            <w:shd w:val="clear" w:color="auto" w:fill="F2F2F2"/>
            <w:vAlign w:val="bottom"/>
          </w:tcPr>
          <w:p w14:paraId="63E76C95"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403D6F3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2D734C26" w14:textId="77777777" w:rsidTr="007E1FEA">
        <w:trPr>
          <w:jc w:val="center"/>
        </w:trPr>
        <w:tc>
          <w:tcPr>
            <w:tcW w:w="2127" w:type="dxa"/>
            <w:shd w:val="clear" w:color="auto" w:fill="F2F2F2"/>
          </w:tcPr>
          <w:p w14:paraId="2C91CCF1" w14:textId="44C781A8"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06FFBA3"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Tile-4 Drilling -</w:t>
            </w:r>
          </w:p>
        </w:tc>
        <w:tc>
          <w:tcPr>
            <w:tcW w:w="1701" w:type="dxa"/>
            <w:shd w:val="clear" w:color="auto" w:fill="F2F2F2"/>
            <w:vAlign w:val="bottom"/>
          </w:tcPr>
          <w:p w14:paraId="13157E0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A8F7B2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EB3888E" w14:textId="77777777" w:rsidTr="007E1FEA">
        <w:trPr>
          <w:jc w:val="center"/>
        </w:trPr>
        <w:tc>
          <w:tcPr>
            <w:tcW w:w="2127" w:type="dxa"/>
            <w:shd w:val="clear" w:color="auto" w:fill="F2F2F2"/>
          </w:tcPr>
          <w:p w14:paraId="3B3D1942" w14:textId="34C5EFDC"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1FECF72"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Hacıkışla 1</w:t>
            </w:r>
          </w:p>
        </w:tc>
        <w:tc>
          <w:tcPr>
            <w:tcW w:w="1701" w:type="dxa"/>
            <w:shd w:val="clear" w:color="auto" w:fill="F2F2F2"/>
            <w:vAlign w:val="bottom"/>
          </w:tcPr>
          <w:p w14:paraId="1769136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51AC2E5"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2824CF7" w14:textId="77777777" w:rsidTr="007E1FEA">
        <w:trPr>
          <w:jc w:val="center"/>
        </w:trPr>
        <w:tc>
          <w:tcPr>
            <w:tcW w:w="2127" w:type="dxa"/>
            <w:shd w:val="clear" w:color="auto" w:fill="F2F2F2"/>
          </w:tcPr>
          <w:p w14:paraId="288AA6B9" w14:textId="288F9EFE"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A2AD9B3"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Batakköy New Drilling Tm</w:t>
            </w:r>
          </w:p>
        </w:tc>
        <w:tc>
          <w:tcPr>
            <w:tcW w:w="1701" w:type="dxa"/>
            <w:shd w:val="clear" w:color="auto" w:fill="F2F2F2"/>
            <w:vAlign w:val="bottom"/>
          </w:tcPr>
          <w:p w14:paraId="08EEA7B5"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46A4920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E8354A8" w14:textId="77777777" w:rsidTr="007E1FEA">
        <w:trPr>
          <w:jc w:val="center"/>
        </w:trPr>
        <w:tc>
          <w:tcPr>
            <w:tcW w:w="2127" w:type="dxa"/>
            <w:shd w:val="clear" w:color="auto" w:fill="F2F2F2"/>
          </w:tcPr>
          <w:p w14:paraId="4BCF6B55" w14:textId="28D34879"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F558048"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Akdoğan_Drilling</w:t>
            </w:r>
          </w:p>
        </w:tc>
        <w:tc>
          <w:tcPr>
            <w:tcW w:w="1701" w:type="dxa"/>
            <w:shd w:val="clear" w:color="auto" w:fill="F2F2F2"/>
            <w:vAlign w:val="bottom"/>
          </w:tcPr>
          <w:p w14:paraId="3E27334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0E7250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21F04DD1" w14:textId="77777777" w:rsidTr="007E1FEA">
        <w:trPr>
          <w:jc w:val="center"/>
        </w:trPr>
        <w:tc>
          <w:tcPr>
            <w:tcW w:w="2127" w:type="dxa"/>
            <w:shd w:val="clear" w:color="auto" w:fill="F2F2F2"/>
          </w:tcPr>
          <w:p w14:paraId="4F537AD6" w14:textId="4C900766"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09C45D3"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Kocaali Maden Drilling-6</w:t>
            </w:r>
          </w:p>
        </w:tc>
        <w:tc>
          <w:tcPr>
            <w:tcW w:w="1701" w:type="dxa"/>
            <w:shd w:val="clear" w:color="auto" w:fill="F2F2F2"/>
            <w:vAlign w:val="bottom"/>
          </w:tcPr>
          <w:p w14:paraId="162F8094"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76467D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FFAF4E4" w14:textId="77777777" w:rsidTr="007E1FEA">
        <w:trPr>
          <w:jc w:val="center"/>
        </w:trPr>
        <w:tc>
          <w:tcPr>
            <w:tcW w:w="2127" w:type="dxa"/>
            <w:shd w:val="clear" w:color="auto" w:fill="F2F2F2"/>
          </w:tcPr>
          <w:p w14:paraId="1AE612EF" w14:textId="4C78ABCC"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77123A9"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Sin therefore 1</w:t>
            </w:r>
          </w:p>
        </w:tc>
        <w:tc>
          <w:tcPr>
            <w:tcW w:w="1701" w:type="dxa"/>
            <w:shd w:val="clear" w:color="auto" w:fill="F2F2F2"/>
            <w:vAlign w:val="bottom"/>
          </w:tcPr>
          <w:p w14:paraId="1A71ACC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5FE832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B668F3B" w14:textId="77777777" w:rsidTr="007E1FEA">
        <w:trPr>
          <w:jc w:val="center"/>
        </w:trPr>
        <w:tc>
          <w:tcPr>
            <w:tcW w:w="2127" w:type="dxa"/>
            <w:shd w:val="clear" w:color="auto" w:fill="F2F2F2"/>
          </w:tcPr>
          <w:p w14:paraId="3991BABA" w14:textId="4C637F7C"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6B53AA1"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Dereköy Drilling Tm 6</w:t>
            </w:r>
          </w:p>
        </w:tc>
        <w:tc>
          <w:tcPr>
            <w:tcW w:w="1701" w:type="dxa"/>
            <w:shd w:val="clear" w:color="auto" w:fill="F2F2F2"/>
            <w:vAlign w:val="bottom"/>
          </w:tcPr>
          <w:p w14:paraId="1196E9C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5939FC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E3406F2" w14:textId="77777777" w:rsidTr="007E1FEA">
        <w:trPr>
          <w:jc w:val="center"/>
        </w:trPr>
        <w:tc>
          <w:tcPr>
            <w:tcW w:w="2127" w:type="dxa"/>
            <w:shd w:val="clear" w:color="auto" w:fill="F2F2F2"/>
          </w:tcPr>
          <w:p w14:paraId="5891ABC4" w14:textId="201E91BD"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777563E"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Muezzins Group Drilling - Archers Drilling</w:t>
            </w:r>
          </w:p>
        </w:tc>
        <w:tc>
          <w:tcPr>
            <w:tcW w:w="1701" w:type="dxa"/>
            <w:shd w:val="clear" w:color="auto" w:fill="F2F2F2"/>
            <w:vAlign w:val="bottom"/>
          </w:tcPr>
          <w:p w14:paraId="683472C5"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F23DF2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A7FE031" w14:textId="77777777" w:rsidTr="007E1FEA">
        <w:trPr>
          <w:jc w:val="center"/>
        </w:trPr>
        <w:tc>
          <w:tcPr>
            <w:tcW w:w="2127" w:type="dxa"/>
            <w:shd w:val="clear" w:color="auto" w:fill="F2F2F2"/>
          </w:tcPr>
          <w:p w14:paraId="0CFB6BD3" w14:textId="4FC9C365"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4644570"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Kestanepınar Drilling</w:t>
            </w:r>
          </w:p>
        </w:tc>
        <w:tc>
          <w:tcPr>
            <w:tcW w:w="1701" w:type="dxa"/>
            <w:shd w:val="clear" w:color="auto" w:fill="F2F2F2"/>
            <w:vAlign w:val="bottom"/>
          </w:tcPr>
          <w:p w14:paraId="35C88D9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9ED952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26982F48" w14:textId="77777777" w:rsidTr="007E1FEA">
        <w:trPr>
          <w:jc w:val="center"/>
        </w:trPr>
        <w:tc>
          <w:tcPr>
            <w:tcW w:w="2127" w:type="dxa"/>
            <w:shd w:val="clear" w:color="auto" w:fill="F2F2F2"/>
          </w:tcPr>
          <w:p w14:paraId="76C8AEA2" w14:textId="0A59DB54"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BE08034"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Soguksu Drilling Tm</w:t>
            </w:r>
          </w:p>
        </w:tc>
        <w:tc>
          <w:tcPr>
            <w:tcW w:w="1701" w:type="dxa"/>
            <w:shd w:val="clear" w:color="auto" w:fill="F2F2F2"/>
            <w:vAlign w:val="bottom"/>
          </w:tcPr>
          <w:p w14:paraId="3EA30E6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06C522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5E89AA9" w14:textId="77777777" w:rsidTr="007E1FEA">
        <w:trPr>
          <w:jc w:val="center"/>
        </w:trPr>
        <w:tc>
          <w:tcPr>
            <w:tcW w:w="2127" w:type="dxa"/>
            <w:shd w:val="clear" w:color="auto" w:fill="F2F2F2"/>
          </w:tcPr>
          <w:p w14:paraId="375AAED4" w14:textId="343FCCA1"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lastRenderedPageBreak/>
              <w:t>Groundwater</w:t>
            </w:r>
          </w:p>
        </w:tc>
        <w:tc>
          <w:tcPr>
            <w:tcW w:w="2976" w:type="dxa"/>
            <w:shd w:val="clear" w:color="auto" w:fill="F2F2F2"/>
            <w:vAlign w:val="bottom"/>
          </w:tcPr>
          <w:p w14:paraId="2CF1D468"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Karasu Mine Drilling 6</w:t>
            </w:r>
          </w:p>
        </w:tc>
        <w:tc>
          <w:tcPr>
            <w:tcW w:w="1701" w:type="dxa"/>
            <w:shd w:val="clear" w:color="auto" w:fill="F2F2F2"/>
            <w:vAlign w:val="bottom"/>
          </w:tcPr>
          <w:p w14:paraId="546E680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A98E07B"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0B0075E" w14:textId="77777777" w:rsidTr="007E1FEA">
        <w:trPr>
          <w:jc w:val="center"/>
        </w:trPr>
        <w:tc>
          <w:tcPr>
            <w:tcW w:w="2127" w:type="dxa"/>
            <w:shd w:val="clear" w:color="auto" w:fill="F2F2F2"/>
          </w:tcPr>
          <w:p w14:paraId="07822648" w14:textId="0E9A0F4A"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7034650"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Akyazı Drilling Tm 2</w:t>
            </w:r>
          </w:p>
        </w:tc>
        <w:tc>
          <w:tcPr>
            <w:tcW w:w="1701" w:type="dxa"/>
            <w:shd w:val="clear" w:color="auto" w:fill="F2F2F2"/>
            <w:vAlign w:val="bottom"/>
          </w:tcPr>
          <w:p w14:paraId="43AD40B5"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8982AD4"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4C2B38D" w14:textId="77777777" w:rsidTr="007E1FEA">
        <w:trPr>
          <w:jc w:val="center"/>
        </w:trPr>
        <w:tc>
          <w:tcPr>
            <w:tcW w:w="2127" w:type="dxa"/>
            <w:shd w:val="clear" w:color="auto" w:fill="F2F2F2"/>
          </w:tcPr>
          <w:p w14:paraId="6C1780C1" w14:textId="47493258"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CB3639F"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Dumanköy Hut Drilling</w:t>
            </w:r>
          </w:p>
        </w:tc>
        <w:tc>
          <w:tcPr>
            <w:tcW w:w="1701" w:type="dxa"/>
            <w:shd w:val="clear" w:color="auto" w:fill="F2F2F2"/>
            <w:vAlign w:val="bottom"/>
          </w:tcPr>
          <w:p w14:paraId="6901C02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3364A0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AEAF5FD" w14:textId="77777777" w:rsidTr="007E1FEA">
        <w:trPr>
          <w:jc w:val="center"/>
        </w:trPr>
        <w:tc>
          <w:tcPr>
            <w:tcW w:w="2127" w:type="dxa"/>
            <w:shd w:val="clear" w:color="auto" w:fill="F2F2F2"/>
          </w:tcPr>
          <w:p w14:paraId="4C6F0D3A" w14:textId="5E1D371A"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B5B5537"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Alifuatpaşa-1 Drilling -</w:t>
            </w:r>
          </w:p>
        </w:tc>
        <w:tc>
          <w:tcPr>
            <w:tcW w:w="1701" w:type="dxa"/>
            <w:shd w:val="clear" w:color="auto" w:fill="F2F2F2"/>
            <w:vAlign w:val="bottom"/>
          </w:tcPr>
          <w:p w14:paraId="59E1157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B00708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2916D42" w14:textId="77777777" w:rsidTr="007E1FEA">
        <w:trPr>
          <w:jc w:val="center"/>
        </w:trPr>
        <w:tc>
          <w:tcPr>
            <w:tcW w:w="2127" w:type="dxa"/>
            <w:shd w:val="clear" w:color="auto" w:fill="F2F2F2"/>
          </w:tcPr>
          <w:p w14:paraId="32EBD529" w14:textId="21D7D82F"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C5D4F1A"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Karasu Maden Drilling-5</w:t>
            </w:r>
          </w:p>
        </w:tc>
        <w:tc>
          <w:tcPr>
            <w:tcW w:w="1701" w:type="dxa"/>
            <w:shd w:val="clear" w:color="auto" w:fill="F2F2F2"/>
            <w:vAlign w:val="bottom"/>
          </w:tcPr>
          <w:p w14:paraId="42B05DA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306AFC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DDB80CA" w14:textId="77777777" w:rsidTr="007E1FEA">
        <w:trPr>
          <w:jc w:val="center"/>
        </w:trPr>
        <w:tc>
          <w:tcPr>
            <w:tcW w:w="2127" w:type="dxa"/>
            <w:shd w:val="clear" w:color="auto" w:fill="F2F2F2"/>
          </w:tcPr>
          <w:p w14:paraId="10195745" w14:textId="708D4096"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735B7D3"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Yanıksayvant New Drilling</w:t>
            </w:r>
          </w:p>
        </w:tc>
        <w:tc>
          <w:tcPr>
            <w:tcW w:w="1701" w:type="dxa"/>
            <w:shd w:val="clear" w:color="auto" w:fill="F2F2F2"/>
            <w:vAlign w:val="bottom"/>
          </w:tcPr>
          <w:p w14:paraId="22D9F79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EFD135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89F7FB8" w14:textId="77777777" w:rsidTr="007E1FEA">
        <w:trPr>
          <w:jc w:val="center"/>
        </w:trPr>
        <w:tc>
          <w:tcPr>
            <w:tcW w:w="2127" w:type="dxa"/>
            <w:shd w:val="clear" w:color="auto" w:fill="F2F2F2"/>
          </w:tcPr>
          <w:p w14:paraId="18E8A837" w14:textId="75F3BF90"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08A0FF0"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Bayonet Sounding 2</w:t>
            </w:r>
          </w:p>
        </w:tc>
        <w:tc>
          <w:tcPr>
            <w:tcW w:w="1701" w:type="dxa"/>
            <w:shd w:val="clear" w:color="auto" w:fill="F2F2F2"/>
            <w:vAlign w:val="bottom"/>
          </w:tcPr>
          <w:p w14:paraId="3B92286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123E1E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0D5AA5B" w14:textId="77777777" w:rsidTr="007E1FEA">
        <w:trPr>
          <w:jc w:val="center"/>
        </w:trPr>
        <w:tc>
          <w:tcPr>
            <w:tcW w:w="2127" w:type="dxa"/>
            <w:shd w:val="clear" w:color="auto" w:fill="F2F2F2"/>
          </w:tcPr>
          <w:p w14:paraId="69F36CEA" w14:textId="2308E7EF"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AA63A41"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Karateke Drilling</w:t>
            </w:r>
          </w:p>
        </w:tc>
        <w:tc>
          <w:tcPr>
            <w:tcW w:w="1701" w:type="dxa"/>
            <w:shd w:val="clear" w:color="auto" w:fill="F2F2F2"/>
            <w:vAlign w:val="bottom"/>
          </w:tcPr>
          <w:p w14:paraId="1615A30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71B63E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FBDC888" w14:textId="77777777" w:rsidTr="007E1FEA">
        <w:trPr>
          <w:jc w:val="center"/>
        </w:trPr>
        <w:tc>
          <w:tcPr>
            <w:tcW w:w="2127" w:type="dxa"/>
            <w:shd w:val="clear" w:color="auto" w:fill="F2F2F2"/>
          </w:tcPr>
          <w:p w14:paraId="2FF5396E" w14:textId="27B66F9A"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DA8F8AA"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Zongildik-1 Drilling</w:t>
            </w:r>
          </w:p>
        </w:tc>
        <w:tc>
          <w:tcPr>
            <w:tcW w:w="1701" w:type="dxa"/>
            <w:shd w:val="clear" w:color="auto" w:fill="F2F2F2"/>
            <w:vAlign w:val="bottom"/>
          </w:tcPr>
          <w:p w14:paraId="06588B7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DEA474B"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6379C7B" w14:textId="77777777" w:rsidTr="007E1FEA">
        <w:trPr>
          <w:jc w:val="center"/>
        </w:trPr>
        <w:tc>
          <w:tcPr>
            <w:tcW w:w="2127" w:type="dxa"/>
            <w:shd w:val="clear" w:color="auto" w:fill="F2F2F2"/>
          </w:tcPr>
          <w:p w14:paraId="5EC303C3" w14:textId="1CE42E21"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A744181"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Gökgöz Drilling Tm 2</w:t>
            </w:r>
          </w:p>
        </w:tc>
        <w:tc>
          <w:tcPr>
            <w:tcW w:w="1701" w:type="dxa"/>
            <w:shd w:val="clear" w:color="auto" w:fill="F2F2F2"/>
            <w:vAlign w:val="bottom"/>
          </w:tcPr>
          <w:p w14:paraId="5901E0C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81845B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72A1E6F" w14:textId="77777777" w:rsidTr="007E1FEA">
        <w:trPr>
          <w:jc w:val="center"/>
        </w:trPr>
        <w:tc>
          <w:tcPr>
            <w:tcW w:w="2127" w:type="dxa"/>
            <w:shd w:val="clear" w:color="auto" w:fill="F2F2F2"/>
          </w:tcPr>
          <w:p w14:paraId="6E7ADF17" w14:textId="78CA70E4"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ACD6F56"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Ferizli Drilling 2</w:t>
            </w:r>
          </w:p>
        </w:tc>
        <w:tc>
          <w:tcPr>
            <w:tcW w:w="1701" w:type="dxa"/>
            <w:shd w:val="clear" w:color="auto" w:fill="F2F2F2"/>
            <w:vAlign w:val="bottom"/>
          </w:tcPr>
          <w:p w14:paraId="36352B5B"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0CD184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91F9A4B" w14:textId="77777777" w:rsidTr="007E1FEA">
        <w:trPr>
          <w:jc w:val="center"/>
        </w:trPr>
        <w:tc>
          <w:tcPr>
            <w:tcW w:w="2127" w:type="dxa"/>
            <w:shd w:val="clear" w:color="auto" w:fill="F2F2F2"/>
          </w:tcPr>
          <w:p w14:paraId="35DE67B5" w14:textId="0959D0EB"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03D6D5C"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Ömeraga Probing-2</w:t>
            </w:r>
          </w:p>
        </w:tc>
        <w:tc>
          <w:tcPr>
            <w:tcW w:w="1701" w:type="dxa"/>
            <w:shd w:val="clear" w:color="auto" w:fill="F2F2F2"/>
            <w:vAlign w:val="bottom"/>
          </w:tcPr>
          <w:p w14:paraId="3F993DC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4E3256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B7525BC" w14:textId="77777777" w:rsidTr="007E1FEA">
        <w:trPr>
          <w:jc w:val="center"/>
        </w:trPr>
        <w:tc>
          <w:tcPr>
            <w:tcW w:w="2127" w:type="dxa"/>
            <w:shd w:val="clear" w:color="auto" w:fill="F2F2F2"/>
          </w:tcPr>
          <w:p w14:paraId="5C6F050A" w14:textId="55B08509"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A2129A6"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Ahiler Drilling Tm</w:t>
            </w:r>
          </w:p>
        </w:tc>
        <w:tc>
          <w:tcPr>
            <w:tcW w:w="1701" w:type="dxa"/>
            <w:shd w:val="clear" w:color="auto" w:fill="F2F2F2"/>
            <w:vAlign w:val="bottom"/>
          </w:tcPr>
          <w:p w14:paraId="5547970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67AAE15"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6161CCA" w14:textId="77777777" w:rsidTr="007E1FEA">
        <w:trPr>
          <w:jc w:val="center"/>
        </w:trPr>
        <w:tc>
          <w:tcPr>
            <w:tcW w:w="2127" w:type="dxa"/>
            <w:shd w:val="clear" w:color="auto" w:fill="F2F2F2"/>
          </w:tcPr>
          <w:p w14:paraId="7835696C" w14:textId="6FEC96EA"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41A430E"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Karachay-7 Drilling</w:t>
            </w:r>
          </w:p>
        </w:tc>
        <w:tc>
          <w:tcPr>
            <w:tcW w:w="1701" w:type="dxa"/>
            <w:shd w:val="clear" w:color="auto" w:fill="F2F2F2"/>
            <w:vAlign w:val="bottom"/>
          </w:tcPr>
          <w:p w14:paraId="6E8B3C6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E9A720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231527DF" w14:textId="77777777" w:rsidTr="007E1FEA">
        <w:trPr>
          <w:jc w:val="center"/>
        </w:trPr>
        <w:tc>
          <w:tcPr>
            <w:tcW w:w="2127" w:type="dxa"/>
            <w:shd w:val="clear" w:color="auto" w:fill="F2F2F2"/>
          </w:tcPr>
          <w:p w14:paraId="095B308D" w14:textId="62667762"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A62496C"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Ferizli Drilling 1</w:t>
            </w:r>
          </w:p>
        </w:tc>
        <w:tc>
          <w:tcPr>
            <w:tcW w:w="1701" w:type="dxa"/>
            <w:shd w:val="clear" w:color="auto" w:fill="F2F2F2"/>
            <w:vAlign w:val="bottom"/>
          </w:tcPr>
          <w:p w14:paraId="77A7708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D95B38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1143969" w14:textId="77777777" w:rsidTr="007E1FEA">
        <w:trPr>
          <w:jc w:val="center"/>
        </w:trPr>
        <w:tc>
          <w:tcPr>
            <w:tcW w:w="2127" w:type="dxa"/>
            <w:shd w:val="clear" w:color="auto" w:fill="F2F2F2"/>
          </w:tcPr>
          <w:p w14:paraId="7DA76A27" w14:textId="0FFEC57E"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AA059B3"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You Were Amazed by the Sound of Music.</w:t>
            </w:r>
          </w:p>
        </w:tc>
        <w:tc>
          <w:tcPr>
            <w:tcW w:w="1701" w:type="dxa"/>
            <w:shd w:val="clear" w:color="auto" w:fill="F2F2F2"/>
            <w:vAlign w:val="bottom"/>
          </w:tcPr>
          <w:p w14:paraId="149DE18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7E0AB3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200607EA" w14:textId="77777777" w:rsidTr="007E1FEA">
        <w:trPr>
          <w:jc w:val="center"/>
        </w:trPr>
        <w:tc>
          <w:tcPr>
            <w:tcW w:w="2127" w:type="dxa"/>
            <w:shd w:val="clear" w:color="auto" w:fill="F2F2F2"/>
          </w:tcPr>
          <w:p w14:paraId="0FEB5D58" w14:textId="3BEB32EA"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368B788"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Darıçayırı Drilling</w:t>
            </w:r>
          </w:p>
        </w:tc>
        <w:tc>
          <w:tcPr>
            <w:tcW w:w="1701" w:type="dxa"/>
            <w:shd w:val="clear" w:color="auto" w:fill="F2F2F2"/>
            <w:vAlign w:val="bottom"/>
          </w:tcPr>
          <w:p w14:paraId="7355CFF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E17543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41C852E" w14:textId="77777777" w:rsidTr="007E1FEA">
        <w:trPr>
          <w:jc w:val="center"/>
        </w:trPr>
        <w:tc>
          <w:tcPr>
            <w:tcW w:w="2127" w:type="dxa"/>
            <w:shd w:val="clear" w:color="auto" w:fill="F2F2F2"/>
          </w:tcPr>
          <w:p w14:paraId="226A5841" w14:textId="490D0111"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4C86A96"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Tile-2 Drilling -</w:t>
            </w:r>
          </w:p>
        </w:tc>
        <w:tc>
          <w:tcPr>
            <w:tcW w:w="1701" w:type="dxa"/>
            <w:shd w:val="clear" w:color="auto" w:fill="F2F2F2"/>
            <w:vAlign w:val="bottom"/>
          </w:tcPr>
          <w:p w14:paraId="77ADE67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56E50B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A677AC0" w14:textId="77777777" w:rsidTr="007E1FEA">
        <w:trPr>
          <w:jc w:val="center"/>
        </w:trPr>
        <w:tc>
          <w:tcPr>
            <w:tcW w:w="2127" w:type="dxa"/>
            <w:shd w:val="clear" w:color="auto" w:fill="F2F2F2"/>
          </w:tcPr>
          <w:p w14:paraId="652E0EB9" w14:textId="12EEBCA6"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2F7C751"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Şeyhtımarı-2 Drilling</w:t>
            </w:r>
          </w:p>
        </w:tc>
        <w:tc>
          <w:tcPr>
            <w:tcW w:w="1701" w:type="dxa"/>
            <w:shd w:val="clear" w:color="auto" w:fill="F2F2F2"/>
            <w:vAlign w:val="bottom"/>
          </w:tcPr>
          <w:p w14:paraId="66A64EC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5293F2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E34DB4C" w14:textId="77777777" w:rsidTr="007E1FEA">
        <w:trPr>
          <w:jc w:val="center"/>
        </w:trPr>
        <w:tc>
          <w:tcPr>
            <w:tcW w:w="2127" w:type="dxa"/>
            <w:shd w:val="clear" w:color="auto" w:fill="F2F2F2"/>
          </w:tcPr>
          <w:p w14:paraId="1EDD0692" w14:textId="6BC7ED1E"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051DB51"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Karasu Maden Drilling-8</w:t>
            </w:r>
          </w:p>
        </w:tc>
        <w:tc>
          <w:tcPr>
            <w:tcW w:w="1701" w:type="dxa"/>
            <w:shd w:val="clear" w:color="auto" w:fill="F2F2F2"/>
            <w:vAlign w:val="bottom"/>
          </w:tcPr>
          <w:p w14:paraId="7F5788D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C28A45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7DD0269" w14:textId="77777777" w:rsidTr="007E1FEA">
        <w:trPr>
          <w:jc w:val="center"/>
        </w:trPr>
        <w:tc>
          <w:tcPr>
            <w:tcW w:w="2127" w:type="dxa"/>
            <w:shd w:val="clear" w:color="auto" w:fill="F2F2F2"/>
          </w:tcPr>
          <w:p w14:paraId="6CCDAF99" w14:textId="6FE0764E"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9D67B3E"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Dereköy Drilling Tm 7</w:t>
            </w:r>
          </w:p>
        </w:tc>
        <w:tc>
          <w:tcPr>
            <w:tcW w:w="1701" w:type="dxa"/>
            <w:shd w:val="clear" w:color="auto" w:fill="F2F2F2"/>
            <w:vAlign w:val="bottom"/>
          </w:tcPr>
          <w:p w14:paraId="2442BA5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EF353A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7B19AB9" w14:textId="77777777" w:rsidTr="007E1FEA">
        <w:trPr>
          <w:jc w:val="center"/>
        </w:trPr>
        <w:tc>
          <w:tcPr>
            <w:tcW w:w="2127" w:type="dxa"/>
            <w:shd w:val="clear" w:color="auto" w:fill="F2F2F2"/>
          </w:tcPr>
          <w:p w14:paraId="04B260B2" w14:textId="11278972"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A344B61"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Derekenarı (Chestnut) Drilling</w:t>
            </w:r>
          </w:p>
        </w:tc>
        <w:tc>
          <w:tcPr>
            <w:tcW w:w="1701" w:type="dxa"/>
            <w:shd w:val="clear" w:color="auto" w:fill="F2F2F2"/>
            <w:vAlign w:val="bottom"/>
          </w:tcPr>
          <w:p w14:paraId="533CA35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85388B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DF820E4" w14:textId="77777777" w:rsidTr="007E1FEA">
        <w:trPr>
          <w:jc w:val="center"/>
        </w:trPr>
        <w:tc>
          <w:tcPr>
            <w:tcW w:w="2127" w:type="dxa"/>
            <w:shd w:val="clear" w:color="auto" w:fill="F2F2F2"/>
          </w:tcPr>
          <w:p w14:paraId="13895971" w14:textId="34D09EAD"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738FA4D"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Karasu Maden Drilling-9</w:t>
            </w:r>
          </w:p>
        </w:tc>
        <w:tc>
          <w:tcPr>
            <w:tcW w:w="1701" w:type="dxa"/>
            <w:shd w:val="clear" w:color="auto" w:fill="F2F2F2"/>
            <w:vAlign w:val="bottom"/>
          </w:tcPr>
          <w:p w14:paraId="7FE722E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133DED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6E114A9" w14:textId="77777777" w:rsidTr="007E1FEA">
        <w:trPr>
          <w:jc w:val="center"/>
        </w:trPr>
        <w:tc>
          <w:tcPr>
            <w:tcW w:w="2127" w:type="dxa"/>
            <w:shd w:val="clear" w:color="auto" w:fill="F2F2F2"/>
          </w:tcPr>
          <w:p w14:paraId="5312954E" w14:textId="42641888"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AF6C04F"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Taraklı Central Ulucami Drilling 1</w:t>
            </w:r>
          </w:p>
        </w:tc>
        <w:tc>
          <w:tcPr>
            <w:tcW w:w="1701" w:type="dxa"/>
            <w:shd w:val="clear" w:color="auto" w:fill="F2F2F2"/>
            <w:vAlign w:val="bottom"/>
          </w:tcPr>
          <w:p w14:paraId="373C4A8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F04D16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F9486B7" w14:textId="77777777" w:rsidTr="007E1FEA">
        <w:trPr>
          <w:jc w:val="center"/>
        </w:trPr>
        <w:tc>
          <w:tcPr>
            <w:tcW w:w="2127" w:type="dxa"/>
            <w:shd w:val="clear" w:color="auto" w:fill="F2F2F2"/>
          </w:tcPr>
          <w:p w14:paraId="53E2677E" w14:textId="150DF06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FA92D48"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Süngüt Drilling</w:t>
            </w:r>
          </w:p>
        </w:tc>
        <w:tc>
          <w:tcPr>
            <w:tcW w:w="1701" w:type="dxa"/>
            <w:shd w:val="clear" w:color="auto" w:fill="F2F2F2"/>
            <w:vAlign w:val="bottom"/>
          </w:tcPr>
          <w:p w14:paraId="083AFB3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9C3976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7E728EA" w14:textId="77777777" w:rsidTr="007E1FEA">
        <w:trPr>
          <w:jc w:val="center"/>
        </w:trPr>
        <w:tc>
          <w:tcPr>
            <w:tcW w:w="2127" w:type="dxa"/>
            <w:shd w:val="clear" w:color="auto" w:fill="F2F2F2"/>
          </w:tcPr>
          <w:p w14:paraId="4000DFB7" w14:textId="52CC4E79"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C934306"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Karapürçek Drilling Tm 2</w:t>
            </w:r>
          </w:p>
        </w:tc>
        <w:tc>
          <w:tcPr>
            <w:tcW w:w="1701" w:type="dxa"/>
            <w:shd w:val="clear" w:color="auto" w:fill="F2F2F2"/>
            <w:vAlign w:val="bottom"/>
          </w:tcPr>
          <w:p w14:paraId="387F2B5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1ADE99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A7966CC" w14:textId="77777777" w:rsidTr="007E1FEA">
        <w:trPr>
          <w:jc w:val="center"/>
        </w:trPr>
        <w:tc>
          <w:tcPr>
            <w:tcW w:w="2127" w:type="dxa"/>
            <w:shd w:val="clear" w:color="auto" w:fill="F2F2F2"/>
          </w:tcPr>
          <w:p w14:paraId="4A19516E" w14:textId="02EB547F"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855D12D"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Taraklı Central Grand Mosque Drilling 2</w:t>
            </w:r>
          </w:p>
        </w:tc>
        <w:tc>
          <w:tcPr>
            <w:tcW w:w="1701" w:type="dxa"/>
            <w:shd w:val="clear" w:color="auto" w:fill="F2F2F2"/>
            <w:vAlign w:val="bottom"/>
          </w:tcPr>
          <w:p w14:paraId="1F468F4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0F462A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B171AF8" w14:textId="77777777" w:rsidTr="007E1FEA">
        <w:trPr>
          <w:jc w:val="center"/>
        </w:trPr>
        <w:tc>
          <w:tcPr>
            <w:tcW w:w="2127" w:type="dxa"/>
            <w:shd w:val="clear" w:color="auto" w:fill="F2F2F2"/>
          </w:tcPr>
          <w:p w14:paraId="4E69A0E9" w14:textId="19154C21"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54EEDB3"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Kocatöngel Drilling Tm 1</w:t>
            </w:r>
          </w:p>
        </w:tc>
        <w:tc>
          <w:tcPr>
            <w:tcW w:w="1701" w:type="dxa"/>
            <w:shd w:val="clear" w:color="auto" w:fill="F2F2F2"/>
            <w:vAlign w:val="bottom"/>
          </w:tcPr>
          <w:p w14:paraId="0001CAD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FCE5EC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76B22CF" w14:textId="77777777" w:rsidTr="007E1FEA">
        <w:trPr>
          <w:jc w:val="center"/>
        </w:trPr>
        <w:tc>
          <w:tcPr>
            <w:tcW w:w="2127" w:type="dxa"/>
            <w:shd w:val="clear" w:color="auto" w:fill="F2F2F2"/>
          </w:tcPr>
          <w:p w14:paraId="1072442F" w14:textId="6116461C"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lastRenderedPageBreak/>
              <w:t>Groundwater</w:t>
            </w:r>
          </w:p>
        </w:tc>
        <w:tc>
          <w:tcPr>
            <w:tcW w:w="2976" w:type="dxa"/>
            <w:shd w:val="clear" w:color="auto" w:fill="F2F2F2"/>
            <w:vAlign w:val="bottom"/>
          </w:tcPr>
          <w:p w14:paraId="0AAE795F"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Strawberry Drilling</w:t>
            </w:r>
          </w:p>
        </w:tc>
        <w:tc>
          <w:tcPr>
            <w:tcW w:w="1701" w:type="dxa"/>
            <w:shd w:val="clear" w:color="auto" w:fill="F2F2F2"/>
            <w:vAlign w:val="bottom"/>
          </w:tcPr>
          <w:p w14:paraId="6272F12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E993AA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C134E12" w14:textId="77777777" w:rsidTr="007E1FEA">
        <w:trPr>
          <w:jc w:val="center"/>
        </w:trPr>
        <w:tc>
          <w:tcPr>
            <w:tcW w:w="2127" w:type="dxa"/>
            <w:shd w:val="clear" w:color="auto" w:fill="F2F2F2"/>
          </w:tcPr>
          <w:p w14:paraId="34231D77" w14:textId="2E8C92E3"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22E35E6"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Kırkpınar Manors Drilling</w:t>
            </w:r>
          </w:p>
        </w:tc>
        <w:tc>
          <w:tcPr>
            <w:tcW w:w="1701" w:type="dxa"/>
            <w:shd w:val="clear" w:color="auto" w:fill="F2F2F2"/>
            <w:vAlign w:val="bottom"/>
          </w:tcPr>
          <w:p w14:paraId="01D67FF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CF7DE2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C55C62A" w14:textId="77777777" w:rsidTr="007E1FEA">
        <w:trPr>
          <w:jc w:val="center"/>
        </w:trPr>
        <w:tc>
          <w:tcPr>
            <w:tcW w:w="2127" w:type="dxa"/>
            <w:shd w:val="clear" w:color="auto" w:fill="F2F2F2"/>
          </w:tcPr>
          <w:p w14:paraId="3BA704B2" w14:textId="61EBEBD3"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16BF9C2"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Örencik_Drilling</w:t>
            </w:r>
          </w:p>
        </w:tc>
        <w:tc>
          <w:tcPr>
            <w:tcW w:w="1701" w:type="dxa"/>
            <w:shd w:val="clear" w:color="auto" w:fill="F2F2F2"/>
            <w:vAlign w:val="bottom"/>
          </w:tcPr>
          <w:p w14:paraId="765939D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80C564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F8710E4" w14:textId="77777777" w:rsidTr="007E1FEA">
        <w:trPr>
          <w:jc w:val="center"/>
        </w:trPr>
        <w:tc>
          <w:tcPr>
            <w:tcW w:w="2127" w:type="dxa"/>
            <w:shd w:val="clear" w:color="auto" w:fill="F2F2F2"/>
          </w:tcPr>
          <w:p w14:paraId="31A02F32" w14:textId="32C2E3EE"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93F6768"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Karachay-5 Drilling</w:t>
            </w:r>
          </w:p>
        </w:tc>
        <w:tc>
          <w:tcPr>
            <w:tcW w:w="1701" w:type="dxa"/>
            <w:shd w:val="clear" w:color="auto" w:fill="F2F2F2"/>
            <w:vAlign w:val="bottom"/>
          </w:tcPr>
          <w:p w14:paraId="406EDD3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82A72E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223D1C1" w14:textId="77777777" w:rsidTr="007E1FEA">
        <w:trPr>
          <w:jc w:val="center"/>
        </w:trPr>
        <w:tc>
          <w:tcPr>
            <w:tcW w:w="2127" w:type="dxa"/>
            <w:shd w:val="clear" w:color="auto" w:fill="F2F2F2"/>
          </w:tcPr>
          <w:p w14:paraId="4B9FAFCD" w14:textId="79AEF8F9"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828356C"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Dereköy Drilling Tm 1</w:t>
            </w:r>
          </w:p>
        </w:tc>
        <w:tc>
          <w:tcPr>
            <w:tcW w:w="1701" w:type="dxa"/>
            <w:shd w:val="clear" w:color="auto" w:fill="F2F2F2"/>
            <w:vAlign w:val="bottom"/>
          </w:tcPr>
          <w:p w14:paraId="499643E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4B8D72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D9ABA45" w14:textId="77777777" w:rsidTr="007E1FEA">
        <w:trPr>
          <w:jc w:val="center"/>
        </w:trPr>
        <w:tc>
          <w:tcPr>
            <w:tcW w:w="2127" w:type="dxa"/>
            <w:shd w:val="clear" w:color="auto" w:fill="F2F2F2"/>
          </w:tcPr>
          <w:p w14:paraId="1332D559" w14:textId="48926EA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02F70F4"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Kazımıye Bağlar Drilling Tm</w:t>
            </w:r>
          </w:p>
        </w:tc>
        <w:tc>
          <w:tcPr>
            <w:tcW w:w="1701" w:type="dxa"/>
            <w:shd w:val="clear" w:color="auto" w:fill="F2F2F2"/>
            <w:vAlign w:val="bottom"/>
          </w:tcPr>
          <w:p w14:paraId="570D0E44"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AE9277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2EB43408" w14:textId="77777777" w:rsidTr="007E1FEA">
        <w:trPr>
          <w:jc w:val="center"/>
        </w:trPr>
        <w:tc>
          <w:tcPr>
            <w:tcW w:w="2127" w:type="dxa"/>
            <w:shd w:val="clear" w:color="auto" w:fill="F2F2F2"/>
          </w:tcPr>
          <w:p w14:paraId="43E8C6F4" w14:textId="34ABE2CC"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42548F8"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Aktaş Drilling</w:t>
            </w:r>
          </w:p>
        </w:tc>
        <w:tc>
          <w:tcPr>
            <w:tcW w:w="1701" w:type="dxa"/>
            <w:shd w:val="clear" w:color="auto" w:fill="F2F2F2"/>
            <w:vAlign w:val="bottom"/>
          </w:tcPr>
          <w:p w14:paraId="356D332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94F3515"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0D461A1" w14:textId="77777777" w:rsidTr="007E1FEA">
        <w:trPr>
          <w:jc w:val="center"/>
        </w:trPr>
        <w:tc>
          <w:tcPr>
            <w:tcW w:w="2127" w:type="dxa"/>
            <w:shd w:val="clear" w:color="auto" w:fill="F2F2F2"/>
          </w:tcPr>
          <w:p w14:paraId="523CE2BC" w14:textId="412875B0"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4D3193F"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Beylice</w:t>
            </w:r>
          </w:p>
        </w:tc>
        <w:tc>
          <w:tcPr>
            <w:tcW w:w="1701" w:type="dxa"/>
            <w:shd w:val="clear" w:color="auto" w:fill="F2F2F2"/>
            <w:vAlign w:val="bottom"/>
          </w:tcPr>
          <w:p w14:paraId="317C3C4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621916B"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E44C0D2" w14:textId="77777777" w:rsidTr="007E1FEA">
        <w:trPr>
          <w:jc w:val="center"/>
        </w:trPr>
        <w:tc>
          <w:tcPr>
            <w:tcW w:w="2127" w:type="dxa"/>
            <w:shd w:val="clear" w:color="auto" w:fill="F2F2F2"/>
          </w:tcPr>
          <w:p w14:paraId="7EB23A52" w14:textId="4837C903"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6745E04"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Tile Drilling 5</w:t>
            </w:r>
          </w:p>
        </w:tc>
        <w:tc>
          <w:tcPr>
            <w:tcW w:w="1701" w:type="dxa"/>
            <w:shd w:val="clear" w:color="auto" w:fill="F2F2F2"/>
            <w:vAlign w:val="bottom"/>
          </w:tcPr>
          <w:p w14:paraId="09478D9B"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910381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2010858E" w14:textId="77777777" w:rsidTr="007E1FEA">
        <w:trPr>
          <w:jc w:val="center"/>
        </w:trPr>
        <w:tc>
          <w:tcPr>
            <w:tcW w:w="2127" w:type="dxa"/>
            <w:shd w:val="clear" w:color="auto" w:fill="F2F2F2"/>
          </w:tcPr>
          <w:p w14:paraId="4EA5F26F" w14:textId="1F275D65"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F52645D"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Pazarköy Drilling 2</w:t>
            </w:r>
          </w:p>
        </w:tc>
        <w:tc>
          <w:tcPr>
            <w:tcW w:w="1701" w:type="dxa"/>
            <w:shd w:val="clear" w:color="auto" w:fill="F2F2F2"/>
            <w:vAlign w:val="bottom"/>
          </w:tcPr>
          <w:p w14:paraId="26E12E0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7AFD87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28F4E9B1" w14:textId="77777777" w:rsidTr="007E1FEA">
        <w:trPr>
          <w:jc w:val="center"/>
        </w:trPr>
        <w:tc>
          <w:tcPr>
            <w:tcW w:w="2127" w:type="dxa"/>
            <w:shd w:val="clear" w:color="auto" w:fill="F2F2F2"/>
          </w:tcPr>
          <w:p w14:paraId="34E06C22" w14:textId="4436B559"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0A11C23"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Kocatöngel Drilling Tm 2</w:t>
            </w:r>
          </w:p>
        </w:tc>
        <w:tc>
          <w:tcPr>
            <w:tcW w:w="1701" w:type="dxa"/>
            <w:shd w:val="clear" w:color="auto" w:fill="F2F2F2"/>
            <w:vAlign w:val="bottom"/>
          </w:tcPr>
          <w:p w14:paraId="5FC11EA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EC14EB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0F6D40B" w14:textId="77777777" w:rsidTr="007E1FEA">
        <w:trPr>
          <w:jc w:val="center"/>
        </w:trPr>
        <w:tc>
          <w:tcPr>
            <w:tcW w:w="2127" w:type="dxa"/>
            <w:shd w:val="clear" w:color="auto" w:fill="F2F2F2"/>
          </w:tcPr>
          <w:p w14:paraId="56B5FBC6" w14:textId="01D7E004"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E88B7EB"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Ferizli Drilling 3</w:t>
            </w:r>
          </w:p>
        </w:tc>
        <w:tc>
          <w:tcPr>
            <w:tcW w:w="1701" w:type="dxa"/>
            <w:shd w:val="clear" w:color="auto" w:fill="F2F2F2"/>
            <w:vAlign w:val="bottom"/>
          </w:tcPr>
          <w:p w14:paraId="7E0475C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C284BF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4E2B105" w14:textId="77777777" w:rsidTr="007E1FEA">
        <w:trPr>
          <w:jc w:val="center"/>
        </w:trPr>
        <w:tc>
          <w:tcPr>
            <w:tcW w:w="2127" w:type="dxa"/>
            <w:shd w:val="clear" w:color="auto" w:fill="F2F2F2"/>
          </w:tcPr>
          <w:p w14:paraId="18315BE7" w14:textId="51B9B445"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89F5F59"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Tile-1 Drilling</w:t>
            </w:r>
          </w:p>
        </w:tc>
        <w:tc>
          <w:tcPr>
            <w:tcW w:w="1701" w:type="dxa"/>
            <w:shd w:val="clear" w:color="auto" w:fill="F2F2F2"/>
            <w:vAlign w:val="bottom"/>
          </w:tcPr>
          <w:p w14:paraId="5519A1A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35C3ED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70FFDA77" w14:textId="77777777" w:rsidTr="007E1FEA">
        <w:trPr>
          <w:jc w:val="center"/>
        </w:trPr>
        <w:tc>
          <w:tcPr>
            <w:tcW w:w="2127" w:type="dxa"/>
            <w:shd w:val="clear" w:color="auto" w:fill="F2F2F2"/>
          </w:tcPr>
          <w:p w14:paraId="57ADBF2B" w14:textId="5C45AB76"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F8BB0DC"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Taraklı Central Ulucami Drilling 3</w:t>
            </w:r>
          </w:p>
        </w:tc>
        <w:tc>
          <w:tcPr>
            <w:tcW w:w="1701" w:type="dxa"/>
            <w:shd w:val="clear" w:color="auto" w:fill="F2F2F2"/>
            <w:vAlign w:val="bottom"/>
          </w:tcPr>
          <w:p w14:paraId="6D0CB26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B24E20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5200927" w14:textId="77777777" w:rsidTr="007E1FEA">
        <w:trPr>
          <w:jc w:val="center"/>
        </w:trPr>
        <w:tc>
          <w:tcPr>
            <w:tcW w:w="2127" w:type="dxa"/>
            <w:shd w:val="clear" w:color="auto" w:fill="F2F2F2"/>
          </w:tcPr>
          <w:p w14:paraId="226D02B7" w14:textId="77CFAA0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B0DE725"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Streamside 2 Drilling</w:t>
            </w:r>
          </w:p>
        </w:tc>
        <w:tc>
          <w:tcPr>
            <w:tcW w:w="1701" w:type="dxa"/>
            <w:shd w:val="clear" w:color="auto" w:fill="F2F2F2"/>
            <w:vAlign w:val="bottom"/>
          </w:tcPr>
          <w:p w14:paraId="6F6946E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4D25BF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B18CED5" w14:textId="77777777" w:rsidTr="007E1FEA">
        <w:trPr>
          <w:jc w:val="center"/>
        </w:trPr>
        <w:tc>
          <w:tcPr>
            <w:tcW w:w="2127" w:type="dxa"/>
            <w:shd w:val="clear" w:color="auto" w:fill="F2F2F2"/>
          </w:tcPr>
          <w:p w14:paraId="390BC388" w14:textId="74BAB86A"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3591240"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Chechen Drilling</w:t>
            </w:r>
          </w:p>
        </w:tc>
        <w:tc>
          <w:tcPr>
            <w:tcW w:w="1701" w:type="dxa"/>
            <w:shd w:val="clear" w:color="auto" w:fill="F2F2F2"/>
            <w:vAlign w:val="bottom"/>
          </w:tcPr>
          <w:p w14:paraId="5B1DCC8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13D635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95B660C" w14:textId="77777777" w:rsidTr="007E1FEA">
        <w:trPr>
          <w:jc w:val="center"/>
        </w:trPr>
        <w:tc>
          <w:tcPr>
            <w:tcW w:w="2127" w:type="dxa"/>
            <w:shd w:val="clear" w:color="auto" w:fill="F2F2F2"/>
          </w:tcPr>
          <w:p w14:paraId="11C38D22" w14:textId="3A41ADAC"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60A1D55"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Dereköy Drilling Tm 1</w:t>
            </w:r>
          </w:p>
        </w:tc>
        <w:tc>
          <w:tcPr>
            <w:tcW w:w="1701" w:type="dxa"/>
            <w:shd w:val="clear" w:color="auto" w:fill="F2F2F2"/>
            <w:vAlign w:val="bottom"/>
          </w:tcPr>
          <w:p w14:paraId="1D14006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3601D9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A3AADF1" w14:textId="77777777" w:rsidTr="007E1FEA">
        <w:trPr>
          <w:jc w:val="center"/>
        </w:trPr>
        <w:tc>
          <w:tcPr>
            <w:tcW w:w="2127" w:type="dxa"/>
            <w:shd w:val="clear" w:color="auto" w:fill="F2F2F2"/>
          </w:tcPr>
          <w:p w14:paraId="0266A571" w14:textId="04B0805F"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6E593AD"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Dereköy Drilling Tm 2</w:t>
            </w:r>
          </w:p>
        </w:tc>
        <w:tc>
          <w:tcPr>
            <w:tcW w:w="1701" w:type="dxa"/>
            <w:shd w:val="clear" w:color="auto" w:fill="F2F2F2"/>
            <w:vAlign w:val="bottom"/>
          </w:tcPr>
          <w:p w14:paraId="205F337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F45F7A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D1286B6" w14:textId="77777777" w:rsidTr="007E1FEA">
        <w:trPr>
          <w:jc w:val="center"/>
        </w:trPr>
        <w:tc>
          <w:tcPr>
            <w:tcW w:w="2127" w:type="dxa"/>
            <w:shd w:val="clear" w:color="auto" w:fill="F2F2F2"/>
          </w:tcPr>
          <w:p w14:paraId="782FBC28" w14:textId="02396AAC"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A5240EB"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Kocatöngel Drilling Tm 3</w:t>
            </w:r>
          </w:p>
        </w:tc>
        <w:tc>
          <w:tcPr>
            <w:tcW w:w="1701" w:type="dxa"/>
            <w:shd w:val="clear" w:color="auto" w:fill="F2F2F2"/>
            <w:vAlign w:val="bottom"/>
          </w:tcPr>
          <w:p w14:paraId="209150E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1D9D6C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3BDCF2D" w14:textId="77777777" w:rsidTr="007E1FEA">
        <w:trPr>
          <w:jc w:val="center"/>
        </w:trPr>
        <w:tc>
          <w:tcPr>
            <w:tcW w:w="2127" w:type="dxa"/>
            <w:shd w:val="clear" w:color="auto" w:fill="F2F2F2"/>
          </w:tcPr>
          <w:p w14:paraId="6AC6C0D8" w14:textId="6FBDF7C3"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5E10F4F"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Eşme Drilling Tm</w:t>
            </w:r>
          </w:p>
        </w:tc>
        <w:tc>
          <w:tcPr>
            <w:tcW w:w="1701" w:type="dxa"/>
            <w:shd w:val="clear" w:color="auto" w:fill="F2F2F2"/>
            <w:vAlign w:val="bottom"/>
          </w:tcPr>
          <w:p w14:paraId="061538D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731921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AA85B69" w14:textId="77777777" w:rsidTr="007E1FEA">
        <w:trPr>
          <w:jc w:val="center"/>
        </w:trPr>
        <w:tc>
          <w:tcPr>
            <w:tcW w:w="2127" w:type="dxa"/>
            <w:shd w:val="clear" w:color="auto" w:fill="F2F2F2"/>
          </w:tcPr>
          <w:p w14:paraId="63C1B6F4" w14:textId="65D6E548"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994A508"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Esenköy Depo Arıtma</w:t>
            </w:r>
          </w:p>
        </w:tc>
        <w:tc>
          <w:tcPr>
            <w:tcW w:w="1701" w:type="dxa"/>
            <w:shd w:val="clear" w:color="auto" w:fill="F2F2F2"/>
            <w:vAlign w:val="bottom"/>
          </w:tcPr>
          <w:p w14:paraId="768BD714"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DC71CC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59B93B7" w14:textId="77777777" w:rsidTr="007E1FEA">
        <w:trPr>
          <w:jc w:val="center"/>
        </w:trPr>
        <w:tc>
          <w:tcPr>
            <w:tcW w:w="2127" w:type="dxa"/>
            <w:shd w:val="clear" w:color="auto" w:fill="F2F2F2"/>
          </w:tcPr>
          <w:p w14:paraId="77C77F84" w14:textId="0026EC3A"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B73E9E2"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Karachay-9 Drilling</w:t>
            </w:r>
          </w:p>
        </w:tc>
        <w:tc>
          <w:tcPr>
            <w:tcW w:w="1701" w:type="dxa"/>
            <w:shd w:val="clear" w:color="auto" w:fill="F2F2F2"/>
            <w:vAlign w:val="bottom"/>
          </w:tcPr>
          <w:p w14:paraId="68E0518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0A56EE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29D36EE3" w14:textId="77777777" w:rsidTr="007E1FEA">
        <w:trPr>
          <w:jc w:val="center"/>
        </w:trPr>
        <w:tc>
          <w:tcPr>
            <w:tcW w:w="2127" w:type="dxa"/>
            <w:shd w:val="clear" w:color="auto" w:fill="F2F2F2"/>
          </w:tcPr>
          <w:p w14:paraId="1C7EB57E" w14:textId="7041243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40551D4"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Karasu Maden Drilling-7</w:t>
            </w:r>
          </w:p>
        </w:tc>
        <w:tc>
          <w:tcPr>
            <w:tcW w:w="1701" w:type="dxa"/>
            <w:shd w:val="clear" w:color="auto" w:fill="F2F2F2"/>
            <w:vAlign w:val="bottom"/>
          </w:tcPr>
          <w:p w14:paraId="1B210E8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E381D9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508CC58" w14:textId="77777777" w:rsidTr="007E1FEA">
        <w:trPr>
          <w:jc w:val="center"/>
        </w:trPr>
        <w:tc>
          <w:tcPr>
            <w:tcW w:w="2127" w:type="dxa"/>
            <w:shd w:val="clear" w:color="auto" w:fill="F2F2F2"/>
          </w:tcPr>
          <w:p w14:paraId="2F51D62E" w14:textId="0E174633"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19262C6"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Kayabaşı Drilling Tm 1</w:t>
            </w:r>
          </w:p>
        </w:tc>
        <w:tc>
          <w:tcPr>
            <w:tcW w:w="1701" w:type="dxa"/>
            <w:shd w:val="clear" w:color="auto" w:fill="F2F2F2"/>
            <w:vAlign w:val="bottom"/>
          </w:tcPr>
          <w:p w14:paraId="17E42B6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761265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D9BC6F6" w14:textId="77777777" w:rsidTr="007E1FEA">
        <w:trPr>
          <w:jc w:val="center"/>
        </w:trPr>
        <w:tc>
          <w:tcPr>
            <w:tcW w:w="2127" w:type="dxa"/>
            <w:shd w:val="clear" w:color="auto" w:fill="F2F2F2"/>
          </w:tcPr>
          <w:p w14:paraId="4D9425A8" w14:textId="2DECC9E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7758821"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Arifağa-2 Drilling</w:t>
            </w:r>
          </w:p>
        </w:tc>
        <w:tc>
          <w:tcPr>
            <w:tcW w:w="1701" w:type="dxa"/>
            <w:shd w:val="clear" w:color="auto" w:fill="F2F2F2"/>
            <w:vAlign w:val="bottom"/>
          </w:tcPr>
          <w:p w14:paraId="02F43BA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EA0103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3376015" w14:textId="77777777" w:rsidTr="007E1FEA">
        <w:trPr>
          <w:jc w:val="center"/>
        </w:trPr>
        <w:tc>
          <w:tcPr>
            <w:tcW w:w="2127" w:type="dxa"/>
            <w:shd w:val="clear" w:color="auto" w:fill="F2F2F2"/>
          </w:tcPr>
          <w:p w14:paraId="2C2C8AD5" w14:textId="700A5F4F"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3D6E173"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Sapanca Yanık Drilling Tm 1</w:t>
            </w:r>
          </w:p>
        </w:tc>
        <w:tc>
          <w:tcPr>
            <w:tcW w:w="1701" w:type="dxa"/>
            <w:shd w:val="clear" w:color="auto" w:fill="F2F2F2"/>
            <w:vAlign w:val="bottom"/>
          </w:tcPr>
          <w:p w14:paraId="2593CAF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1DE964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1D05036" w14:textId="77777777" w:rsidTr="007E1FEA">
        <w:trPr>
          <w:jc w:val="center"/>
        </w:trPr>
        <w:tc>
          <w:tcPr>
            <w:tcW w:w="2127" w:type="dxa"/>
            <w:shd w:val="clear" w:color="auto" w:fill="F2F2F2"/>
          </w:tcPr>
          <w:p w14:paraId="3E6DD401" w14:textId="58F742F9"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66B040E"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Hacıyakup Kabaklar Drilling Tm</w:t>
            </w:r>
          </w:p>
        </w:tc>
        <w:tc>
          <w:tcPr>
            <w:tcW w:w="1701" w:type="dxa"/>
            <w:shd w:val="clear" w:color="auto" w:fill="F2F2F2"/>
            <w:vAlign w:val="bottom"/>
          </w:tcPr>
          <w:p w14:paraId="228750D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C3469E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43E7DAE" w14:textId="77777777" w:rsidTr="007E1FEA">
        <w:trPr>
          <w:jc w:val="center"/>
        </w:trPr>
        <w:tc>
          <w:tcPr>
            <w:tcW w:w="2127" w:type="dxa"/>
            <w:shd w:val="clear" w:color="auto" w:fill="F2F2F2"/>
          </w:tcPr>
          <w:p w14:paraId="6FA1FA69" w14:textId="20D12C3E"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4108355"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Karapelit Drillingı</w:t>
            </w:r>
          </w:p>
        </w:tc>
        <w:tc>
          <w:tcPr>
            <w:tcW w:w="1701" w:type="dxa"/>
            <w:shd w:val="clear" w:color="auto" w:fill="F2F2F2"/>
            <w:vAlign w:val="bottom"/>
          </w:tcPr>
          <w:p w14:paraId="788B310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EE437D4"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7BF4F400" w14:textId="77777777" w:rsidTr="007E1FEA">
        <w:trPr>
          <w:jc w:val="center"/>
        </w:trPr>
        <w:tc>
          <w:tcPr>
            <w:tcW w:w="2127" w:type="dxa"/>
            <w:shd w:val="clear" w:color="auto" w:fill="F2F2F2"/>
          </w:tcPr>
          <w:p w14:paraId="4C6868DB" w14:textId="139AFB93"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C8B81EF"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Yörükyerı Drilling Tm</w:t>
            </w:r>
          </w:p>
        </w:tc>
        <w:tc>
          <w:tcPr>
            <w:tcW w:w="1701" w:type="dxa"/>
            <w:shd w:val="clear" w:color="auto" w:fill="F2F2F2"/>
            <w:vAlign w:val="bottom"/>
          </w:tcPr>
          <w:p w14:paraId="6F0488A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BFAB4C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773DD98D" w14:textId="77777777" w:rsidTr="007E1FEA">
        <w:trPr>
          <w:jc w:val="center"/>
        </w:trPr>
        <w:tc>
          <w:tcPr>
            <w:tcW w:w="2127" w:type="dxa"/>
            <w:shd w:val="clear" w:color="auto" w:fill="F2F2F2"/>
          </w:tcPr>
          <w:p w14:paraId="7F41A46C" w14:textId="3BB200F5"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lastRenderedPageBreak/>
              <w:t>Groundwater</w:t>
            </w:r>
          </w:p>
        </w:tc>
        <w:tc>
          <w:tcPr>
            <w:tcW w:w="2976" w:type="dxa"/>
            <w:shd w:val="clear" w:color="auto" w:fill="F2F2F2"/>
            <w:vAlign w:val="bottom"/>
          </w:tcPr>
          <w:p w14:paraId="144DD054"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Kocaali Maden Drilling 2</w:t>
            </w:r>
          </w:p>
        </w:tc>
        <w:tc>
          <w:tcPr>
            <w:tcW w:w="1701" w:type="dxa"/>
            <w:shd w:val="clear" w:color="auto" w:fill="F2F2F2"/>
            <w:vAlign w:val="bottom"/>
          </w:tcPr>
          <w:p w14:paraId="083DDB3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480EB4E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7B434002" w14:textId="77777777" w:rsidTr="007E1FEA">
        <w:trPr>
          <w:jc w:val="center"/>
        </w:trPr>
        <w:tc>
          <w:tcPr>
            <w:tcW w:w="2127" w:type="dxa"/>
            <w:shd w:val="clear" w:color="auto" w:fill="F2F2F2"/>
          </w:tcPr>
          <w:p w14:paraId="1ACFF0CF" w14:textId="36DB8694"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655EEF8"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Oruçlu Soda</w:t>
            </w:r>
          </w:p>
        </w:tc>
        <w:tc>
          <w:tcPr>
            <w:tcW w:w="1701" w:type="dxa"/>
            <w:shd w:val="clear" w:color="auto" w:fill="F2F2F2"/>
            <w:vAlign w:val="bottom"/>
          </w:tcPr>
          <w:p w14:paraId="19BD7BA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53DB48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F50C871" w14:textId="77777777" w:rsidTr="007E1FEA">
        <w:trPr>
          <w:jc w:val="center"/>
        </w:trPr>
        <w:tc>
          <w:tcPr>
            <w:tcW w:w="2127" w:type="dxa"/>
            <w:shd w:val="clear" w:color="auto" w:fill="F2F2F2"/>
          </w:tcPr>
          <w:p w14:paraId="5DFB89EE" w14:textId="1EC6B1DC"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5E75D62"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Yanıksayvant Old Drilling</w:t>
            </w:r>
          </w:p>
        </w:tc>
        <w:tc>
          <w:tcPr>
            <w:tcW w:w="1701" w:type="dxa"/>
            <w:shd w:val="clear" w:color="auto" w:fill="F2F2F2"/>
            <w:vAlign w:val="bottom"/>
          </w:tcPr>
          <w:p w14:paraId="67F63DF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CB4CE0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2DAAB7DF" w14:textId="77777777" w:rsidTr="007E1FEA">
        <w:trPr>
          <w:jc w:val="center"/>
        </w:trPr>
        <w:tc>
          <w:tcPr>
            <w:tcW w:w="2127" w:type="dxa"/>
            <w:shd w:val="clear" w:color="auto" w:fill="F2F2F2"/>
          </w:tcPr>
          <w:p w14:paraId="09269875" w14:textId="47A21372"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8B3684B"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Karachay-6 Drilling</w:t>
            </w:r>
          </w:p>
        </w:tc>
        <w:tc>
          <w:tcPr>
            <w:tcW w:w="1701" w:type="dxa"/>
            <w:shd w:val="clear" w:color="auto" w:fill="F2F2F2"/>
            <w:vAlign w:val="bottom"/>
          </w:tcPr>
          <w:p w14:paraId="05B4CA0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3B7650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F6974D1" w14:textId="77777777" w:rsidTr="007E1FEA">
        <w:trPr>
          <w:jc w:val="center"/>
        </w:trPr>
        <w:tc>
          <w:tcPr>
            <w:tcW w:w="2127" w:type="dxa"/>
            <w:shd w:val="clear" w:color="auto" w:fill="F2F2F2"/>
          </w:tcPr>
          <w:p w14:paraId="095CBE0E" w14:textId="2FD0E40B"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5F3E2F9"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Kirazlı Drilling</w:t>
            </w:r>
          </w:p>
        </w:tc>
        <w:tc>
          <w:tcPr>
            <w:tcW w:w="1701" w:type="dxa"/>
            <w:shd w:val="clear" w:color="auto" w:fill="F2F2F2"/>
            <w:vAlign w:val="bottom"/>
          </w:tcPr>
          <w:p w14:paraId="385733A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465C5F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219446B7" w14:textId="77777777" w:rsidTr="007E1FEA">
        <w:trPr>
          <w:jc w:val="center"/>
        </w:trPr>
        <w:tc>
          <w:tcPr>
            <w:tcW w:w="2127" w:type="dxa"/>
            <w:shd w:val="clear" w:color="auto" w:fill="F2F2F2"/>
          </w:tcPr>
          <w:p w14:paraId="1BB36413" w14:textId="7BC9357C"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C12E0D4"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Karasu Mine Drilling 10</w:t>
            </w:r>
          </w:p>
        </w:tc>
        <w:tc>
          <w:tcPr>
            <w:tcW w:w="1701" w:type="dxa"/>
            <w:shd w:val="clear" w:color="auto" w:fill="F2F2F2"/>
            <w:vAlign w:val="bottom"/>
          </w:tcPr>
          <w:p w14:paraId="0B47FA2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353D16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624FC17" w14:textId="77777777" w:rsidTr="007E1FEA">
        <w:trPr>
          <w:jc w:val="center"/>
        </w:trPr>
        <w:tc>
          <w:tcPr>
            <w:tcW w:w="2127" w:type="dxa"/>
            <w:shd w:val="clear" w:color="auto" w:fill="F2F2F2"/>
          </w:tcPr>
          <w:p w14:paraId="5069911A" w14:textId="7115DECA"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CF07C3E"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Eşme Drilling 2</w:t>
            </w:r>
          </w:p>
        </w:tc>
        <w:tc>
          <w:tcPr>
            <w:tcW w:w="1701" w:type="dxa"/>
            <w:shd w:val="clear" w:color="auto" w:fill="F2F2F2"/>
            <w:vAlign w:val="bottom"/>
          </w:tcPr>
          <w:p w14:paraId="30DB42A5"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69891F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960494D" w14:textId="77777777" w:rsidTr="007E1FEA">
        <w:trPr>
          <w:jc w:val="center"/>
        </w:trPr>
        <w:tc>
          <w:tcPr>
            <w:tcW w:w="2127" w:type="dxa"/>
            <w:shd w:val="clear" w:color="auto" w:fill="F2F2F2"/>
          </w:tcPr>
          <w:p w14:paraId="53E7B0C8" w14:textId="6F10D840"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A75CBDC"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Kuzuluk Bin Depot Bottom Drilling</w:t>
            </w:r>
          </w:p>
        </w:tc>
        <w:tc>
          <w:tcPr>
            <w:tcW w:w="1701" w:type="dxa"/>
            <w:shd w:val="clear" w:color="auto" w:fill="F2F2F2"/>
            <w:vAlign w:val="bottom"/>
          </w:tcPr>
          <w:p w14:paraId="141AA3A5"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D04B9F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2DCD332E" w14:textId="77777777" w:rsidTr="007E1FEA">
        <w:trPr>
          <w:jc w:val="center"/>
        </w:trPr>
        <w:tc>
          <w:tcPr>
            <w:tcW w:w="2127" w:type="dxa"/>
            <w:shd w:val="clear" w:color="auto" w:fill="F2F2F2"/>
          </w:tcPr>
          <w:p w14:paraId="1DE8C466" w14:textId="74450C9A"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5C34417"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Vertical Drilling Tm</w:t>
            </w:r>
          </w:p>
        </w:tc>
        <w:tc>
          <w:tcPr>
            <w:tcW w:w="1701" w:type="dxa"/>
            <w:shd w:val="clear" w:color="auto" w:fill="F2F2F2"/>
            <w:vAlign w:val="bottom"/>
          </w:tcPr>
          <w:p w14:paraId="2F17E15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422C051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6CBD5330" w14:textId="77777777" w:rsidTr="007E1FEA">
        <w:trPr>
          <w:jc w:val="center"/>
        </w:trPr>
        <w:tc>
          <w:tcPr>
            <w:tcW w:w="2127" w:type="dxa"/>
            <w:shd w:val="clear" w:color="auto" w:fill="F2F2F2"/>
          </w:tcPr>
          <w:p w14:paraId="3431390A" w14:textId="18016BCE"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F65F97E"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Doğantepe Drilling</w:t>
            </w:r>
          </w:p>
        </w:tc>
        <w:tc>
          <w:tcPr>
            <w:tcW w:w="1701" w:type="dxa"/>
            <w:shd w:val="clear" w:color="auto" w:fill="F2F2F2"/>
            <w:vAlign w:val="bottom"/>
          </w:tcPr>
          <w:p w14:paraId="66212DD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1E86D7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631FACD" w14:textId="77777777" w:rsidTr="007E1FEA">
        <w:trPr>
          <w:jc w:val="center"/>
        </w:trPr>
        <w:tc>
          <w:tcPr>
            <w:tcW w:w="2127" w:type="dxa"/>
            <w:shd w:val="clear" w:color="auto" w:fill="F2F2F2"/>
          </w:tcPr>
          <w:p w14:paraId="362D3F2A" w14:textId="09917B0E"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0DD094D"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Turnalı Drilling 1</w:t>
            </w:r>
          </w:p>
        </w:tc>
        <w:tc>
          <w:tcPr>
            <w:tcW w:w="1701" w:type="dxa"/>
            <w:shd w:val="clear" w:color="auto" w:fill="F2F2F2"/>
            <w:vAlign w:val="bottom"/>
          </w:tcPr>
          <w:p w14:paraId="3ABA76A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E67FBC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A7F4D9A" w14:textId="77777777" w:rsidTr="007E1FEA">
        <w:trPr>
          <w:jc w:val="center"/>
        </w:trPr>
        <w:tc>
          <w:tcPr>
            <w:tcW w:w="2127" w:type="dxa"/>
            <w:shd w:val="clear" w:color="auto" w:fill="F2F2F2"/>
          </w:tcPr>
          <w:p w14:paraId="166F3C3A" w14:textId="2D2A8AEC"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46647EC"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Kıran Drilling Tm</w:t>
            </w:r>
          </w:p>
        </w:tc>
        <w:tc>
          <w:tcPr>
            <w:tcW w:w="1701" w:type="dxa"/>
            <w:shd w:val="clear" w:color="auto" w:fill="F2F2F2"/>
            <w:vAlign w:val="bottom"/>
          </w:tcPr>
          <w:p w14:paraId="22E2142F"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62D14A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1297D65" w14:textId="77777777" w:rsidTr="007E1FEA">
        <w:trPr>
          <w:jc w:val="center"/>
        </w:trPr>
        <w:tc>
          <w:tcPr>
            <w:tcW w:w="2127" w:type="dxa"/>
            <w:shd w:val="clear" w:color="auto" w:fill="F2F2F2"/>
          </w:tcPr>
          <w:p w14:paraId="20D0C020" w14:textId="54205A79"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367416D"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Ferizli Drilling 4</w:t>
            </w:r>
          </w:p>
        </w:tc>
        <w:tc>
          <w:tcPr>
            <w:tcW w:w="1701" w:type="dxa"/>
            <w:shd w:val="clear" w:color="auto" w:fill="F2F2F2"/>
            <w:vAlign w:val="bottom"/>
          </w:tcPr>
          <w:p w14:paraId="2B45B61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2C681CE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8813782" w14:textId="77777777" w:rsidTr="007E1FEA">
        <w:trPr>
          <w:jc w:val="center"/>
        </w:trPr>
        <w:tc>
          <w:tcPr>
            <w:tcW w:w="2127" w:type="dxa"/>
            <w:shd w:val="clear" w:color="auto" w:fill="F2F2F2"/>
          </w:tcPr>
          <w:p w14:paraId="1FBC5D5E" w14:textId="783BAC85"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856922D"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Karasu Maden Drilling-1</w:t>
            </w:r>
          </w:p>
        </w:tc>
        <w:tc>
          <w:tcPr>
            <w:tcW w:w="1701" w:type="dxa"/>
            <w:shd w:val="clear" w:color="auto" w:fill="F2F2F2"/>
            <w:vAlign w:val="bottom"/>
          </w:tcPr>
          <w:p w14:paraId="4C32969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4BC7512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FA69844" w14:textId="77777777" w:rsidTr="007E1FEA">
        <w:trPr>
          <w:jc w:val="center"/>
        </w:trPr>
        <w:tc>
          <w:tcPr>
            <w:tcW w:w="2127" w:type="dxa"/>
            <w:shd w:val="clear" w:color="auto" w:fill="F2F2F2"/>
          </w:tcPr>
          <w:p w14:paraId="503B571C" w14:textId="24565EFB"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F89A1B2"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Karasu Mine Drilling 11</w:t>
            </w:r>
          </w:p>
        </w:tc>
        <w:tc>
          <w:tcPr>
            <w:tcW w:w="1701" w:type="dxa"/>
            <w:shd w:val="clear" w:color="auto" w:fill="F2F2F2"/>
            <w:vAlign w:val="bottom"/>
          </w:tcPr>
          <w:p w14:paraId="2E0CD8F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DEB86F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3CE99AB" w14:textId="77777777" w:rsidTr="007E1FEA">
        <w:trPr>
          <w:jc w:val="center"/>
        </w:trPr>
        <w:tc>
          <w:tcPr>
            <w:tcW w:w="2127" w:type="dxa"/>
            <w:shd w:val="clear" w:color="auto" w:fill="F2F2F2"/>
          </w:tcPr>
          <w:p w14:paraId="052C21F4" w14:textId="208695FB"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91F386E"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Görele Yalpankaya Drilling</w:t>
            </w:r>
          </w:p>
        </w:tc>
        <w:tc>
          <w:tcPr>
            <w:tcW w:w="1701" w:type="dxa"/>
            <w:shd w:val="clear" w:color="auto" w:fill="F2F2F2"/>
            <w:vAlign w:val="bottom"/>
          </w:tcPr>
          <w:p w14:paraId="0DC47C9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45EBD81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4F9E7BE" w14:textId="77777777" w:rsidTr="007E1FEA">
        <w:trPr>
          <w:jc w:val="center"/>
        </w:trPr>
        <w:tc>
          <w:tcPr>
            <w:tcW w:w="2127" w:type="dxa"/>
            <w:shd w:val="clear" w:color="auto" w:fill="F2F2F2"/>
          </w:tcPr>
          <w:p w14:paraId="27E9F363" w14:textId="66348D02"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52AF4A1"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Akyazı Drilling Tm 4</w:t>
            </w:r>
          </w:p>
        </w:tc>
        <w:tc>
          <w:tcPr>
            <w:tcW w:w="1701" w:type="dxa"/>
            <w:shd w:val="clear" w:color="auto" w:fill="F2F2F2"/>
            <w:vAlign w:val="bottom"/>
          </w:tcPr>
          <w:p w14:paraId="6BF7B24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87E6BC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B65C3D8" w14:textId="77777777" w:rsidTr="007E1FEA">
        <w:trPr>
          <w:jc w:val="center"/>
        </w:trPr>
        <w:tc>
          <w:tcPr>
            <w:tcW w:w="2127" w:type="dxa"/>
            <w:shd w:val="clear" w:color="auto" w:fill="F2F2F2"/>
          </w:tcPr>
          <w:p w14:paraId="423C492D" w14:textId="091262DE"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DD0256E"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Karasu Maden Drilling-4</w:t>
            </w:r>
          </w:p>
        </w:tc>
        <w:tc>
          <w:tcPr>
            <w:tcW w:w="1701" w:type="dxa"/>
            <w:shd w:val="clear" w:color="auto" w:fill="F2F2F2"/>
            <w:vAlign w:val="bottom"/>
          </w:tcPr>
          <w:p w14:paraId="5538BDE2"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CD9678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16CEBFB" w14:textId="77777777" w:rsidTr="007E1FEA">
        <w:trPr>
          <w:jc w:val="center"/>
        </w:trPr>
        <w:tc>
          <w:tcPr>
            <w:tcW w:w="2127" w:type="dxa"/>
            <w:shd w:val="clear" w:color="auto" w:fill="F2F2F2"/>
          </w:tcPr>
          <w:p w14:paraId="4A16FDA0" w14:textId="216789A9"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F0CB9E4"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Karapürçek Therefore,</w:t>
            </w:r>
          </w:p>
        </w:tc>
        <w:tc>
          <w:tcPr>
            <w:tcW w:w="1701" w:type="dxa"/>
            <w:shd w:val="clear" w:color="auto" w:fill="F2F2F2"/>
            <w:vAlign w:val="bottom"/>
          </w:tcPr>
          <w:p w14:paraId="564446B4"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459505E"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390F635" w14:textId="77777777" w:rsidTr="007E1FEA">
        <w:trPr>
          <w:jc w:val="center"/>
        </w:trPr>
        <w:tc>
          <w:tcPr>
            <w:tcW w:w="2127" w:type="dxa"/>
            <w:shd w:val="clear" w:color="auto" w:fill="F2F2F2"/>
          </w:tcPr>
          <w:p w14:paraId="0AA5E11E" w14:textId="1C18D5EA"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8B9E2B7"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Akçapınar New Drilling</w:t>
            </w:r>
          </w:p>
        </w:tc>
        <w:tc>
          <w:tcPr>
            <w:tcW w:w="1701" w:type="dxa"/>
            <w:shd w:val="clear" w:color="auto" w:fill="F2F2F2"/>
            <w:vAlign w:val="bottom"/>
          </w:tcPr>
          <w:p w14:paraId="2E3B3D6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31AF77B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FFF9BF8" w14:textId="77777777" w:rsidTr="007E1FEA">
        <w:trPr>
          <w:jc w:val="center"/>
        </w:trPr>
        <w:tc>
          <w:tcPr>
            <w:tcW w:w="2127" w:type="dxa"/>
            <w:shd w:val="clear" w:color="auto" w:fill="F2F2F2"/>
          </w:tcPr>
          <w:p w14:paraId="5B422EB6" w14:textId="7FD32A5A"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506E5B2"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Güldıbı Drilling Tm</w:t>
            </w:r>
          </w:p>
        </w:tc>
        <w:tc>
          <w:tcPr>
            <w:tcW w:w="1701" w:type="dxa"/>
            <w:shd w:val="clear" w:color="auto" w:fill="F2F2F2"/>
            <w:vAlign w:val="bottom"/>
          </w:tcPr>
          <w:p w14:paraId="44A68E84"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44B6484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753F8D0C" w14:textId="77777777" w:rsidTr="007E1FEA">
        <w:trPr>
          <w:jc w:val="center"/>
        </w:trPr>
        <w:tc>
          <w:tcPr>
            <w:tcW w:w="2127" w:type="dxa"/>
            <w:shd w:val="clear" w:color="auto" w:fill="F2F2F2"/>
          </w:tcPr>
          <w:p w14:paraId="2C0F3A35" w14:textId="630CAF50"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5F38D72C"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Burhaniye Drilling</w:t>
            </w:r>
          </w:p>
        </w:tc>
        <w:tc>
          <w:tcPr>
            <w:tcW w:w="1701" w:type="dxa"/>
            <w:shd w:val="clear" w:color="auto" w:fill="F2F2F2"/>
            <w:vAlign w:val="bottom"/>
          </w:tcPr>
          <w:p w14:paraId="22A39D9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9E22F5A"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5F44E10" w14:textId="77777777" w:rsidTr="007E1FEA">
        <w:trPr>
          <w:jc w:val="center"/>
        </w:trPr>
        <w:tc>
          <w:tcPr>
            <w:tcW w:w="2127" w:type="dxa"/>
            <w:shd w:val="clear" w:color="auto" w:fill="F2F2F2"/>
          </w:tcPr>
          <w:p w14:paraId="22130138" w14:textId="78AE6A33"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E227E8F"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Tile-3 Drilling</w:t>
            </w:r>
          </w:p>
        </w:tc>
        <w:tc>
          <w:tcPr>
            <w:tcW w:w="1701" w:type="dxa"/>
            <w:shd w:val="clear" w:color="auto" w:fill="F2F2F2"/>
            <w:vAlign w:val="bottom"/>
          </w:tcPr>
          <w:p w14:paraId="1C5E1D2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191158B"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0E78FE16" w14:textId="77777777" w:rsidTr="007E1FEA">
        <w:trPr>
          <w:jc w:val="center"/>
        </w:trPr>
        <w:tc>
          <w:tcPr>
            <w:tcW w:w="2127" w:type="dxa"/>
            <w:shd w:val="clear" w:color="auto" w:fill="F2F2F2"/>
          </w:tcPr>
          <w:p w14:paraId="58638A1D" w14:textId="562D1412"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DB64D41"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Kamışlı Drilling</w:t>
            </w:r>
          </w:p>
        </w:tc>
        <w:tc>
          <w:tcPr>
            <w:tcW w:w="1701" w:type="dxa"/>
            <w:shd w:val="clear" w:color="auto" w:fill="F2F2F2"/>
            <w:vAlign w:val="bottom"/>
          </w:tcPr>
          <w:p w14:paraId="55BEA4D5"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DC660B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3AE24E29" w14:textId="77777777" w:rsidTr="007E1FEA">
        <w:trPr>
          <w:jc w:val="center"/>
        </w:trPr>
        <w:tc>
          <w:tcPr>
            <w:tcW w:w="2127" w:type="dxa"/>
            <w:shd w:val="clear" w:color="auto" w:fill="F2F2F2"/>
          </w:tcPr>
          <w:p w14:paraId="52B84EE8" w14:textId="1A67E5F6"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3B80DF9"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Dried Oak Drilling</w:t>
            </w:r>
          </w:p>
        </w:tc>
        <w:tc>
          <w:tcPr>
            <w:tcW w:w="1701" w:type="dxa"/>
            <w:shd w:val="clear" w:color="auto" w:fill="F2F2F2"/>
            <w:vAlign w:val="bottom"/>
          </w:tcPr>
          <w:p w14:paraId="46FCCE5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6B83D07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764EFB8A" w14:textId="77777777" w:rsidTr="007E1FEA">
        <w:trPr>
          <w:jc w:val="center"/>
        </w:trPr>
        <w:tc>
          <w:tcPr>
            <w:tcW w:w="2127" w:type="dxa"/>
            <w:shd w:val="clear" w:color="auto" w:fill="F2F2F2"/>
          </w:tcPr>
          <w:p w14:paraId="16DD5363" w14:textId="1EEDC5AB"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3D4C44C"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Yanık New Drilling</w:t>
            </w:r>
          </w:p>
        </w:tc>
        <w:tc>
          <w:tcPr>
            <w:tcW w:w="1701" w:type="dxa"/>
            <w:shd w:val="clear" w:color="auto" w:fill="F2F2F2"/>
            <w:vAlign w:val="bottom"/>
          </w:tcPr>
          <w:p w14:paraId="547B6E7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E491FA0"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A1FF3EA" w14:textId="77777777" w:rsidTr="007E1FEA">
        <w:trPr>
          <w:jc w:val="center"/>
        </w:trPr>
        <w:tc>
          <w:tcPr>
            <w:tcW w:w="2127" w:type="dxa"/>
            <w:shd w:val="clear" w:color="auto" w:fill="F2F2F2"/>
          </w:tcPr>
          <w:p w14:paraId="4F14C2BC" w14:textId="22C4E68C"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6A7F8BD3"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Karachay-3 Drilling</w:t>
            </w:r>
          </w:p>
        </w:tc>
        <w:tc>
          <w:tcPr>
            <w:tcW w:w="1701" w:type="dxa"/>
            <w:shd w:val="clear" w:color="auto" w:fill="F2F2F2"/>
            <w:vAlign w:val="bottom"/>
          </w:tcPr>
          <w:p w14:paraId="3A23FC36"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118F864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1E1EEAE6" w14:textId="77777777" w:rsidTr="007E1FEA">
        <w:trPr>
          <w:jc w:val="center"/>
        </w:trPr>
        <w:tc>
          <w:tcPr>
            <w:tcW w:w="2127" w:type="dxa"/>
            <w:shd w:val="clear" w:color="auto" w:fill="F2F2F2"/>
          </w:tcPr>
          <w:p w14:paraId="46DD3DD6" w14:textId="76CD4FE3"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309A0ED0"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Kırkpınar New-2 Drilling</w:t>
            </w:r>
          </w:p>
        </w:tc>
        <w:tc>
          <w:tcPr>
            <w:tcW w:w="1701" w:type="dxa"/>
            <w:shd w:val="clear" w:color="auto" w:fill="F2F2F2"/>
            <w:vAlign w:val="bottom"/>
          </w:tcPr>
          <w:p w14:paraId="213713C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8FDDD4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F2B4FB2" w14:textId="77777777" w:rsidTr="007E1FEA">
        <w:trPr>
          <w:jc w:val="center"/>
        </w:trPr>
        <w:tc>
          <w:tcPr>
            <w:tcW w:w="2127" w:type="dxa"/>
            <w:shd w:val="clear" w:color="auto" w:fill="F2F2F2"/>
          </w:tcPr>
          <w:p w14:paraId="232647EF" w14:textId="3D7EBF29"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0EA24F27"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Alifuatpaşa Drilling 3</w:t>
            </w:r>
          </w:p>
        </w:tc>
        <w:tc>
          <w:tcPr>
            <w:tcW w:w="1701" w:type="dxa"/>
            <w:shd w:val="clear" w:color="auto" w:fill="F2F2F2"/>
            <w:vAlign w:val="bottom"/>
          </w:tcPr>
          <w:p w14:paraId="03C34EE8"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6B6D58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6575EF0" w14:textId="77777777" w:rsidTr="007E1FEA">
        <w:trPr>
          <w:jc w:val="center"/>
        </w:trPr>
        <w:tc>
          <w:tcPr>
            <w:tcW w:w="2127" w:type="dxa"/>
            <w:shd w:val="clear" w:color="auto" w:fill="F2F2F2"/>
          </w:tcPr>
          <w:p w14:paraId="1B9D58FA" w14:textId="42785FEF"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lastRenderedPageBreak/>
              <w:t>Groundwater</w:t>
            </w:r>
          </w:p>
        </w:tc>
        <w:tc>
          <w:tcPr>
            <w:tcW w:w="2976" w:type="dxa"/>
            <w:shd w:val="clear" w:color="auto" w:fill="F2F2F2"/>
            <w:vAlign w:val="bottom"/>
          </w:tcPr>
          <w:p w14:paraId="7E6B2537"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Kurtköy Derekenarı New</w:t>
            </w:r>
          </w:p>
        </w:tc>
        <w:tc>
          <w:tcPr>
            <w:tcW w:w="1701" w:type="dxa"/>
            <w:shd w:val="clear" w:color="auto" w:fill="F2F2F2"/>
            <w:vAlign w:val="bottom"/>
          </w:tcPr>
          <w:p w14:paraId="6F7FAA3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0FB2B85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CAFE549" w14:textId="77777777" w:rsidTr="007E1FEA">
        <w:trPr>
          <w:jc w:val="center"/>
        </w:trPr>
        <w:tc>
          <w:tcPr>
            <w:tcW w:w="2127" w:type="dxa"/>
            <w:shd w:val="clear" w:color="auto" w:fill="F2F2F2"/>
          </w:tcPr>
          <w:p w14:paraId="70E1FBE5" w14:textId="1F053E13"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288970CF"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Dam Drilling Tm</w:t>
            </w:r>
          </w:p>
        </w:tc>
        <w:tc>
          <w:tcPr>
            <w:tcW w:w="1701" w:type="dxa"/>
            <w:shd w:val="clear" w:color="auto" w:fill="F2F2F2"/>
            <w:vAlign w:val="bottom"/>
          </w:tcPr>
          <w:p w14:paraId="3BB98F57"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58BCC3C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E9172A9" w14:textId="77777777" w:rsidTr="007E1FEA">
        <w:trPr>
          <w:jc w:val="center"/>
        </w:trPr>
        <w:tc>
          <w:tcPr>
            <w:tcW w:w="2127" w:type="dxa"/>
            <w:shd w:val="clear" w:color="auto" w:fill="F2F2F2"/>
          </w:tcPr>
          <w:p w14:paraId="62FC179B" w14:textId="272B281C"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7C227956"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Kırkpınar Mosque Drilling</w:t>
            </w:r>
          </w:p>
        </w:tc>
        <w:tc>
          <w:tcPr>
            <w:tcW w:w="1701" w:type="dxa"/>
            <w:shd w:val="clear" w:color="auto" w:fill="F2F2F2"/>
            <w:vAlign w:val="bottom"/>
          </w:tcPr>
          <w:p w14:paraId="5195C4E3"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79AF20FD"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4075FEE0" w14:textId="77777777" w:rsidTr="007E1FEA">
        <w:trPr>
          <w:jc w:val="center"/>
        </w:trPr>
        <w:tc>
          <w:tcPr>
            <w:tcW w:w="2127" w:type="dxa"/>
            <w:shd w:val="clear" w:color="auto" w:fill="F2F2F2"/>
          </w:tcPr>
          <w:p w14:paraId="3CE894D6" w14:textId="3DAE7F68"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41A2AE9B"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Acella Plateau Drilling 2</w:t>
            </w:r>
          </w:p>
        </w:tc>
        <w:tc>
          <w:tcPr>
            <w:tcW w:w="1701" w:type="dxa"/>
            <w:shd w:val="clear" w:color="auto" w:fill="F2F2F2"/>
            <w:vAlign w:val="bottom"/>
          </w:tcPr>
          <w:p w14:paraId="19115A7C"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49C9094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r w:rsidR="005405E6" w:rsidRPr="00175D8B" w14:paraId="52963DD5" w14:textId="77777777" w:rsidTr="007E1FEA">
        <w:trPr>
          <w:jc w:val="center"/>
        </w:trPr>
        <w:tc>
          <w:tcPr>
            <w:tcW w:w="2127" w:type="dxa"/>
            <w:shd w:val="clear" w:color="auto" w:fill="F2F2F2"/>
          </w:tcPr>
          <w:p w14:paraId="09BFAA8D" w14:textId="6A5A8C53"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Groundwater</w:t>
            </w:r>
          </w:p>
        </w:tc>
        <w:tc>
          <w:tcPr>
            <w:tcW w:w="2976" w:type="dxa"/>
            <w:shd w:val="clear" w:color="auto" w:fill="F2F2F2"/>
            <w:vAlign w:val="bottom"/>
          </w:tcPr>
          <w:p w14:paraId="18FE882A" w14:textId="77777777" w:rsidR="005405E6" w:rsidRPr="00175D8B" w:rsidRDefault="005405E6" w:rsidP="005405E6">
            <w:pPr>
              <w:spacing w:before="120" w:after="0" w:line="278" w:lineRule="auto"/>
              <w:jc w:val="center"/>
              <w:rPr>
                <w:rFonts w:eastAsia="Aptos" w:cs="Calibri"/>
                <w:color w:val="000000"/>
                <w:sz w:val="20"/>
                <w:szCs w:val="20"/>
              </w:rPr>
            </w:pPr>
            <w:r w:rsidRPr="00175D8B">
              <w:rPr>
                <w:rFonts w:eastAsia="Aptos" w:cs="Calibri"/>
                <w:color w:val="000000"/>
                <w:sz w:val="20"/>
                <w:szCs w:val="20"/>
              </w:rPr>
              <w:t>Karachay-2 Drilling</w:t>
            </w:r>
          </w:p>
        </w:tc>
        <w:tc>
          <w:tcPr>
            <w:tcW w:w="1701" w:type="dxa"/>
            <w:shd w:val="clear" w:color="auto" w:fill="F2F2F2"/>
            <w:vAlign w:val="bottom"/>
          </w:tcPr>
          <w:p w14:paraId="77BA7BC9"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c>
          <w:tcPr>
            <w:tcW w:w="2268" w:type="dxa"/>
            <w:shd w:val="clear" w:color="auto" w:fill="F2F2F2"/>
            <w:vAlign w:val="bottom"/>
          </w:tcPr>
          <w:p w14:paraId="482BC7A1" w14:textId="77777777" w:rsidR="005405E6" w:rsidRPr="00175D8B" w:rsidRDefault="005405E6" w:rsidP="005405E6">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X</w:t>
            </w:r>
          </w:p>
        </w:tc>
      </w:tr>
    </w:tbl>
    <w:p w14:paraId="785D8B2A" w14:textId="77777777" w:rsidR="00A816AD" w:rsidRPr="00175D8B" w:rsidRDefault="00A816AD" w:rsidP="00E47114">
      <w:pPr>
        <w:spacing w:before="120" w:after="0" w:line="278" w:lineRule="auto"/>
        <w:ind w:left="360"/>
        <w:contextualSpacing/>
        <w:jc w:val="center"/>
        <w:rPr>
          <w:rFonts w:eastAsia="Aptos" w:cs="Aptos"/>
          <w:b/>
          <w:i/>
          <w:color w:val="000000" w:themeColor="text1"/>
          <w:sz w:val="18"/>
          <w:szCs w:val="18"/>
        </w:rPr>
      </w:pPr>
    </w:p>
    <w:p w14:paraId="68CF061E" w14:textId="13FFA3A8" w:rsidR="00E47114" w:rsidRDefault="00E47114" w:rsidP="006C58C5">
      <w:pPr>
        <w:spacing w:before="120" w:after="0"/>
        <w:ind w:left="360"/>
        <w:contextualSpacing/>
        <w:jc w:val="center"/>
        <w:rPr>
          <w:rFonts w:eastAsia="Aptos" w:cs="Aptos"/>
          <w:i/>
          <w:color w:val="000000" w:themeColor="text1"/>
          <w:sz w:val="18"/>
          <w:szCs w:val="18"/>
        </w:rPr>
      </w:pPr>
      <w:r w:rsidRPr="00175D8B">
        <w:rPr>
          <w:rFonts w:eastAsia="Aptos" w:cs="Aptos"/>
          <w:b/>
          <w:i/>
          <w:color w:val="000000" w:themeColor="text1"/>
          <w:sz w:val="18"/>
          <w:szCs w:val="18"/>
        </w:rPr>
        <w:t xml:space="preserve">Source: </w:t>
      </w:r>
      <w:r w:rsidRPr="00175D8B">
        <w:rPr>
          <w:rFonts w:eastAsia="Aptos" w:cs="Aptos"/>
          <w:i/>
          <w:color w:val="000000" w:themeColor="text1"/>
          <w:sz w:val="18"/>
          <w:szCs w:val="18"/>
        </w:rPr>
        <w:t>Sakarya University, 2018</w:t>
      </w:r>
    </w:p>
    <w:p w14:paraId="6DA7EC38" w14:textId="32E0A0F4" w:rsidR="00E95933" w:rsidRPr="006C58C5" w:rsidRDefault="00E95933" w:rsidP="006C58C5">
      <w:pPr>
        <w:spacing w:before="120" w:after="0"/>
        <w:contextualSpacing/>
        <w:rPr>
          <w:rFonts w:eastAsia="Aptos" w:cs="Aptos"/>
          <w:color w:val="000000" w:themeColor="text1"/>
          <w:szCs w:val="22"/>
        </w:rPr>
      </w:pPr>
      <w:r w:rsidRPr="00E95933">
        <w:rPr>
          <w:rFonts w:eastAsia="Aptos" w:cs="Aptos"/>
          <w:color w:val="000000" w:themeColor="text1"/>
          <w:szCs w:val="22"/>
        </w:rPr>
        <w:t>Sakarya’s water resources are categorized into four trophic levels, each indicating the degree of nutrient enrichment and ecological condition (Sakarya University, 2018). Oligotrophic (Quality I) waters are very clean with minimal nutrients; Mesotrophic (Quality II) waters contain moderate nutrients and maintain good ecological diversity; Eutrophic (Quality III) waters experience nutrient-driven algal and vegetative growth; and Hypereutrophic (Quality IV) waters suffer from extreme nutrient overload, oxygen depletion, and severe ecological degradation. An examination of the surface water sources listed in the table shows that most rivers, lakes, streams, and creeks in the region fall within the eutrophic or hypereutrophic categories, demonstrating widespread nutrient pollution across the basin. Several major water bodies—including Sakarya River, Akgöl Lake, Büyükgöl, Taşkısığı Lake, Küçük Akgöl, and others—are classified as hypereutrophic, while many additional creeks and streams appear as eutrophic. Only a few surface waters, such as Sapanca Lake and Poyrazlar Lake, fall into the mesotrophic class, indicating comparatively healthier ecological conditions. The detailed definitions and explanations of each trophic level are provided in</w:t>
      </w:r>
      <w:r w:rsidRPr="00320C8D">
        <w:rPr>
          <w:rFonts w:eastAsia="Aptos" w:cs="Aptos"/>
          <w:color w:val="000000" w:themeColor="text1"/>
          <w:szCs w:val="22"/>
        </w:rPr>
        <w:t xml:space="preserve"> </w:t>
      </w:r>
      <w:r w:rsidR="00320C8D" w:rsidRPr="00320C8D">
        <w:rPr>
          <w:rFonts w:eastAsia="Aptos" w:cs="Aptos"/>
          <w:color w:val="000000" w:themeColor="text1"/>
          <w:szCs w:val="22"/>
        </w:rPr>
        <w:fldChar w:fldCharType="begin"/>
      </w:r>
      <w:r w:rsidR="00320C8D" w:rsidRPr="00320C8D">
        <w:rPr>
          <w:rFonts w:eastAsia="Aptos" w:cs="Aptos"/>
          <w:color w:val="000000" w:themeColor="text1"/>
          <w:szCs w:val="22"/>
        </w:rPr>
        <w:instrText xml:space="preserve"> REF _Ref214648189 \h  \* MERGEFORMAT </w:instrText>
      </w:r>
      <w:r w:rsidR="00320C8D" w:rsidRPr="00320C8D">
        <w:rPr>
          <w:rFonts w:eastAsia="Aptos" w:cs="Aptos"/>
          <w:color w:val="000000" w:themeColor="text1"/>
          <w:szCs w:val="22"/>
        </w:rPr>
      </w:r>
      <w:r w:rsidR="00320C8D" w:rsidRPr="00320C8D">
        <w:rPr>
          <w:rFonts w:eastAsia="Aptos" w:cs="Aptos"/>
          <w:color w:val="000000" w:themeColor="text1"/>
          <w:szCs w:val="22"/>
        </w:rPr>
        <w:fldChar w:fldCharType="separate"/>
      </w:r>
      <w:r w:rsidR="00320C8D" w:rsidRPr="00320C8D">
        <w:t xml:space="preserve">Table </w:t>
      </w:r>
      <w:r w:rsidR="00320C8D" w:rsidRPr="00320C8D">
        <w:rPr>
          <w:noProof/>
        </w:rPr>
        <w:t>7</w:t>
      </w:r>
      <w:r w:rsidR="00320C8D" w:rsidRPr="00320C8D">
        <w:rPr>
          <w:rFonts w:eastAsia="Aptos" w:cs="Aptos"/>
          <w:color w:val="000000" w:themeColor="text1"/>
          <w:szCs w:val="22"/>
        </w:rPr>
        <w:fldChar w:fldCharType="end"/>
      </w:r>
      <w:r w:rsidRPr="00E95933">
        <w:rPr>
          <w:rFonts w:eastAsia="Aptos" w:cs="Aptos"/>
          <w:color w:val="000000" w:themeColor="text1"/>
          <w:szCs w:val="22"/>
        </w:rPr>
        <w:t>.</w:t>
      </w:r>
    </w:p>
    <w:p w14:paraId="11631571" w14:textId="3AA08962" w:rsidR="00F94756" w:rsidRPr="00175D8B" w:rsidRDefault="00F94756" w:rsidP="006C58C5">
      <w:pPr>
        <w:pStyle w:val="ResimYazs"/>
        <w:keepNext/>
        <w:jc w:val="center"/>
      </w:pPr>
      <w:bookmarkStart w:id="111" w:name="_Ref214648189"/>
      <w:bookmarkStart w:id="112" w:name="_Toc216344424"/>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7</w:t>
      </w:r>
      <w:r w:rsidRPr="006C58C5">
        <w:rPr>
          <w:b/>
          <w:bCs/>
        </w:rPr>
        <w:fldChar w:fldCharType="end"/>
      </w:r>
      <w:bookmarkEnd w:id="111"/>
      <w:r w:rsidR="006D791E" w:rsidRPr="00175D8B">
        <w:rPr>
          <w:b/>
          <w:bCs/>
        </w:rPr>
        <w:t>:</w:t>
      </w:r>
      <w:r w:rsidRPr="00175D8B">
        <w:t xml:space="preserve"> </w:t>
      </w:r>
      <w:r w:rsidRPr="00175D8B">
        <w:rPr>
          <w:rFonts w:eastAsia="Aptos" w:cs="Aptos"/>
          <w:color w:val="000000"/>
          <w:szCs w:val="20"/>
        </w:rPr>
        <w:t>Trophic Level Interpretation Table of Sakarya Water Resources</w:t>
      </w:r>
      <w:bookmarkEnd w:id="112"/>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36"/>
      </w:tblGrid>
      <w:tr w:rsidR="00E47114" w:rsidRPr="00175D8B" w14:paraId="5889B120" w14:textId="77777777" w:rsidTr="00DF417A">
        <w:trPr>
          <w:tblHeader/>
          <w:jc w:val="center"/>
        </w:trPr>
        <w:tc>
          <w:tcPr>
            <w:tcW w:w="4536" w:type="dxa"/>
            <w:shd w:val="clear" w:color="auto" w:fill="ABB7C1"/>
            <w:vAlign w:val="center"/>
          </w:tcPr>
          <w:p w14:paraId="23B2E1F7" w14:textId="77777777" w:rsidR="00E47114" w:rsidRPr="00175D8B" w:rsidRDefault="00E47114" w:rsidP="00E47114">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Trophic Level Status of Water Source</w:t>
            </w:r>
          </w:p>
        </w:tc>
        <w:tc>
          <w:tcPr>
            <w:tcW w:w="4536" w:type="dxa"/>
            <w:shd w:val="clear" w:color="auto" w:fill="ABB7C1"/>
            <w:vAlign w:val="center"/>
          </w:tcPr>
          <w:p w14:paraId="20939361" w14:textId="77777777" w:rsidR="00E47114" w:rsidRPr="00175D8B" w:rsidRDefault="00E47114" w:rsidP="00E47114">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Explanation</w:t>
            </w:r>
          </w:p>
        </w:tc>
      </w:tr>
      <w:tr w:rsidR="00E47114" w:rsidRPr="00175D8B" w14:paraId="6AF57A78" w14:textId="77777777" w:rsidTr="00DF417A">
        <w:trPr>
          <w:jc w:val="center"/>
        </w:trPr>
        <w:tc>
          <w:tcPr>
            <w:tcW w:w="4536" w:type="dxa"/>
            <w:shd w:val="clear" w:color="auto" w:fill="F2F2F2"/>
            <w:vAlign w:val="center"/>
          </w:tcPr>
          <w:p w14:paraId="355CFE01" w14:textId="77777777" w:rsidR="00E47114" w:rsidRPr="00175D8B" w:rsidRDefault="00E47114" w:rsidP="00E47114">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 xml:space="preserve">Quality I Water Class - </w:t>
            </w:r>
            <w:r w:rsidRPr="00175D8B">
              <w:rPr>
                <w:rFonts w:eastAsia="Aptos" w:cs="Aptos"/>
                <w:color w:val="000000" w:themeColor="text1"/>
                <w:szCs w:val="22"/>
              </w:rPr>
              <w:t>Oligotrophic</w:t>
            </w:r>
          </w:p>
        </w:tc>
        <w:tc>
          <w:tcPr>
            <w:tcW w:w="4536" w:type="dxa"/>
            <w:shd w:val="clear" w:color="auto" w:fill="F2F2F2"/>
            <w:vAlign w:val="center"/>
          </w:tcPr>
          <w:p w14:paraId="4B893CFC" w14:textId="77777777" w:rsidR="00E47114" w:rsidRPr="00175D8B" w:rsidRDefault="00E47114" w:rsidP="00E47114">
            <w:pPr>
              <w:spacing w:before="120" w:after="0" w:line="276" w:lineRule="auto"/>
              <w:jc w:val="left"/>
              <w:rPr>
                <w:rFonts w:eastAsia="Aptos" w:cs="Aptos"/>
                <w:color w:val="000000" w:themeColor="text1"/>
                <w:sz w:val="20"/>
                <w:szCs w:val="20"/>
              </w:rPr>
            </w:pPr>
            <w:r w:rsidRPr="00175D8B">
              <w:rPr>
                <w:rFonts w:eastAsia="Arial" w:cs="Arial"/>
                <w:color w:val="000000" w:themeColor="text1"/>
                <w:sz w:val="20"/>
                <w:szCs w:val="20"/>
              </w:rPr>
              <w:t>Very good, generally at the level of the natural background, clean and clear water.</w:t>
            </w:r>
          </w:p>
        </w:tc>
      </w:tr>
      <w:tr w:rsidR="00E47114" w:rsidRPr="00175D8B" w14:paraId="17E3D082" w14:textId="77777777" w:rsidTr="00DF417A">
        <w:trPr>
          <w:jc w:val="center"/>
        </w:trPr>
        <w:tc>
          <w:tcPr>
            <w:tcW w:w="4536" w:type="dxa"/>
            <w:shd w:val="clear" w:color="auto" w:fill="F2F2F2"/>
            <w:vAlign w:val="center"/>
          </w:tcPr>
          <w:p w14:paraId="66682F26" w14:textId="77777777" w:rsidR="00E47114" w:rsidRPr="00175D8B" w:rsidRDefault="00E47114" w:rsidP="00E47114">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II. Quality Water Class - Mesotrophic</w:t>
            </w:r>
          </w:p>
        </w:tc>
        <w:tc>
          <w:tcPr>
            <w:tcW w:w="4536" w:type="dxa"/>
            <w:shd w:val="clear" w:color="auto" w:fill="F2F2F2"/>
            <w:vAlign w:val="center"/>
          </w:tcPr>
          <w:p w14:paraId="45E5B1D3" w14:textId="32733552" w:rsidR="00E47114" w:rsidRPr="00175D8B" w:rsidRDefault="00E47114" w:rsidP="00E47114">
            <w:pPr>
              <w:spacing w:before="120" w:after="0" w:line="276" w:lineRule="auto"/>
              <w:jc w:val="left"/>
              <w:rPr>
                <w:rFonts w:eastAsia="Aptos" w:cs="Aptos"/>
                <w:color w:val="000000" w:themeColor="text1"/>
                <w:sz w:val="20"/>
                <w:szCs w:val="20"/>
              </w:rPr>
            </w:pPr>
            <w:r w:rsidRPr="00175D8B">
              <w:rPr>
                <w:rFonts w:eastAsia="Arial" w:cs="Arial"/>
                <w:color w:val="000000" w:themeColor="text1"/>
                <w:sz w:val="20"/>
                <w:szCs w:val="20"/>
              </w:rPr>
              <w:t xml:space="preserve">It contains moderate </w:t>
            </w:r>
            <w:r w:rsidR="005405E6" w:rsidRPr="00175D8B">
              <w:rPr>
                <w:rFonts w:eastAsia="Arial" w:cs="Arial"/>
                <w:color w:val="000000" w:themeColor="text1"/>
                <w:sz w:val="20"/>
                <w:szCs w:val="20"/>
              </w:rPr>
              <w:t>nutrients;</w:t>
            </w:r>
            <w:r w:rsidRPr="00175D8B">
              <w:rPr>
                <w:rFonts w:eastAsia="Arial" w:cs="Arial"/>
                <w:color w:val="000000" w:themeColor="text1"/>
                <w:sz w:val="20"/>
                <w:szCs w:val="20"/>
              </w:rPr>
              <w:t xml:space="preserve"> ecological diversity is high.</w:t>
            </w:r>
          </w:p>
        </w:tc>
      </w:tr>
      <w:tr w:rsidR="00E47114" w:rsidRPr="00175D8B" w14:paraId="539694DE" w14:textId="77777777" w:rsidTr="00DF417A">
        <w:trPr>
          <w:jc w:val="center"/>
        </w:trPr>
        <w:tc>
          <w:tcPr>
            <w:tcW w:w="4536" w:type="dxa"/>
            <w:shd w:val="clear" w:color="auto" w:fill="F2F2F2"/>
            <w:vAlign w:val="center"/>
          </w:tcPr>
          <w:p w14:paraId="19C2D170" w14:textId="77777777" w:rsidR="00E47114" w:rsidRPr="00175D8B" w:rsidRDefault="00E47114" w:rsidP="00E47114">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III. Quality Water Class - Eutrophic</w:t>
            </w:r>
          </w:p>
        </w:tc>
        <w:tc>
          <w:tcPr>
            <w:tcW w:w="4536" w:type="dxa"/>
            <w:shd w:val="clear" w:color="auto" w:fill="F2F2F2"/>
            <w:vAlign w:val="center"/>
          </w:tcPr>
          <w:p w14:paraId="61E970BB" w14:textId="77777777" w:rsidR="00E47114" w:rsidRPr="00175D8B" w:rsidRDefault="00E47114" w:rsidP="00E47114">
            <w:pPr>
              <w:spacing w:before="120" w:after="0" w:line="276" w:lineRule="auto"/>
              <w:jc w:val="left"/>
              <w:rPr>
                <w:rFonts w:eastAsia="Aptos" w:cs="Aptos"/>
                <w:color w:val="000000" w:themeColor="text1"/>
                <w:sz w:val="20"/>
                <w:szCs w:val="20"/>
              </w:rPr>
            </w:pPr>
            <w:r w:rsidRPr="00175D8B">
              <w:rPr>
                <w:rFonts w:eastAsia="Arial" w:cs="Arial"/>
                <w:color w:val="000000" w:themeColor="text1"/>
                <w:sz w:val="20"/>
                <w:szCs w:val="20"/>
              </w:rPr>
              <w:t>Contaminated water with an increase in algae and vegetation due to excessive nutrient load.</w:t>
            </w:r>
          </w:p>
        </w:tc>
      </w:tr>
      <w:tr w:rsidR="00E47114" w:rsidRPr="00175D8B" w14:paraId="40E80841" w14:textId="77777777" w:rsidTr="00DF417A">
        <w:trPr>
          <w:jc w:val="center"/>
        </w:trPr>
        <w:tc>
          <w:tcPr>
            <w:tcW w:w="4536" w:type="dxa"/>
            <w:shd w:val="clear" w:color="auto" w:fill="F2F2F2"/>
            <w:vAlign w:val="center"/>
          </w:tcPr>
          <w:p w14:paraId="52D9E7CE" w14:textId="77777777" w:rsidR="00E47114" w:rsidRPr="00175D8B" w:rsidRDefault="00E47114" w:rsidP="00E47114">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IV. Quality Water Class - Hypereutrophic</w:t>
            </w:r>
          </w:p>
        </w:tc>
        <w:tc>
          <w:tcPr>
            <w:tcW w:w="4536" w:type="dxa"/>
            <w:shd w:val="clear" w:color="auto" w:fill="F2F2F2"/>
            <w:vAlign w:val="center"/>
          </w:tcPr>
          <w:p w14:paraId="0C9EBDE7" w14:textId="77777777" w:rsidR="00E47114" w:rsidRPr="00175D8B" w:rsidRDefault="00E47114" w:rsidP="00E47114">
            <w:pPr>
              <w:spacing w:before="120" w:after="0" w:line="276" w:lineRule="auto"/>
              <w:jc w:val="left"/>
              <w:rPr>
                <w:rFonts w:eastAsia="Aptos" w:cs="Aptos"/>
                <w:color w:val="000000" w:themeColor="text1"/>
                <w:sz w:val="20"/>
                <w:szCs w:val="20"/>
              </w:rPr>
            </w:pPr>
            <w:r w:rsidRPr="00175D8B">
              <w:rPr>
                <w:rFonts w:eastAsia="Arial" w:cs="Arial"/>
                <w:color w:val="000000" w:themeColor="text1"/>
                <w:sz w:val="20"/>
                <w:szCs w:val="20"/>
              </w:rPr>
              <w:t>Water without oxygen, foul odor and degraded ecosystem with nutrient overload.</w:t>
            </w:r>
          </w:p>
        </w:tc>
      </w:tr>
    </w:tbl>
    <w:p w14:paraId="10D33B3A" w14:textId="77777777" w:rsidR="00A816AD" w:rsidRPr="00175D8B" w:rsidRDefault="00A816AD" w:rsidP="00E456F8">
      <w:pPr>
        <w:spacing w:before="120" w:after="0" w:line="278" w:lineRule="auto"/>
        <w:ind w:left="360"/>
        <w:contextualSpacing/>
        <w:jc w:val="center"/>
        <w:rPr>
          <w:rFonts w:eastAsia="Aptos" w:cs="Aptos"/>
          <w:b/>
          <w:i/>
          <w:color w:val="000000" w:themeColor="text1"/>
          <w:sz w:val="18"/>
          <w:szCs w:val="18"/>
        </w:rPr>
      </w:pPr>
    </w:p>
    <w:p w14:paraId="25FDC163" w14:textId="1714DB33" w:rsidR="004B29BF" w:rsidRPr="00175D8B" w:rsidRDefault="00E47114" w:rsidP="004B29BF">
      <w:pPr>
        <w:spacing w:before="120" w:after="0" w:line="278" w:lineRule="auto"/>
        <w:ind w:left="360"/>
        <w:contextualSpacing/>
        <w:jc w:val="center"/>
        <w:rPr>
          <w:rFonts w:eastAsia="Aptos" w:cs="Aptos"/>
          <w:i/>
          <w:color w:val="000000" w:themeColor="text1"/>
          <w:sz w:val="18"/>
          <w:szCs w:val="18"/>
        </w:rPr>
      </w:pPr>
      <w:r w:rsidRPr="00175D8B">
        <w:rPr>
          <w:rFonts w:eastAsia="Aptos" w:cs="Aptos"/>
          <w:b/>
          <w:i/>
          <w:color w:val="000000" w:themeColor="text1"/>
          <w:sz w:val="18"/>
          <w:szCs w:val="18"/>
        </w:rPr>
        <w:t xml:space="preserve">Source: </w:t>
      </w:r>
      <w:r w:rsidRPr="00175D8B">
        <w:rPr>
          <w:rFonts w:eastAsia="Aptos" w:cs="Aptos"/>
          <w:i/>
          <w:color w:val="000000" w:themeColor="text1"/>
          <w:sz w:val="18"/>
          <w:szCs w:val="18"/>
        </w:rPr>
        <w:t>Sakarya University, 2018</w:t>
      </w:r>
    </w:p>
    <w:p w14:paraId="732E3B87" w14:textId="563E0BD7" w:rsidR="00836F29" w:rsidRPr="00175D8B" w:rsidRDefault="00836F29" w:rsidP="002550A6">
      <w:pPr>
        <w:pStyle w:val="Balk3"/>
        <w:numPr>
          <w:ilvl w:val="2"/>
          <w:numId w:val="152"/>
        </w:numPr>
      </w:pPr>
      <w:bookmarkStart w:id="113" w:name="_heading=h.831snp7qjcjd"/>
      <w:bookmarkStart w:id="114" w:name="_Toc212541860"/>
      <w:bookmarkStart w:id="115" w:name="_Toc212542371"/>
      <w:bookmarkStart w:id="116" w:name="_Toc220672782"/>
      <w:bookmarkEnd w:id="113"/>
      <w:r w:rsidRPr="00175D8B">
        <w:lastRenderedPageBreak/>
        <w:t>Nature</w:t>
      </w:r>
      <w:bookmarkEnd w:id="114"/>
      <w:bookmarkEnd w:id="115"/>
      <w:bookmarkEnd w:id="116"/>
    </w:p>
    <w:p w14:paraId="4FAEA4DA" w14:textId="6113FB75" w:rsidR="00836F29" w:rsidRPr="00175D8B" w:rsidRDefault="00836F29" w:rsidP="002550A6">
      <w:pPr>
        <w:pStyle w:val="Balk4"/>
        <w:numPr>
          <w:ilvl w:val="3"/>
          <w:numId w:val="152"/>
        </w:numPr>
        <w:rPr>
          <w:color w:val="auto"/>
        </w:rPr>
      </w:pPr>
      <w:bookmarkStart w:id="117" w:name="_Toc209708085"/>
      <w:bookmarkStart w:id="118" w:name="_Toc212541861"/>
      <w:bookmarkStart w:id="119" w:name="_Toc212542372"/>
      <w:r w:rsidRPr="00175D8B">
        <w:rPr>
          <w:b/>
          <w:color w:val="auto"/>
        </w:rPr>
        <w:t>Flora</w:t>
      </w:r>
      <w:bookmarkEnd w:id="117"/>
      <w:bookmarkEnd w:id="118"/>
      <w:bookmarkEnd w:id="119"/>
    </w:p>
    <w:p w14:paraId="79F70DF1" w14:textId="779E8387" w:rsidR="00836F29" w:rsidRPr="00175D8B" w:rsidRDefault="00836F29" w:rsidP="00836F29">
      <w:pPr>
        <w:spacing w:before="120" w:after="0"/>
        <w:rPr>
          <w:rFonts w:eastAsia="Aptos" w:cs="Aptos"/>
          <w:color w:val="000000" w:themeColor="text1"/>
          <w:szCs w:val="22"/>
        </w:rPr>
      </w:pPr>
      <w:r w:rsidRPr="00175D8B">
        <w:rPr>
          <w:rFonts w:eastAsia="Aptos" w:cs="Aptos"/>
          <w:color w:val="000000" w:themeColor="text1"/>
          <w:szCs w:val="22"/>
        </w:rPr>
        <w:t>The vegetation of Sakarya province consists of 34% mountains, 44% plateaus, and 22% plains, and the vegetation is very rich. The natural vegetation in Sakarya is predominantly forest. Sakarya province is suitable for forest cultivation due to its climate and growing environment. The soils where the forests are located are of the brown forest soil type. The total forest area in the province is 204,708 hectares. These forests are mostly humid Black Sea forests. The main tree species in these forests include beech, oak, hornbeam, poplar, chestnut, linden, plane tree, maple, ash, alder, and pine species. Above the 700-meter elevation belt, coniferous trees begin to mix with the beech and oak communities.</w:t>
      </w:r>
      <w:r w:rsidR="007225DF" w:rsidRPr="00175D8B">
        <w:rPr>
          <w:rStyle w:val="DipnotBavurusu"/>
          <w:rFonts w:eastAsia="Aptos" w:cs="Aptos"/>
          <w:color w:val="000000" w:themeColor="text1"/>
          <w:szCs w:val="22"/>
        </w:rPr>
        <w:footnoteReference w:id="11"/>
      </w:r>
    </w:p>
    <w:p w14:paraId="133D11EC" w14:textId="0F5C5C53" w:rsidR="007225DF" w:rsidRPr="00175D8B" w:rsidRDefault="00836F29" w:rsidP="006C58C5">
      <w:pPr>
        <w:spacing w:before="120" w:after="0"/>
        <w:rPr>
          <w:rFonts w:eastAsia="Aptos" w:cs="Aptos"/>
          <w:i/>
          <w:iCs/>
          <w:color w:val="000000" w:themeColor="text1"/>
          <w:sz w:val="20"/>
          <w:szCs w:val="20"/>
        </w:rPr>
      </w:pPr>
      <w:r w:rsidRPr="00175D8B">
        <w:rPr>
          <w:rFonts w:eastAsia="Aptos" w:cs="Aptos"/>
          <w:color w:val="000000" w:themeColor="text1"/>
          <w:szCs w:val="22"/>
        </w:rPr>
        <w:t>The endemic plant species identified in Sakarya and its surroundings are unique to Türkiye and are of high ecological importance. A significant number of these species are narrowly distributed, vulnerable, or susceptible to habitat loss, with some being internationally threatened. In particular, Centaurea Kilaea and Galanthus Plicatus ssp. Byzantinus species are classified in the "Endangered (EN)" category on the IUCN Red List. Other species require protection due to their rarity, dependence on fragile habitats, or limited range. Natural areas in the provinces of Kocaeli, Istanbul, Bursa, and Düzce, especially Sakarya, are critical for the sustainability of these species. Therefore, the preservation of endemic flora in the region is a priority issue for the continuation of biodiversity and ecosystem health.</w:t>
      </w:r>
      <w:r w:rsidR="00A30388" w:rsidRPr="00175D8B">
        <w:t xml:space="preserve"> </w:t>
      </w:r>
    </w:p>
    <w:p w14:paraId="681ECCE3" w14:textId="5F5469BE" w:rsidR="00F94756" w:rsidRPr="00175D8B" w:rsidRDefault="00F94756" w:rsidP="006C58C5">
      <w:pPr>
        <w:pStyle w:val="ResimYazs"/>
        <w:keepNext/>
        <w:jc w:val="center"/>
      </w:pPr>
      <w:bookmarkStart w:id="121" w:name="_Toc216344425"/>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8</w:t>
      </w:r>
      <w:r w:rsidRPr="006C58C5">
        <w:rPr>
          <w:b/>
          <w:bCs/>
        </w:rPr>
        <w:fldChar w:fldCharType="end"/>
      </w:r>
      <w:r w:rsidR="006D791E" w:rsidRPr="00175D8B">
        <w:rPr>
          <w:b/>
          <w:bCs/>
        </w:rPr>
        <w:t>:</w:t>
      </w:r>
      <w:r w:rsidRPr="006C58C5">
        <w:rPr>
          <w:b/>
          <w:bCs/>
        </w:rPr>
        <w:t xml:space="preserve"> </w:t>
      </w:r>
      <w:r w:rsidRPr="00175D8B">
        <w:rPr>
          <w:rFonts w:eastAsia="Aptos" w:cs="Aptos"/>
          <w:color w:val="000000"/>
          <w:szCs w:val="20"/>
        </w:rPr>
        <w:t>Endemic Species - Sakarya</w:t>
      </w:r>
      <w:bookmarkEnd w:id="121"/>
    </w:p>
    <w:tbl>
      <w:tblPr>
        <w:tblW w:w="9072" w:type="dxa"/>
        <w:jc w:val="center"/>
        <w:tblLayout w:type="fixed"/>
        <w:tblLook w:val="0400" w:firstRow="0" w:lastRow="0" w:firstColumn="0" w:lastColumn="0" w:noHBand="0" w:noVBand="1"/>
      </w:tblPr>
      <w:tblGrid>
        <w:gridCol w:w="1506"/>
        <w:gridCol w:w="1466"/>
        <w:gridCol w:w="1603"/>
        <w:gridCol w:w="2467"/>
        <w:gridCol w:w="2030"/>
      </w:tblGrid>
      <w:tr w:rsidR="007225DF" w:rsidRPr="00175D8B" w14:paraId="7D3B4B37" w14:textId="77777777" w:rsidTr="00DF417A">
        <w:trPr>
          <w:trHeight w:val="303"/>
          <w:tblHeader/>
          <w:jc w:val="center"/>
        </w:trPr>
        <w:tc>
          <w:tcPr>
            <w:tcW w:w="1506" w:type="dxa"/>
            <w:tcBorders>
              <w:top w:val="single" w:sz="4" w:space="0" w:color="000000"/>
              <w:left w:val="single" w:sz="4" w:space="0" w:color="000000"/>
              <w:bottom w:val="single" w:sz="4" w:space="0" w:color="000000"/>
              <w:right w:val="single" w:sz="4" w:space="0" w:color="000000"/>
            </w:tcBorders>
            <w:shd w:val="clear" w:color="auto" w:fill="ABB7C1"/>
          </w:tcPr>
          <w:p w14:paraId="28E54B79" w14:textId="77777777" w:rsidR="007225DF" w:rsidRPr="00175D8B" w:rsidRDefault="007225DF" w:rsidP="007225DF">
            <w:pPr>
              <w:spacing w:before="120" w:after="0" w:line="276" w:lineRule="auto"/>
              <w:jc w:val="center"/>
              <w:rPr>
                <w:rFonts w:eastAsia="Aptos" w:cs="Aptos"/>
                <w:b/>
                <w:color w:val="000000" w:themeColor="text1"/>
                <w:sz w:val="20"/>
                <w:szCs w:val="20"/>
              </w:rPr>
            </w:pPr>
            <w:r w:rsidRPr="00175D8B">
              <w:rPr>
                <w:rFonts w:eastAsia="Aptos" w:cs="Aptos"/>
                <w:b/>
                <w:color w:val="000000" w:themeColor="text1"/>
                <w:sz w:val="20"/>
                <w:szCs w:val="20"/>
              </w:rPr>
              <w:t>Type Name</w:t>
            </w:r>
          </w:p>
        </w:tc>
        <w:tc>
          <w:tcPr>
            <w:tcW w:w="1466" w:type="dxa"/>
            <w:tcBorders>
              <w:top w:val="single" w:sz="4" w:space="0" w:color="000000"/>
              <w:left w:val="nil"/>
              <w:bottom w:val="single" w:sz="4" w:space="0" w:color="000000"/>
              <w:right w:val="single" w:sz="4" w:space="0" w:color="000000"/>
            </w:tcBorders>
            <w:shd w:val="clear" w:color="auto" w:fill="ABB7C1"/>
          </w:tcPr>
          <w:p w14:paraId="7F8D3865" w14:textId="2C01C6DB" w:rsidR="007225DF" w:rsidRPr="00175D8B" w:rsidRDefault="007225DF" w:rsidP="007225DF">
            <w:pPr>
              <w:spacing w:before="120" w:after="0" w:line="276" w:lineRule="auto"/>
              <w:jc w:val="center"/>
              <w:rPr>
                <w:rFonts w:eastAsia="Aptos" w:cs="Aptos"/>
                <w:b/>
                <w:color w:val="000000" w:themeColor="text1"/>
                <w:sz w:val="20"/>
                <w:szCs w:val="20"/>
              </w:rPr>
            </w:pPr>
            <w:r w:rsidRPr="00175D8B">
              <w:rPr>
                <w:rFonts w:eastAsia="Aptos" w:cs="Aptos"/>
                <w:b/>
                <w:color w:val="000000" w:themeColor="text1"/>
                <w:sz w:val="20"/>
                <w:szCs w:val="20"/>
              </w:rPr>
              <w:t xml:space="preserve">Common </w:t>
            </w:r>
            <w:r w:rsidR="00866B7D" w:rsidRPr="00175D8B">
              <w:rPr>
                <w:rFonts w:eastAsia="Aptos" w:cs="Aptos"/>
                <w:b/>
                <w:color w:val="000000" w:themeColor="text1"/>
                <w:sz w:val="20"/>
                <w:szCs w:val="20"/>
              </w:rPr>
              <w:t xml:space="preserve">Turkish </w:t>
            </w:r>
            <w:r w:rsidRPr="00175D8B">
              <w:rPr>
                <w:rFonts w:eastAsia="Aptos" w:cs="Aptos"/>
                <w:b/>
                <w:color w:val="000000" w:themeColor="text1"/>
                <w:sz w:val="20"/>
                <w:szCs w:val="20"/>
              </w:rPr>
              <w:t>Name</w:t>
            </w:r>
          </w:p>
        </w:tc>
        <w:tc>
          <w:tcPr>
            <w:tcW w:w="1603" w:type="dxa"/>
            <w:tcBorders>
              <w:top w:val="single" w:sz="4" w:space="0" w:color="000000"/>
              <w:left w:val="nil"/>
              <w:bottom w:val="single" w:sz="4" w:space="0" w:color="000000"/>
              <w:right w:val="single" w:sz="4" w:space="0" w:color="000000"/>
            </w:tcBorders>
            <w:shd w:val="clear" w:color="auto" w:fill="ABB7C1"/>
          </w:tcPr>
          <w:p w14:paraId="67B979EB" w14:textId="77777777" w:rsidR="007225DF" w:rsidRPr="00175D8B" w:rsidRDefault="007225DF" w:rsidP="007225DF">
            <w:pPr>
              <w:spacing w:before="120" w:after="0" w:line="276" w:lineRule="auto"/>
              <w:jc w:val="center"/>
              <w:rPr>
                <w:rFonts w:eastAsia="Aptos" w:cs="Aptos"/>
                <w:b/>
                <w:color w:val="000000" w:themeColor="text1"/>
                <w:sz w:val="20"/>
                <w:szCs w:val="20"/>
              </w:rPr>
            </w:pPr>
            <w:r w:rsidRPr="00175D8B">
              <w:rPr>
                <w:rFonts w:eastAsia="Aptos" w:cs="Aptos"/>
                <w:b/>
                <w:color w:val="000000" w:themeColor="text1"/>
                <w:sz w:val="20"/>
                <w:szCs w:val="20"/>
              </w:rPr>
              <w:t>Endemicity Status</w:t>
            </w:r>
          </w:p>
        </w:tc>
        <w:tc>
          <w:tcPr>
            <w:tcW w:w="2467" w:type="dxa"/>
            <w:tcBorders>
              <w:top w:val="single" w:sz="4" w:space="0" w:color="000000"/>
              <w:left w:val="nil"/>
              <w:bottom w:val="single" w:sz="4" w:space="0" w:color="000000"/>
              <w:right w:val="single" w:sz="4" w:space="0" w:color="000000"/>
            </w:tcBorders>
            <w:shd w:val="clear" w:color="auto" w:fill="ABB7C1"/>
          </w:tcPr>
          <w:p w14:paraId="518716B2" w14:textId="77777777" w:rsidR="007225DF" w:rsidRPr="00175D8B" w:rsidRDefault="007225DF" w:rsidP="007225DF">
            <w:pPr>
              <w:spacing w:before="120" w:after="0" w:line="276" w:lineRule="auto"/>
              <w:jc w:val="center"/>
              <w:rPr>
                <w:rFonts w:eastAsia="Aptos" w:cs="Aptos"/>
                <w:b/>
                <w:color w:val="000000" w:themeColor="text1"/>
                <w:sz w:val="20"/>
                <w:szCs w:val="20"/>
              </w:rPr>
            </w:pPr>
            <w:r w:rsidRPr="00175D8B">
              <w:rPr>
                <w:rFonts w:eastAsia="Aptos" w:cs="Aptos"/>
                <w:b/>
                <w:color w:val="000000" w:themeColor="text1"/>
                <w:sz w:val="20"/>
                <w:szCs w:val="20"/>
              </w:rPr>
              <w:t>Places of Occurrence</w:t>
            </w:r>
          </w:p>
        </w:tc>
        <w:tc>
          <w:tcPr>
            <w:tcW w:w="2030" w:type="dxa"/>
            <w:tcBorders>
              <w:top w:val="single" w:sz="4" w:space="0" w:color="000000"/>
              <w:left w:val="nil"/>
              <w:bottom w:val="single" w:sz="4" w:space="0" w:color="000000"/>
              <w:right w:val="single" w:sz="4" w:space="0" w:color="000000"/>
            </w:tcBorders>
            <w:shd w:val="clear" w:color="auto" w:fill="ABB7C1"/>
          </w:tcPr>
          <w:p w14:paraId="467E7AD6" w14:textId="77777777" w:rsidR="007225DF" w:rsidRPr="00175D8B" w:rsidRDefault="007225DF" w:rsidP="007225DF">
            <w:pPr>
              <w:spacing w:before="120" w:after="0" w:line="276" w:lineRule="auto"/>
              <w:jc w:val="center"/>
              <w:rPr>
                <w:rFonts w:eastAsia="Aptos" w:cs="Aptos"/>
                <w:b/>
                <w:color w:val="000000" w:themeColor="text1"/>
                <w:sz w:val="20"/>
                <w:szCs w:val="20"/>
              </w:rPr>
            </w:pPr>
            <w:r w:rsidRPr="00175D8B">
              <w:rPr>
                <w:rFonts w:eastAsia="Aptos" w:cs="Aptos"/>
                <w:b/>
                <w:color w:val="000000" w:themeColor="text1"/>
                <w:sz w:val="20"/>
                <w:szCs w:val="20"/>
              </w:rPr>
              <w:t>Status (Literature + IUCN)</w:t>
            </w:r>
          </w:p>
        </w:tc>
      </w:tr>
      <w:tr w:rsidR="007225DF" w:rsidRPr="00175D8B" w14:paraId="43CEB7E8" w14:textId="77777777" w:rsidTr="00DF417A">
        <w:trPr>
          <w:trHeight w:val="303"/>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66C17743" w14:textId="77777777" w:rsidR="007225DF" w:rsidRPr="00175D8B" w:rsidRDefault="007225DF" w:rsidP="007225DF">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Centaurea Kilaea</w:t>
            </w:r>
          </w:p>
        </w:tc>
        <w:tc>
          <w:tcPr>
            <w:tcW w:w="1466" w:type="dxa"/>
            <w:tcBorders>
              <w:top w:val="nil"/>
              <w:left w:val="nil"/>
              <w:bottom w:val="single" w:sz="4" w:space="0" w:color="000000"/>
              <w:right w:val="single" w:sz="4" w:space="0" w:color="000000"/>
            </w:tcBorders>
            <w:shd w:val="clear" w:color="auto" w:fill="F2F2F2"/>
            <w:vAlign w:val="center"/>
          </w:tcPr>
          <w:p w14:paraId="27092FF7" w14:textId="7440CB3E" w:rsidR="007225DF" w:rsidRPr="00175D8B" w:rsidRDefault="00866B7D" w:rsidP="007225DF">
            <w:pPr>
              <w:spacing w:before="120" w:after="0" w:line="276" w:lineRule="auto"/>
              <w:jc w:val="center"/>
              <w:rPr>
                <w:rFonts w:eastAsia="Aptos" w:cs="Aptos"/>
                <w:color w:val="000000" w:themeColor="text1"/>
                <w:sz w:val="20"/>
                <w:szCs w:val="20"/>
              </w:rPr>
            </w:pPr>
            <w:r w:rsidRPr="00175D8B">
              <w:rPr>
                <w:sz w:val="20"/>
                <w:szCs w:val="20"/>
              </w:rPr>
              <w:t>Kilyos Düğmesi</w:t>
            </w:r>
          </w:p>
        </w:tc>
        <w:tc>
          <w:tcPr>
            <w:tcW w:w="1603" w:type="dxa"/>
            <w:tcBorders>
              <w:top w:val="nil"/>
              <w:left w:val="nil"/>
              <w:bottom w:val="single" w:sz="4" w:space="0" w:color="000000"/>
              <w:right w:val="single" w:sz="4" w:space="0" w:color="000000"/>
            </w:tcBorders>
            <w:shd w:val="clear" w:color="auto" w:fill="F2F2F2"/>
            <w:vAlign w:val="center"/>
          </w:tcPr>
          <w:p w14:paraId="2681DC6A" w14:textId="77777777" w:rsidR="007225DF" w:rsidRPr="00175D8B" w:rsidRDefault="007225DF" w:rsidP="007225DF">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Endemic of Türkiye</w:t>
            </w:r>
          </w:p>
        </w:tc>
        <w:tc>
          <w:tcPr>
            <w:tcW w:w="2467" w:type="dxa"/>
            <w:tcBorders>
              <w:top w:val="nil"/>
              <w:left w:val="nil"/>
              <w:bottom w:val="single" w:sz="4" w:space="0" w:color="000000"/>
              <w:right w:val="single" w:sz="4" w:space="0" w:color="000000"/>
            </w:tcBorders>
            <w:shd w:val="clear" w:color="auto" w:fill="F2F2F2"/>
            <w:vAlign w:val="center"/>
          </w:tcPr>
          <w:p w14:paraId="5EF1A57F" w14:textId="77777777" w:rsidR="007225DF" w:rsidRPr="00175D8B" w:rsidRDefault="007225DF" w:rsidP="007225DF">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Sakarya (Kaynarca), Kocaeli (Kandıra), Istanbul (Sarıyer – Kilyos)</w:t>
            </w:r>
          </w:p>
        </w:tc>
        <w:tc>
          <w:tcPr>
            <w:tcW w:w="2030" w:type="dxa"/>
            <w:tcBorders>
              <w:top w:val="nil"/>
              <w:left w:val="nil"/>
              <w:bottom w:val="single" w:sz="4" w:space="0" w:color="000000"/>
              <w:right w:val="single" w:sz="4" w:space="0" w:color="000000"/>
            </w:tcBorders>
            <w:shd w:val="clear" w:color="auto" w:fill="F2F2F2"/>
            <w:vAlign w:val="center"/>
          </w:tcPr>
          <w:p w14:paraId="7766F4EA" w14:textId="77777777" w:rsidR="007225DF" w:rsidRPr="00175D8B" w:rsidRDefault="007225DF" w:rsidP="007225DF">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EN – Endangered (IUCN Red List)</w:t>
            </w:r>
          </w:p>
        </w:tc>
      </w:tr>
      <w:tr w:rsidR="007225DF" w:rsidRPr="00175D8B" w14:paraId="777FCD26" w14:textId="77777777" w:rsidTr="00DF417A">
        <w:trPr>
          <w:trHeight w:val="303"/>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6C7225B5" w14:textId="77777777" w:rsidR="007225DF" w:rsidRPr="00175D8B" w:rsidRDefault="007225DF" w:rsidP="007225DF">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Verbascum Bugulifolium</w:t>
            </w:r>
          </w:p>
        </w:tc>
        <w:tc>
          <w:tcPr>
            <w:tcW w:w="1466" w:type="dxa"/>
            <w:tcBorders>
              <w:top w:val="nil"/>
              <w:left w:val="nil"/>
              <w:bottom w:val="single" w:sz="4" w:space="0" w:color="000000"/>
              <w:right w:val="single" w:sz="4" w:space="0" w:color="000000"/>
            </w:tcBorders>
            <w:shd w:val="clear" w:color="auto" w:fill="F2F2F2"/>
            <w:vAlign w:val="center"/>
          </w:tcPr>
          <w:p w14:paraId="721D7634" w14:textId="74C1F62B" w:rsidR="007225DF" w:rsidRPr="00175D8B" w:rsidRDefault="00866B7D" w:rsidP="007225DF">
            <w:pPr>
              <w:spacing w:before="120" w:after="0" w:line="276" w:lineRule="auto"/>
              <w:jc w:val="center"/>
              <w:rPr>
                <w:rFonts w:eastAsia="Aptos" w:cs="Aptos"/>
                <w:color w:val="000000" w:themeColor="text1"/>
                <w:sz w:val="20"/>
                <w:szCs w:val="20"/>
              </w:rPr>
            </w:pPr>
            <w:r w:rsidRPr="00175D8B">
              <w:rPr>
                <w:sz w:val="20"/>
                <w:szCs w:val="20"/>
              </w:rPr>
              <w:t>Riva Sığırkuyruğu</w:t>
            </w:r>
          </w:p>
        </w:tc>
        <w:tc>
          <w:tcPr>
            <w:tcW w:w="1603" w:type="dxa"/>
            <w:tcBorders>
              <w:top w:val="nil"/>
              <w:left w:val="nil"/>
              <w:bottom w:val="single" w:sz="4" w:space="0" w:color="000000"/>
              <w:right w:val="single" w:sz="4" w:space="0" w:color="000000"/>
            </w:tcBorders>
            <w:shd w:val="clear" w:color="auto" w:fill="F2F2F2"/>
            <w:vAlign w:val="center"/>
          </w:tcPr>
          <w:p w14:paraId="6F4CA6FE" w14:textId="77777777" w:rsidR="007225DF" w:rsidRPr="00175D8B" w:rsidRDefault="007225DF" w:rsidP="007225DF">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Endemic of Türkiye</w:t>
            </w:r>
          </w:p>
        </w:tc>
        <w:tc>
          <w:tcPr>
            <w:tcW w:w="2467" w:type="dxa"/>
            <w:tcBorders>
              <w:top w:val="nil"/>
              <w:left w:val="nil"/>
              <w:bottom w:val="single" w:sz="4" w:space="0" w:color="000000"/>
              <w:right w:val="single" w:sz="4" w:space="0" w:color="000000"/>
            </w:tcBorders>
            <w:shd w:val="clear" w:color="auto" w:fill="F2F2F2"/>
            <w:vAlign w:val="center"/>
          </w:tcPr>
          <w:p w14:paraId="6AAF5316" w14:textId="77777777" w:rsidR="007225DF" w:rsidRPr="00175D8B" w:rsidRDefault="007225DF" w:rsidP="007225DF">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Sakarya (Karasu), Kocaeli (Kandıra), Istanbul (Beykoz – Riva)</w:t>
            </w:r>
          </w:p>
        </w:tc>
        <w:tc>
          <w:tcPr>
            <w:tcW w:w="2030" w:type="dxa"/>
            <w:tcBorders>
              <w:top w:val="nil"/>
              <w:left w:val="nil"/>
              <w:bottom w:val="single" w:sz="4" w:space="0" w:color="000000"/>
              <w:right w:val="single" w:sz="4" w:space="0" w:color="000000"/>
            </w:tcBorders>
            <w:shd w:val="clear" w:color="auto" w:fill="F2F2F2"/>
            <w:vAlign w:val="center"/>
          </w:tcPr>
          <w:p w14:paraId="631353B9" w14:textId="77777777" w:rsidR="007225DF" w:rsidRPr="00175D8B" w:rsidRDefault="007225DF" w:rsidP="007225DF">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Narrow Spread – Sensitive</w:t>
            </w:r>
          </w:p>
        </w:tc>
      </w:tr>
      <w:tr w:rsidR="00866B7D" w:rsidRPr="00175D8B" w14:paraId="7A4A825F" w14:textId="77777777" w:rsidTr="00DF417A">
        <w:trPr>
          <w:trHeight w:val="334"/>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7CEE2F0D" w14:textId="77777777" w:rsidR="00866B7D" w:rsidRPr="00175D8B" w:rsidRDefault="00866B7D" w:rsidP="00866B7D">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Verbascum Degenii</w:t>
            </w:r>
          </w:p>
        </w:tc>
        <w:tc>
          <w:tcPr>
            <w:tcW w:w="1466" w:type="dxa"/>
            <w:tcBorders>
              <w:top w:val="nil"/>
              <w:left w:val="nil"/>
              <w:bottom w:val="single" w:sz="4" w:space="0" w:color="000000"/>
              <w:right w:val="single" w:sz="4" w:space="0" w:color="000000"/>
            </w:tcBorders>
            <w:shd w:val="clear" w:color="auto" w:fill="F2F2F2"/>
            <w:vAlign w:val="center"/>
          </w:tcPr>
          <w:p w14:paraId="588FF67D" w14:textId="500DB825" w:rsidR="00866B7D" w:rsidRPr="00175D8B" w:rsidRDefault="00866B7D" w:rsidP="00866B7D">
            <w:pPr>
              <w:spacing w:before="120" w:after="0" w:line="276" w:lineRule="auto"/>
              <w:jc w:val="center"/>
              <w:rPr>
                <w:rFonts w:eastAsia="Aptos" w:cs="Aptos"/>
                <w:color w:val="000000" w:themeColor="text1"/>
                <w:sz w:val="20"/>
                <w:szCs w:val="20"/>
              </w:rPr>
            </w:pPr>
            <w:r w:rsidRPr="00175D8B">
              <w:rPr>
                <w:sz w:val="20"/>
                <w:szCs w:val="20"/>
              </w:rPr>
              <w:t>Degen Sığırkuyruğu</w:t>
            </w:r>
          </w:p>
        </w:tc>
        <w:tc>
          <w:tcPr>
            <w:tcW w:w="1603" w:type="dxa"/>
            <w:tcBorders>
              <w:top w:val="nil"/>
              <w:left w:val="nil"/>
              <w:bottom w:val="single" w:sz="4" w:space="0" w:color="000000"/>
              <w:right w:val="single" w:sz="4" w:space="0" w:color="000000"/>
            </w:tcBorders>
            <w:shd w:val="clear" w:color="auto" w:fill="F2F2F2"/>
            <w:vAlign w:val="center"/>
          </w:tcPr>
          <w:p w14:paraId="25F0017D" w14:textId="77777777" w:rsidR="00866B7D" w:rsidRPr="00175D8B" w:rsidRDefault="00866B7D" w:rsidP="00866B7D">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Endemic of Türkiye</w:t>
            </w:r>
          </w:p>
        </w:tc>
        <w:tc>
          <w:tcPr>
            <w:tcW w:w="2467" w:type="dxa"/>
            <w:tcBorders>
              <w:top w:val="nil"/>
              <w:left w:val="nil"/>
              <w:bottom w:val="single" w:sz="4" w:space="0" w:color="000000"/>
              <w:right w:val="single" w:sz="4" w:space="0" w:color="000000"/>
            </w:tcBorders>
            <w:shd w:val="clear" w:color="auto" w:fill="F2F2F2"/>
            <w:vAlign w:val="center"/>
          </w:tcPr>
          <w:p w14:paraId="0375D75B" w14:textId="77777777" w:rsidR="00866B7D" w:rsidRPr="00175D8B" w:rsidRDefault="00866B7D" w:rsidP="00866B7D">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Sakarya (Karasu, Kocaali) Kocaeli (Kandıra), Istanbul (Şile)</w:t>
            </w:r>
          </w:p>
        </w:tc>
        <w:tc>
          <w:tcPr>
            <w:tcW w:w="2030" w:type="dxa"/>
            <w:tcBorders>
              <w:top w:val="nil"/>
              <w:left w:val="nil"/>
              <w:bottom w:val="single" w:sz="4" w:space="0" w:color="000000"/>
              <w:right w:val="single" w:sz="4" w:space="0" w:color="000000"/>
            </w:tcBorders>
            <w:shd w:val="clear" w:color="auto" w:fill="F2F2F2"/>
            <w:vAlign w:val="center"/>
          </w:tcPr>
          <w:p w14:paraId="5AD36159" w14:textId="77777777" w:rsidR="00866B7D" w:rsidRPr="00175D8B" w:rsidRDefault="00866B7D" w:rsidP="00866B7D">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Regional Distribution – Rare</w:t>
            </w:r>
          </w:p>
        </w:tc>
      </w:tr>
      <w:tr w:rsidR="00866B7D" w:rsidRPr="00175D8B" w14:paraId="7438B49F" w14:textId="77777777" w:rsidTr="00DF417A">
        <w:trPr>
          <w:trHeight w:val="303"/>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17787E0F" w14:textId="77777777" w:rsidR="00866B7D" w:rsidRPr="00175D8B" w:rsidRDefault="00866B7D" w:rsidP="00866B7D">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Lophiolepis Ligularis</w:t>
            </w:r>
          </w:p>
        </w:tc>
        <w:tc>
          <w:tcPr>
            <w:tcW w:w="1466" w:type="dxa"/>
            <w:tcBorders>
              <w:top w:val="nil"/>
              <w:left w:val="nil"/>
              <w:bottom w:val="single" w:sz="4" w:space="0" w:color="000000"/>
              <w:right w:val="single" w:sz="4" w:space="0" w:color="000000"/>
            </w:tcBorders>
            <w:shd w:val="clear" w:color="auto" w:fill="F2F2F2"/>
            <w:vAlign w:val="center"/>
          </w:tcPr>
          <w:p w14:paraId="0488CF8F" w14:textId="395E4C44" w:rsidR="00866B7D" w:rsidRPr="00175D8B" w:rsidRDefault="00866B7D" w:rsidP="00866B7D">
            <w:pPr>
              <w:spacing w:before="120" w:after="0" w:line="276" w:lineRule="auto"/>
              <w:jc w:val="center"/>
              <w:rPr>
                <w:rFonts w:eastAsia="Aptos" w:cs="Aptos"/>
                <w:color w:val="000000" w:themeColor="text1"/>
                <w:sz w:val="20"/>
                <w:szCs w:val="20"/>
              </w:rPr>
            </w:pPr>
            <w:r w:rsidRPr="00175D8B">
              <w:rPr>
                <w:sz w:val="20"/>
                <w:szCs w:val="20"/>
              </w:rPr>
              <w:t>Kör Kazankulpu</w:t>
            </w:r>
          </w:p>
        </w:tc>
        <w:tc>
          <w:tcPr>
            <w:tcW w:w="1603" w:type="dxa"/>
            <w:tcBorders>
              <w:top w:val="nil"/>
              <w:left w:val="nil"/>
              <w:bottom w:val="single" w:sz="4" w:space="0" w:color="000000"/>
              <w:right w:val="single" w:sz="4" w:space="0" w:color="000000"/>
            </w:tcBorders>
            <w:shd w:val="clear" w:color="auto" w:fill="F2F2F2"/>
            <w:vAlign w:val="center"/>
          </w:tcPr>
          <w:p w14:paraId="0F8F46B7" w14:textId="77777777" w:rsidR="00866B7D" w:rsidRPr="00175D8B" w:rsidRDefault="00866B7D" w:rsidP="00866B7D">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Endemic of Türkiye</w:t>
            </w:r>
          </w:p>
        </w:tc>
        <w:tc>
          <w:tcPr>
            <w:tcW w:w="2467" w:type="dxa"/>
            <w:tcBorders>
              <w:top w:val="nil"/>
              <w:left w:val="nil"/>
              <w:bottom w:val="single" w:sz="4" w:space="0" w:color="000000"/>
              <w:right w:val="single" w:sz="4" w:space="0" w:color="000000"/>
            </w:tcBorders>
            <w:shd w:val="clear" w:color="auto" w:fill="F2F2F2"/>
            <w:vAlign w:val="center"/>
          </w:tcPr>
          <w:p w14:paraId="0698A2F1" w14:textId="77777777" w:rsidR="00866B7D" w:rsidRPr="00175D8B" w:rsidRDefault="00866B7D" w:rsidP="00866B7D">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Sakarya (Akyazı, Hendek) Kocaeli (KartepeAkyazı, Hendek (Iznik), Istanbul (Şile)</w:t>
            </w:r>
          </w:p>
        </w:tc>
        <w:tc>
          <w:tcPr>
            <w:tcW w:w="2030" w:type="dxa"/>
            <w:tcBorders>
              <w:top w:val="nil"/>
              <w:left w:val="nil"/>
              <w:bottom w:val="single" w:sz="4" w:space="0" w:color="000000"/>
              <w:right w:val="single" w:sz="4" w:space="0" w:color="000000"/>
            </w:tcBorders>
            <w:shd w:val="clear" w:color="auto" w:fill="F2F2F2"/>
            <w:vAlign w:val="center"/>
          </w:tcPr>
          <w:p w14:paraId="28AF9D77" w14:textId="77777777" w:rsidR="00866B7D" w:rsidRPr="00175D8B" w:rsidRDefault="00866B7D" w:rsidP="00866B7D">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Rare – Susceptible to Habitat Loss</w:t>
            </w:r>
          </w:p>
        </w:tc>
      </w:tr>
      <w:tr w:rsidR="00866B7D" w:rsidRPr="00175D8B" w14:paraId="768B1AE5" w14:textId="77777777" w:rsidTr="00DF417A">
        <w:trPr>
          <w:trHeight w:val="303"/>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3E762229" w14:textId="77777777" w:rsidR="00866B7D" w:rsidRPr="00175D8B" w:rsidRDefault="00866B7D" w:rsidP="00866B7D">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lastRenderedPageBreak/>
              <w:t>Cardamine Anatolica</w:t>
            </w:r>
          </w:p>
        </w:tc>
        <w:tc>
          <w:tcPr>
            <w:tcW w:w="1466" w:type="dxa"/>
            <w:tcBorders>
              <w:top w:val="nil"/>
              <w:left w:val="nil"/>
              <w:bottom w:val="single" w:sz="4" w:space="0" w:color="000000"/>
              <w:right w:val="single" w:sz="4" w:space="0" w:color="000000"/>
            </w:tcBorders>
            <w:shd w:val="clear" w:color="auto" w:fill="F2F2F2"/>
            <w:vAlign w:val="center"/>
          </w:tcPr>
          <w:p w14:paraId="55095609" w14:textId="71A0AAF6" w:rsidR="00866B7D" w:rsidRPr="00175D8B" w:rsidRDefault="00866B7D" w:rsidP="00866B7D">
            <w:pPr>
              <w:spacing w:before="120" w:after="0" w:line="276" w:lineRule="auto"/>
              <w:jc w:val="center"/>
              <w:rPr>
                <w:rFonts w:eastAsia="Aptos" w:cs="Aptos"/>
                <w:color w:val="000000" w:themeColor="text1"/>
                <w:sz w:val="20"/>
                <w:szCs w:val="20"/>
              </w:rPr>
            </w:pPr>
            <w:r w:rsidRPr="00175D8B">
              <w:rPr>
                <w:sz w:val="20"/>
                <w:szCs w:val="20"/>
              </w:rPr>
              <w:t>Anadolu Köpükotu</w:t>
            </w:r>
          </w:p>
        </w:tc>
        <w:tc>
          <w:tcPr>
            <w:tcW w:w="1603" w:type="dxa"/>
            <w:tcBorders>
              <w:top w:val="nil"/>
              <w:left w:val="nil"/>
              <w:bottom w:val="single" w:sz="4" w:space="0" w:color="000000"/>
              <w:right w:val="single" w:sz="4" w:space="0" w:color="000000"/>
            </w:tcBorders>
            <w:shd w:val="clear" w:color="auto" w:fill="F2F2F2"/>
            <w:vAlign w:val="center"/>
          </w:tcPr>
          <w:p w14:paraId="62367A9F" w14:textId="77777777" w:rsidR="00866B7D" w:rsidRPr="00175D8B" w:rsidRDefault="00866B7D" w:rsidP="00866B7D">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Endemic of Türkiye</w:t>
            </w:r>
          </w:p>
        </w:tc>
        <w:tc>
          <w:tcPr>
            <w:tcW w:w="2467" w:type="dxa"/>
            <w:tcBorders>
              <w:top w:val="nil"/>
              <w:left w:val="nil"/>
              <w:bottom w:val="single" w:sz="4" w:space="0" w:color="000000"/>
              <w:right w:val="single" w:sz="4" w:space="0" w:color="000000"/>
            </w:tcBorders>
            <w:shd w:val="clear" w:color="auto" w:fill="F2F2F2"/>
            <w:vAlign w:val="center"/>
          </w:tcPr>
          <w:p w14:paraId="5F0B206B" w14:textId="77777777" w:rsidR="00866B7D" w:rsidRPr="00175D8B" w:rsidRDefault="00866B7D" w:rsidP="00866B7D">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Sakarya (Taraklı, Geyve), Bolu (Mengen), Düzce (Yığılca)</w:t>
            </w:r>
          </w:p>
        </w:tc>
        <w:tc>
          <w:tcPr>
            <w:tcW w:w="2030" w:type="dxa"/>
            <w:tcBorders>
              <w:top w:val="nil"/>
              <w:left w:val="nil"/>
              <w:bottom w:val="single" w:sz="4" w:space="0" w:color="000000"/>
              <w:right w:val="single" w:sz="4" w:space="0" w:color="000000"/>
            </w:tcBorders>
            <w:shd w:val="clear" w:color="auto" w:fill="F2F2F2"/>
            <w:vAlign w:val="center"/>
          </w:tcPr>
          <w:p w14:paraId="48E78FF9" w14:textId="77777777" w:rsidR="00866B7D" w:rsidRPr="00175D8B" w:rsidRDefault="00866B7D" w:rsidP="00866B7D">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Dependent on Humid Forests – Fragile Habitat</w:t>
            </w:r>
          </w:p>
        </w:tc>
      </w:tr>
      <w:tr w:rsidR="00866B7D" w:rsidRPr="00175D8B" w14:paraId="3A5C4E77" w14:textId="77777777" w:rsidTr="00DF417A">
        <w:trPr>
          <w:trHeight w:val="303"/>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5193C26B" w14:textId="77777777" w:rsidR="00866B7D" w:rsidRPr="00175D8B" w:rsidRDefault="00866B7D" w:rsidP="00866B7D">
            <w:pPr>
              <w:spacing w:before="120" w:after="0" w:line="276" w:lineRule="auto"/>
              <w:jc w:val="center"/>
              <w:rPr>
                <w:rFonts w:eastAsia="Aptos" w:cs="Aptos"/>
                <w:color w:val="000000" w:themeColor="text1"/>
                <w:sz w:val="20"/>
                <w:szCs w:val="20"/>
              </w:rPr>
            </w:pPr>
            <w:r w:rsidRPr="00175D8B">
              <w:rPr>
                <w:rFonts w:eastAsia="Aptos" w:cs="Aptos"/>
                <w:i/>
                <w:color w:val="000000" w:themeColor="text1"/>
                <w:sz w:val="20"/>
                <w:szCs w:val="20"/>
              </w:rPr>
              <w:t>Galanthus Plicatus</w:t>
            </w:r>
            <w:r w:rsidRPr="00175D8B">
              <w:rPr>
                <w:rFonts w:eastAsia="Aptos" w:cs="Aptos"/>
                <w:color w:val="000000" w:themeColor="text1"/>
                <w:sz w:val="20"/>
                <w:szCs w:val="20"/>
              </w:rPr>
              <w:t xml:space="preserve"> ssp. </w:t>
            </w:r>
            <w:r w:rsidRPr="00175D8B">
              <w:rPr>
                <w:rFonts w:eastAsia="Aptos" w:cs="Aptos"/>
                <w:i/>
                <w:color w:val="000000" w:themeColor="text1"/>
                <w:sz w:val="20"/>
                <w:szCs w:val="20"/>
              </w:rPr>
              <w:t>Byzantinus</w:t>
            </w:r>
          </w:p>
        </w:tc>
        <w:tc>
          <w:tcPr>
            <w:tcW w:w="1466" w:type="dxa"/>
            <w:tcBorders>
              <w:top w:val="nil"/>
              <w:left w:val="nil"/>
              <w:bottom w:val="single" w:sz="4" w:space="0" w:color="000000"/>
              <w:right w:val="single" w:sz="4" w:space="0" w:color="000000"/>
            </w:tcBorders>
            <w:shd w:val="clear" w:color="auto" w:fill="F2F2F2"/>
            <w:vAlign w:val="center"/>
          </w:tcPr>
          <w:p w14:paraId="2C966D32" w14:textId="3BCB8C8A" w:rsidR="00866B7D" w:rsidRPr="00175D8B" w:rsidRDefault="00866B7D" w:rsidP="00866B7D">
            <w:pPr>
              <w:spacing w:before="120" w:after="0" w:line="276" w:lineRule="auto"/>
              <w:jc w:val="center"/>
              <w:rPr>
                <w:rFonts w:eastAsia="Aptos" w:cs="Aptos"/>
                <w:color w:val="000000" w:themeColor="text1"/>
                <w:sz w:val="20"/>
                <w:szCs w:val="20"/>
              </w:rPr>
            </w:pPr>
            <w:r w:rsidRPr="00175D8B">
              <w:rPr>
                <w:sz w:val="20"/>
                <w:szCs w:val="20"/>
              </w:rPr>
              <w:t>Boğaz Kardeleni</w:t>
            </w:r>
          </w:p>
        </w:tc>
        <w:tc>
          <w:tcPr>
            <w:tcW w:w="1603" w:type="dxa"/>
            <w:tcBorders>
              <w:top w:val="nil"/>
              <w:left w:val="nil"/>
              <w:bottom w:val="single" w:sz="4" w:space="0" w:color="000000"/>
              <w:right w:val="single" w:sz="4" w:space="0" w:color="000000"/>
            </w:tcBorders>
            <w:shd w:val="clear" w:color="auto" w:fill="F2F2F2"/>
            <w:vAlign w:val="center"/>
          </w:tcPr>
          <w:p w14:paraId="21E7E757" w14:textId="77777777" w:rsidR="00866B7D" w:rsidRPr="00175D8B" w:rsidRDefault="00866B7D" w:rsidP="00866B7D">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Endemic of Türkiye</w:t>
            </w:r>
          </w:p>
        </w:tc>
        <w:tc>
          <w:tcPr>
            <w:tcW w:w="2467" w:type="dxa"/>
            <w:tcBorders>
              <w:top w:val="nil"/>
              <w:left w:val="nil"/>
              <w:bottom w:val="single" w:sz="4" w:space="0" w:color="000000"/>
              <w:right w:val="single" w:sz="4" w:space="0" w:color="000000"/>
            </w:tcBorders>
            <w:shd w:val="clear" w:color="auto" w:fill="F2F2F2"/>
            <w:vAlign w:val="center"/>
          </w:tcPr>
          <w:p w14:paraId="58A2B5B8" w14:textId="77777777" w:rsidR="00866B7D" w:rsidRPr="00175D8B" w:rsidRDefault="00866B7D" w:rsidP="00866B7D">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Sakarya (Karasu, Kaynarca), Çanakkale (Biga, Bayramiç Kaynarca) Balıkesir (Manyas)</w:t>
            </w:r>
          </w:p>
        </w:tc>
        <w:tc>
          <w:tcPr>
            <w:tcW w:w="2030" w:type="dxa"/>
            <w:tcBorders>
              <w:top w:val="nil"/>
              <w:left w:val="nil"/>
              <w:bottom w:val="single" w:sz="4" w:space="0" w:color="000000"/>
              <w:right w:val="single" w:sz="4" w:space="0" w:color="000000"/>
            </w:tcBorders>
            <w:shd w:val="clear" w:color="auto" w:fill="F2F2F2"/>
            <w:vAlign w:val="center"/>
          </w:tcPr>
          <w:p w14:paraId="752227C3" w14:textId="77777777" w:rsidR="00866B7D" w:rsidRPr="00175D8B" w:rsidRDefault="00866B7D" w:rsidP="00866B7D">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EN – Endangered (IUCN Red List)</w:t>
            </w:r>
          </w:p>
        </w:tc>
      </w:tr>
      <w:tr w:rsidR="00866B7D" w:rsidRPr="00175D8B" w14:paraId="3D57D02D" w14:textId="77777777" w:rsidTr="00DF417A">
        <w:trPr>
          <w:trHeight w:val="303"/>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023AF0FE" w14:textId="77777777" w:rsidR="00866B7D" w:rsidRPr="00175D8B" w:rsidRDefault="00866B7D" w:rsidP="00866B7D">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Jurinea Kilaea</w:t>
            </w:r>
          </w:p>
        </w:tc>
        <w:tc>
          <w:tcPr>
            <w:tcW w:w="1466" w:type="dxa"/>
            <w:tcBorders>
              <w:top w:val="nil"/>
              <w:left w:val="nil"/>
              <w:bottom w:val="single" w:sz="4" w:space="0" w:color="000000"/>
              <w:right w:val="single" w:sz="4" w:space="0" w:color="000000"/>
            </w:tcBorders>
            <w:shd w:val="clear" w:color="auto" w:fill="F2F2F2"/>
            <w:vAlign w:val="center"/>
          </w:tcPr>
          <w:p w14:paraId="2A3BF7DF" w14:textId="0ADB56A3" w:rsidR="00866B7D" w:rsidRPr="00175D8B" w:rsidRDefault="00866B7D" w:rsidP="00866B7D">
            <w:pPr>
              <w:spacing w:before="120" w:after="0" w:line="276" w:lineRule="auto"/>
              <w:jc w:val="center"/>
              <w:rPr>
                <w:rFonts w:eastAsia="Aptos" w:cs="Aptos"/>
                <w:color w:val="000000" w:themeColor="text1"/>
                <w:sz w:val="20"/>
                <w:szCs w:val="20"/>
              </w:rPr>
            </w:pPr>
            <w:r w:rsidRPr="00175D8B">
              <w:rPr>
                <w:sz w:val="20"/>
                <w:szCs w:val="20"/>
              </w:rPr>
              <w:t>Kilyos Moru</w:t>
            </w:r>
          </w:p>
        </w:tc>
        <w:tc>
          <w:tcPr>
            <w:tcW w:w="1603" w:type="dxa"/>
            <w:tcBorders>
              <w:top w:val="nil"/>
              <w:left w:val="nil"/>
              <w:bottom w:val="single" w:sz="4" w:space="0" w:color="000000"/>
              <w:right w:val="single" w:sz="4" w:space="0" w:color="000000"/>
            </w:tcBorders>
            <w:shd w:val="clear" w:color="auto" w:fill="F2F2F2"/>
            <w:vAlign w:val="center"/>
          </w:tcPr>
          <w:p w14:paraId="59A0F74F" w14:textId="77777777" w:rsidR="00866B7D" w:rsidRPr="00175D8B" w:rsidRDefault="00866B7D" w:rsidP="00866B7D">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Endemic of Türkiye</w:t>
            </w:r>
          </w:p>
        </w:tc>
        <w:tc>
          <w:tcPr>
            <w:tcW w:w="2467" w:type="dxa"/>
            <w:tcBorders>
              <w:top w:val="nil"/>
              <w:left w:val="nil"/>
              <w:bottom w:val="single" w:sz="4" w:space="0" w:color="000000"/>
              <w:right w:val="single" w:sz="4" w:space="0" w:color="000000"/>
            </w:tcBorders>
            <w:shd w:val="clear" w:color="auto" w:fill="F2F2F2"/>
            <w:vAlign w:val="center"/>
          </w:tcPr>
          <w:p w14:paraId="0F3C859E" w14:textId="77777777" w:rsidR="00866B7D" w:rsidRPr="00175D8B" w:rsidRDefault="00866B7D" w:rsidP="00866B7D">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Sakarya (Karasu, Kaynarca), Kocaeli (Kartepe, Başiskele) Istanbul (Çatalca)</w:t>
            </w:r>
          </w:p>
        </w:tc>
        <w:tc>
          <w:tcPr>
            <w:tcW w:w="2030" w:type="dxa"/>
            <w:tcBorders>
              <w:top w:val="nil"/>
              <w:left w:val="nil"/>
              <w:bottom w:val="single" w:sz="4" w:space="0" w:color="000000"/>
              <w:right w:val="single" w:sz="4" w:space="0" w:color="000000"/>
            </w:tcBorders>
            <w:shd w:val="clear" w:color="auto" w:fill="F2F2F2"/>
            <w:vAlign w:val="center"/>
          </w:tcPr>
          <w:p w14:paraId="1FDEB1CD" w14:textId="77777777" w:rsidR="00866B7D" w:rsidRPr="00175D8B" w:rsidRDefault="00866B7D" w:rsidP="00866B7D">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Rare – Restricted Distribution</w:t>
            </w:r>
          </w:p>
        </w:tc>
      </w:tr>
      <w:tr w:rsidR="00866B7D" w:rsidRPr="00175D8B" w14:paraId="38558810" w14:textId="77777777" w:rsidTr="00DF417A">
        <w:trPr>
          <w:trHeight w:val="303"/>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6CDA2BDB" w14:textId="77777777" w:rsidR="00866B7D" w:rsidRPr="00175D8B" w:rsidRDefault="00866B7D" w:rsidP="00866B7D">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Peucedanum Obtusifolium</w:t>
            </w:r>
          </w:p>
        </w:tc>
        <w:tc>
          <w:tcPr>
            <w:tcW w:w="1466" w:type="dxa"/>
            <w:tcBorders>
              <w:top w:val="nil"/>
              <w:left w:val="nil"/>
              <w:bottom w:val="single" w:sz="4" w:space="0" w:color="000000"/>
              <w:right w:val="single" w:sz="4" w:space="0" w:color="000000"/>
            </w:tcBorders>
            <w:shd w:val="clear" w:color="auto" w:fill="F2F2F2"/>
            <w:vAlign w:val="center"/>
          </w:tcPr>
          <w:p w14:paraId="08D164C7" w14:textId="1B977027" w:rsidR="00866B7D" w:rsidRPr="00175D8B" w:rsidRDefault="00866B7D" w:rsidP="00866B7D">
            <w:pPr>
              <w:spacing w:before="120" w:after="0" w:line="276" w:lineRule="auto"/>
              <w:jc w:val="center"/>
              <w:rPr>
                <w:rFonts w:eastAsia="Aptos" w:cs="Aptos"/>
                <w:color w:val="000000" w:themeColor="text1"/>
                <w:sz w:val="20"/>
                <w:szCs w:val="20"/>
              </w:rPr>
            </w:pPr>
            <w:r w:rsidRPr="00175D8B">
              <w:rPr>
                <w:sz w:val="20"/>
                <w:szCs w:val="20"/>
              </w:rPr>
              <w:t>Kral Otu</w:t>
            </w:r>
          </w:p>
        </w:tc>
        <w:tc>
          <w:tcPr>
            <w:tcW w:w="1603" w:type="dxa"/>
            <w:tcBorders>
              <w:top w:val="nil"/>
              <w:left w:val="nil"/>
              <w:bottom w:val="single" w:sz="4" w:space="0" w:color="000000"/>
              <w:right w:val="single" w:sz="4" w:space="0" w:color="000000"/>
            </w:tcBorders>
            <w:shd w:val="clear" w:color="auto" w:fill="F2F2F2"/>
            <w:vAlign w:val="center"/>
          </w:tcPr>
          <w:p w14:paraId="6413CF47" w14:textId="77777777" w:rsidR="00866B7D" w:rsidRPr="00175D8B" w:rsidRDefault="00866B7D" w:rsidP="00866B7D">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Endemic of Türkiye</w:t>
            </w:r>
          </w:p>
        </w:tc>
        <w:tc>
          <w:tcPr>
            <w:tcW w:w="2467" w:type="dxa"/>
            <w:tcBorders>
              <w:top w:val="nil"/>
              <w:left w:val="nil"/>
              <w:bottom w:val="single" w:sz="4" w:space="0" w:color="000000"/>
              <w:right w:val="single" w:sz="4" w:space="0" w:color="000000"/>
            </w:tcBorders>
            <w:shd w:val="clear" w:color="auto" w:fill="F2F2F2"/>
            <w:vAlign w:val="center"/>
          </w:tcPr>
          <w:p w14:paraId="6703BE58" w14:textId="77777777" w:rsidR="00866B7D" w:rsidRPr="00175D8B" w:rsidRDefault="00866B7D" w:rsidP="00866B7D">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Sakarya (Karasu, Kaynarca), Kocaeli (Karamürsel) Istanbul (Çatalca)</w:t>
            </w:r>
          </w:p>
        </w:tc>
        <w:tc>
          <w:tcPr>
            <w:tcW w:w="2030" w:type="dxa"/>
            <w:tcBorders>
              <w:top w:val="nil"/>
              <w:left w:val="nil"/>
              <w:bottom w:val="single" w:sz="4" w:space="0" w:color="000000"/>
              <w:right w:val="single" w:sz="4" w:space="0" w:color="000000"/>
            </w:tcBorders>
            <w:shd w:val="clear" w:color="auto" w:fill="F2F2F2"/>
            <w:vAlign w:val="center"/>
          </w:tcPr>
          <w:p w14:paraId="15AA10DC" w14:textId="77777777" w:rsidR="00866B7D" w:rsidRPr="00175D8B" w:rsidRDefault="00866B7D" w:rsidP="00866B7D">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In Forest Clearings – Sensitive Habitat</w:t>
            </w:r>
          </w:p>
        </w:tc>
      </w:tr>
      <w:tr w:rsidR="00866B7D" w:rsidRPr="00175D8B" w14:paraId="451FCF4F" w14:textId="77777777" w:rsidTr="00DF417A">
        <w:trPr>
          <w:trHeight w:val="303"/>
          <w:jc w:val="center"/>
        </w:trPr>
        <w:tc>
          <w:tcPr>
            <w:tcW w:w="1506" w:type="dxa"/>
            <w:tcBorders>
              <w:top w:val="nil"/>
              <w:left w:val="single" w:sz="4" w:space="0" w:color="000000"/>
              <w:bottom w:val="single" w:sz="4" w:space="0" w:color="000000"/>
              <w:right w:val="single" w:sz="4" w:space="0" w:color="000000"/>
            </w:tcBorders>
            <w:shd w:val="clear" w:color="auto" w:fill="F2F2F2"/>
            <w:vAlign w:val="center"/>
          </w:tcPr>
          <w:p w14:paraId="445193DF" w14:textId="77777777" w:rsidR="00866B7D" w:rsidRPr="00175D8B" w:rsidRDefault="00866B7D" w:rsidP="00866B7D">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Silene Sangaria</w:t>
            </w:r>
          </w:p>
        </w:tc>
        <w:tc>
          <w:tcPr>
            <w:tcW w:w="1466" w:type="dxa"/>
            <w:tcBorders>
              <w:top w:val="nil"/>
              <w:left w:val="nil"/>
              <w:bottom w:val="single" w:sz="4" w:space="0" w:color="000000"/>
              <w:right w:val="single" w:sz="4" w:space="0" w:color="000000"/>
            </w:tcBorders>
            <w:shd w:val="clear" w:color="auto" w:fill="F2F2F2"/>
            <w:vAlign w:val="center"/>
          </w:tcPr>
          <w:p w14:paraId="08A2A57C" w14:textId="1BB63FD8" w:rsidR="00866B7D" w:rsidRPr="00175D8B" w:rsidRDefault="00866B7D" w:rsidP="00866B7D">
            <w:pPr>
              <w:spacing w:before="120" w:after="0" w:line="276" w:lineRule="auto"/>
              <w:jc w:val="center"/>
              <w:rPr>
                <w:rFonts w:eastAsia="Aptos" w:cs="Aptos"/>
                <w:color w:val="000000" w:themeColor="text1"/>
                <w:sz w:val="20"/>
                <w:szCs w:val="20"/>
              </w:rPr>
            </w:pPr>
            <w:r w:rsidRPr="00175D8B">
              <w:rPr>
                <w:sz w:val="20"/>
                <w:szCs w:val="20"/>
              </w:rPr>
              <w:t>Karadeniz Salkımı</w:t>
            </w:r>
          </w:p>
        </w:tc>
        <w:tc>
          <w:tcPr>
            <w:tcW w:w="1603" w:type="dxa"/>
            <w:tcBorders>
              <w:top w:val="nil"/>
              <w:left w:val="nil"/>
              <w:bottom w:val="single" w:sz="4" w:space="0" w:color="000000"/>
              <w:right w:val="single" w:sz="4" w:space="0" w:color="000000"/>
            </w:tcBorders>
            <w:shd w:val="clear" w:color="auto" w:fill="F2F2F2"/>
            <w:vAlign w:val="center"/>
          </w:tcPr>
          <w:p w14:paraId="62B346DC" w14:textId="77777777" w:rsidR="00866B7D" w:rsidRPr="00175D8B" w:rsidRDefault="00866B7D" w:rsidP="00866B7D">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Endemic of Türkiye</w:t>
            </w:r>
          </w:p>
        </w:tc>
        <w:tc>
          <w:tcPr>
            <w:tcW w:w="2467" w:type="dxa"/>
            <w:tcBorders>
              <w:top w:val="nil"/>
              <w:left w:val="nil"/>
              <w:bottom w:val="single" w:sz="4" w:space="0" w:color="000000"/>
              <w:right w:val="single" w:sz="4" w:space="0" w:color="000000"/>
            </w:tcBorders>
            <w:shd w:val="clear" w:color="auto" w:fill="F2F2F2"/>
            <w:vAlign w:val="center"/>
          </w:tcPr>
          <w:p w14:paraId="12B24456" w14:textId="77777777" w:rsidR="00866B7D" w:rsidRPr="00175D8B" w:rsidRDefault="00866B7D" w:rsidP="00866B7D">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Sakarya (Geyve, Akyazı, Karasu), Istanbul (Sarıyer – Kilyos)</w:t>
            </w:r>
          </w:p>
        </w:tc>
        <w:tc>
          <w:tcPr>
            <w:tcW w:w="2030" w:type="dxa"/>
            <w:tcBorders>
              <w:top w:val="nil"/>
              <w:left w:val="nil"/>
              <w:bottom w:val="single" w:sz="4" w:space="0" w:color="000000"/>
              <w:right w:val="single" w:sz="4" w:space="0" w:color="000000"/>
            </w:tcBorders>
            <w:shd w:val="clear" w:color="auto" w:fill="F2F2F2"/>
            <w:vAlign w:val="center"/>
          </w:tcPr>
          <w:p w14:paraId="5BF4459F" w14:textId="77777777" w:rsidR="00866B7D" w:rsidRPr="00175D8B" w:rsidRDefault="00866B7D" w:rsidP="00866B7D">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Local endemic – Potentially threatened</w:t>
            </w:r>
          </w:p>
        </w:tc>
      </w:tr>
    </w:tbl>
    <w:p w14:paraId="7060EEC6" w14:textId="77777777" w:rsidR="007225DF" w:rsidRPr="00175D8B" w:rsidRDefault="007225DF" w:rsidP="007225DF">
      <w:pPr>
        <w:keepNext/>
        <w:pBdr>
          <w:top w:val="nil"/>
          <w:left w:val="nil"/>
          <w:bottom w:val="nil"/>
          <w:right w:val="nil"/>
          <w:between w:val="nil"/>
        </w:pBdr>
        <w:spacing w:before="120" w:after="200" w:line="240" w:lineRule="auto"/>
        <w:ind w:left="360"/>
        <w:contextualSpacing/>
        <w:jc w:val="center"/>
        <w:rPr>
          <w:rFonts w:eastAsia="Aptos" w:cs="Aptos"/>
          <w:color w:val="000000" w:themeColor="text1"/>
          <w:szCs w:val="22"/>
        </w:rPr>
      </w:pPr>
      <w:r w:rsidRPr="00175D8B">
        <w:rPr>
          <w:rFonts w:eastAsia="Aptos" w:cs="Aptos"/>
          <w:b/>
          <w:i/>
          <w:color w:val="000000"/>
          <w:sz w:val="18"/>
          <w:szCs w:val="18"/>
        </w:rPr>
        <w:t xml:space="preserve">Source: </w:t>
      </w:r>
      <w:r w:rsidRPr="00175D8B">
        <w:rPr>
          <w:rFonts w:eastAsia="Aptos" w:cs="Aptos"/>
          <w:i/>
          <w:color w:val="000000" w:themeColor="text1"/>
          <w:sz w:val="18"/>
          <w:szCs w:val="18"/>
        </w:rPr>
        <w:t>Nature Association, Sakarya Delta</w:t>
      </w:r>
    </w:p>
    <w:p w14:paraId="5F800A5A" w14:textId="77777777" w:rsidR="007225DF" w:rsidRPr="00175D8B" w:rsidRDefault="007225DF" w:rsidP="00836F29">
      <w:pPr>
        <w:spacing w:before="120" w:after="0"/>
        <w:rPr>
          <w:rFonts w:eastAsia="Aptos" w:cs="Aptos"/>
          <w:color w:val="000000" w:themeColor="text1"/>
          <w:szCs w:val="22"/>
        </w:rPr>
      </w:pPr>
    </w:p>
    <w:p w14:paraId="66C3A3DB" w14:textId="43E888FE" w:rsidR="004E15CE" w:rsidRPr="00175D8B" w:rsidRDefault="004E15CE" w:rsidP="002550A6">
      <w:pPr>
        <w:pStyle w:val="Balk4"/>
        <w:numPr>
          <w:ilvl w:val="3"/>
          <w:numId w:val="152"/>
        </w:numPr>
        <w:rPr>
          <w:color w:val="auto"/>
        </w:rPr>
      </w:pPr>
      <w:bookmarkStart w:id="122" w:name="_Toc209708086"/>
      <w:bookmarkStart w:id="123" w:name="_Toc212541862"/>
      <w:bookmarkStart w:id="124" w:name="_Toc212542373"/>
      <w:r w:rsidRPr="00175D8B">
        <w:rPr>
          <w:b/>
          <w:color w:val="auto"/>
        </w:rPr>
        <w:t>Fauna</w:t>
      </w:r>
      <w:bookmarkEnd w:id="122"/>
      <w:bookmarkEnd w:id="123"/>
      <w:bookmarkEnd w:id="124"/>
    </w:p>
    <w:p w14:paraId="41DCF244" w14:textId="77777777" w:rsidR="00585084" w:rsidRPr="00175D8B" w:rsidRDefault="00585084" w:rsidP="00585084">
      <w:r w:rsidRPr="00175D8B">
        <w:t>As a result of the literature reviews and field observations conducted in Sakarya province, the species diversity of various fauna groups, including mammals, birds, inland fish, reptiles, and amphibians, has been thoroughly documented. In terms of mammal species, a total of 57 species have been recorded in the literature, of which 44 have been directly identified during field studies. In terms of bird species, 1 out of 197 species recorded in the literature is endemic. A total of 207 bird species were observed through field studies, 21 of which were newly recorded. As a result, the number of bird species in the province reached 218. In this context, the endemism rate for birds was calculated to be 0.40%.</w:t>
      </w:r>
    </w:p>
    <w:p w14:paraId="5447022E" w14:textId="56FEB4F8" w:rsidR="00585084" w:rsidRPr="00175D8B" w:rsidRDefault="00585084" w:rsidP="00585084">
      <w:r w:rsidRPr="00175D8B">
        <w:t xml:space="preserve">In terms of </w:t>
      </w:r>
      <w:r w:rsidR="005E7DD8" w:rsidRPr="00175D8B">
        <w:t xml:space="preserve">freshwater </w:t>
      </w:r>
      <w:r w:rsidRPr="00175D8B">
        <w:t xml:space="preserve">fish, Sakarya province exhibits significant biological diversity. A total of 42 species are registered in the literature, 1 of which is endemic. Through field studies, 37 species were identified, and 6 of these species were determined to be endemic. Additionally, with the registration of 2 new species, the total number of </w:t>
      </w:r>
      <w:r w:rsidR="005E7DD8" w:rsidRPr="00175D8B">
        <w:t>freshwater</w:t>
      </w:r>
      <w:r w:rsidRPr="00175D8B">
        <w:t xml:space="preserve"> fish species increased to 44, and the endemism rate in this group reached a remarkable 15.90%. In the reptile group, a total of 28 species were identified in the province, 21 of which were observed in field studies, and 7 were based on literature records. One of these species was found to be endemic, and the rate of endemism in reptiles was determined to be 3.57%.</w:t>
      </w:r>
    </w:p>
    <w:p w14:paraId="1768833E" w14:textId="3AF649B7" w:rsidR="00087173" w:rsidRPr="00175D8B" w:rsidRDefault="00585084" w:rsidP="00585084">
      <w:r w:rsidRPr="00175D8B">
        <w:lastRenderedPageBreak/>
        <w:t>There are 10 species recorded in the literature regarding amphibians, 9 of which have been confirmed through field studies, and 1 species was added as a new record. As a result, the total number of amphibian species in Sakarya increased to 11. All these findings reveal that Sakarya province has a rich and diverse fauna structure. They also demonstrate the province's remarkable ecological importance, especially due to its high endemism rates, particularly in inland fish and reptiles.</w:t>
      </w:r>
      <w:r w:rsidR="00087173" w:rsidRPr="00175D8B">
        <w:rPr>
          <w:vertAlign w:val="superscript"/>
        </w:rPr>
        <w:footnoteReference w:id="12"/>
      </w:r>
    </w:p>
    <w:p w14:paraId="5AC1726B" w14:textId="5DA266E2" w:rsidR="00D80A2F" w:rsidRPr="00175D8B" w:rsidRDefault="00B70F83" w:rsidP="002550A6">
      <w:pPr>
        <w:pStyle w:val="Balk3"/>
        <w:numPr>
          <w:ilvl w:val="2"/>
          <w:numId w:val="152"/>
        </w:numPr>
      </w:pPr>
      <w:bookmarkStart w:id="125" w:name="_Toc212541863"/>
      <w:bookmarkStart w:id="126" w:name="_Toc212542374"/>
      <w:bookmarkStart w:id="127" w:name="_Toc220672783"/>
      <w:r w:rsidRPr="00175D8B">
        <w:t>Protected Nature</w:t>
      </w:r>
      <w:bookmarkEnd w:id="125"/>
      <w:bookmarkEnd w:id="126"/>
      <w:bookmarkEnd w:id="127"/>
    </w:p>
    <w:p w14:paraId="0E823914" w14:textId="6E6816BD" w:rsidR="00E31D51" w:rsidRPr="00175D8B" w:rsidRDefault="00E31D51" w:rsidP="006C58C5">
      <w:pPr>
        <w:rPr>
          <w:rFonts w:eastAsia="Aptos" w:cs="Aptos"/>
          <w:i/>
          <w:iCs/>
          <w:color w:val="000000" w:themeColor="text1"/>
          <w:sz w:val="20"/>
          <w:szCs w:val="20"/>
        </w:rPr>
      </w:pPr>
      <w:bookmarkStart w:id="128" w:name="_heading=h.lbo2izhn9tla" w:colFirst="0" w:colLast="0"/>
      <w:bookmarkEnd w:id="128"/>
      <w:r w:rsidRPr="00175D8B">
        <w:t xml:space="preserve">Information on internationally recognized areas is presented in </w:t>
      </w:r>
      <w:r w:rsidR="00A62E69" w:rsidRPr="00A62E69">
        <w:fldChar w:fldCharType="begin"/>
      </w:r>
      <w:r w:rsidR="00A62E69" w:rsidRPr="00A62E69">
        <w:instrText xml:space="preserve"> REF _Ref214633285 \h  \* MERGEFORMAT </w:instrText>
      </w:r>
      <w:r w:rsidR="00A62E69" w:rsidRPr="00A62E69">
        <w:fldChar w:fldCharType="separate"/>
      </w:r>
      <w:r w:rsidR="00A62E69" w:rsidRPr="00A62E69">
        <w:rPr>
          <w:sz w:val="20"/>
          <w:szCs w:val="22"/>
        </w:rPr>
        <w:t xml:space="preserve">Table </w:t>
      </w:r>
      <w:r w:rsidR="00A62E69" w:rsidRPr="00A62E69">
        <w:rPr>
          <w:noProof/>
          <w:sz w:val="20"/>
          <w:szCs w:val="22"/>
        </w:rPr>
        <w:t>9</w:t>
      </w:r>
      <w:r w:rsidR="00A62E69" w:rsidRPr="00A62E69">
        <w:fldChar w:fldCharType="end"/>
      </w:r>
      <w:r w:rsidRPr="00A62E69">
        <w:t>,</w:t>
      </w:r>
      <w:r w:rsidRPr="00175D8B">
        <w:t xml:space="preserve"> along with the province and relevant trigger species information:</w:t>
      </w:r>
    </w:p>
    <w:p w14:paraId="109057F1" w14:textId="15610099" w:rsidR="00F94756" w:rsidRPr="006C58C5" w:rsidRDefault="00F94756" w:rsidP="006C58C5">
      <w:pPr>
        <w:keepNext/>
        <w:spacing w:before="120" w:after="200" w:line="278" w:lineRule="auto"/>
        <w:jc w:val="center"/>
        <w:rPr>
          <w:rFonts w:eastAsia="Aptos" w:cs="Aptos"/>
          <w:i/>
          <w:iCs/>
          <w:color w:val="000000" w:themeColor="text1"/>
          <w:sz w:val="20"/>
          <w:szCs w:val="20"/>
        </w:rPr>
      </w:pPr>
      <w:bookmarkStart w:id="129" w:name="_Ref214633285"/>
      <w:bookmarkStart w:id="130" w:name="_Toc216344426"/>
      <w:r w:rsidRPr="006C58C5">
        <w:rPr>
          <w:b/>
          <w:bCs/>
          <w:i/>
          <w:iCs/>
          <w:sz w:val="20"/>
          <w:szCs w:val="22"/>
        </w:rPr>
        <w:t xml:space="preserve">Table </w:t>
      </w:r>
      <w:r w:rsidRPr="006C58C5">
        <w:rPr>
          <w:b/>
          <w:bCs/>
          <w:i/>
          <w:iCs/>
          <w:sz w:val="20"/>
          <w:szCs w:val="22"/>
        </w:rPr>
        <w:fldChar w:fldCharType="begin"/>
      </w:r>
      <w:r w:rsidRPr="006C58C5">
        <w:rPr>
          <w:b/>
          <w:bCs/>
          <w:i/>
          <w:iCs/>
          <w:sz w:val="20"/>
          <w:szCs w:val="22"/>
        </w:rPr>
        <w:instrText xml:space="preserve"> SEQ Table \* ARABIC </w:instrText>
      </w:r>
      <w:r w:rsidRPr="006C58C5">
        <w:rPr>
          <w:b/>
          <w:bCs/>
          <w:i/>
          <w:iCs/>
          <w:sz w:val="20"/>
          <w:szCs w:val="22"/>
        </w:rPr>
        <w:fldChar w:fldCharType="separate"/>
      </w:r>
      <w:r w:rsidR="00FE5FDE" w:rsidRPr="00175D8B">
        <w:rPr>
          <w:b/>
          <w:bCs/>
          <w:i/>
          <w:iCs/>
          <w:noProof/>
          <w:sz w:val="20"/>
          <w:szCs w:val="22"/>
        </w:rPr>
        <w:t>9</w:t>
      </w:r>
      <w:r w:rsidRPr="006C58C5">
        <w:rPr>
          <w:b/>
          <w:bCs/>
          <w:i/>
          <w:iCs/>
          <w:sz w:val="20"/>
          <w:szCs w:val="22"/>
        </w:rPr>
        <w:fldChar w:fldCharType="end"/>
      </w:r>
      <w:bookmarkEnd w:id="129"/>
      <w:r w:rsidR="006D791E" w:rsidRPr="006C58C5">
        <w:rPr>
          <w:b/>
          <w:bCs/>
          <w:i/>
          <w:iCs/>
          <w:sz w:val="20"/>
          <w:szCs w:val="22"/>
        </w:rPr>
        <w:t>:</w:t>
      </w:r>
      <w:r w:rsidRPr="006C58C5">
        <w:rPr>
          <w:sz w:val="20"/>
          <w:szCs w:val="22"/>
        </w:rPr>
        <w:t xml:space="preserve"> </w:t>
      </w:r>
      <w:r w:rsidRPr="00175D8B">
        <w:rPr>
          <w:rFonts w:eastAsia="Aptos" w:cs="Aptos"/>
          <w:i/>
          <w:color w:val="000000"/>
          <w:sz w:val="20"/>
          <w:szCs w:val="20"/>
        </w:rPr>
        <w:t>Internationally Recognized Areas in Provinces and Related Trigger Types</w:t>
      </w:r>
      <w:bookmarkEnd w:id="130"/>
    </w:p>
    <w:tbl>
      <w:tblPr>
        <w:tblW w:w="9072" w:type="dxa"/>
        <w:jc w:val="center"/>
        <w:tblLayout w:type="fixed"/>
        <w:tblLook w:val="0400" w:firstRow="0" w:lastRow="0" w:firstColumn="0" w:lastColumn="0" w:noHBand="0" w:noVBand="1"/>
      </w:tblPr>
      <w:tblGrid>
        <w:gridCol w:w="972"/>
        <w:gridCol w:w="1433"/>
        <w:gridCol w:w="1330"/>
        <w:gridCol w:w="1779"/>
        <w:gridCol w:w="1779"/>
        <w:gridCol w:w="1779"/>
      </w:tblGrid>
      <w:tr w:rsidR="00E31D51" w:rsidRPr="00175D8B" w14:paraId="17145F71" w14:textId="77777777" w:rsidTr="00DF417A">
        <w:trPr>
          <w:trHeight w:val="338"/>
          <w:tblHeader/>
          <w:jc w:val="center"/>
        </w:trPr>
        <w:tc>
          <w:tcPr>
            <w:tcW w:w="972" w:type="dxa"/>
            <w:vMerge w:val="restart"/>
            <w:tcBorders>
              <w:top w:val="single" w:sz="4" w:space="0" w:color="000000"/>
              <w:left w:val="single" w:sz="4" w:space="0" w:color="000000"/>
              <w:bottom w:val="single" w:sz="4" w:space="0" w:color="000000"/>
              <w:right w:val="single" w:sz="4" w:space="0" w:color="000000"/>
            </w:tcBorders>
            <w:shd w:val="clear" w:color="auto" w:fill="ABB7C1"/>
            <w:vAlign w:val="center"/>
          </w:tcPr>
          <w:p w14:paraId="34D4784D" w14:textId="77777777" w:rsidR="00E31D51" w:rsidRPr="00175D8B" w:rsidRDefault="00E31D51" w:rsidP="00E31D51">
            <w:pPr>
              <w:spacing w:before="120" w:after="0" w:line="276" w:lineRule="auto"/>
              <w:jc w:val="center"/>
              <w:rPr>
                <w:rFonts w:eastAsia="Aptos" w:cs="Aptos"/>
                <w:b/>
                <w:color w:val="000000"/>
                <w:sz w:val="18"/>
                <w:szCs w:val="18"/>
              </w:rPr>
            </w:pPr>
            <w:r w:rsidRPr="00175D8B">
              <w:rPr>
                <w:rFonts w:eastAsia="Aptos" w:cs="Aptos"/>
                <w:b/>
                <w:color w:val="000000"/>
                <w:sz w:val="18"/>
                <w:szCs w:val="18"/>
              </w:rPr>
              <w:t>Province</w:t>
            </w:r>
          </w:p>
        </w:tc>
        <w:tc>
          <w:tcPr>
            <w:tcW w:w="1433" w:type="dxa"/>
            <w:vMerge w:val="restart"/>
            <w:tcBorders>
              <w:top w:val="single" w:sz="4" w:space="0" w:color="000000"/>
              <w:left w:val="single" w:sz="4" w:space="0" w:color="000000"/>
              <w:bottom w:val="single" w:sz="4" w:space="0" w:color="000000"/>
              <w:right w:val="single" w:sz="4" w:space="0" w:color="000000"/>
            </w:tcBorders>
            <w:shd w:val="clear" w:color="auto" w:fill="ABB7C1"/>
            <w:vAlign w:val="center"/>
          </w:tcPr>
          <w:p w14:paraId="5617F91D" w14:textId="77777777" w:rsidR="00E31D51" w:rsidRPr="00175D8B" w:rsidRDefault="00E31D51" w:rsidP="00E31D51">
            <w:pPr>
              <w:spacing w:before="120" w:after="0" w:line="276" w:lineRule="auto"/>
              <w:jc w:val="center"/>
              <w:rPr>
                <w:rFonts w:eastAsia="Aptos" w:cs="Aptos"/>
                <w:b/>
                <w:color w:val="000000"/>
                <w:sz w:val="18"/>
                <w:szCs w:val="18"/>
              </w:rPr>
            </w:pPr>
            <w:r w:rsidRPr="00175D8B">
              <w:rPr>
                <w:rFonts w:eastAsia="Aptos" w:cs="Aptos"/>
                <w:b/>
                <w:color w:val="000000"/>
                <w:sz w:val="18"/>
                <w:szCs w:val="18"/>
              </w:rPr>
              <w:t>Internationally Recognized Area</w:t>
            </w: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ABB7C1"/>
            <w:vAlign w:val="center"/>
          </w:tcPr>
          <w:p w14:paraId="70BCB0E3" w14:textId="77777777" w:rsidR="00E31D51" w:rsidRPr="00175D8B" w:rsidRDefault="00E31D51" w:rsidP="00E31D51">
            <w:pPr>
              <w:spacing w:before="120" w:after="0" w:line="276" w:lineRule="auto"/>
              <w:jc w:val="center"/>
              <w:rPr>
                <w:rFonts w:eastAsia="Aptos" w:cs="Aptos"/>
                <w:b/>
                <w:color w:val="000000"/>
                <w:sz w:val="18"/>
                <w:szCs w:val="18"/>
              </w:rPr>
            </w:pPr>
            <w:r w:rsidRPr="00175D8B">
              <w:rPr>
                <w:rFonts w:eastAsia="Aptos" w:cs="Aptos"/>
                <w:b/>
                <w:color w:val="000000"/>
                <w:sz w:val="18"/>
                <w:szCs w:val="18"/>
              </w:rPr>
              <w:t>Trigger Types</w:t>
            </w:r>
          </w:p>
        </w:tc>
        <w:tc>
          <w:tcPr>
            <w:tcW w:w="5337" w:type="dxa"/>
            <w:gridSpan w:val="3"/>
            <w:tcBorders>
              <w:top w:val="single" w:sz="4" w:space="0" w:color="000000"/>
              <w:left w:val="nil"/>
              <w:bottom w:val="single" w:sz="4" w:space="0" w:color="000000"/>
              <w:right w:val="single" w:sz="4" w:space="0" w:color="000000"/>
            </w:tcBorders>
            <w:shd w:val="clear" w:color="auto" w:fill="ABB7C1"/>
            <w:vAlign w:val="center"/>
          </w:tcPr>
          <w:p w14:paraId="11DAEF20" w14:textId="77777777" w:rsidR="00E31D51" w:rsidRPr="00175D8B" w:rsidRDefault="00E31D51" w:rsidP="00E31D51">
            <w:pPr>
              <w:spacing w:before="120" w:after="0" w:line="276" w:lineRule="auto"/>
              <w:jc w:val="center"/>
              <w:rPr>
                <w:rFonts w:eastAsia="Aptos" w:cs="Aptos"/>
                <w:b/>
                <w:color w:val="000000"/>
                <w:sz w:val="18"/>
                <w:szCs w:val="18"/>
              </w:rPr>
            </w:pPr>
            <w:r w:rsidRPr="00175D8B">
              <w:rPr>
                <w:rFonts w:eastAsia="Aptos" w:cs="Aptos"/>
                <w:b/>
                <w:color w:val="000000"/>
                <w:sz w:val="18"/>
                <w:szCs w:val="18"/>
              </w:rPr>
              <w:t>Threats</w:t>
            </w:r>
          </w:p>
        </w:tc>
      </w:tr>
      <w:tr w:rsidR="00E31D51" w:rsidRPr="00175D8B" w14:paraId="6BD73750" w14:textId="77777777" w:rsidTr="00DF417A">
        <w:trPr>
          <w:trHeight w:val="338"/>
          <w:tblHeader/>
          <w:jc w:val="center"/>
        </w:trPr>
        <w:tc>
          <w:tcPr>
            <w:tcW w:w="972" w:type="dxa"/>
            <w:vMerge/>
            <w:tcBorders>
              <w:top w:val="single" w:sz="4" w:space="0" w:color="000000"/>
              <w:left w:val="single" w:sz="4" w:space="0" w:color="000000"/>
              <w:bottom w:val="single" w:sz="4" w:space="0" w:color="000000"/>
              <w:right w:val="single" w:sz="4" w:space="0" w:color="000000"/>
            </w:tcBorders>
            <w:shd w:val="clear" w:color="auto" w:fill="ABB7C1"/>
            <w:vAlign w:val="center"/>
          </w:tcPr>
          <w:p w14:paraId="039E2A1A" w14:textId="77777777" w:rsidR="00E31D51" w:rsidRPr="00175D8B" w:rsidRDefault="00E31D51" w:rsidP="00E31D51">
            <w:pPr>
              <w:widowControl w:val="0"/>
              <w:pBdr>
                <w:top w:val="nil"/>
                <w:left w:val="nil"/>
                <w:bottom w:val="nil"/>
                <w:right w:val="nil"/>
                <w:between w:val="nil"/>
              </w:pBdr>
              <w:spacing w:before="120" w:after="0" w:line="276" w:lineRule="auto"/>
              <w:jc w:val="center"/>
              <w:rPr>
                <w:rFonts w:eastAsia="Aptos" w:cs="Aptos"/>
                <w:b/>
                <w:color w:val="000000"/>
                <w:sz w:val="18"/>
                <w:szCs w:val="18"/>
              </w:rPr>
            </w:pPr>
          </w:p>
        </w:tc>
        <w:tc>
          <w:tcPr>
            <w:tcW w:w="1433" w:type="dxa"/>
            <w:vMerge/>
            <w:tcBorders>
              <w:top w:val="single" w:sz="4" w:space="0" w:color="000000"/>
              <w:left w:val="single" w:sz="4" w:space="0" w:color="000000"/>
              <w:bottom w:val="single" w:sz="4" w:space="0" w:color="000000"/>
              <w:right w:val="single" w:sz="4" w:space="0" w:color="000000"/>
            </w:tcBorders>
            <w:shd w:val="clear" w:color="auto" w:fill="ABB7C1"/>
            <w:vAlign w:val="center"/>
          </w:tcPr>
          <w:p w14:paraId="65C1D5D3" w14:textId="77777777" w:rsidR="00E31D51" w:rsidRPr="00175D8B" w:rsidRDefault="00E31D51" w:rsidP="00E31D51">
            <w:pPr>
              <w:widowControl w:val="0"/>
              <w:pBdr>
                <w:top w:val="nil"/>
                <w:left w:val="nil"/>
                <w:bottom w:val="nil"/>
                <w:right w:val="nil"/>
                <w:between w:val="nil"/>
              </w:pBdr>
              <w:spacing w:before="120" w:after="0" w:line="276" w:lineRule="auto"/>
              <w:jc w:val="center"/>
              <w:rPr>
                <w:rFonts w:eastAsia="Aptos" w:cs="Aptos"/>
                <w:b/>
                <w:color w:val="000000"/>
                <w:sz w:val="18"/>
                <w:szCs w:val="18"/>
              </w:rPr>
            </w:pPr>
          </w:p>
        </w:tc>
        <w:tc>
          <w:tcPr>
            <w:tcW w:w="1330" w:type="dxa"/>
            <w:vMerge/>
            <w:tcBorders>
              <w:top w:val="single" w:sz="4" w:space="0" w:color="000000"/>
              <w:left w:val="single" w:sz="4" w:space="0" w:color="000000"/>
              <w:bottom w:val="single" w:sz="4" w:space="0" w:color="000000"/>
              <w:right w:val="single" w:sz="4" w:space="0" w:color="000000"/>
            </w:tcBorders>
            <w:shd w:val="clear" w:color="auto" w:fill="ABB7C1"/>
            <w:vAlign w:val="center"/>
          </w:tcPr>
          <w:p w14:paraId="5834EA33" w14:textId="77777777" w:rsidR="00E31D51" w:rsidRPr="00175D8B" w:rsidRDefault="00E31D51" w:rsidP="00E31D51">
            <w:pPr>
              <w:widowControl w:val="0"/>
              <w:pBdr>
                <w:top w:val="nil"/>
                <w:left w:val="nil"/>
                <w:bottom w:val="nil"/>
                <w:right w:val="nil"/>
                <w:between w:val="nil"/>
              </w:pBdr>
              <w:spacing w:before="120" w:after="0" w:line="276" w:lineRule="auto"/>
              <w:jc w:val="left"/>
              <w:rPr>
                <w:rFonts w:eastAsia="Aptos" w:cs="Aptos"/>
                <w:b/>
                <w:color w:val="000000"/>
                <w:sz w:val="18"/>
                <w:szCs w:val="18"/>
              </w:rPr>
            </w:pPr>
          </w:p>
        </w:tc>
        <w:tc>
          <w:tcPr>
            <w:tcW w:w="1779" w:type="dxa"/>
            <w:tcBorders>
              <w:top w:val="nil"/>
              <w:left w:val="nil"/>
              <w:bottom w:val="single" w:sz="4" w:space="0" w:color="000000"/>
              <w:right w:val="single" w:sz="4" w:space="0" w:color="000000"/>
            </w:tcBorders>
            <w:shd w:val="clear" w:color="auto" w:fill="ABB7C1"/>
            <w:vAlign w:val="center"/>
          </w:tcPr>
          <w:p w14:paraId="01098B9C" w14:textId="77777777" w:rsidR="00E31D51" w:rsidRPr="00175D8B" w:rsidRDefault="00E31D51" w:rsidP="00E31D51">
            <w:pPr>
              <w:spacing w:before="120" w:after="0" w:line="276" w:lineRule="auto"/>
              <w:jc w:val="center"/>
              <w:rPr>
                <w:rFonts w:eastAsia="Aptos" w:cs="Aptos"/>
                <w:b/>
                <w:color w:val="000000"/>
                <w:sz w:val="18"/>
                <w:szCs w:val="18"/>
              </w:rPr>
            </w:pPr>
            <w:r w:rsidRPr="00175D8B">
              <w:rPr>
                <w:rFonts w:eastAsia="Aptos" w:cs="Aptos"/>
                <w:b/>
                <w:color w:val="000000"/>
                <w:sz w:val="18"/>
                <w:szCs w:val="18"/>
              </w:rPr>
              <w:t>Grade 1 Threats</w:t>
            </w:r>
          </w:p>
        </w:tc>
        <w:tc>
          <w:tcPr>
            <w:tcW w:w="1779" w:type="dxa"/>
            <w:tcBorders>
              <w:top w:val="nil"/>
              <w:left w:val="nil"/>
              <w:bottom w:val="single" w:sz="4" w:space="0" w:color="000000"/>
              <w:right w:val="single" w:sz="4" w:space="0" w:color="000000"/>
            </w:tcBorders>
            <w:shd w:val="clear" w:color="auto" w:fill="ABB7C1"/>
            <w:vAlign w:val="center"/>
          </w:tcPr>
          <w:p w14:paraId="663D946B" w14:textId="77777777" w:rsidR="00E31D51" w:rsidRPr="00175D8B" w:rsidRDefault="00E31D51" w:rsidP="00E31D51">
            <w:pPr>
              <w:spacing w:before="120" w:after="0" w:line="276" w:lineRule="auto"/>
              <w:jc w:val="center"/>
              <w:rPr>
                <w:rFonts w:eastAsia="Aptos" w:cs="Aptos"/>
                <w:b/>
                <w:color w:val="000000"/>
                <w:sz w:val="18"/>
                <w:szCs w:val="18"/>
              </w:rPr>
            </w:pPr>
            <w:r w:rsidRPr="00175D8B">
              <w:rPr>
                <w:rFonts w:eastAsia="Aptos" w:cs="Aptos"/>
                <w:b/>
                <w:color w:val="000000"/>
                <w:sz w:val="18"/>
                <w:szCs w:val="18"/>
              </w:rPr>
              <w:t>Grade 2 Threats</w:t>
            </w:r>
          </w:p>
        </w:tc>
        <w:tc>
          <w:tcPr>
            <w:tcW w:w="1779" w:type="dxa"/>
            <w:tcBorders>
              <w:top w:val="nil"/>
              <w:left w:val="nil"/>
              <w:bottom w:val="single" w:sz="4" w:space="0" w:color="000000"/>
              <w:right w:val="single" w:sz="4" w:space="0" w:color="000000"/>
            </w:tcBorders>
            <w:shd w:val="clear" w:color="auto" w:fill="ABB7C1"/>
            <w:vAlign w:val="center"/>
          </w:tcPr>
          <w:p w14:paraId="6373C847" w14:textId="77777777" w:rsidR="00E31D51" w:rsidRPr="00175D8B" w:rsidRDefault="00E31D51" w:rsidP="00E31D51">
            <w:pPr>
              <w:spacing w:before="120" w:after="0" w:line="276" w:lineRule="auto"/>
              <w:jc w:val="center"/>
              <w:rPr>
                <w:rFonts w:eastAsia="Aptos" w:cs="Aptos"/>
                <w:b/>
                <w:color w:val="000000"/>
                <w:sz w:val="18"/>
                <w:szCs w:val="18"/>
              </w:rPr>
            </w:pPr>
            <w:r w:rsidRPr="00175D8B">
              <w:rPr>
                <w:rFonts w:eastAsia="Aptos" w:cs="Aptos"/>
                <w:b/>
                <w:color w:val="000000"/>
                <w:sz w:val="18"/>
                <w:szCs w:val="18"/>
              </w:rPr>
              <w:t>Grade 3 Threats</w:t>
            </w:r>
          </w:p>
        </w:tc>
      </w:tr>
      <w:tr w:rsidR="00E31D51" w:rsidRPr="00175D8B" w14:paraId="1D73315D" w14:textId="77777777" w:rsidTr="00DF417A">
        <w:trPr>
          <w:trHeight w:val="338"/>
          <w:jc w:val="center"/>
        </w:trPr>
        <w:tc>
          <w:tcPr>
            <w:tcW w:w="9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71EB01"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Sakarya- Kocaeli</w:t>
            </w:r>
          </w:p>
        </w:tc>
        <w:tc>
          <w:tcPr>
            <w:tcW w:w="1433" w:type="dxa"/>
            <w:tcBorders>
              <w:top w:val="single" w:sz="4" w:space="0" w:color="000000"/>
              <w:left w:val="nil"/>
              <w:bottom w:val="single" w:sz="4" w:space="0" w:color="000000"/>
              <w:right w:val="single" w:sz="4" w:space="0" w:color="000000"/>
            </w:tcBorders>
            <w:shd w:val="clear" w:color="auto" w:fill="F2F2F2"/>
            <w:vAlign w:val="center"/>
          </w:tcPr>
          <w:p w14:paraId="3F51516A"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sz w:val="20"/>
                <w:szCs w:val="20"/>
                <w:shd w:val="clear" w:color="auto" w:fill="F2F2F2"/>
              </w:rPr>
              <w:t>Sapanca Lake</w:t>
            </w:r>
          </w:p>
        </w:tc>
        <w:tc>
          <w:tcPr>
            <w:tcW w:w="1330" w:type="dxa"/>
            <w:tcBorders>
              <w:top w:val="single" w:sz="4" w:space="0" w:color="000000"/>
              <w:left w:val="nil"/>
              <w:bottom w:val="single" w:sz="4" w:space="0" w:color="000000"/>
              <w:right w:val="single" w:sz="4" w:space="0" w:color="000000"/>
            </w:tcBorders>
            <w:shd w:val="clear" w:color="auto" w:fill="F2F2F2"/>
            <w:vAlign w:val="center"/>
          </w:tcPr>
          <w:p w14:paraId="2DAD375C" w14:textId="77777777" w:rsidR="00E31D51" w:rsidRPr="00175D8B" w:rsidRDefault="00E31D51" w:rsidP="00E31D51">
            <w:pPr>
              <w:spacing w:before="120" w:after="0" w:line="276" w:lineRule="auto"/>
              <w:jc w:val="left"/>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 xml:space="preserve">Aves, </w:t>
            </w:r>
            <w:r w:rsidRPr="00175D8B">
              <w:rPr>
                <w:rFonts w:eastAsia="Aptos" w:cs="Aptos"/>
                <w:color w:val="000000"/>
                <w:sz w:val="20"/>
                <w:szCs w:val="20"/>
                <w:shd w:val="clear" w:color="auto" w:fill="F2F2F2"/>
              </w:rPr>
              <w:t>Kuş (Elmabaş Patka)</w:t>
            </w: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693194D1"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sz w:val="20"/>
                <w:szCs w:val="20"/>
                <w:shd w:val="clear" w:color="auto" w:fill="F2F2F2"/>
              </w:rPr>
              <w:t>Natural System Degradation</w:t>
            </w: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2E27124F"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sz w:val="20"/>
                <w:szCs w:val="20"/>
                <w:shd w:val="clear" w:color="auto" w:fill="F2F2F2"/>
              </w:rPr>
              <w:t>Dams and Water Management</w:t>
            </w: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2BF62842"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sz w:val="20"/>
                <w:szCs w:val="20"/>
                <w:shd w:val="clear" w:color="auto" w:fill="F2F2F2"/>
              </w:rPr>
              <w:t>Groundwater Withdrawal (Agricultural Use)</w:t>
            </w:r>
          </w:p>
        </w:tc>
      </w:tr>
      <w:tr w:rsidR="00E31D51" w:rsidRPr="00175D8B" w14:paraId="2CB8FE8B" w14:textId="77777777" w:rsidTr="00DF417A">
        <w:trPr>
          <w:trHeight w:val="338"/>
          <w:jc w:val="center"/>
        </w:trPr>
        <w:tc>
          <w:tcPr>
            <w:tcW w:w="972"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673977E7"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Sakarya- Kocaeli</w:t>
            </w:r>
          </w:p>
        </w:tc>
        <w:tc>
          <w:tcPr>
            <w:tcW w:w="1433"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22B9BED3"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sz w:val="20"/>
                <w:szCs w:val="20"/>
                <w:shd w:val="clear" w:color="auto" w:fill="F2F2F2"/>
              </w:rPr>
              <w:t>Sakarya Delta</w:t>
            </w: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4ADA5954" w14:textId="77777777" w:rsidR="00E31D51" w:rsidRPr="00175D8B" w:rsidRDefault="00E31D51" w:rsidP="00E31D51">
            <w:pPr>
              <w:spacing w:before="120" w:after="0" w:line="276" w:lineRule="auto"/>
              <w:jc w:val="left"/>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 xml:space="preserve">Aves, Bird </w:t>
            </w:r>
            <w:r w:rsidRPr="00175D8B">
              <w:rPr>
                <w:rFonts w:eastAsia="Aptos" w:cs="Aptos"/>
                <w:color w:val="000000"/>
                <w:sz w:val="20"/>
                <w:szCs w:val="20"/>
                <w:shd w:val="clear" w:color="auto" w:fill="F2F2F2"/>
              </w:rPr>
              <w:t>(Velvet Duck)</w:t>
            </w: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35A1B998"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sz w:val="20"/>
                <w:szCs w:val="20"/>
                <w:shd w:val="clear" w:color="auto" w:fill="F2F2F2"/>
              </w:rPr>
              <w:t>Pollution</w:t>
            </w: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1859BA0A"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sz w:val="20"/>
                <w:szCs w:val="20"/>
                <w:shd w:val="clear" w:color="auto" w:fill="F2F2F2"/>
              </w:rPr>
              <w:t>Industrial and Military Wastewater</w:t>
            </w: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4542BF7D"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Agro-Industrial Farms</w:t>
            </w:r>
          </w:p>
        </w:tc>
      </w:tr>
      <w:tr w:rsidR="00E31D51" w:rsidRPr="00175D8B" w14:paraId="1ADD0833" w14:textId="77777777" w:rsidTr="00DF417A">
        <w:trPr>
          <w:trHeight w:val="338"/>
          <w:jc w:val="center"/>
        </w:trPr>
        <w:tc>
          <w:tcPr>
            <w:tcW w:w="972"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5009F60F" w14:textId="77777777" w:rsidR="00E31D51" w:rsidRPr="00175D8B" w:rsidRDefault="00E31D51" w:rsidP="00E31D51">
            <w:pPr>
              <w:widowControl w:val="0"/>
              <w:pBdr>
                <w:top w:val="nil"/>
                <w:left w:val="nil"/>
                <w:bottom w:val="nil"/>
                <w:right w:val="nil"/>
                <w:between w:val="nil"/>
              </w:pBdr>
              <w:spacing w:before="120" w:after="0" w:line="276" w:lineRule="auto"/>
              <w:jc w:val="center"/>
              <w:rPr>
                <w:rFonts w:eastAsia="Aptos" w:cs="Aptos"/>
                <w:color w:val="000000"/>
                <w:sz w:val="20"/>
                <w:szCs w:val="20"/>
                <w:shd w:val="clear" w:color="auto" w:fill="F2F2F2"/>
              </w:rPr>
            </w:pPr>
          </w:p>
        </w:tc>
        <w:tc>
          <w:tcPr>
            <w:tcW w:w="1433"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293175F1" w14:textId="77777777" w:rsidR="00E31D51" w:rsidRPr="00175D8B" w:rsidRDefault="00E31D51" w:rsidP="00E31D51">
            <w:pPr>
              <w:widowControl w:val="0"/>
              <w:pBdr>
                <w:top w:val="nil"/>
                <w:left w:val="nil"/>
                <w:bottom w:val="nil"/>
                <w:right w:val="nil"/>
                <w:between w:val="nil"/>
              </w:pBdr>
              <w:spacing w:before="120" w:after="0" w:line="276" w:lineRule="auto"/>
              <w:jc w:val="center"/>
              <w:rPr>
                <w:rFonts w:eastAsia="Aptos" w:cs="Aptos"/>
                <w:color w:val="000000"/>
                <w:sz w:val="20"/>
                <w:szCs w:val="20"/>
                <w:shd w:val="clear" w:color="auto" w:fill="F2F2F2"/>
              </w:rPr>
            </w:pPr>
          </w:p>
        </w:tc>
        <w:tc>
          <w:tcPr>
            <w:tcW w:w="1330"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698665E1" w14:textId="77777777" w:rsidR="00E31D51" w:rsidRPr="00175D8B" w:rsidRDefault="00E31D51" w:rsidP="00E31D51">
            <w:pPr>
              <w:widowControl w:val="0"/>
              <w:pBdr>
                <w:top w:val="nil"/>
                <w:left w:val="nil"/>
                <w:bottom w:val="nil"/>
                <w:right w:val="nil"/>
                <w:between w:val="nil"/>
              </w:pBdr>
              <w:spacing w:before="120" w:after="0" w:line="276" w:lineRule="auto"/>
              <w:jc w:val="left"/>
              <w:rPr>
                <w:rFonts w:eastAsia="Aptos" w:cs="Aptos"/>
                <w:color w:val="000000"/>
                <w:sz w:val="20"/>
                <w:szCs w:val="20"/>
                <w:shd w:val="clear" w:color="auto" w:fill="F2F2F2"/>
              </w:rPr>
            </w:pP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63FF65F1"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sz w:val="20"/>
                <w:szCs w:val="20"/>
                <w:shd w:val="clear" w:color="auto" w:fill="F2F2F2"/>
              </w:rPr>
              <w:t>Agriculture and Aquaculture</w:t>
            </w: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57F6BC65"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sz w:val="20"/>
                <w:szCs w:val="20"/>
                <w:shd w:val="clear" w:color="auto" w:fill="F2F2F2"/>
              </w:rPr>
              <w:t>Annual and Perennial Non-Wood Products</w:t>
            </w:r>
          </w:p>
        </w:tc>
        <w:tc>
          <w:tcPr>
            <w:tcW w:w="1779" w:type="dxa"/>
            <w:tcBorders>
              <w:top w:val="single" w:sz="4" w:space="0" w:color="000000"/>
              <w:left w:val="nil"/>
              <w:bottom w:val="single" w:sz="4" w:space="0" w:color="000000"/>
              <w:right w:val="single" w:sz="4" w:space="0" w:color="000000"/>
            </w:tcBorders>
            <w:shd w:val="clear" w:color="auto" w:fill="F2F2F2"/>
            <w:vAlign w:val="center"/>
          </w:tcPr>
          <w:p w14:paraId="2FA65379"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sz w:val="20"/>
                <w:szCs w:val="20"/>
                <w:shd w:val="clear" w:color="auto" w:fill="F2F2F2"/>
              </w:rPr>
              <w:t>Agro-Industrial Farming</w:t>
            </w:r>
          </w:p>
        </w:tc>
      </w:tr>
      <w:tr w:rsidR="00E31D51" w:rsidRPr="00175D8B" w14:paraId="47143070" w14:textId="77777777" w:rsidTr="00DF417A">
        <w:trPr>
          <w:trHeight w:val="512"/>
          <w:jc w:val="center"/>
        </w:trPr>
        <w:tc>
          <w:tcPr>
            <w:tcW w:w="972" w:type="dxa"/>
            <w:tcBorders>
              <w:top w:val="single" w:sz="4" w:space="0" w:color="000000"/>
              <w:left w:val="single" w:sz="4" w:space="0" w:color="000000"/>
              <w:bottom w:val="single" w:sz="4" w:space="0" w:color="auto"/>
              <w:right w:val="single" w:sz="4" w:space="0" w:color="000000"/>
            </w:tcBorders>
            <w:shd w:val="clear" w:color="auto" w:fill="F2F2F2"/>
            <w:vAlign w:val="center"/>
          </w:tcPr>
          <w:p w14:paraId="2C904BB2" w14:textId="77777777" w:rsidR="00E31D51" w:rsidRPr="00175D8B" w:rsidRDefault="00E31D51" w:rsidP="00E31D51">
            <w:pPr>
              <w:spacing w:before="120" w:after="0" w:line="276" w:lineRule="auto"/>
              <w:jc w:val="center"/>
              <w:rPr>
                <w:rFonts w:eastAsia="Aptos" w:cs="Aptos"/>
                <w:color w:val="000000" w:themeColor="text1"/>
                <w:sz w:val="20"/>
                <w:szCs w:val="20"/>
                <w:shd w:val="clear" w:color="auto" w:fill="F2F2F2"/>
              </w:rPr>
            </w:pPr>
            <w:r w:rsidRPr="00175D8B">
              <w:rPr>
                <w:rFonts w:eastAsia="Aptos" w:cs="Aptos"/>
                <w:color w:val="000000" w:themeColor="text1"/>
                <w:sz w:val="20"/>
                <w:szCs w:val="20"/>
                <w:shd w:val="clear" w:color="auto" w:fill="F2F2F2"/>
              </w:rPr>
              <w:t>Sakarya- Kocaeli</w:t>
            </w:r>
          </w:p>
        </w:tc>
        <w:tc>
          <w:tcPr>
            <w:tcW w:w="1433" w:type="dxa"/>
            <w:tcBorders>
              <w:top w:val="single" w:sz="4" w:space="0" w:color="000000"/>
              <w:left w:val="nil"/>
              <w:bottom w:val="single" w:sz="4" w:space="0" w:color="auto"/>
              <w:right w:val="single" w:sz="4" w:space="0" w:color="000000"/>
            </w:tcBorders>
            <w:shd w:val="clear" w:color="auto" w:fill="F2F2F2"/>
            <w:vAlign w:val="center"/>
          </w:tcPr>
          <w:p w14:paraId="36B4A3DC" w14:textId="77777777" w:rsidR="00E31D51" w:rsidRPr="00175D8B" w:rsidRDefault="00E31D51" w:rsidP="00E31D51">
            <w:pPr>
              <w:spacing w:before="120" w:after="0" w:line="276" w:lineRule="auto"/>
              <w:jc w:val="center"/>
              <w:rPr>
                <w:rFonts w:eastAsia="Aptos" w:cs="Aptos"/>
                <w:color w:val="000000" w:themeColor="text1"/>
                <w:sz w:val="20"/>
                <w:szCs w:val="20"/>
                <w:shd w:val="clear" w:color="auto" w:fill="F2F2F2"/>
              </w:rPr>
            </w:pPr>
            <w:r w:rsidRPr="00175D8B">
              <w:rPr>
                <w:rFonts w:eastAsia="Aptos" w:cs="Aptos"/>
                <w:color w:val="000000" w:themeColor="text1"/>
                <w:sz w:val="20"/>
                <w:szCs w:val="20"/>
                <w:shd w:val="clear" w:color="auto" w:fill="F2F2F2"/>
              </w:rPr>
              <w:t>Sakarya Delta</w:t>
            </w:r>
          </w:p>
        </w:tc>
        <w:tc>
          <w:tcPr>
            <w:tcW w:w="1330" w:type="dxa"/>
            <w:tcBorders>
              <w:top w:val="single" w:sz="4" w:space="0" w:color="000000"/>
              <w:left w:val="nil"/>
              <w:bottom w:val="single" w:sz="4" w:space="0" w:color="auto"/>
              <w:right w:val="single" w:sz="4" w:space="0" w:color="000000"/>
            </w:tcBorders>
            <w:shd w:val="clear" w:color="auto" w:fill="F2F2F2"/>
            <w:vAlign w:val="center"/>
          </w:tcPr>
          <w:p w14:paraId="4AFF119A" w14:textId="77777777" w:rsidR="00E31D51" w:rsidRPr="00175D8B" w:rsidRDefault="00E31D51" w:rsidP="00E31D51">
            <w:pPr>
              <w:spacing w:before="120" w:after="0" w:line="276" w:lineRule="auto"/>
              <w:jc w:val="left"/>
              <w:rPr>
                <w:rFonts w:eastAsia="Aptos" w:cs="Aptos"/>
                <w:color w:val="000000" w:themeColor="text1"/>
                <w:sz w:val="20"/>
                <w:szCs w:val="20"/>
                <w:shd w:val="clear" w:color="auto" w:fill="F2F2F2"/>
              </w:rPr>
            </w:pPr>
            <w:r w:rsidRPr="00175D8B">
              <w:rPr>
                <w:rFonts w:eastAsia="Aptos" w:cs="Aptos"/>
                <w:color w:val="000000" w:themeColor="text1"/>
                <w:sz w:val="20"/>
                <w:szCs w:val="20"/>
                <w:shd w:val="clear" w:color="auto" w:fill="F2F2F2"/>
              </w:rPr>
              <w:t>Aves</w:t>
            </w:r>
          </w:p>
        </w:tc>
        <w:tc>
          <w:tcPr>
            <w:tcW w:w="1779" w:type="dxa"/>
            <w:tcBorders>
              <w:top w:val="single" w:sz="4" w:space="0" w:color="000000"/>
              <w:left w:val="nil"/>
              <w:bottom w:val="single" w:sz="4" w:space="0" w:color="auto"/>
              <w:right w:val="single" w:sz="4" w:space="0" w:color="000000"/>
            </w:tcBorders>
            <w:shd w:val="clear" w:color="auto" w:fill="F2F2F2"/>
            <w:vAlign w:val="center"/>
          </w:tcPr>
          <w:p w14:paraId="36532341" w14:textId="77777777" w:rsidR="00E31D51" w:rsidRPr="00175D8B" w:rsidRDefault="00E31D51" w:rsidP="00E31D51">
            <w:pPr>
              <w:spacing w:before="120" w:after="0" w:line="276" w:lineRule="auto"/>
              <w:jc w:val="center"/>
              <w:rPr>
                <w:rFonts w:eastAsia="Aptos" w:cs="Aptos"/>
                <w:color w:val="000000" w:themeColor="text1"/>
                <w:sz w:val="20"/>
                <w:szCs w:val="20"/>
                <w:shd w:val="clear" w:color="auto" w:fill="F2F2F2"/>
              </w:rPr>
            </w:pPr>
            <w:r w:rsidRPr="00175D8B">
              <w:rPr>
                <w:rFonts w:eastAsia="Aptos" w:cs="Aptos"/>
                <w:color w:val="000000" w:themeColor="text1"/>
                <w:sz w:val="20"/>
                <w:szCs w:val="20"/>
                <w:shd w:val="clear" w:color="auto" w:fill="F2F2F2"/>
              </w:rPr>
              <w:t>Agriculture and Aquaculture</w:t>
            </w:r>
          </w:p>
        </w:tc>
        <w:tc>
          <w:tcPr>
            <w:tcW w:w="1779" w:type="dxa"/>
            <w:tcBorders>
              <w:top w:val="single" w:sz="4" w:space="0" w:color="000000"/>
              <w:left w:val="nil"/>
              <w:bottom w:val="single" w:sz="4" w:space="0" w:color="auto"/>
              <w:right w:val="single" w:sz="4" w:space="0" w:color="000000"/>
            </w:tcBorders>
            <w:shd w:val="clear" w:color="auto" w:fill="F2F2F2"/>
            <w:vAlign w:val="center"/>
          </w:tcPr>
          <w:p w14:paraId="2E7C3414" w14:textId="77777777" w:rsidR="00E31D51" w:rsidRPr="00175D8B" w:rsidRDefault="00E31D51" w:rsidP="00E31D51">
            <w:pPr>
              <w:spacing w:before="120" w:after="0" w:line="276" w:lineRule="auto"/>
              <w:jc w:val="center"/>
              <w:rPr>
                <w:rFonts w:eastAsia="Aptos" w:cs="Aptos"/>
                <w:color w:val="000000" w:themeColor="text1"/>
                <w:sz w:val="20"/>
                <w:szCs w:val="20"/>
                <w:shd w:val="clear" w:color="auto" w:fill="F2F2F2"/>
              </w:rPr>
            </w:pPr>
            <w:r w:rsidRPr="00175D8B">
              <w:rPr>
                <w:rFonts w:eastAsia="Aptos" w:cs="Aptos"/>
                <w:color w:val="000000" w:themeColor="text1"/>
                <w:sz w:val="20"/>
                <w:szCs w:val="20"/>
                <w:shd w:val="clear" w:color="auto" w:fill="F2F2F2"/>
              </w:rPr>
              <w:t>Annual and Perennial Non-Wood Products</w:t>
            </w:r>
          </w:p>
        </w:tc>
        <w:tc>
          <w:tcPr>
            <w:tcW w:w="1779" w:type="dxa"/>
            <w:tcBorders>
              <w:top w:val="single" w:sz="4" w:space="0" w:color="000000"/>
              <w:left w:val="nil"/>
              <w:bottom w:val="single" w:sz="4" w:space="0" w:color="auto"/>
              <w:right w:val="single" w:sz="4" w:space="0" w:color="000000"/>
            </w:tcBorders>
            <w:shd w:val="clear" w:color="auto" w:fill="F2F2F2"/>
            <w:vAlign w:val="center"/>
          </w:tcPr>
          <w:p w14:paraId="6DE6B755" w14:textId="77777777" w:rsidR="00E31D51" w:rsidRPr="00175D8B" w:rsidRDefault="00E31D51">
            <w:pPr>
              <w:numPr>
                <w:ilvl w:val="0"/>
                <w:numId w:val="47"/>
              </w:numPr>
              <w:spacing w:before="120" w:after="0" w:line="276" w:lineRule="auto"/>
              <w:jc w:val="center"/>
              <w:rPr>
                <w:rFonts w:eastAsia="Aptos" w:cs="Aptos"/>
                <w:color w:val="000000" w:themeColor="text1"/>
                <w:sz w:val="20"/>
                <w:szCs w:val="20"/>
                <w:shd w:val="clear" w:color="auto" w:fill="F2F2F2"/>
              </w:rPr>
            </w:pPr>
          </w:p>
        </w:tc>
      </w:tr>
      <w:tr w:rsidR="00E31D51" w:rsidRPr="00175D8B" w14:paraId="663D1C20" w14:textId="77777777" w:rsidTr="00DF417A">
        <w:trPr>
          <w:trHeight w:val="512"/>
          <w:jc w:val="center"/>
        </w:trPr>
        <w:tc>
          <w:tcPr>
            <w:tcW w:w="972" w:type="dxa"/>
            <w:tcBorders>
              <w:top w:val="single" w:sz="4" w:space="0" w:color="auto"/>
              <w:left w:val="single" w:sz="4" w:space="0" w:color="000000"/>
              <w:bottom w:val="single" w:sz="4" w:space="0" w:color="000000"/>
              <w:right w:val="single" w:sz="4" w:space="0" w:color="000000"/>
            </w:tcBorders>
            <w:shd w:val="clear" w:color="auto" w:fill="F2F2F2"/>
            <w:vAlign w:val="center"/>
          </w:tcPr>
          <w:p w14:paraId="6C931C91"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Sakarya</w:t>
            </w:r>
          </w:p>
        </w:tc>
        <w:tc>
          <w:tcPr>
            <w:tcW w:w="1433" w:type="dxa"/>
            <w:tcBorders>
              <w:top w:val="single" w:sz="4" w:space="0" w:color="auto"/>
              <w:left w:val="nil"/>
              <w:bottom w:val="single" w:sz="4" w:space="0" w:color="000000"/>
              <w:right w:val="single" w:sz="4" w:space="0" w:color="000000"/>
            </w:tcBorders>
            <w:shd w:val="clear" w:color="auto" w:fill="F2F2F2"/>
            <w:vAlign w:val="center"/>
          </w:tcPr>
          <w:p w14:paraId="62BBC562"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Acarlar Floodplain</w:t>
            </w:r>
          </w:p>
        </w:tc>
        <w:tc>
          <w:tcPr>
            <w:tcW w:w="1330" w:type="dxa"/>
            <w:tcBorders>
              <w:top w:val="single" w:sz="4" w:space="0" w:color="auto"/>
              <w:left w:val="nil"/>
              <w:bottom w:val="single" w:sz="4" w:space="0" w:color="000000"/>
              <w:right w:val="single" w:sz="4" w:space="0" w:color="000000"/>
            </w:tcBorders>
            <w:shd w:val="clear" w:color="auto" w:fill="F2F2F2"/>
            <w:vAlign w:val="center"/>
          </w:tcPr>
          <w:p w14:paraId="58903138" w14:textId="77777777" w:rsidR="00E31D51" w:rsidRPr="00175D8B" w:rsidRDefault="00E31D51" w:rsidP="00E31D51">
            <w:pPr>
              <w:spacing w:before="120" w:after="0" w:line="276" w:lineRule="auto"/>
              <w:jc w:val="left"/>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Aves, Plants (Endemic Aquatic Species)</w:t>
            </w:r>
          </w:p>
        </w:tc>
        <w:tc>
          <w:tcPr>
            <w:tcW w:w="1779" w:type="dxa"/>
            <w:tcBorders>
              <w:top w:val="single" w:sz="4" w:space="0" w:color="auto"/>
              <w:left w:val="nil"/>
              <w:bottom w:val="single" w:sz="4" w:space="0" w:color="000000"/>
              <w:right w:val="single" w:sz="4" w:space="0" w:color="000000"/>
            </w:tcBorders>
            <w:shd w:val="clear" w:color="auto" w:fill="F2F2F2"/>
            <w:vAlign w:val="center"/>
          </w:tcPr>
          <w:p w14:paraId="2EBD0B69"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Habitat Loss and Desiccation</w:t>
            </w:r>
          </w:p>
        </w:tc>
        <w:tc>
          <w:tcPr>
            <w:tcW w:w="1779" w:type="dxa"/>
            <w:tcBorders>
              <w:top w:val="single" w:sz="4" w:space="0" w:color="auto"/>
              <w:left w:val="nil"/>
              <w:bottom w:val="single" w:sz="4" w:space="0" w:color="000000"/>
              <w:right w:val="single" w:sz="4" w:space="0" w:color="000000"/>
            </w:tcBorders>
            <w:shd w:val="clear" w:color="auto" w:fill="F2F2F2"/>
            <w:vAlign w:val="center"/>
          </w:tcPr>
          <w:p w14:paraId="256B7B5C"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Agricultural Drainage Activities</w:t>
            </w:r>
          </w:p>
        </w:tc>
        <w:tc>
          <w:tcPr>
            <w:tcW w:w="1779" w:type="dxa"/>
            <w:tcBorders>
              <w:top w:val="single" w:sz="4" w:space="0" w:color="auto"/>
              <w:left w:val="nil"/>
              <w:bottom w:val="single" w:sz="4" w:space="0" w:color="000000"/>
              <w:right w:val="single" w:sz="4" w:space="0" w:color="000000"/>
            </w:tcBorders>
            <w:shd w:val="clear" w:color="auto" w:fill="F2F2F2"/>
            <w:vAlign w:val="center"/>
          </w:tcPr>
          <w:p w14:paraId="27684573"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Recreational Printing and Pollution</w:t>
            </w:r>
          </w:p>
        </w:tc>
      </w:tr>
      <w:tr w:rsidR="00E31D51" w:rsidRPr="00175D8B" w14:paraId="2C4C8922" w14:textId="77777777" w:rsidTr="00DF417A">
        <w:trPr>
          <w:trHeight w:val="512"/>
          <w:jc w:val="center"/>
        </w:trPr>
        <w:tc>
          <w:tcPr>
            <w:tcW w:w="972" w:type="dxa"/>
            <w:tcBorders>
              <w:top w:val="nil"/>
              <w:left w:val="single" w:sz="4" w:space="0" w:color="000000"/>
              <w:bottom w:val="single" w:sz="4" w:space="0" w:color="000000"/>
              <w:right w:val="single" w:sz="4" w:space="0" w:color="000000"/>
            </w:tcBorders>
            <w:shd w:val="clear" w:color="auto" w:fill="F2F2F2"/>
            <w:vAlign w:val="center"/>
          </w:tcPr>
          <w:p w14:paraId="516CDF2D"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Sakarya</w:t>
            </w:r>
          </w:p>
        </w:tc>
        <w:tc>
          <w:tcPr>
            <w:tcW w:w="1433" w:type="dxa"/>
            <w:tcBorders>
              <w:top w:val="nil"/>
              <w:left w:val="nil"/>
              <w:bottom w:val="single" w:sz="4" w:space="0" w:color="000000"/>
              <w:right w:val="single" w:sz="4" w:space="0" w:color="000000"/>
            </w:tcBorders>
            <w:shd w:val="clear" w:color="auto" w:fill="F2F2F2"/>
            <w:vAlign w:val="center"/>
          </w:tcPr>
          <w:p w14:paraId="58BA9C3C"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Poyrazlar Lake</w:t>
            </w:r>
          </w:p>
        </w:tc>
        <w:tc>
          <w:tcPr>
            <w:tcW w:w="1330" w:type="dxa"/>
            <w:tcBorders>
              <w:top w:val="nil"/>
              <w:left w:val="nil"/>
              <w:bottom w:val="single" w:sz="4" w:space="0" w:color="000000"/>
              <w:right w:val="single" w:sz="4" w:space="0" w:color="000000"/>
            </w:tcBorders>
            <w:shd w:val="clear" w:color="auto" w:fill="F2F2F2"/>
            <w:vAlign w:val="center"/>
          </w:tcPr>
          <w:p w14:paraId="0A08904D" w14:textId="77777777" w:rsidR="00E31D51" w:rsidRPr="00175D8B" w:rsidRDefault="00E31D51" w:rsidP="00E31D51">
            <w:pPr>
              <w:spacing w:before="120" w:after="0" w:line="276" w:lineRule="auto"/>
              <w:jc w:val="left"/>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Aves, birds (migratory species)</w:t>
            </w:r>
          </w:p>
        </w:tc>
        <w:tc>
          <w:tcPr>
            <w:tcW w:w="1779" w:type="dxa"/>
            <w:tcBorders>
              <w:top w:val="nil"/>
              <w:left w:val="nil"/>
              <w:bottom w:val="single" w:sz="4" w:space="0" w:color="000000"/>
              <w:right w:val="single" w:sz="4" w:space="0" w:color="000000"/>
            </w:tcBorders>
            <w:shd w:val="clear" w:color="auto" w:fill="F2F2F2"/>
            <w:vAlign w:val="center"/>
          </w:tcPr>
          <w:p w14:paraId="0594A009"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Forest and Wetland Destruction</w:t>
            </w:r>
          </w:p>
        </w:tc>
        <w:tc>
          <w:tcPr>
            <w:tcW w:w="1779" w:type="dxa"/>
            <w:tcBorders>
              <w:top w:val="nil"/>
              <w:left w:val="nil"/>
              <w:bottom w:val="single" w:sz="4" w:space="0" w:color="000000"/>
              <w:right w:val="single" w:sz="4" w:space="0" w:color="000000"/>
            </w:tcBorders>
            <w:shd w:val="clear" w:color="auto" w:fill="F2F2F2"/>
            <w:vAlign w:val="center"/>
          </w:tcPr>
          <w:p w14:paraId="31CC2661"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Fishing and Visitor Pressure</w:t>
            </w:r>
          </w:p>
        </w:tc>
        <w:tc>
          <w:tcPr>
            <w:tcW w:w="1779" w:type="dxa"/>
            <w:tcBorders>
              <w:top w:val="nil"/>
              <w:left w:val="nil"/>
              <w:bottom w:val="single" w:sz="4" w:space="0" w:color="000000"/>
              <w:right w:val="single" w:sz="4" w:space="0" w:color="000000"/>
            </w:tcBorders>
            <w:shd w:val="clear" w:color="auto" w:fill="F2F2F2"/>
            <w:vAlign w:val="center"/>
          </w:tcPr>
          <w:p w14:paraId="7FE9180C" w14:textId="77777777" w:rsidR="00E31D51" w:rsidRPr="00175D8B" w:rsidRDefault="00E31D51" w:rsidP="00E31D51">
            <w:pPr>
              <w:spacing w:before="120" w:after="0" w:line="276" w:lineRule="auto"/>
              <w:jc w:val="center"/>
              <w:rPr>
                <w:rFonts w:eastAsia="Aptos" w:cs="Aptos"/>
                <w:color w:val="000000"/>
                <w:sz w:val="20"/>
                <w:szCs w:val="20"/>
                <w:shd w:val="clear" w:color="auto" w:fill="F2F2F2"/>
              </w:rPr>
            </w:pPr>
            <w:r w:rsidRPr="00175D8B">
              <w:rPr>
                <w:rFonts w:eastAsia="Aptos" w:cs="Aptos"/>
                <w:color w:val="000000" w:themeColor="text1"/>
                <w:sz w:val="20"/>
                <w:szCs w:val="20"/>
                <w:shd w:val="clear" w:color="auto" w:fill="F2F2F2"/>
              </w:rPr>
              <w:t>Motor Vehicles and Noise</w:t>
            </w:r>
          </w:p>
        </w:tc>
      </w:tr>
    </w:tbl>
    <w:p w14:paraId="0F35B219" w14:textId="041CD8AE" w:rsidR="00E31D51" w:rsidRPr="00175D8B" w:rsidRDefault="00E456F8" w:rsidP="00E31D51">
      <w:pPr>
        <w:spacing w:before="120" w:after="0" w:line="278" w:lineRule="auto"/>
        <w:jc w:val="center"/>
        <w:rPr>
          <w:rFonts w:eastAsia="Aptos" w:cs="Aptos"/>
          <w:i/>
          <w:color w:val="000000" w:themeColor="text1"/>
          <w:sz w:val="18"/>
          <w:szCs w:val="18"/>
        </w:rPr>
      </w:pPr>
      <w:r w:rsidRPr="00175D8B">
        <w:rPr>
          <w:rFonts w:eastAsia="Aptos" w:cs="Aptos"/>
          <w:b/>
          <w:i/>
          <w:color w:val="000000" w:themeColor="text1"/>
          <w:sz w:val="18"/>
          <w:szCs w:val="18"/>
        </w:rPr>
        <w:t>Source</w:t>
      </w:r>
      <w:r w:rsidR="00E31D51" w:rsidRPr="00175D8B">
        <w:rPr>
          <w:rFonts w:eastAsia="Aptos" w:cs="Aptos"/>
          <w:b/>
          <w:i/>
          <w:color w:val="000000" w:themeColor="text1"/>
          <w:sz w:val="18"/>
          <w:szCs w:val="18"/>
        </w:rPr>
        <w:t>:</w:t>
      </w:r>
      <w:r w:rsidR="00E31D51" w:rsidRPr="00175D8B">
        <w:rPr>
          <w:rFonts w:eastAsia="Aptos" w:cs="Aptos"/>
          <w:i/>
          <w:color w:val="000000" w:themeColor="text1"/>
          <w:sz w:val="18"/>
          <w:szCs w:val="18"/>
        </w:rPr>
        <w:t xml:space="preserve"> Key Biodiversity Areas</w:t>
      </w:r>
    </w:p>
    <w:p w14:paraId="08F73FB7" w14:textId="4260BC9E" w:rsidR="00E31D51" w:rsidRPr="00175D8B" w:rsidRDefault="00866B7D" w:rsidP="00E31D51">
      <w:pPr>
        <w:spacing w:before="120" w:beforeAutospacing="1" w:after="0" w:afterAutospacing="1"/>
        <w:rPr>
          <w:rFonts w:eastAsia="Times New Roman" w:cs="Times New Roman"/>
          <w:color w:val="000000" w:themeColor="text1"/>
          <w:szCs w:val="22"/>
          <w:lang w:val="en-GB" w:eastAsia="tr-TR"/>
        </w:rPr>
      </w:pPr>
      <w:bookmarkStart w:id="131" w:name="_heading=h.xdt0fm1e6l2j" w:colFirst="0" w:colLast="0"/>
      <w:bookmarkEnd w:id="131"/>
      <w:r w:rsidRPr="00175D8B">
        <w:rPr>
          <w:rFonts w:eastAsia="Times New Roman" w:cs="Times New Roman"/>
          <w:color w:val="000000" w:themeColor="text1"/>
          <w:szCs w:val="22"/>
          <w:lang w:eastAsia="tr-TR"/>
        </w:rPr>
        <w:lastRenderedPageBreak/>
        <w:t xml:space="preserve">The natural areas located within the boundaries of Sakarya Province possess high ecological value within the framework of Important Plant Areas (IPA) criteria, </w:t>
      </w:r>
      <w:r w:rsidR="00E31D51" w:rsidRPr="00175D8B">
        <w:rPr>
          <w:rFonts w:eastAsia="Times New Roman" w:cs="Times New Roman"/>
          <w:color w:val="000000" w:themeColor="text1"/>
          <w:szCs w:val="22"/>
          <w:lang w:val="en-GB" w:eastAsia="tr-TR"/>
        </w:rPr>
        <w:t xml:space="preserve">they are found to have high ecological value due to their wetland ecosystems, forested areas, and high-altitude habitats. In particular, </w:t>
      </w:r>
      <w:r w:rsidR="00E31D51" w:rsidRPr="00175D8B">
        <w:rPr>
          <w:rFonts w:eastAsia="Times New Roman" w:cs="Times New Roman"/>
          <w:bCs/>
          <w:color w:val="000000" w:themeColor="text1"/>
          <w:szCs w:val="22"/>
          <w:lang w:val="en-GB" w:eastAsia="tr-TR"/>
        </w:rPr>
        <w:t>Acarlar Floodplain</w:t>
      </w:r>
      <w:r w:rsidR="00E31D51" w:rsidRPr="00175D8B">
        <w:rPr>
          <w:rFonts w:eastAsia="Times New Roman" w:cs="Times New Roman"/>
          <w:color w:val="000000" w:themeColor="text1"/>
          <w:szCs w:val="22"/>
          <w:lang w:val="en-GB" w:eastAsia="tr-TR"/>
        </w:rPr>
        <w:t xml:space="preserve"> is considered one of the priority IPA areas on a national scale, as it is one of the largest continuous floodplain forests in Europe and hosts numerous endemic and rare species.</w:t>
      </w:r>
    </w:p>
    <w:p w14:paraId="1053FB51" w14:textId="77777777" w:rsidR="00E31D51" w:rsidRPr="00175D8B" w:rsidRDefault="00E31D51" w:rsidP="00E31D51">
      <w:pPr>
        <w:spacing w:before="120" w:beforeAutospacing="1" w:after="0" w:afterAutospacing="1"/>
        <w:rPr>
          <w:rFonts w:eastAsia="Times New Roman" w:cs="Times New Roman"/>
          <w:color w:val="000000" w:themeColor="text1"/>
          <w:szCs w:val="22"/>
          <w:lang w:val="en-GB" w:eastAsia="tr-TR"/>
        </w:rPr>
      </w:pPr>
      <w:r w:rsidRPr="00175D8B">
        <w:rPr>
          <w:rFonts w:eastAsia="Times New Roman" w:cs="Times New Roman"/>
          <w:color w:val="000000" w:themeColor="text1"/>
          <w:szCs w:val="22"/>
          <w:lang w:val="en-GB" w:eastAsia="tr-TR"/>
        </w:rPr>
        <w:t xml:space="preserve">Additionally, </w:t>
      </w:r>
      <w:r w:rsidRPr="00175D8B">
        <w:rPr>
          <w:rFonts w:eastAsia="Times New Roman" w:cs="Times New Roman"/>
          <w:bCs/>
          <w:color w:val="000000" w:themeColor="text1"/>
          <w:szCs w:val="22"/>
          <w:lang w:val="en-GB" w:eastAsia="tr-TR"/>
        </w:rPr>
        <w:t>Sapanca Lake</w:t>
      </w:r>
      <w:r w:rsidRPr="00175D8B">
        <w:rPr>
          <w:rFonts w:eastAsia="Times New Roman" w:cs="Times New Roman"/>
          <w:color w:val="000000" w:themeColor="text1"/>
          <w:szCs w:val="22"/>
          <w:lang w:val="en-GB" w:eastAsia="tr-TR"/>
        </w:rPr>
        <w:t xml:space="preserve">, </w:t>
      </w:r>
      <w:r w:rsidRPr="00175D8B">
        <w:rPr>
          <w:rFonts w:eastAsia="Times New Roman" w:cs="Times New Roman"/>
          <w:bCs/>
          <w:color w:val="000000" w:themeColor="text1"/>
          <w:szCs w:val="22"/>
          <w:lang w:val="en-GB" w:eastAsia="tr-TR"/>
        </w:rPr>
        <w:t>Poyrazlar Lake Nature Park</w:t>
      </w:r>
      <w:r w:rsidRPr="00175D8B">
        <w:rPr>
          <w:rFonts w:eastAsia="Times New Roman" w:cs="Times New Roman"/>
          <w:color w:val="000000" w:themeColor="text1"/>
          <w:szCs w:val="22"/>
          <w:lang w:val="en-GB" w:eastAsia="tr-TR"/>
        </w:rPr>
        <w:t xml:space="preserve">, and </w:t>
      </w:r>
      <w:r w:rsidRPr="00175D8B">
        <w:rPr>
          <w:rFonts w:eastAsia="Times New Roman" w:cs="Times New Roman"/>
          <w:bCs/>
          <w:color w:val="000000" w:themeColor="text1"/>
          <w:szCs w:val="22"/>
          <w:lang w:val="en-GB" w:eastAsia="tr-TR"/>
        </w:rPr>
        <w:t>Taşkısığı Lake</w:t>
      </w:r>
      <w:r w:rsidRPr="00175D8B">
        <w:rPr>
          <w:rFonts w:eastAsia="Times New Roman" w:cs="Times New Roman"/>
          <w:color w:val="000000" w:themeColor="text1"/>
          <w:szCs w:val="22"/>
          <w:lang w:val="en-GB" w:eastAsia="tr-TR"/>
        </w:rPr>
        <w:t xml:space="preserve"> have the potential to meet IPA criteria due to their protection of unique aquatic flora and fauna communities and wetland ecosystems. Lake ecosystems such as </w:t>
      </w:r>
      <w:r w:rsidRPr="00175D8B">
        <w:rPr>
          <w:rFonts w:eastAsia="Times New Roman" w:cs="Times New Roman"/>
          <w:bCs/>
          <w:color w:val="000000" w:themeColor="text1"/>
          <w:szCs w:val="22"/>
          <w:lang w:val="en-GB" w:eastAsia="tr-TR"/>
        </w:rPr>
        <w:t>Büyük Akgöl</w:t>
      </w:r>
      <w:r w:rsidRPr="00175D8B">
        <w:rPr>
          <w:rFonts w:eastAsia="Times New Roman" w:cs="Times New Roman"/>
          <w:color w:val="000000" w:themeColor="text1"/>
          <w:szCs w:val="22"/>
          <w:lang w:val="en-GB" w:eastAsia="tr-TR"/>
        </w:rPr>
        <w:t xml:space="preserve">, </w:t>
      </w:r>
      <w:r w:rsidRPr="00175D8B">
        <w:rPr>
          <w:rFonts w:eastAsia="Times New Roman" w:cs="Times New Roman"/>
          <w:bCs/>
          <w:color w:val="000000" w:themeColor="text1"/>
          <w:szCs w:val="22"/>
          <w:lang w:val="en-GB" w:eastAsia="tr-TR"/>
        </w:rPr>
        <w:t>Akgöl</w:t>
      </w:r>
      <w:r w:rsidRPr="00175D8B">
        <w:rPr>
          <w:rFonts w:eastAsia="Times New Roman" w:cs="Times New Roman"/>
          <w:color w:val="000000" w:themeColor="text1"/>
          <w:szCs w:val="22"/>
          <w:lang w:val="en-GB" w:eastAsia="tr-TR"/>
        </w:rPr>
        <w:t xml:space="preserve">, and </w:t>
      </w:r>
      <w:r w:rsidRPr="00175D8B">
        <w:rPr>
          <w:rFonts w:eastAsia="Times New Roman" w:cs="Times New Roman"/>
          <w:bCs/>
          <w:color w:val="000000" w:themeColor="text1"/>
          <w:szCs w:val="22"/>
          <w:lang w:val="en-GB" w:eastAsia="tr-TR"/>
        </w:rPr>
        <w:t>Keremali Lake</w:t>
      </w:r>
      <w:r w:rsidRPr="00175D8B">
        <w:rPr>
          <w:rFonts w:eastAsia="Times New Roman" w:cs="Times New Roman"/>
          <w:color w:val="000000" w:themeColor="text1"/>
          <w:szCs w:val="22"/>
          <w:lang w:val="en-GB" w:eastAsia="tr-TR"/>
        </w:rPr>
        <w:t xml:space="preserve"> are also significant in terms of both aquatic plant diversity and the continuity of semi-natural habitats surrounding them.</w:t>
      </w:r>
    </w:p>
    <w:p w14:paraId="3F0BB27B" w14:textId="323A26F1" w:rsidR="00E31D51" w:rsidRPr="00175D8B" w:rsidRDefault="00E31D51" w:rsidP="006C58C5">
      <w:pPr>
        <w:spacing w:before="100" w:beforeAutospacing="1" w:after="100" w:afterAutospacing="1"/>
        <w:rPr>
          <w:rFonts w:eastAsia="Aptos" w:cs="Aptos"/>
          <w:b/>
          <w:i/>
          <w:iCs/>
          <w:color w:val="000000" w:themeColor="text1"/>
          <w:sz w:val="20"/>
          <w:szCs w:val="20"/>
        </w:rPr>
      </w:pPr>
      <w:bookmarkStart w:id="132" w:name="_heading=h.7sm22pfkqfk8" w:colFirst="0" w:colLast="0"/>
      <w:bookmarkEnd w:id="132"/>
      <w:r w:rsidRPr="00175D8B">
        <w:rPr>
          <w:rFonts w:eastAsia="Times New Roman" w:cs="Times New Roman"/>
        </w:rPr>
        <w:t xml:space="preserve">In terms of forest ecosystems, Sakarya Provincial Forest Nature Park, Kuzuluk Nature Park, and Karagöl Plateau can be considered as </w:t>
      </w:r>
      <w:r w:rsidR="005C09CE" w:rsidRPr="00175D8B">
        <w:rPr>
          <w:rFonts w:eastAsia="Times New Roman" w:cs="Times New Roman"/>
        </w:rPr>
        <w:t>micro-IPA</w:t>
      </w:r>
      <w:r w:rsidRPr="00175D8B">
        <w:rPr>
          <w:rFonts w:eastAsia="Times New Roman" w:cs="Times New Roman"/>
        </w:rPr>
        <w:t xml:space="preserve"> areas, thanks to their high floristic diversity, presence of rare species, and habitat integrity. These areas are critical for maintaining biodiversity on a regional scale, protecting rare and endemic species, and ensuring the continuity of ecosystem services.</w:t>
      </w:r>
    </w:p>
    <w:p w14:paraId="0482E921" w14:textId="3318101A" w:rsidR="006D791E" w:rsidRPr="00175D8B" w:rsidRDefault="006D791E" w:rsidP="006C58C5">
      <w:pPr>
        <w:pStyle w:val="ResimYazs"/>
        <w:keepNext/>
        <w:jc w:val="center"/>
      </w:pPr>
      <w:bookmarkStart w:id="133" w:name="_Toc221191311"/>
      <w:r w:rsidRPr="006C58C5">
        <w:rPr>
          <w:b/>
          <w:bCs/>
        </w:rPr>
        <w:t xml:space="preserve">Figure </w:t>
      </w:r>
      <w:r w:rsidRPr="006C58C5">
        <w:rPr>
          <w:b/>
          <w:bCs/>
        </w:rPr>
        <w:fldChar w:fldCharType="begin"/>
      </w:r>
      <w:r w:rsidRPr="006C58C5">
        <w:rPr>
          <w:b/>
          <w:bCs/>
        </w:rPr>
        <w:instrText xml:space="preserve"> SEQ Figure \* ARABIC </w:instrText>
      </w:r>
      <w:r w:rsidRPr="006C58C5">
        <w:rPr>
          <w:b/>
          <w:bCs/>
        </w:rPr>
        <w:fldChar w:fldCharType="separate"/>
      </w:r>
      <w:r w:rsidR="00811FB5" w:rsidRPr="00175D8B">
        <w:rPr>
          <w:b/>
          <w:bCs/>
          <w:noProof/>
        </w:rPr>
        <w:t>3</w:t>
      </w:r>
      <w:r w:rsidRPr="006C58C5">
        <w:rPr>
          <w:b/>
          <w:bCs/>
        </w:rPr>
        <w:fldChar w:fldCharType="end"/>
      </w:r>
      <w:r w:rsidRPr="00175D8B">
        <w:rPr>
          <w:b/>
          <w:bCs/>
        </w:rPr>
        <w:t>:</w:t>
      </w:r>
      <w:r w:rsidRPr="00175D8B">
        <w:t xml:space="preserve"> </w:t>
      </w:r>
      <w:r w:rsidRPr="00175D8B">
        <w:rPr>
          <w:rFonts w:eastAsia="Aptos" w:cs="Aptos"/>
          <w:szCs w:val="20"/>
        </w:rPr>
        <w:t>Important Plant Areas in Sakarya Province</w:t>
      </w:r>
      <w:bookmarkEnd w:id="133"/>
    </w:p>
    <w:p w14:paraId="3ECAF8E4" w14:textId="12AB2208" w:rsidR="00E31D51" w:rsidRPr="00175D8B" w:rsidRDefault="000C40F1" w:rsidP="00E31D51">
      <w:pPr>
        <w:spacing w:before="120" w:after="0" w:line="278" w:lineRule="auto"/>
        <w:jc w:val="center"/>
        <w:rPr>
          <w:rFonts w:eastAsia="Aptos" w:cs="Aptos"/>
          <w:color w:val="000000" w:themeColor="text1"/>
          <w:szCs w:val="22"/>
        </w:rPr>
      </w:pPr>
      <w:r w:rsidRPr="00175D8B">
        <w:rPr>
          <w:rFonts w:eastAsia="Aptos" w:cs="Aptos"/>
          <w:noProof/>
          <w:color w:val="000000" w:themeColor="text1"/>
          <w:szCs w:val="22"/>
        </w:rPr>
        <w:drawing>
          <wp:inline distT="0" distB="0" distL="0" distR="0" wp14:anchorId="63FCEB0E" wp14:editId="1811CA81">
            <wp:extent cx="4320000" cy="4143600"/>
            <wp:effectExtent l="19050" t="19050" r="23495" b="28575"/>
            <wp:docPr id="106726046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4143600"/>
                    </a:xfrm>
                    <a:prstGeom prst="rect">
                      <a:avLst/>
                    </a:prstGeom>
                    <a:noFill/>
                    <a:ln>
                      <a:solidFill>
                        <a:srgbClr val="767171"/>
                      </a:solidFill>
                    </a:ln>
                  </pic:spPr>
                </pic:pic>
              </a:graphicData>
            </a:graphic>
          </wp:inline>
        </w:drawing>
      </w:r>
      <w:r w:rsidR="00E31D51" w:rsidRPr="00175D8B">
        <w:rPr>
          <w:rFonts w:eastAsia="Aptos" w:cs="Aptos"/>
          <w:noProof/>
          <w:color w:val="000000" w:themeColor="text1"/>
          <w:szCs w:val="22"/>
        </w:rPr>
        <w:t xml:space="preserve">  </w:t>
      </w:r>
    </w:p>
    <w:p w14:paraId="19470C4B" w14:textId="16F7A402" w:rsidR="00213E81" w:rsidRPr="00175D8B" w:rsidRDefault="00E31D51" w:rsidP="00EC067A">
      <w:pPr>
        <w:spacing w:before="120" w:after="0" w:line="278" w:lineRule="auto"/>
        <w:jc w:val="center"/>
        <w:rPr>
          <w:rFonts w:eastAsia="Aptos" w:cs="Aptos"/>
          <w:i/>
          <w:color w:val="000000" w:themeColor="text1"/>
          <w:sz w:val="18"/>
          <w:szCs w:val="18"/>
        </w:rPr>
      </w:pPr>
      <w:r w:rsidRPr="00175D8B">
        <w:rPr>
          <w:rFonts w:eastAsia="Aptos" w:cs="Aptos"/>
          <w:b/>
          <w:i/>
          <w:color w:val="000000" w:themeColor="text1"/>
          <w:sz w:val="18"/>
          <w:szCs w:val="18"/>
        </w:rPr>
        <w:lastRenderedPageBreak/>
        <w:t>Source:</w:t>
      </w:r>
      <w:r w:rsidRPr="00175D8B">
        <w:rPr>
          <w:rFonts w:eastAsia="Aptos" w:cs="Aptos"/>
          <w:i/>
          <w:color w:val="000000" w:themeColor="text1"/>
          <w:sz w:val="18"/>
          <w:szCs w:val="18"/>
        </w:rPr>
        <w:t xml:space="preserve"> Sakarya Metropolitan Municipality.</w:t>
      </w:r>
    </w:p>
    <w:p w14:paraId="77B0C571" w14:textId="165A1ADB" w:rsidR="00D80A2F" w:rsidRPr="00175D8B" w:rsidRDefault="00C30685" w:rsidP="002550A6">
      <w:pPr>
        <w:pStyle w:val="Balk3"/>
        <w:numPr>
          <w:ilvl w:val="2"/>
          <w:numId w:val="152"/>
        </w:numPr>
      </w:pPr>
      <w:bookmarkStart w:id="134" w:name="_Toc212541864"/>
      <w:bookmarkStart w:id="135" w:name="_Toc212542375"/>
      <w:bookmarkStart w:id="136" w:name="_Toc220672784"/>
      <w:r w:rsidRPr="00175D8B">
        <w:t>Seismicity</w:t>
      </w:r>
      <w:bookmarkEnd w:id="134"/>
      <w:bookmarkEnd w:id="135"/>
      <w:bookmarkEnd w:id="136"/>
      <w:r w:rsidRPr="00175D8B">
        <w:t xml:space="preserve"> </w:t>
      </w:r>
    </w:p>
    <w:p w14:paraId="017B669F" w14:textId="4BDB83DD" w:rsidR="00C30685" w:rsidRPr="00175D8B" w:rsidRDefault="00C30685" w:rsidP="00C30685">
      <w:pPr>
        <w:spacing w:before="240" w:after="240"/>
      </w:pPr>
      <w:r w:rsidRPr="00175D8B">
        <w:t>Sakarya province is located on the North Anatolian Fault Zone (NAFZ), one of the most active tectonic systems in Türkiye, and lies within a right-hand strike-slip shear zone. The active fault lines developed along this zone directly shape the geological and geomorphological structure of the province. The northern part of the province is located on the Eurasian Plate, the middle part is situated directly on the NAFZ, and the southern part lies within the borders of the Anatolian Plate. In particular, geomorphological units such as the Gulf of İzmit, Sapanca Lake, Adapazarı Plain, Mudurnu Stream Valley, and Pamukova have been shaped under the control of this fault zone and exhibit morphologically distinct features due to the tectonic dynamics in the region. The formation of the high relief in the Samanlı and Almacık Mountains is also associated with vertical tectonic movements along the zone.</w:t>
      </w:r>
    </w:p>
    <w:p w14:paraId="761C8BF2" w14:textId="77777777" w:rsidR="00C30685" w:rsidRPr="00175D8B" w:rsidRDefault="00C30685" w:rsidP="00C30685">
      <w:pPr>
        <w:spacing w:before="240" w:after="240"/>
      </w:pPr>
      <w:r w:rsidRPr="00175D8B">
        <w:t>The North Anatolian Fault is divided into two main branches, north and south, starting from the Dokurcun Valley within the borders of Sakarya province. The northern branch of the North Anatolian Fault starts north of Akyazı, crosses through Sapanca Lake, and continues towards the Sea of Marmara. The southern branch, on the other hand, passes south of Lake İznik via Geyve and Pamukova and reaches the Gulf of Gemlik. Among these branches, the northern branch exhibits a more active tectonic character compared to the southern branch, with a higher sliding speed.</w:t>
      </w:r>
    </w:p>
    <w:p w14:paraId="13C24F31" w14:textId="4031A6DF" w:rsidR="00087173" w:rsidRPr="00175D8B" w:rsidRDefault="00C30685" w:rsidP="00C30685">
      <w:pPr>
        <w:pStyle w:val="ListeParagraf"/>
        <w:spacing w:before="240" w:after="240"/>
        <w:ind w:left="0"/>
      </w:pPr>
      <w:r w:rsidRPr="00175D8B">
        <w:t>A large part of the active fault lines within the borders of Sakarya province were displaced by the earthquakes of July 22, 1967, and August 17, 1999, which occurred in the 20th century. However, the segment in the southern branch, extending along the Dokurcun-Pamukova line, has not been displaced for a long time, suggesting that this section may have a low recurrence interval, but it still poses a significant seismic hazard.</w:t>
      </w:r>
    </w:p>
    <w:p w14:paraId="638AF188" w14:textId="41DCFE25" w:rsidR="006D791E" w:rsidRPr="006C58C5" w:rsidRDefault="006D791E" w:rsidP="006C58C5">
      <w:pPr>
        <w:keepNext/>
        <w:spacing w:before="120" w:after="200" w:line="278" w:lineRule="auto"/>
        <w:jc w:val="center"/>
        <w:rPr>
          <w:rFonts w:eastAsia="Aptos" w:cs="Aptos"/>
          <w:szCs w:val="20"/>
        </w:rPr>
      </w:pPr>
      <w:bookmarkStart w:id="137" w:name="_Toc221191312"/>
      <w:r w:rsidRPr="006C58C5">
        <w:rPr>
          <w:b/>
          <w:bCs/>
          <w:i/>
          <w:iCs/>
          <w:sz w:val="20"/>
          <w:szCs w:val="22"/>
        </w:rPr>
        <w:lastRenderedPageBreak/>
        <w:t xml:space="preserve">Figure </w:t>
      </w:r>
      <w:r w:rsidRPr="006C58C5">
        <w:rPr>
          <w:b/>
          <w:bCs/>
          <w:i/>
          <w:iCs/>
          <w:sz w:val="20"/>
          <w:szCs w:val="22"/>
        </w:rPr>
        <w:fldChar w:fldCharType="begin"/>
      </w:r>
      <w:r w:rsidRPr="006C58C5">
        <w:rPr>
          <w:b/>
          <w:bCs/>
          <w:i/>
          <w:iCs/>
          <w:sz w:val="20"/>
          <w:szCs w:val="22"/>
        </w:rPr>
        <w:instrText xml:space="preserve"> SEQ Figure \* ARABIC </w:instrText>
      </w:r>
      <w:r w:rsidRPr="006C58C5">
        <w:rPr>
          <w:b/>
          <w:bCs/>
          <w:i/>
          <w:iCs/>
          <w:sz w:val="20"/>
          <w:szCs w:val="22"/>
        </w:rPr>
        <w:fldChar w:fldCharType="separate"/>
      </w:r>
      <w:r w:rsidR="00811FB5" w:rsidRPr="006C58C5">
        <w:rPr>
          <w:b/>
          <w:bCs/>
          <w:i/>
          <w:iCs/>
          <w:noProof/>
          <w:sz w:val="20"/>
          <w:szCs w:val="22"/>
        </w:rPr>
        <w:t>4</w:t>
      </w:r>
      <w:r w:rsidRPr="006C58C5">
        <w:rPr>
          <w:b/>
          <w:bCs/>
          <w:i/>
          <w:iCs/>
          <w:sz w:val="20"/>
          <w:szCs w:val="22"/>
        </w:rPr>
        <w:fldChar w:fldCharType="end"/>
      </w:r>
      <w:r w:rsidRPr="006C58C5">
        <w:rPr>
          <w:b/>
          <w:bCs/>
          <w:i/>
          <w:iCs/>
        </w:rPr>
        <w:t>:</w:t>
      </w:r>
      <w:r w:rsidRPr="00175D8B">
        <w:t xml:space="preserve"> </w:t>
      </w:r>
      <w:r w:rsidRPr="006C58C5">
        <w:rPr>
          <w:rFonts w:eastAsia="Aptos" w:cs="Aptos"/>
          <w:i/>
          <w:color w:val="000000"/>
          <w:sz w:val="20"/>
          <w:szCs w:val="20"/>
        </w:rPr>
        <w:t>Past Earthquakes and Their Distribution</w:t>
      </w:r>
      <w:bookmarkEnd w:id="137"/>
    </w:p>
    <w:p w14:paraId="15ED2404" w14:textId="472B330E" w:rsidR="00AE5C8D" w:rsidRPr="00175D8B" w:rsidRDefault="005C38BA" w:rsidP="00AE5C8D">
      <w:pPr>
        <w:spacing w:before="120" w:after="0" w:line="278" w:lineRule="auto"/>
        <w:ind w:left="360"/>
        <w:contextualSpacing/>
        <w:jc w:val="center"/>
        <w:rPr>
          <w:rFonts w:eastAsia="Aptos" w:cs="Aptos"/>
          <w:color w:val="000000" w:themeColor="text1"/>
          <w:sz w:val="20"/>
          <w:szCs w:val="20"/>
        </w:rPr>
      </w:pPr>
      <w:r w:rsidRPr="00175D8B">
        <w:rPr>
          <w:rFonts w:eastAsia="Aptos" w:cs="Aptos"/>
          <w:noProof/>
          <w:color w:val="000000" w:themeColor="text1"/>
          <w:sz w:val="20"/>
          <w:szCs w:val="20"/>
        </w:rPr>
        <w:drawing>
          <wp:inline distT="0" distB="0" distL="0" distR="0" wp14:anchorId="6308EE68" wp14:editId="1CF061BF">
            <wp:extent cx="4320000" cy="4143600"/>
            <wp:effectExtent l="19050" t="19050" r="23495" b="28575"/>
            <wp:docPr id="209058963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4143600"/>
                    </a:xfrm>
                    <a:prstGeom prst="rect">
                      <a:avLst/>
                    </a:prstGeom>
                    <a:noFill/>
                    <a:ln>
                      <a:solidFill>
                        <a:srgbClr val="767171"/>
                      </a:solidFill>
                    </a:ln>
                  </pic:spPr>
                </pic:pic>
              </a:graphicData>
            </a:graphic>
          </wp:inline>
        </w:drawing>
      </w:r>
    </w:p>
    <w:p w14:paraId="458B69EC" w14:textId="77777777" w:rsidR="00AE5C8D" w:rsidRPr="00175D8B" w:rsidRDefault="00AE5C8D" w:rsidP="00AE5C8D">
      <w:pPr>
        <w:spacing w:before="120" w:after="0" w:line="278" w:lineRule="auto"/>
        <w:ind w:left="360"/>
        <w:contextualSpacing/>
        <w:jc w:val="center"/>
        <w:rPr>
          <w:rFonts w:eastAsia="Aptos" w:cs="Aptos"/>
          <w:i/>
          <w:color w:val="000000" w:themeColor="text1"/>
          <w:sz w:val="18"/>
          <w:szCs w:val="18"/>
        </w:rPr>
      </w:pPr>
      <w:r w:rsidRPr="00175D8B">
        <w:rPr>
          <w:rFonts w:eastAsia="Aptos" w:cs="Aptos"/>
          <w:b/>
          <w:i/>
          <w:color w:val="000000" w:themeColor="text1"/>
          <w:sz w:val="18"/>
          <w:szCs w:val="18"/>
        </w:rPr>
        <w:t xml:space="preserve">Source: </w:t>
      </w:r>
      <w:r w:rsidRPr="00175D8B">
        <w:rPr>
          <w:rFonts w:eastAsia="Aptos" w:cs="Aptos"/>
          <w:i/>
          <w:color w:val="000000" w:themeColor="text1"/>
          <w:sz w:val="18"/>
          <w:szCs w:val="18"/>
        </w:rPr>
        <w:t>AFAD, 2025</w:t>
      </w:r>
    </w:p>
    <w:p w14:paraId="16AC5ECF" w14:textId="0BCB1F63" w:rsidR="006D791E" w:rsidRPr="006C58C5" w:rsidRDefault="006D791E" w:rsidP="006C58C5">
      <w:pPr>
        <w:pStyle w:val="ResimYazs"/>
        <w:keepNext/>
        <w:jc w:val="center"/>
        <w:rPr>
          <w:b/>
          <w:bCs/>
        </w:rPr>
      </w:pPr>
      <w:bookmarkStart w:id="138" w:name="_Toc216344427"/>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10</w:t>
      </w:r>
      <w:r w:rsidRPr="006C58C5">
        <w:rPr>
          <w:b/>
          <w:bCs/>
        </w:rPr>
        <w:fldChar w:fldCharType="end"/>
      </w:r>
      <w:r w:rsidRPr="006C58C5">
        <w:rPr>
          <w:b/>
          <w:bCs/>
        </w:rPr>
        <w:t>:</w:t>
      </w:r>
      <w:r w:rsidRPr="00175D8B">
        <w:rPr>
          <w:b/>
          <w:bCs/>
        </w:rPr>
        <w:t xml:space="preserve"> </w:t>
      </w:r>
      <w:r w:rsidRPr="00175D8B">
        <w:rPr>
          <w:rFonts w:eastAsia="Aptos" w:cs="Aptos"/>
          <w:color w:val="000000"/>
          <w:szCs w:val="20"/>
        </w:rPr>
        <w:t>Values Calculated for the Magnitude-Earthquake Frequency Relationship</w:t>
      </w:r>
      <w:bookmarkEnd w:id="138"/>
    </w:p>
    <w:tbl>
      <w:tblPr>
        <w:tblW w:w="9072" w:type="dxa"/>
        <w:jc w:val="center"/>
        <w:tblLayout w:type="fixed"/>
        <w:tblLook w:val="0400" w:firstRow="0" w:lastRow="0" w:firstColumn="0" w:lastColumn="0" w:noHBand="0" w:noVBand="1"/>
      </w:tblPr>
      <w:tblGrid>
        <w:gridCol w:w="2065"/>
        <w:gridCol w:w="1640"/>
        <w:gridCol w:w="2102"/>
        <w:gridCol w:w="1565"/>
        <w:gridCol w:w="1700"/>
      </w:tblGrid>
      <w:tr w:rsidR="00AE5C8D" w:rsidRPr="00175D8B" w14:paraId="115215A1" w14:textId="77777777" w:rsidTr="00DF417A">
        <w:trPr>
          <w:trHeight w:val="528"/>
          <w:tblHeader/>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2D8FA895" w14:textId="77777777" w:rsidR="00AE5C8D" w:rsidRPr="00175D8B" w:rsidRDefault="00AE5C8D" w:rsidP="00AE5C8D">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Size Range (M)</w:t>
            </w:r>
          </w:p>
        </w:tc>
        <w:tc>
          <w:tcPr>
            <w:tcW w:w="1640" w:type="dxa"/>
            <w:tcBorders>
              <w:top w:val="single" w:sz="4" w:space="0" w:color="000000"/>
              <w:left w:val="nil"/>
              <w:bottom w:val="single" w:sz="4" w:space="0" w:color="000000"/>
              <w:right w:val="single" w:sz="4" w:space="0" w:color="000000"/>
            </w:tcBorders>
            <w:shd w:val="clear" w:color="auto" w:fill="ABB7C1"/>
            <w:vAlign w:val="center"/>
          </w:tcPr>
          <w:p w14:paraId="7B432747" w14:textId="77777777" w:rsidR="00AE5C8D" w:rsidRPr="00175D8B" w:rsidRDefault="00AE5C8D" w:rsidP="00AE5C8D">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Number of Earthquakes (N)</w:t>
            </w:r>
          </w:p>
        </w:tc>
        <w:tc>
          <w:tcPr>
            <w:tcW w:w="2102" w:type="dxa"/>
            <w:tcBorders>
              <w:top w:val="single" w:sz="4" w:space="0" w:color="000000"/>
              <w:left w:val="nil"/>
              <w:bottom w:val="single" w:sz="4" w:space="0" w:color="000000"/>
              <w:right w:val="single" w:sz="4" w:space="0" w:color="000000"/>
            </w:tcBorders>
            <w:shd w:val="clear" w:color="auto" w:fill="ABB7C1"/>
            <w:vAlign w:val="center"/>
          </w:tcPr>
          <w:p w14:paraId="5A46D61D" w14:textId="77777777" w:rsidR="00AE5C8D" w:rsidRPr="00175D8B" w:rsidRDefault="00AE5C8D" w:rsidP="00AE5C8D">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Mean Magnitude (M&lt;sub&gt;avg&lt;/sub&gt;)</w:t>
            </w:r>
          </w:p>
        </w:tc>
        <w:tc>
          <w:tcPr>
            <w:tcW w:w="1565" w:type="dxa"/>
            <w:tcBorders>
              <w:top w:val="single" w:sz="4" w:space="0" w:color="000000"/>
              <w:left w:val="nil"/>
              <w:bottom w:val="single" w:sz="4" w:space="0" w:color="000000"/>
              <w:right w:val="single" w:sz="4" w:space="0" w:color="000000"/>
            </w:tcBorders>
            <w:shd w:val="clear" w:color="auto" w:fill="ABB7C1"/>
            <w:vAlign w:val="center"/>
          </w:tcPr>
          <w:p w14:paraId="6A90F22C" w14:textId="77777777" w:rsidR="00AE5C8D" w:rsidRPr="00175D8B" w:rsidRDefault="00AE5C8D" w:rsidP="00AE5C8D">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Cumulative Number of Earthquakes (ΣN)</w:t>
            </w:r>
          </w:p>
        </w:tc>
        <w:tc>
          <w:tcPr>
            <w:tcW w:w="1700" w:type="dxa"/>
            <w:tcBorders>
              <w:top w:val="single" w:sz="4" w:space="0" w:color="000000"/>
              <w:left w:val="nil"/>
              <w:bottom w:val="single" w:sz="4" w:space="0" w:color="000000"/>
              <w:right w:val="single" w:sz="4" w:space="0" w:color="000000"/>
            </w:tcBorders>
            <w:shd w:val="clear" w:color="auto" w:fill="ABB7C1"/>
            <w:vAlign w:val="center"/>
          </w:tcPr>
          <w:p w14:paraId="55A76171" w14:textId="77777777" w:rsidR="00AE5C8D" w:rsidRPr="00175D8B" w:rsidRDefault="00AE5C8D" w:rsidP="00AE5C8D">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Annual Frequency (ΣN/t)</w:t>
            </w:r>
          </w:p>
        </w:tc>
      </w:tr>
      <w:tr w:rsidR="00AE5C8D" w:rsidRPr="00175D8B" w14:paraId="38188769" w14:textId="77777777" w:rsidTr="00DF417A">
        <w:trPr>
          <w:trHeight w:val="264"/>
          <w:jc w:val="center"/>
        </w:trPr>
        <w:tc>
          <w:tcPr>
            <w:tcW w:w="2065" w:type="dxa"/>
            <w:tcBorders>
              <w:top w:val="nil"/>
              <w:left w:val="single" w:sz="4" w:space="0" w:color="000000"/>
              <w:bottom w:val="single" w:sz="4" w:space="0" w:color="000000"/>
              <w:right w:val="single" w:sz="4" w:space="0" w:color="000000"/>
            </w:tcBorders>
            <w:shd w:val="clear" w:color="auto" w:fill="F2F2F2"/>
            <w:vAlign w:val="center"/>
          </w:tcPr>
          <w:p w14:paraId="15147258"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4.0 ≤ M &lt; 4.5</w:t>
            </w:r>
          </w:p>
        </w:tc>
        <w:tc>
          <w:tcPr>
            <w:tcW w:w="1640" w:type="dxa"/>
            <w:tcBorders>
              <w:top w:val="nil"/>
              <w:left w:val="nil"/>
              <w:bottom w:val="single" w:sz="4" w:space="0" w:color="000000"/>
              <w:right w:val="single" w:sz="4" w:space="0" w:color="000000"/>
            </w:tcBorders>
            <w:shd w:val="clear" w:color="auto" w:fill="F2F2F2"/>
            <w:vAlign w:val="center"/>
          </w:tcPr>
          <w:p w14:paraId="4C735DEE"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146</w:t>
            </w:r>
          </w:p>
        </w:tc>
        <w:tc>
          <w:tcPr>
            <w:tcW w:w="2102" w:type="dxa"/>
            <w:tcBorders>
              <w:top w:val="nil"/>
              <w:left w:val="nil"/>
              <w:bottom w:val="single" w:sz="4" w:space="0" w:color="000000"/>
              <w:right w:val="single" w:sz="4" w:space="0" w:color="000000"/>
            </w:tcBorders>
            <w:shd w:val="clear" w:color="auto" w:fill="F2F2F2"/>
            <w:vAlign w:val="center"/>
          </w:tcPr>
          <w:p w14:paraId="00E743A3" w14:textId="7EA3643D" w:rsidR="00AE5C8D" w:rsidRPr="00175D8B" w:rsidRDefault="0043424E" w:rsidP="00AE5C8D">
            <w:pPr>
              <w:spacing w:before="120" w:after="0" w:line="240" w:lineRule="auto"/>
              <w:jc w:val="center"/>
              <w:rPr>
                <w:rFonts w:eastAsia="Aptos" w:cs="Aptos"/>
                <w:color w:val="000000" w:themeColor="text1"/>
                <w:sz w:val="20"/>
                <w:szCs w:val="20"/>
              </w:rPr>
            </w:pPr>
            <w:sdt>
              <w:sdtPr>
                <w:rPr>
                  <w:rFonts w:eastAsia="Aptos" w:cs="Aptos"/>
                  <w:color w:val="000000" w:themeColor="text1"/>
                  <w:szCs w:val="22"/>
                </w:rPr>
                <w:tag w:val="goog_rdk_6"/>
                <w:id w:val="-73449019"/>
                <w:showingPlcHdr/>
              </w:sdtPr>
              <w:sdtEndPr/>
              <w:sdtContent>
                <w:r w:rsidR="00B35049" w:rsidRPr="00175D8B">
                  <w:rPr>
                    <w:rFonts w:eastAsia="Aptos" w:cs="Aptos"/>
                    <w:color w:val="000000" w:themeColor="text1"/>
                    <w:szCs w:val="22"/>
                  </w:rPr>
                  <w:t xml:space="preserve">     </w:t>
                </w:r>
              </w:sdtContent>
            </w:sdt>
            <w:r w:rsidR="00AE5C8D" w:rsidRPr="00175D8B">
              <w:rPr>
                <w:rFonts w:eastAsia="Aptos" w:cs="Aptos"/>
                <w:color w:val="000000" w:themeColor="text1"/>
                <w:sz w:val="20"/>
                <w:szCs w:val="20"/>
              </w:rPr>
              <w:t>4,160959</w:t>
            </w:r>
          </w:p>
        </w:tc>
        <w:tc>
          <w:tcPr>
            <w:tcW w:w="1565" w:type="dxa"/>
            <w:tcBorders>
              <w:top w:val="nil"/>
              <w:left w:val="nil"/>
              <w:bottom w:val="single" w:sz="4" w:space="0" w:color="000000"/>
              <w:right w:val="single" w:sz="4" w:space="0" w:color="000000"/>
            </w:tcBorders>
            <w:shd w:val="clear" w:color="auto" w:fill="F2F2F2"/>
            <w:vAlign w:val="center"/>
          </w:tcPr>
          <w:p w14:paraId="431A8554"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240</w:t>
            </w:r>
          </w:p>
        </w:tc>
        <w:tc>
          <w:tcPr>
            <w:tcW w:w="1700" w:type="dxa"/>
            <w:tcBorders>
              <w:top w:val="nil"/>
              <w:left w:val="nil"/>
              <w:bottom w:val="single" w:sz="4" w:space="0" w:color="000000"/>
              <w:right w:val="single" w:sz="4" w:space="0" w:color="000000"/>
            </w:tcBorders>
            <w:shd w:val="clear" w:color="auto" w:fill="F2F2F2"/>
            <w:vAlign w:val="center"/>
          </w:tcPr>
          <w:p w14:paraId="6B79BB6F"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2,4</w:t>
            </w:r>
          </w:p>
        </w:tc>
      </w:tr>
      <w:tr w:rsidR="00AE5C8D" w:rsidRPr="00175D8B" w14:paraId="63A899A7" w14:textId="77777777" w:rsidTr="00DF417A">
        <w:trPr>
          <w:trHeight w:val="264"/>
          <w:jc w:val="center"/>
        </w:trPr>
        <w:tc>
          <w:tcPr>
            <w:tcW w:w="2065" w:type="dxa"/>
            <w:tcBorders>
              <w:top w:val="nil"/>
              <w:left w:val="single" w:sz="4" w:space="0" w:color="000000"/>
              <w:bottom w:val="single" w:sz="4" w:space="0" w:color="000000"/>
              <w:right w:val="single" w:sz="4" w:space="0" w:color="000000"/>
            </w:tcBorders>
            <w:shd w:val="clear" w:color="auto" w:fill="F2F2F2"/>
            <w:vAlign w:val="center"/>
          </w:tcPr>
          <w:p w14:paraId="200FAB2D"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4.5 ≤ M &lt; 5.0</w:t>
            </w:r>
          </w:p>
        </w:tc>
        <w:tc>
          <w:tcPr>
            <w:tcW w:w="1640" w:type="dxa"/>
            <w:tcBorders>
              <w:top w:val="nil"/>
              <w:left w:val="nil"/>
              <w:bottom w:val="single" w:sz="4" w:space="0" w:color="000000"/>
              <w:right w:val="single" w:sz="4" w:space="0" w:color="000000"/>
            </w:tcBorders>
            <w:shd w:val="clear" w:color="auto" w:fill="F2F2F2"/>
            <w:vAlign w:val="center"/>
          </w:tcPr>
          <w:p w14:paraId="1426A3A2"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64</w:t>
            </w:r>
          </w:p>
        </w:tc>
        <w:tc>
          <w:tcPr>
            <w:tcW w:w="2102" w:type="dxa"/>
            <w:tcBorders>
              <w:top w:val="nil"/>
              <w:left w:val="nil"/>
              <w:bottom w:val="single" w:sz="4" w:space="0" w:color="000000"/>
              <w:right w:val="single" w:sz="4" w:space="0" w:color="000000"/>
            </w:tcBorders>
            <w:shd w:val="clear" w:color="auto" w:fill="F2F2F2"/>
            <w:vAlign w:val="center"/>
          </w:tcPr>
          <w:p w14:paraId="29603FDD"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4,664063</w:t>
            </w:r>
          </w:p>
        </w:tc>
        <w:tc>
          <w:tcPr>
            <w:tcW w:w="1565" w:type="dxa"/>
            <w:tcBorders>
              <w:top w:val="nil"/>
              <w:left w:val="nil"/>
              <w:bottom w:val="single" w:sz="4" w:space="0" w:color="000000"/>
              <w:right w:val="single" w:sz="4" w:space="0" w:color="000000"/>
            </w:tcBorders>
            <w:shd w:val="clear" w:color="auto" w:fill="F2F2F2"/>
            <w:vAlign w:val="center"/>
          </w:tcPr>
          <w:p w14:paraId="6C7EDC19"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94</w:t>
            </w:r>
          </w:p>
        </w:tc>
        <w:tc>
          <w:tcPr>
            <w:tcW w:w="1700" w:type="dxa"/>
            <w:tcBorders>
              <w:top w:val="nil"/>
              <w:left w:val="nil"/>
              <w:bottom w:val="single" w:sz="4" w:space="0" w:color="000000"/>
              <w:right w:val="single" w:sz="4" w:space="0" w:color="000000"/>
            </w:tcBorders>
            <w:shd w:val="clear" w:color="auto" w:fill="F2F2F2"/>
            <w:vAlign w:val="center"/>
          </w:tcPr>
          <w:p w14:paraId="59CE8A9D"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0,94</w:t>
            </w:r>
          </w:p>
        </w:tc>
      </w:tr>
      <w:tr w:rsidR="00AE5C8D" w:rsidRPr="00175D8B" w14:paraId="78A1FF39" w14:textId="77777777" w:rsidTr="00DF417A">
        <w:trPr>
          <w:trHeight w:val="264"/>
          <w:jc w:val="center"/>
        </w:trPr>
        <w:tc>
          <w:tcPr>
            <w:tcW w:w="2065" w:type="dxa"/>
            <w:tcBorders>
              <w:top w:val="nil"/>
              <w:left w:val="single" w:sz="4" w:space="0" w:color="000000"/>
              <w:bottom w:val="single" w:sz="4" w:space="0" w:color="000000"/>
              <w:right w:val="single" w:sz="4" w:space="0" w:color="000000"/>
            </w:tcBorders>
            <w:shd w:val="clear" w:color="auto" w:fill="F2F2F2"/>
            <w:vAlign w:val="center"/>
          </w:tcPr>
          <w:p w14:paraId="561B75BB"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5.0 ≤ M &lt; 5.5</w:t>
            </w:r>
          </w:p>
        </w:tc>
        <w:tc>
          <w:tcPr>
            <w:tcW w:w="1640" w:type="dxa"/>
            <w:tcBorders>
              <w:top w:val="nil"/>
              <w:left w:val="nil"/>
              <w:bottom w:val="single" w:sz="4" w:space="0" w:color="000000"/>
              <w:right w:val="single" w:sz="4" w:space="0" w:color="000000"/>
            </w:tcBorders>
            <w:shd w:val="clear" w:color="auto" w:fill="F2F2F2"/>
            <w:vAlign w:val="center"/>
          </w:tcPr>
          <w:p w14:paraId="76806D82"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16</w:t>
            </w:r>
          </w:p>
        </w:tc>
        <w:tc>
          <w:tcPr>
            <w:tcW w:w="2102" w:type="dxa"/>
            <w:tcBorders>
              <w:top w:val="nil"/>
              <w:left w:val="nil"/>
              <w:bottom w:val="single" w:sz="4" w:space="0" w:color="000000"/>
              <w:right w:val="single" w:sz="4" w:space="0" w:color="000000"/>
            </w:tcBorders>
            <w:shd w:val="clear" w:color="auto" w:fill="F2F2F2"/>
            <w:vAlign w:val="center"/>
          </w:tcPr>
          <w:p w14:paraId="37F6079E"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5,1625</w:t>
            </w:r>
          </w:p>
        </w:tc>
        <w:tc>
          <w:tcPr>
            <w:tcW w:w="1565" w:type="dxa"/>
            <w:tcBorders>
              <w:top w:val="nil"/>
              <w:left w:val="nil"/>
              <w:bottom w:val="single" w:sz="4" w:space="0" w:color="000000"/>
              <w:right w:val="single" w:sz="4" w:space="0" w:color="000000"/>
            </w:tcBorders>
            <w:shd w:val="clear" w:color="auto" w:fill="F2F2F2"/>
            <w:vAlign w:val="center"/>
          </w:tcPr>
          <w:p w14:paraId="748F07BF"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30</w:t>
            </w:r>
          </w:p>
        </w:tc>
        <w:tc>
          <w:tcPr>
            <w:tcW w:w="1700" w:type="dxa"/>
            <w:tcBorders>
              <w:top w:val="nil"/>
              <w:left w:val="nil"/>
              <w:bottom w:val="single" w:sz="4" w:space="0" w:color="000000"/>
              <w:right w:val="single" w:sz="4" w:space="0" w:color="000000"/>
            </w:tcBorders>
            <w:shd w:val="clear" w:color="auto" w:fill="F2F2F2"/>
            <w:vAlign w:val="center"/>
          </w:tcPr>
          <w:p w14:paraId="2E2911F0"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0,30</w:t>
            </w:r>
          </w:p>
        </w:tc>
      </w:tr>
      <w:tr w:rsidR="00AE5C8D" w:rsidRPr="00175D8B" w14:paraId="6187886A" w14:textId="77777777" w:rsidTr="00DF417A">
        <w:trPr>
          <w:trHeight w:val="264"/>
          <w:jc w:val="center"/>
        </w:trPr>
        <w:tc>
          <w:tcPr>
            <w:tcW w:w="2065" w:type="dxa"/>
            <w:tcBorders>
              <w:top w:val="nil"/>
              <w:left w:val="single" w:sz="4" w:space="0" w:color="000000"/>
              <w:bottom w:val="single" w:sz="4" w:space="0" w:color="000000"/>
              <w:right w:val="single" w:sz="4" w:space="0" w:color="000000"/>
            </w:tcBorders>
            <w:shd w:val="clear" w:color="auto" w:fill="F2F2F2"/>
            <w:vAlign w:val="center"/>
          </w:tcPr>
          <w:p w14:paraId="79C92224"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5.5 ≤ M &lt; 6.0</w:t>
            </w:r>
          </w:p>
        </w:tc>
        <w:tc>
          <w:tcPr>
            <w:tcW w:w="1640" w:type="dxa"/>
            <w:tcBorders>
              <w:top w:val="nil"/>
              <w:left w:val="nil"/>
              <w:bottom w:val="single" w:sz="4" w:space="0" w:color="000000"/>
              <w:right w:val="single" w:sz="4" w:space="0" w:color="000000"/>
            </w:tcBorders>
            <w:shd w:val="clear" w:color="auto" w:fill="F2F2F2"/>
            <w:vAlign w:val="center"/>
          </w:tcPr>
          <w:p w14:paraId="342FC9C5"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10</w:t>
            </w:r>
          </w:p>
        </w:tc>
        <w:tc>
          <w:tcPr>
            <w:tcW w:w="2102" w:type="dxa"/>
            <w:tcBorders>
              <w:top w:val="nil"/>
              <w:left w:val="nil"/>
              <w:bottom w:val="single" w:sz="4" w:space="0" w:color="000000"/>
              <w:right w:val="single" w:sz="4" w:space="0" w:color="000000"/>
            </w:tcBorders>
            <w:shd w:val="clear" w:color="auto" w:fill="F2F2F2"/>
            <w:vAlign w:val="center"/>
          </w:tcPr>
          <w:p w14:paraId="285C6CCD"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5,67</w:t>
            </w:r>
          </w:p>
        </w:tc>
        <w:tc>
          <w:tcPr>
            <w:tcW w:w="1565" w:type="dxa"/>
            <w:tcBorders>
              <w:top w:val="nil"/>
              <w:left w:val="nil"/>
              <w:bottom w:val="single" w:sz="4" w:space="0" w:color="000000"/>
              <w:right w:val="single" w:sz="4" w:space="0" w:color="000000"/>
            </w:tcBorders>
            <w:shd w:val="clear" w:color="auto" w:fill="F2F2F2"/>
            <w:vAlign w:val="center"/>
          </w:tcPr>
          <w:p w14:paraId="7CC6ACF7"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14</w:t>
            </w:r>
          </w:p>
        </w:tc>
        <w:tc>
          <w:tcPr>
            <w:tcW w:w="1700" w:type="dxa"/>
            <w:tcBorders>
              <w:top w:val="nil"/>
              <w:left w:val="nil"/>
              <w:bottom w:val="single" w:sz="4" w:space="0" w:color="000000"/>
              <w:right w:val="single" w:sz="4" w:space="0" w:color="000000"/>
            </w:tcBorders>
            <w:shd w:val="clear" w:color="auto" w:fill="F2F2F2"/>
            <w:vAlign w:val="center"/>
          </w:tcPr>
          <w:p w14:paraId="6CE67E48"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0,14</w:t>
            </w:r>
          </w:p>
        </w:tc>
      </w:tr>
      <w:tr w:rsidR="00AE5C8D" w:rsidRPr="00175D8B" w14:paraId="78F5AAC4" w14:textId="77777777" w:rsidTr="00DF417A">
        <w:trPr>
          <w:trHeight w:val="264"/>
          <w:jc w:val="center"/>
        </w:trPr>
        <w:tc>
          <w:tcPr>
            <w:tcW w:w="2065" w:type="dxa"/>
            <w:tcBorders>
              <w:top w:val="nil"/>
              <w:left w:val="single" w:sz="4" w:space="0" w:color="000000"/>
              <w:bottom w:val="single" w:sz="4" w:space="0" w:color="000000"/>
              <w:right w:val="single" w:sz="4" w:space="0" w:color="000000"/>
            </w:tcBorders>
            <w:shd w:val="clear" w:color="auto" w:fill="F2F2F2"/>
            <w:vAlign w:val="center"/>
          </w:tcPr>
          <w:p w14:paraId="278938E1"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6.5 ≤ M &lt; 7.0</w:t>
            </w:r>
          </w:p>
        </w:tc>
        <w:tc>
          <w:tcPr>
            <w:tcW w:w="1640" w:type="dxa"/>
            <w:tcBorders>
              <w:top w:val="nil"/>
              <w:left w:val="nil"/>
              <w:bottom w:val="single" w:sz="4" w:space="0" w:color="000000"/>
              <w:right w:val="single" w:sz="4" w:space="0" w:color="000000"/>
            </w:tcBorders>
            <w:shd w:val="clear" w:color="auto" w:fill="F2F2F2"/>
            <w:vAlign w:val="center"/>
          </w:tcPr>
          <w:p w14:paraId="5657D891"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w:t>
            </w:r>
          </w:p>
        </w:tc>
        <w:tc>
          <w:tcPr>
            <w:tcW w:w="2102" w:type="dxa"/>
            <w:tcBorders>
              <w:top w:val="nil"/>
              <w:left w:val="nil"/>
              <w:bottom w:val="single" w:sz="4" w:space="0" w:color="000000"/>
              <w:right w:val="single" w:sz="4" w:space="0" w:color="000000"/>
            </w:tcBorders>
            <w:shd w:val="clear" w:color="auto" w:fill="F2F2F2"/>
            <w:vAlign w:val="center"/>
          </w:tcPr>
          <w:p w14:paraId="031C21CC"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6,7</w:t>
            </w:r>
          </w:p>
        </w:tc>
        <w:tc>
          <w:tcPr>
            <w:tcW w:w="1565" w:type="dxa"/>
            <w:tcBorders>
              <w:top w:val="nil"/>
              <w:left w:val="nil"/>
              <w:bottom w:val="single" w:sz="4" w:space="0" w:color="000000"/>
              <w:right w:val="single" w:sz="4" w:space="0" w:color="000000"/>
            </w:tcBorders>
            <w:shd w:val="clear" w:color="auto" w:fill="F2F2F2"/>
            <w:vAlign w:val="center"/>
          </w:tcPr>
          <w:p w14:paraId="694950E5"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4</w:t>
            </w:r>
          </w:p>
        </w:tc>
        <w:tc>
          <w:tcPr>
            <w:tcW w:w="1700" w:type="dxa"/>
            <w:tcBorders>
              <w:top w:val="nil"/>
              <w:left w:val="nil"/>
              <w:bottom w:val="single" w:sz="4" w:space="0" w:color="000000"/>
              <w:right w:val="single" w:sz="4" w:space="0" w:color="000000"/>
            </w:tcBorders>
            <w:shd w:val="clear" w:color="auto" w:fill="F2F2F2"/>
            <w:vAlign w:val="center"/>
          </w:tcPr>
          <w:p w14:paraId="3CB14D77"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0,04</w:t>
            </w:r>
          </w:p>
        </w:tc>
      </w:tr>
      <w:tr w:rsidR="00AE5C8D" w:rsidRPr="00175D8B" w14:paraId="767579F3" w14:textId="77777777" w:rsidTr="00DF417A">
        <w:trPr>
          <w:trHeight w:val="264"/>
          <w:jc w:val="center"/>
        </w:trPr>
        <w:tc>
          <w:tcPr>
            <w:tcW w:w="2065" w:type="dxa"/>
            <w:tcBorders>
              <w:top w:val="nil"/>
              <w:left w:val="single" w:sz="4" w:space="0" w:color="000000"/>
              <w:bottom w:val="single" w:sz="4" w:space="0" w:color="000000"/>
              <w:right w:val="single" w:sz="4" w:space="0" w:color="000000"/>
            </w:tcBorders>
            <w:shd w:val="clear" w:color="auto" w:fill="F2F2F2"/>
            <w:vAlign w:val="center"/>
          </w:tcPr>
          <w:p w14:paraId="03A5078F"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7.0 ≤ M &lt; 7.5</w:t>
            </w:r>
          </w:p>
        </w:tc>
        <w:tc>
          <w:tcPr>
            <w:tcW w:w="1640" w:type="dxa"/>
            <w:tcBorders>
              <w:top w:val="nil"/>
              <w:left w:val="nil"/>
              <w:bottom w:val="single" w:sz="4" w:space="0" w:color="000000"/>
              <w:right w:val="single" w:sz="4" w:space="0" w:color="000000"/>
            </w:tcBorders>
            <w:shd w:val="clear" w:color="auto" w:fill="F2F2F2"/>
            <w:vAlign w:val="center"/>
          </w:tcPr>
          <w:p w14:paraId="6D1FB138"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w:t>
            </w:r>
          </w:p>
        </w:tc>
        <w:tc>
          <w:tcPr>
            <w:tcW w:w="2102" w:type="dxa"/>
            <w:tcBorders>
              <w:top w:val="nil"/>
              <w:left w:val="nil"/>
              <w:bottom w:val="single" w:sz="4" w:space="0" w:color="000000"/>
              <w:right w:val="single" w:sz="4" w:space="0" w:color="000000"/>
            </w:tcBorders>
            <w:shd w:val="clear" w:color="auto" w:fill="F2F2F2"/>
            <w:vAlign w:val="center"/>
          </w:tcPr>
          <w:p w14:paraId="73DE9AFD"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7,1</w:t>
            </w:r>
          </w:p>
        </w:tc>
        <w:tc>
          <w:tcPr>
            <w:tcW w:w="1565" w:type="dxa"/>
            <w:tcBorders>
              <w:top w:val="nil"/>
              <w:left w:val="nil"/>
              <w:bottom w:val="single" w:sz="4" w:space="0" w:color="000000"/>
              <w:right w:val="single" w:sz="4" w:space="0" w:color="000000"/>
            </w:tcBorders>
            <w:shd w:val="clear" w:color="auto" w:fill="F2F2F2"/>
            <w:vAlign w:val="center"/>
          </w:tcPr>
          <w:p w14:paraId="3DECE09C"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w:t>
            </w:r>
          </w:p>
        </w:tc>
        <w:tc>
          <w:tcPr>
            <w:tcW w:w="1700" w:type="dxa"/>
            <w:tcBorders>
              <w:top w:val="nil"/>
              <w:left w:val="nil"/>
              <w:bottom w:val="single" w:sz="4" w:space="0" w:color="000000"/>
              <w:right w:val="single" w:sz="4" w:space="0" w:color="000000"/>
            </w:tcBorders>
            <w:shd w:val="clear" w:color="auto" w:fill="F2F2F2"/>
            <w:vAlign w:val="center"/>
          </w:tcPr>
          <w:p w14:paraId="43718E86" w14:textId="77777777" w:rsidR="00AE5C8D" w:rsidRPr="00175D8B" w:rsidRDefault="00AE5C8D" w:rsidP="00AE5C8D">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0,02</w:t>
            </w:r>
          </w:p>
        </w:tc>
      </w:tr>
    </w:tbl>
    <w:p w14:paraId="13D4663A" w14:textId="77777777" w:rsidR="00AE5C8D" w:rsidRPr="00175D8B" w:rsidRDefault="00AE5C8D" w:rsidP="00AE5C8D">
      <w:pPr>
        <w:spacing w:before="120" w:after="0" w:line="278" w:lineRule="auto"/>
        <w:ind w:left="360"/>
        <w:contextualSpacing/>
        <w:jc w:val="center"/>
        <w:rPr>
          <w:rFonts w:eastAsia="Aptos" w:cs="Aptos"/>
          <w:i/>
          <w:color w:val="000000" w:themeColor="text1"/>
          <w:sz w:val="18"/>
          <w:szCs w:val="18"/>
        </w:rPr>
      </w:pPr>
      <w:r w:rsidRPr="00175D8B">
        <w:rPr>
          <w:rFonts w:eastAsia="Aptos" w:cs="Aptos"/>
          <w:b/>
          <w:i/>
          <w:color w:val="000000" w:themeColor="text1"/>
          <w:sz w:val="18"/>
          <w:szCs w:val="18"/>
        </w:rPr>
        <w:t xml:space="preserve">Source: </w:t>
      </w:r>
      <w:r w:rsidRPr="00175D8B">
        <w:rPr>
          <w:rFonts w:eastAsia="Aptos" w:cs="Aptos"/>
          <w:i/>
          <w:color w:val="000000" w:themeColor="text1"/>
          <w:sz w:val="18"/>
          <w:szCs w:val="18"/>
        </w:rPr>
        <w:t>AFAD, 2025</w:t>
      </w:r>
    </w:p>
    <w:p w14:paraId="53CB47A9" w14:textId="7BAD5BA7" w:rsidR="0088543A" w:rsidRPr="00175D8B" w:rsidRDefault="0088543A" w:rsidP="0088543A">
      <w:pPr>
        <w:spacing w:before="240" w:after="240"/>
      </w:pPr>
      <w:bookmarkStart w:id="139" w:name="_heading=h.3gb5y1xkjvw3" w:colFirst="0" w:colLast="0"/>
      <w:bookmarkEnd w:id="139"/>
      <w:r w:rsidRPr="00175D8B">
        <w:t xml:space="preserve">The southern branch segment between Geyve and Gemlik consists of stepped faults along its length of approximately 100 kilometers and is divided into two sub-segments: the Geyve Fault and the İznik Fault. The Geyve segment extends for approximately 45 km, starting from the east of Mudurnu Valley to Mekece, while the İznik segment continues for 60 km from Mekece to Sölöz. It has been determined </w:t>
      </w:r>
      <w:r w:rsidRPr="00175D8B">
        <w:lastRenderedPageBreak/>
        <w:t>that there is a displacement of 14 to 21 kilometers in the Geyve Basin of the Sakarya River due to the right-lateral strike-slip fault movement. Additionally, it has been observed that the section between Bozviran and Mekece exhibits characteristics of an expansion zone operating together with normal faults, in addition to its strike-slip fault characteristics.</w:t>
      </w:r>
    </w:p>
    <w:p w14:paraId="3CC523ED" w14:textId="388905B9" w:rsidR="00087173" w:rsidRPr="00175D8B" w:rsidRDefault="0088543A" w:rsidP="0088543A">
      <w:pPr>
        <w:pStyle w:val="ListeParagraf"/>
        <w:spacing w:before="240" w:after="240"/>
        <w:ind w:left="0"/>
      </w:pPr>
      <w:r w:rsidRPr="00175D8B">
        <w:t>The section located in the Eastern Marmara part of the NAFZ, extending for approximately 125 km between Sapanca and Gölcük, is defined as the segment between Sapanca and Çınarcık. While the fault line cannot be traced in the Akyazı Plain, it becomes evident on the surface to the south of Sapanca Lake. This segment formed a surface rupture approximately 150 km long during the İzmit Earthquake on August 17, 1999, and attracted attention due to its maximum displacement value reaching 5.2 meters, particularly to the east of Sapanca Lake. The İzmit-Sapanca segment extends in an east-west direction, starting from the Gulf of İzmit to the west of Sapanca Lake, and is 25 kilometers long. The highest displacement value on this segment was recorded in Arifiye district, with 5.1 meters. Additionally, vertical displacements of up to 80 cm were observed in this segment.</w:t>
      </w:r>
    </w:p>
    <w:p w14:paraId="77CC106D" w14:textId="77777777" w:rsidR="0088543A" w:rsidRPr="00175D8B" w:rsidRDefault="0088543A" w:rsidP="0088543A">
      <w:pPr>
        <w:spacing w:before="240" w:after="240"/>
      </w:pPr>
      <w:r w:rsidRPr="00175D8B">
        <w:t>The Karadere segment follows the Karadere Valley for approximately 25 km, starting from the east of Akyazı to the Düzce Plain. Right-lateral displacement of up to 1.55 meters was measured on this segment. During the August 17, 1999 İzmit Earthquake, small fractures characterized by low displacements occurred to the south of Gölyaka, and this area was later significantly displaced during the November 12, 1999 Düzce Earthquake, showing vertical displacements.</w:t>
      </w:r>
    </w:p>
    <w:p w14:paraId="647311C4" w14:textId="03D16DAC" w:rsidR="00087173" w:rsidRPr="00175D8B" w:rsidRDefault="0088543A" w:rsidP="00087173">
      <w:pPr>
        <w:pStyle w:val="ListeParagraf"/>
        <w:spacing w:before="240" w:after="240"/>
        <w:ind w:left="0"/>
      </w:pPr>
      <w:r w:rsidRPr="00175D8B">
        <w:t xml:space="preserve">A significant portion of urban and rural settlements throughout Sakarya province has developed in alluvial plain areas. While these areas are advantageous for agricultural production and transportation, they carry a high level of earthquake risk due to their location on active tectonic systems and the tendency of soil properties to undergo liquefaction. Additionally, the high prevailing vibration periods of these soils increase the destructive effect in the event of possible earthquakes. According to ground analysis, Ferizli district has the highest value, with 87%, in terms of the ratio of residential areas on solid ground. Kocaali district ranks second with a rate of 63%, and Kaynarca ranks third with a rate of 47%. On the other hand, 93% of the residential areas in Karapürçek district are located on grounds suitable for third-degree settlement, while nearly all of the other 12 district centers are located in fourth-degree settlement areas. It has been determined that more than 60% of the residential areas, especially in districts such as Söğütlü, Taraklı, Akyazı, Erenler, Hendek, and Adapazarı, are situated on </w:t>
      </w:r>
      <w:r w:rsidRPr="00175D8B">
        <w:lastRenderedPageBreak/>
        <w:t>poor ground conditions. This situation poses an important challenge in terms of both the high risk of disaster and the pressure on the construction of productive agricultural areas.</w:t>
      </w:r>
      <w:r w:rsidR="00087173" w:rsidRPr="00175D8B">
        <w:rPr>
          <w:vertAlign w:val="superscript"/>
        </w:rPr>
        <w:footnoteReference w:id="13"/>
      </w:r>
    </w:p>
    <w:p w14:paraId="54845F15" w14:textId="068031B7" w:rsidR="00D80A2F" w:rsidRPr="00175D8B" w:rsidRDefault="00B70F83" w:rsidP="002550A6">
      <w:pPr>
        <w:pStyle w:val="Balk3"/>
        <w:numPr>
          <w:ilvl w:val="2"/>
          <w:numId w:val="152"/>
        </w:numPr>
      </w:pPr>
      <w:bookmarkStart w:id="140" w:name="_Toc212541865"/>
      <w:bookmarkStart w:id="141" w:name="_Toc212542376"/>
      <w:bookmarkStart w:id="142" w:name="_Toc220672785"/>
      <w:r w:rsidRPr="00175D8B">
        <w:t>Air Quality</w:t>
      </w:r>
      <w:bookmarkEnd w:id="140"/>
      <w:bookmarkEnd w:id="141"/>
      <w:bookmarkEnd w:id="142"/>
      <w:r w:rsidRPr="00175D8B">
        <w:t xml:space="preserve"> </w:t>
      </w:r>
    </w:p>
    <w:p w14:paraId="6957A002" w14:textId="77777777" w:rsidR="00B70F83" w:rsidRPr="00175D8B" w:rsidRDefault="00B70F83" w:rsidP="00B70F83">
      <w:r w:rsidRPr="00175D8B">
        <w:t>The most significant parameter affecting air quality in the scope of demolition and construction activities is the release of particulate matter. The evaluation of particulate matter measurement values for Sakarya province was conducted according to the data from the Continuous Monitoring Center of the Ministry of Environment, Urbanization, and Climate Change of the Republic of Türkiye.</w:t>
      </w:r>
    </w:p>
    <w:p w14:paraId="61A25B18" w14:textId="77777777" w:rsidR="00B70F83" w:rsidRPr="00175D8B" w:rsidRDefault="00B70F83" w:rsidP="00B70F83">
      <w:r w:rsidRPr="00175D8B">
        <w:t>According to national legislation, to protect human health, the annual average PM10 value should meet the limit of 40 μg/m³, and the 24-hour average should not exceed the limit of 50 μg/m³ more than 35 times a year. These limits were in line with the internationally accepted World Health Organization (WHO) guideline values until September 2021. However, the new guideline values published by the WHO in September 2021 specify a 24-hour average value of 45 μg/m³ for PM10 and 15 μg/m³ for the annual average.</w:t>
      </w:r>
    </w:p>
    <w:p w14:paraId="2C8D96EA" w14:textId="77777777" w:rsidR="00B70F83" w:rsidRPr="00175D8B" w:rsidRDefault="00B70F83" w:rsidP="00B70F83">
      <w:r w:rsidRPr="00175D8B">
        <w:t>Measurement stations established to monitor air quality in Sakarya province were located with consideration of different pollutant sources. Stations were set up at the Meteorology Directorate and Ozanlar District to monitor pollution caused by heating, on Sakarya Street to monitor traffic-related pollution, and in the Hendek Organized Industrial Zone to monitor pollution from industrial activities.</w:t>
      </w:r>
    </w:p>
    <w:p w14:paraId="3B62527C" w14:textId="028BB490" w:rsidR="00B70F83" w:rsidRPr="00175D8B" w:rsidRDefault="00B70F83" w:rsidP="006C58C5">
      <w:pPr>
        <w:rPr>
          <w:rFonts w:eastAsia="Aptos" w:cs="Aptos"/>
          <w:i/>
          <w:iCs/>
          <w:color w:val="000000" w:themeColor="text1"/>
          <w:sz w:val="20"/>
          <w:szCs w:val="20"/>
        </w:rPr>
      </w:pPr>
      <w:r w:rsidRPr="00175D8B">
        <w:t>The monitoring of particulate matter parameters, specifically PM10, in Sakarya province was carried out through these four fixed stations between 01.01.2024 and 01.01.2025. The measurement results obtained are presented in</w:t>
      </w:r>
      <w:r w:rsidRPr="00A62E69">
        <w:t xml:space="preserve"> </w:t>
      </w:r>
      <w:r w:rsidR="00A62E69" w:rsidRPr="00A62E69">
        <w:fldChar w:fldCharType="begin"/>
      </w:r>
      <w:r w:rsidR="00A62E69" w:rsidRPr="00A62E69">
        <w:instrText xml:space="preserve"> REF _Ref214634063 \h  \* MERGEFORMAT </w:instrText>
      </w:r>
      <w:r w:rsidR="00A62E69" w:rsidRPr="00A62E69">
        <w:fldChar w:fldCharType="separate"/>
      </w:r>
      <w:r w:rsidR="00A62E69" w:rsidRPr="00A62E69">
        <w:t xml:space="preserve">Table </w:t>
      </w:r>
      <w:r w:rsidR="00A62E69" w:rsidRPr="00A62E69">
        <w:rPr>
          <w:noProof/>
        </w:rPr>
        <w:t>11</w:t>
      </w:r>
      <w:r w:rsidR="00A62E69" w:rsidRPr="00A62E69">
        <w:fldChar w:fldCharType="end"/>
      </w:r>
      <w:r w:rsidR="00A62E69">
        <w:t xml:space="preserve"> </w:t>
      </w:r>
      <w:r w:rsidRPr="00175D8B">
        <w:t>below.</w:t>
      </w:r>
      <w:bookmarkStart w:id="143" w:name="_Toc209169604"/>
      <w:bookmarkStart w:id="144" w:name="_Toc209707247"/>
      <w:r w:rsidRPr="00175D8B">
        <w:rPr>
          <w:rFonts w:eastAsia="Aptos" w:cs="Aptos"/>
          <w:b/>
          <w:i/>
          <w:iCs/>
          <w:color w:val="000000" w:themeColor="text1"/>
          <w:sz w:val="20"/>
          <w:szCs w:val="20"/>
        </w:rPr>
        <w:t xml:space="preserve">: </w:t>
      </w:r>
      <w:bookmarkEnd w:id="143"/>
      <w:bookmarkEnd w:id="144"/>
    </w:p>
    <w:p w14:paraId="77C73715" w14:textId="2D06A22D" w:rsidR="00931117" w:rsidRPr="006C58C5" w:rsidRDefault="00931117" w:rsidP="006C58C5">
      <w:pPr>
        <w:pStyle w:val="ResimYazs"/>
        <w:keepNext/>
        <w:jc w:val="center"/>
        <w:rPr>
          <w:b/>
          <w:bCs/>
        </w:rPr>
      </w:pPr>
      <w:bookmarkStart w:id="145" w:name="_Ref214634063"/>
      <w:bookmarkStart w:id="146" w:name="_Toc216344428"/>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11</w:t>
      </w:r>
      <w:r w:rsidRPr="006C58C5">
        <w:rPr>
          <w:b/>
          <w:bCs/>
        </w:rPr>
        <w:fldChar w:fldCharType="end"/>
      </w:r>
      <w:bookmarkEnd w:id="145"/>
      <w:r w:rsidRPr="006C58C5">
        <w:rPr>
          <w:b/>
          <w:bCs/>
        </w:rPr>
        <w:t>:</w:t>
      </w:r>
      <w:r w:rsidRPr="00175D8B">
        <w:rPr>
          <w:b/>
          <w:bCs/>
        </w:rPr>
        <w:t xml:space="preserve"> </w:t>
      </w:r>
      <w:r w:rsidRPr="00175D8B">
        <w:rPr>
          <w:rFonts w:eastAsia="Aptos" w:cs="Aptos"/>
          <w:color w:val="000000"/>
          <w:szCs w:val="20"/>
        </w:rPr>
        <w:t>Summary of PM10 Results According to 24-Hour Measurements in Sakarya Province in 2024</w:t>
      </w:r>
      <w:bookmarkEnd w:id="146"/>
    </w:p>
    <w:tbl>
      <w:tblPr>
        <w:tblW w:w="9072" w:type="dxa"/>
        <w:jc w:val="center"/>
        <w:tblLayout w:type="fixed"/>
        <w:tblLook w:val="0400" w:firstRow="0" w:lastRow="0" w:firstColumn="0" w:lastColumn="0" w:noHBand="0" w:noVBand="1"/>
      </w:tblPr>
      <w:tblGrid>
        <w:gridCol w:w="1343"/>
        <w:gridCol w:w="1027"/>
        <w:gridCol w:w="1126"/>
        <w:gridCol w:w="1370"/>
        <w:gridCol w:w="1248"/>
        <w:gridCol w:w="1111"/>
        <w:gridCol w:w="778"/>
        <w:gridCol w:w="1069"/>
      </w:tblGrid>
      <w:tr w:rsidR="00B70F83" w:rsidRPr="00175D8B" w14:paraId="5BEE0A03" w14:textId="77777777" w:rsidTr="00DF417A">
        <w:trPr>
          <w:trHeight w:val="1076"/>
          <w:tblHeader/>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6033151" w14:textId="77777777" w:rsidR="00B70F83" w:rsidRPr="00175D8B" w:rsidRDefault="00B70F83" w:rsidP="00B70F83">
            <w:pPr>
              <w:spacing w:before="120" w:after="0" w:line="240" w:lineRule="auto"/>
              <w:jc w:val="center"/>
              <w:rPr>
                <w:rFonts w:eastAsia="Aptos" w:cs="Aptos"/>
                <w:b/>
                <w:color w:val="000000" w:themeColor="text1"/>
                <w:sz w:val="18"/>
                <w:szCs w:val="18"/>
              </w:rPr>
            </w:pPr>
            <w:r w:rsidRPr="00175D8B">
              <w:rPr>
                <w:rFonts w:eastAsia="Aptos" w:cs="Aptos"/>
                <w:b/>
                <w:color w:val="000000" w:themeColor="text1"/>
                <w:sz w:val="18"/>
                <w:szCs w:val="18"/>
              </w:rPr>
              <w:t>Station</w:t>
            </w:r>
          </w:p>
        </w:tc>
        <w:tc>
          <w:tcPr>
            <w:tcW w:w="1027"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0387DB34" w14:textId="77777777" w:rsidR="00B70F83" w:rsidRPr="00175D8B" w:rsidRDefault="00B70F83" w:rsidP="00B70F83">
            <w:pPr>
              <w:spacing w:before="120" w:after="0" w:line="240" w:lineRule="auto"/>
              <w:jc w:val="center"/>
              <w:rPr>
                <w:rFonts w:eastAsia="Aptos" w:cs="Aptos"/>
                <w:b/>
                <w:color w:val="000000" w:themeColor="text1"/>
                <w:sz w:val="18"/>
                <w:szCs w:val="18"/>
              </w:rPr>
            </w:pPr>
            <w:r w:rsidRPr="00175D8B">
              <w:rPr>
                <w:rFonts w:eastAsia="Aptos" w:cs="Aptos"/>
                <w:b/>
                <w:color w:val="000000" w:themeColor="text1"/>
                <w:sz w:val="18"/>
                <w:szCs w:val="18"/>
              </w:rPr>
              <w:t>Minimum Measured Value (μg/m³)</w:t>
            </w:r>
          </w:p>
        </w:tc>
        <w:tc>
          <w:tcPr>
            <w:tcW w:w="1126"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0DF10727" w14:textId="77777777" w:rsidR="00B70F83" w:rsidRPr="00175D8B" w:rsidRDefault="00B70F83" w:rsidP="00B70F83">
            <w:pPr>
              <w:spacing w:before="120" w:after="0" w:line="240" w:lineRule="auto"/>
              <w:jc w:val="center"/>
              <w:rPr>
                <w:rFonts w:eastAsia="Aptos" w:cs="Aptos"/>
                <w:b/>
                <w:color w:val="000000" w:themeColor="text1"/>
                <w:sz w:val="18"/>
                <w:szCs w:val="18"/>
              </w:rPr>
            </w:pPr>
            <w:r w:rsidRPr="00175D8B">
              <w:rPr>
                <w:rFonts w:eastAsia="Aptos" w:cs="Aptos"/>
                <w:b/>
                <w:color w:val="000000" w:themeColor="text1"/>
                <w:sz w:val="18"/>
                <w:szCs w:val="18"/>
              </w:rPr>
              <w:t>Maximum Measured Value (μg/m³)</w:t>
            </w:r>
          </w:p>
        </w:tc>
        <w:tc>
          <w:tcPr>
            <w:tcW w:w="1370"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72AC0B8D" w14:textId="77777777" w:rsidR="00B70F83" w:rsidRPr="00175D8B" w:rsidRDefault="00B70F83" w:rsidP="00B70F83">
            <w:pPr>
              <w:spacing w:before="120" w:after="0" w:line="240" w:lineRule="auto"/>
              <w:jc w:val="center"/>
              <w:rPr>
                <w:rFonts w:eastAsia="Aptos" w:cs="Aptos"/>
                <w:b/>
                <w:color w:val="000000" w:themeColor="text1"/>
                <w:sz w:val="18"/>
                <w:szCs w:val="18"/>
              </w:rPr>
            </w:pPr>
            <w:r w:rsidRPr="00175D8B">
              <w:rPr>
                <w:rFonts w:eastAsia="Aptos" w:cs="Aptos"/>
                <w:b/>
                <w:color w:val="000000" w:themeColor="text1"/>
                <w:sz w:val="18"/>
                <w:szCs w:val="18"/>
              </w:rPr>
              <w:t>Date on which the minimum value was measured</w:t>
            </w:r>
          </w:p>
        </w:tc>
        <w:tc>
          <w:tcPr>
            <w:tcW w:w="1248"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D441CC1" w14:textId="77777777" w:rsidR="00B70F83" w:rsidRPr="00175D8B" w:rsidRDefault="00B70F83" w:rsidP="00B70F83">
            <w:pPr>
              <w:spacing w:before="120" w:after="0" w:line="240" w:lineRule="auto"/>
              <w:jc w:val="center"/>
              <w:rPr>
                <w:rFonts w:eastAsia="Aptos" w:cs="Aptos"/>
                <w:b/>
                <w:color w:val="000000" w:themeColor="text1"/>
                <w:sz w:val="18"/>
                <w:szCs w:val="18"/>
              </w:rPr>
            </w:pPr>
            <w:r w:rsidRPr="00175D8B">
              <w:rPr>
                <w:rFonts w:eastAsia="Aptos" w:cs="Aptos"/>
                <w:b/>
                <w:color w:val="000000" w:themeColor="text1"/>
                <w:sz w:val="18"/>
                <w:szCs w:val="18"/>
              </w:rPr>
              <w:t>Date Measured Maximum Value</w:t>
            </w:r>
          </w:p>
        </w:tc>
        <w:tc>
          <w:tcPr>
            <w:tcW w:w="1111"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90FEDC2" w14:textId="77777777" w:rsidR="00B70F83" w:rsidRPr="00175D8B" w:rsidRDefault="00B70F83" w:rsidP="00B70F83">
            <w:pPr>
              <w:spacing w:before="120" w:after="0" w:line="240" w:lineRule="auto"/>
              <w:jc w:val="center"/>
              <w:rPr>
                <w:rFonts w:eastAsia="Aptos" w:cs="Aptos"/>
                <w:b/>
                <w:color w:val="000000" w:themeColor="text1"/>
                <w:sz w:val="18"/>
                <w:szCs w:val="18"/>
              </w:rPr>
            </w:pPr>
            <w:r w:rsidRPr="00175D8B">
              <w:rPr>
                <w:rFonts w:eastAsia="Aptos" w:cs="Aptos"/>
                <w:b/>
                <w:color w:val="000000" w:themeColor="text1"/>
                <w:sz w:val="18"/>
                <w:szCs w:val="18"/>
              </w:rPr>
              <w:t>Annual Average (μg/m³)</w:t>
            </w:r>
          </w:p>
        </w:tc>
        <w:tc>
          <w:tcPr>
            <w:tcW w:w="778"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0320F68F" w14:textId="77777777" w:rsidR="00B70F83" w:rsidRPr="00175D8B" w:rsidRDefault="00B70F83" w:rsidP="00B70F83">
            <w:pPr>
              <w:spacing w:before="120" w:after="0" w:line="240" w:lineRule="auto"/>
              <w:jc w:val="center"/>
              <w:rPr>
                <w:rFonts w:eastAsia="Aptos" w:cs="Aptos"/>
                <w:b/>
                <w:color w:val="000000" w:themeColor="text1"/>
                <w:sz w:val="18"/>
                <w:szCs w:val="18"/>
              </w:rPr>
            </w:pPr>
            <w:r w:rsidRPr="00175D8B">
              <w:rPr>
                <w:rFonts w:eastAsia="Aptos" w:cs="Aptos"/>
                <w:b/>
                <w:color w:val="000000" w:themeColor="text1"/>
                <w:sz w:val="18"/>
                <w:szCs w:val="18"/>
              </w:rPr>
              <w:t>NDELV*</w:t>
            </w:r>
          </w:p>
        </w:tc>
        <w:tc>
          <w:tcPr>
            <w:tcW w:w="1069"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229F7F94" w14:textId="77777777" w:rsidR="00B70F83" w:rsidRPr="00175D8B" w:rsidRDefault="00B70F83" w:rsidP="00B70F83">
            <w:pPr>
              <w:spacing w:before="120" w:after="0" w:line="240" w:lineRule="auto"/>
              <w:jc w:val="center"/>
              <w:rPr>
                <w:rFonts w:eastAsia="Aptos" w:cs="Aptos"/>
                <w:b/>
                <w:color w:val="000000" w:themeColor="text1"/>
                <w:sz w:val="18"/>
                <w:szCs w:val="18"/>
              </w:rPr>
            </w:pPr>
            <w:r w:rsidRPr="00175D8B">
              <w:rPr>
                <w:rFonts w:eastAsia="Aptos" w:cs="Aptos"/>
                <w:b/>
                <w:color w:val="000000" w:themeColor="text1"/>
                <w:sz w:val="18"/>
                <w:szCs w:val="18"/>
              </w:rPr>
              <w:t>Valid Data Percentage (%)</w:t>
            </w:r>
          </w:p>
        </w:tc>
      </w:tr>
      <w:tr w:rsidR="00B70F83" w:rsidRPr="00175D8B" w14:paraId="0F894B7E" w14:textId="77777777" w:rsidTr="00DF417A">
        <w:trPr>
          <w:trHeight w:val="354"/>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02FD3D"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Center</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B9F96E"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0,23</w:t>
            </w:r>
          </w:p>
        </w:tc>
        <w:tc>
          <w:tcPr>
            <w:tcW w:w="1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A2DCDC"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180,20</w:t>
            </w:r>
          </w:p>
        </w:tc>
        <w:tc>
          <w:tcPr>
            <w:tcW w:w="13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FFACFA"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15.03.2024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9BD07C"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08.02.2024</w:t>
            </w:r>
          </w:p>
        </w:tc>
        <w:tc>
          <w:tcPr>
            <w:tcW w:w="11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99DA78"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22,46</w:t>
            </w:r>
          </w:p>
        </w:tc>
        <w:tc>
          <w:tcPr>
            <w:tcW w:w="7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5F1AFE" w14:textId="77777777" w:rsidR="00B70F83" w:rsidRPr="00175D8B" w:rsidRDefault="00B70F83" w:rsidP="00B70F83">
            <w:pPr>
              <w:pBdr>
                <w:top w:val="nil"/>
                <w:left w:val="nil"/>
                <w:bottom w:val="nil"/>
                <w:right w:val="nil"/>
                <w:between w:val="nil"/>
              </w:pBd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18</w:t>
            </w:r>
          </w:p>
        </w:tc>
        <w:tc>
          <w:tcPr>
            <w:tcW w:w="10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9B3D3D"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58,09</w:t>
            </w:r>
          </w:p>
        </w:tc>
      </w:tr>
      <w:tr w:rsidR="00B70F83" w:rsidRPr="00175D8B" w14:paraId="5AACAB67" w14:textId="77777777" w:rsidTr="00DF417A">
        <w:trPr>
          <w:trHeight w:val="275"/>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21DDB1"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Poets</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429CA1"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0,52</w:t>
            </w:r>
          </w:p>
        </w:tc>
        <w:tc>
          <w:tcPr>
            <w:tcW w:w="1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7F9159"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431,79</w:t>
            </w:r>
          </w:p>
        </w:tc>
        <w:tc>
          <w:tcPr>
            <w:tcW w:w="13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F7DA65"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30.09.2024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825771"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23.12.2024</w:t>
            </w:r>
          </w:p>
        </w:tc>
        <w:tc>
          <w:tcPr>
            <w:tcW w:w="11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61628B"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45,37</w:t>
            </w:r>
          </w:p>
        </w:tc>
        <w:tc>
          <w:tcPr>
            <w:tcW w:w="7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0E35D4" w14:textId="77777777" w:rsidR="00B70F83" w:rsidRPr="00175D8B" w:rsidRDefault="00B70F83" w:rsidP="00B70F83">
            <w:pPr>
              <w:pBdr>
                <w:top w:val="nil"/>
                <w:left w:val="nil"/>
                <w:bottom w:val="nil"/>
                <w:right w:val="nil"/>
                <w:between w:val="nil"/>
              </w:pBd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31</w:t>
            </w:r>
          </w:p>
        </w:tc>
        <w:tc>
          <w:tcPr>
            <w:tcW w:w="10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33DCDC"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98,36</w:t>
            </w:r>
          </w:p>
        </w:tc>
      </w:tr>
      <w:tr w:rsidR="00B70F83" w:rsidRPr="00175D8B" w14:paraId="25AAC328" w14:textId="77777777" w:rsidTr="00DF417A">
        <w:trPr>
          <w:trHeight w:val="392"/>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387333"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Sakarya</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A82AC4"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7D86BA"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291,60</w:t>
            </w:r>
          </w:p>
        </w:tc>
        <w:tc>
          <w:tcPr>
            <w:tcW w:w="13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1A6927F"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18.12.2024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4ECE9A"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27.12.2024</w:t>
            </w:r>
          </w:p>
        </w:tc>
        <w:tc>
          <w:tcPr>
            <w:tcW w:w="11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58DA31"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41,40</w:t>
            </w:r>
          </w:p>
        </w:tc>
        <w:tc>
          <w:tcPr>
            <w:tcW w:w="7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B74106" w14:textId="77777777" w:rsidR="00B70F83" w:rsidRPr="00175D8B" w:rsidRDefault="00B70F83" w:rsidP="00B70F83">
            <w:pPr>
              <w:pBdr>
                <w:top w:val="nil"/>
                <w:left w:val="nil"/>
                <w:bottom w:val="nil"/>
                <w:right w:val="nil"/>
                <w:between w:val="nil"/>
              </w:pBd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31</w:t>
            </w:r>
          </w:p>
        </w:tc>
        <w:tc>
          <w:tcPr>
            <w:tcW w:w="10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465801"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98,32</w:t>
            </w:r>
          </w:p>
        </w:tc>
      </w:tr>
      <w:tr w:rsidR="00B70F83" w:rsidRPr="00175D8B" w14:paraId="095B009B" w14:textId="77777777" w:rsidTr="00DF417A">
        <w:trPr>
          <w:trHeight w:val="392"/>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0D9021"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Hendek OIZ</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5F057F"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62CC3B"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3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41A6EA"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AD0A50"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1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719ED1"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E6863A" w14:textId="77777777" w:rsidR="00B70F83" w:rsidRPr="00175D8B" w:rsidRDefault="00B70F83" w:rsidP="00B70F83">
            <w:pPr>
              <w:pBdr>
                <w:top w:val="nil"/>
                <w:left w:val="nil"/>
                <w:bottom w:val="nil"/>
                <w:right w:val="nil"/>
                <w:between w:val="nil"/>
              </w:pBd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0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B831CA" w14:textId="77777777" w:rsidR="00B70F83" w:rsidRPr="00175D8B" w:rsidRDefault="00B70F83" w:rsidP="00B70F8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r>
    </w:tbl>
    <w:p w14:paraId="0332F535" w14:textId="77777777" w:rsidR="00B70F83" w:rsidRPr="00175D8B" w:rsidRDefault="00B70F83" w:rsidP="00B70F83">
      <w:pPr>
        <w:spacing w:before="120" w:after="0" w:line="278" w:lineRule="auto"/>
        <w:rPr>
          <w:rFonts w:eastAsia="Aptos" w:cs="Aptos"/>
          <w:color w:val="000000" w:themeColor="text1"/>
          <w:szCs w:val="22"/>
        </w:rPr>
      </w:pPr>
      <w:r w:rsidRPr="00175D8B">
        <w:rPr>
          <w:rFonts w:eastAsia="Aptos" w:cs="Aptos"/>
          <w:i/>
          <w:color w:val="000000" w:themeColor="text1"/>
          <w:sz w:val="16"/>
          <w:szCs w:val="16"/>
        </w:rPr>
        <w:t>*Number of days exceeding the limit value of 40 μg/m3 that must be complied with according to national legislation</w:t>
      </w:r>
    </w:p>
    <w:p w14:paraId="54F59CE3" w14:textId="77777777" w:rsidR="00B70F83" w:rsidRPr="00175D8B" w:rsidRDefault="00B70F83" w:rsidP="00B70F83">
      <w:pPr>
        <w:spacing w:before="120" w:after="0" w:line="278" w:lineRule="auto"/>
        <w:jc w:val="center"/>
        <w:rPr>
          <w:rFonts w:eastAsia="Aptos" w:cs="Aptos"/>
          <w:color w:val="000000" w:themeColor="text1"/>
          <w:szCs w:val="22"/>
        </w:rPr>
      </w:pPr>
      <w:r w:rsidRPr="00175D8B">
        <w:rPr>
          <w:rFonts w:eastAsia="Aptos" w:cs="Aptos"/>
          <w:b/>
          <w:i/>
          <w:color w:val="000000" w:themeColor="text1"/>
          <w:sz w:val="18"/>
          <w:szCs w:val="18"/>
        </w:rPr>
        <w:lastRenderedPageBreak/>
        <w:t xml:space="preserve">Source: </w:t>
      </w:r>
      <w:r w:rsidRPr="00175D8B">
        <w:rPr>
          <w:rFonts w:eastAsia="Aptos" w:cs="Aptos"/>
          <w:i/>
          <w:color w:val="000000" w:themeColor="text1"/>
          <w:sz w:val="18"/>
          <w:szCs w:val="18"/>
        </w:rPr>
        <w:t>Republic of Türkiye Ministry of Environment, Urbanization and Climate Change, General Directorate of Geographic Information Systems.</w:t>
      </w:r>
    </w:p>
    <w:p w14:paraId="6D9097DE" w14:textId="01EB1285" w:rsidR="00B70F83" w:rsidRPr="00175D8B" w:rsidRDefault="00B70F83" w:rsidP="00B70F83">
      <w:pPr>
        <w:pBdr>
          <w:top w:val="nil"/>
          <w:left w:val="nil"/>
          <w:bottom w:val="nil"/>
          <w:right w:val="nil"/>
          <w:between w:val="nil"/>
        </w:pBdr>
        <w:spacing w:before="120" w:after="0" w:line="300" w:lineRule="auto"/>
        <w:rPr>
          <w:rFonts w:eastAsia="Arial" w:cs="Arial"/>
          <w:color w:val="000000"/>
          <w:szCs w:val="20"/>
          <w:lang w:val="en-GB"/>
        </w:rPr>
      </w:pPr>
      <w:bookmarkStart w:id="147" w:name="_heading=h.atpy4wsv1uu4" w:colFirst="0" w:colLast="0"/>
      <w:bookmarkEnd w:id="147"/>
      <w:r w:rsidRPr="00175D8B">
        <w:rPr>
          <w:rFonts w:eastAsia="Arial" w:cs="Arial"/>
          <w:color w:val="000000"/>
          <w:szCs w:val="20"/>
          <w:lang w:val="en-GB"/>
        </w:rPr>
        <w:t>When the data presented in</w:t>
      </w:r>
      <w:r w:rsidRPr="00A62E69">
        <w:rPr>
          <w:rFonts w:eastAsia="Arial" w:cs="Arial"/>
          <w:color w:val="000000"/>
          <w:szCs w:val="20"/>
          <w:lang w:val="en-GB"/>
        </w:rPr>
        <w:t xml:space="preserve"> </w:t>
      </w:r>
      <w:r w:rsidR="00A62E69" w:rsidRPr="00A62E69">
        <w:rPr>
          <w:rFonts w:eastAsia="Arial" w:cs="Arial"/>
          <w:color w:val="000000"/>
          <w:szCs w:val="20"/>
          <w:lang w:val="en-GB"/>
        </w:rPr>
        <w:fldChar w:fldCharType="begin"/>
      </w:r>
      <w:r w:rsidR="00A62E69" w:rsidRPr="00A62E69">
        <w:rPr>
          <w:rFonts w:eastAsia="Arial" w:cs="Arial"/>
          <w:color w:val="000000"/>
          <w:szCs w:val="20"/>
          <w:lang w:val="en-GB"/>
        </w:rPr>
        <w:instrText xml:space="preserve"> REF _Ref214634063 \h  \* MERGEFORMAT </w:instrText>
      </w:r>
      <w:r w:rsidR="00A62E69" w:rsidRPr="00A62E69">
        <w:rPr>
          <w:rFonts w:eastAsia="Arial" w:cs="Arial"/>
          <w:color w:val="000000"/>
          <w:szCs w:val="20"/>
          <w:lang w:val="en-GB"/>
        </w:rPr>
      </w:r>
      <w:r w:rsidR="00A62E69" w:rsidRPr="00A62E69">
        <w:rPr>
          <w:rFonts w:eastAsia="Arial" w:cs="Arial"/>
          <w:color w:val="000000"/>
          <w:szCs w:val="20"/>
          <w:lang w:val="en-GB"/>
        </w:rPr>
        <w:fldChar w:fldCharType="separate"/>
      </w:r>
      <w:r w:rsidR="00A62E69" w:rsidRPr="00A62E69">
        <w:t xml:space="preserve">Table </w:t>
      </w:r>
      <w:r w:rsidR="00A62E69" w:rsidRPr="00A62E69">
        <w:rPr>
          <w:noProof/>
        </w:rPr>
        <w:t>11</w:t>
      </w:r>
      <w:r w:rsidR="00A62E69" w:rsidRPr="00A62E69">
        <w:rPr>
          <w:rFonts w:eastAsia="Arial" w:cs="Arial"/>
          <w:color w:val="000000"/>
          <w:szCs w:val="20"/>
          <w:lang w:val="en-GB"/>
        </w:rPr>
        <w:fldChar w:fldCharType="end"/>
      </w:r>
      <w:r w:rsidRPr="00175D8B">
        <w:rPr>
          <w:rFonts w:eastAsia="Arial" w:cs="Arial"/>
          <w:bCs/>
          <w:color w:val="000000"/>
          <w:szCs w:val="20"/>
          <w:lang w:val="en-GB"/>
        </w:rPr>
        <w:t>,</w:t>
      </w:r>
      <w:r w:rsidRPr="00175D8B">
        <w:rPr>
          <w:rFonts w:eastAsia="Arial" w:cs="Arial"/>
          <w:color w:val="000000"/>
          <w:szCs w:val="20"/>
          <w:lang w:val="en-GB"/>
        </w:rPr>
        <w:t xml:space="preserve"> national legislative limits, and </w:t>
      </w:r>
      <w:r w:rsidRPr="00175D8B">
        <w:rPr>
          <w:rFonts w:eastAsia="Arial" w:cs="Arial"/>
          <w:bCs/>
          <w:color w:val="000000"/>
          <w:szCs w:val="20"/>
          <w:lang w:val="en-GB"/>
        </w:rPr>
        <w:t>WHO</w:t>
      </w:r>
      <w:r w:rsidRPr="00175D8B">
        <w:rPr>
          <w:rFonts w:eastAsia="Arial" w:cs="Arial"/>
          <w:color w:val="000000"/>
          <w:szCs w:val="20"/>
          <w:lang w:val="en-GB"/>
        </w:rPr>
        <w:t xml:space="preserve"> reference values are examined together:</w:t>
      </w:r>
    </w:p>
    <w:p w14:paraId="5F1F039A" w14:textId="77777777" w:rsidR="00B70F83" w:rsidRPr="00175D8B" w:rsidRDefault="00B70F83">
      <w:pPr>
        <w:numPr>
          <w:ilvl w:val="0"/>
          <w:numId w:val="68"/>
        </w:numPr>
        <w:pBdr>
          <w:top w:val="nil"/>
          <w:left w:val="nil"/>
          <w:bottom w:val="nil"/>
          <w:right w:val="nil"/>
          <w:between w:val="nil"/>
        </w:pBdr>
        <w:spacing w:before="120" w:after="0" w:line="300" w:lineRule="auto"/>
        <w:rPr>
          <w:rFonts w:eastAsia="Arial" w:cs="Arial"/>
          <w:color w:val="000000"/>
          <w:szCs w:val="20"/>
          <w:lang w:val="en-GB"/>
        </w:rPr>
      </w:pPr>
      <w:r w:rsidRPr="00175D8B">
        <w:rPr>
          <w:rFonts w:eastAsia="Arial" w:cs="Arial"/>
          <w:color w:val="000000"/>
          <w:szCs w:val="20"/>
          <w:lang w:val="en-GB"/>
        </w:rPr>
        <w:t xml:space="preserve">The annual averages of the measurements made at </w:t>
      </w:r>
      <w:r w:rsidRPr="00175D8B">
        <w:rPr>
          <w:rFonts w:eastAsia="Arial" w:cs="Arial"/>
          <w:bCs/>
          <w:color w:val="000000"/>
          <w:szCs w:val="20"/>
          <w:lang w:val="en-GB"/>
        </w:rPr>
        <w:t>Ozanlar</w:t>
      </w:r>
      <w:r w:rsidRPr="00175D8B">
        <w:rPr>
          <w:rFonts w:eastAsia="Arial" w:cs="Arial"/>
          <w:color w:val="000000"/>
          <w:szCs w:val="20"/>
          <w:lang w:val="en-GB"/>
        </w:rPr>
        <w:t xml:space="preserve"> and </w:t>
      </w:r>
      <w:r w:rsidRPr="00175D8B">
        <w:rPr>
          <w:rFonts w:eastAsia="Arial" w:cs="Arial"/>
          <w:bCs/>
          <w:color w:val="000000"/>
          <w:szCs w:val="20"/>
          <w:lang w:val="en-GB"/>
        </w:rPr>
        <w:t>Sakarya</w:t>
      </w:r>
      <w:r w:rsidRPr="00175D8B">
        <w:rPr>
          <w:rFonts w:eastAsia="Arial" w:cs="Arial"/>
          <w:color w:val="000000"/>
          <w:szCs w:val="20"/>
          <w:lang w:val="en-GB"/>
        </w:rPr>
        <w:t xml:space="preserve"> stations for 2024 exceeded both the national legislative limit value (40 μg/m³) and the </w:t>
      </w:r>
      <w:r w:rsidRPr="00175D8B">
        <w:rPr>
          <w:rFonts w:eastAsia="Arial" w:cs="Arial"/>
          <w:bCs/>
          <w:color w:val="000000"/>
          <w:szCs w:val="20"/>
          <w:lang w:val="en-GB"/>
        </w:rPr>
        <w:t>WHO</w:t>
      </w:r>
      <w:r w:rsidRPr="00175D8B">
        <w:rPr>
          <w:rFonts w:eastAsia="Arial" w:cs="Arial"/>
          <w:color w:val="000000"/>
          <w:szCs w:val="20"/>
          <w:lang w:val="en-GB"/>
        </w:rPr>
        <w:t xml:space="preserve"> reference value (15 μg/m³).</w:t>
      </w:r>
    </w:p>
    <w:p w14:paraId="695CB5E5" w14:textId="115994E6" w:rsidR="00AC5E29" w:rsidRPr="00175D8B" w:rsidRDefault="00B70F83">
      <w:pPr>
        <w:numPr>
          <w:ilvl w:val="0"/>
          <w:numId w:val="68"/>
        </w:numPr>
        <w:pBdr>
          <w:top w:val="nil"/>
          <w:left w:val="nil"/>
          <w:bottom w:val="nil"/>
          <w:right w:val="nil"/>
          <w:between w:val="nil"/>
        </w:pBdr>
        <w:spacing w:before="120" w:after="0" w:line="300" w:lineRule="auto"/>
        <w:rPr>
          <w:rFonts w:eastAsia="Arial" w:cs="Arial"/>
          <w:color w:val="000000"/>
          <w:szCs w:val="20"/>
          <w:lang w:val="en-GB"/>
        </w:rPr>
      </w:pPr>
      <w:r w:rsidRPr="00175D8B">
        <w:rPr>
          <w:rFonts w:eastAsia="Arial" w:cs="Arial"/>
          <w:color w:val="000000"/>
          <w:szCs w:val="20"/>
          <w:lang w:val="en-GB"/>
        </w:rPr>
        <w:t xml:space="preserve">It is observed that the annual measurement averages of all stations, except for the </w:t>
      </w:r>
      <w:r w:rsidRPr="00175D8B">
        <w:rPr>
          <w:rFonts w:eastAsia="Arial" w:cs="Arial"/>
          <w:bCs/>
          <w:color w:val="000000"/>
          <w:szCs w:val="20"/>
          <w:lang w:val="en-GB"/>
        </w:rPr>
        <w:t>Hendek OIZ</w:t>
      </w:r>
      <w:r w:rsidRPr="00175D8B">
        <w:rPr>
          <w:rFonts w:eastAsia="Arial" w:cs="Arial"/>
          <w:color w:val="000000"/>
          <w:szCs w:val="20"/>
          <w:lang w:val="en-GB"/>
        </w:rPr>
        <w:t xml:space="preserve"> station, exceed the </w:t>
      </w:r>
      <w:r w:rsidRPr="00175D8B">
        <w:rPr>
          <w:rFonts w:eastAsia="Arial" w:cs="Arial"/>
          <w:bCs/>
          <w:color w:val="000000"/>
          <w:szCs w:val="20"/>
          <w:lang w:val="en-GB"/>
        </w:rPr>
        <w:t>WHO</w:t>
      </w:r>
      <w:r w:rsidRPr="00175D8B">
        <w:rPr>
          <w:rFonts w:eastAsia="Arial" w:cs="Arial"/>
          <w:color w:val="000000"/>
          <w:szCs w:val="20"/>
          <w:lang w:val="en-GB"/>
        </w:rPr>
        <w:t xml:space="preserve"> reference value (15 μ</w:t>
      </w:r>
      <w:r w:rsidR="00165BD3" w:rsidRPr="00175D8B">
        <w:rPr>
          <w:rFonts w:eastAsia="Arial" w:cs="Arial"/>
          <w:color w:val="000000"/>
          <w:szCs w:val="20"/>
          <w:lang w:val="en-GB"/>
        </w:rPr>
        <w:t>g/m³)</w:t>
      </w:r>
    </w:p>
    <w:p w14:paraId="52DD6BAF" w14:textId="7C054C2E" w:rsidR="00D80A2F" w:rsidRPr="00175D8B" w:rsidRDefault="00B70F83" w:rsidP="002550A6">
      <w:pPr>
        <w:pStyle w:val="Balk3"/>
        <w:numPr>
          <w:ilvl w:val="2"/>
          <w:numId w:val="152"/>
        </w:numPr>
      </w:pPr>
      <w:bookmarkStart w:id="148" w:name="_heading=h.5qlr5fnhtgi" w:colFirst="0" w:colLast="0"/>
      <w:bookmarkStart w:id="149" w:name="_Toc212541866"/>
      <w:bookmarkStart w:id="150" w:name="_Toc212542377"/>
      <w:bookmarkStart w:id="151" w:name="_Toc220672786"/>
      <w:bookmarkEnd w:id="148"/>
      <w:r w:rsidRPr="00175D8B">
        <w:t>Waste Management</w:t>
      </w:r>
      <w:bookmarkEnd w:id="149"/>
      <w:bookmarkEnd w:id="150"/>
      <w:bookmarkEnd w:id="151"/>
      <w:r w:rsidRPr="00175D8B">
        <w:t xml:space="preserve"> </w:t>
      </w:r>
    </w:p>
    <w:p w14:paraId="1EC4561E" w14:textId="46C31903" w:rsidR="004E15CE" w:rsidRPr="00175D8B" w:rsidRDefault="00B70F83" w:rsidP="002550A6">
      <w:pPr>
        <w:pStyle w:val="Balk4"/>
        <w:numPr>
          <w:ilvl w:val="3"/>
          <w:numId w:val="152"/>
        </w:numPr>
        <w:rPr>
          <w:color w:val="auto"/>
        </w:rPr>
      </w:pPr>
      <w:bookmarkStart w:id="152" w:name="_Toc209708091"/>
      <w:bookmarkStart w:id="153" w:name="_Toc212541867"/>
      <w:bookmarkStart w:id="154" w:name="_Toc212542378"/>
      <w:r w:rsidRPr="00175D8B">
        <w:rPr>
          <w:b/>
          <w:color w:val="auto"/>
        </w:rPr>
        <w:t>Excavation and Construction/Demolition Waste Management Capacity and Details</w:t>
      </w:r>
      <w:bookmarkEnd w:id="152"/>
      <w:bookmarkEnd w:id="153"/>
      <w:bookmarkEnd w:id="154"/>
    </w:p>
    <w:p w14:paraId="2DC6B040" w14:textId="44DE8B4E" w:rsidR="00B70F83" w:rsidRPr="00175D8B" w:rsidRDefault="00B70F83" w:rsidP="006C58C5">
      <w:pPr>
        <w:pStyle w:val="ListeParagraf"/>
        <w:ind w:left="0"/>
        <w:rPr>
          <w:iCs/>
          <w:color w:val="000000" w:themeColor="text1"/>
        </w:rPr>
      </w:pPr>
      <w:r w:rsidRPr="00175D8B">
        <w:t xml:space="preserve">Within the scope of excavation and construction-demolition waste management, information on excavation soil storage areas, excavation soil recovery, and construction-demolition waste recovery facilities in Sakarya province is provided in </w:t>
      </w:r>
      <w:r w:rsidR="00A62E69" w:rsidRPr="00A62E69">
        <w:fldChar w:fldCharType="begin"/>
      </w:r>
      <w:r w:rsidR="00A62E69" w:rsidRPr="00A62E69">
        <w:instrText xml:space="preserve"> REF _Ref214634105 \h  \* MERGEFORMAT </w:instrText>
      </w:r>
      <w:r w:rsidR="00A62E69" w:rsidRPr="00A62E69">
        <w:fldChar w:fldCharType="separate"/>
      </w:r>
      <w:r w:rsidR="00A62E69" w:rsidRPr="00A62E69">
        <w:t xml:space="preserve">Table </w:t>
      </w:r>
      <w:r w:rsidR="00A62E69" w:rsidRPr="00A62E69">
        <w:rPr>
          <w:noProof/>
        </w:rPr>
        <w:t>12</w:t>
      </w:r>
      <w:r w:rsidR="00A62E69" w:rsidRPr="00A62E69">
        <w:fldChar w:fldCharType="end"/>
      </w:r>
      <w:r w:rsidRPr="00A62E69">
        <w:t>.</w:t>
      </w:r>
    </w:p>
    <w:p w14:paraId="4CBC731B" w14:textId="3A7B317D" w:rsidR="00931117" w:rsidRPr="006C58C5" w:rsidRDefault="00931117" w:rsidP="006C58C5">
      <w:pPr>
        <w:pStyle w:val="ResimYazs"/>
        <w:keepNext/>
        <w:jc w:val="center"/>
        <w:rPr>
          <w:b/>
          <w:bCs/>
        </w:rPr>
      </w:pPr>
      <w:bookmarkStart w:id="155" w:name="_Ref214634105"/>
      <w:bookmarkStart w:id="156" w:name="_Toc216344429"/>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12</w:t>
      </w:r>
      <w:r w:rsidRPr="006C58C5">
        <w:rPr>
          <w:b/>
          <w:bCs/>
        </w:rPr>
        <w:fldChar w:fldCharType="end"/>
      </w:r>
      <w:bookmarkEnd w:id="155"/>
      <w:r w:rsidRPr="006C58C5">
        <w:rPr>
          <w:b/>
          <w:bCs/>
        </w:rPr>
        <w:t>:</w:t>
      </w:r>
      <w:r w:rsidRPr="00175D8B">
        <w:rPr>
          <w:b/>
          <w:bCs/>
        </w:rPr>
        <w:t xml:space="preserve"> </w:t>
      </w:r>
      <w:r w:rsidRPr="00175D8B">
        <w:rPr>
          <w:rFonts w:eastAsia="Aptos" w:cs="Aptos"/>
          <w:color w:val="000000"/>
          <w:szCs w:val="20"/>
        </w:rPr>
        <w:t>Sakarya Province Excavation Soil Sites and Construction / Demolition Waste Recovery Facilities</w:t>
      </w:r>
      <w:bookmarkEnd w:id="156"/>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686"/>
        <w:gridCol w:w="1559"/>
        <w:gridCol w:w="1422"/>
      </w:tblGrid>
      <w:tr w:rsidR="00B70F83" w:rsidRPr="00175D8B" w14:paraId="7E35654D" w14:textId="77777777" w:rsidTr="00DF417A">
        <w:trPr>
          <w:trHeight w:val="270"/>
          <w:tblHeader/>
          <w:jc w:val="center"/>
        </w:trPr>
        <w:tc>
          <w:tcPr>
            <w:tcW w:w="2405" w:type="dxa"/>
            <w:shd w:val="clear" w:color="auto" w:fill="ABB7C1"/>
            <w:vAlign w:val="center"/>
          </w:tcPr>
          <w:p w14:paraId="3A645853" w14:textId="77777777" w:rsidR="00B70F83" w:rsidRPr="00175D8B" w:rsidRDefault="00B70F83" w:rsidP="00B70F83">
            <w:pPr>
              <w:spacing w:before="120" w:after="0" w:line="240" w:lineRule="auto"/>
              <w:jc w:val="left"/>
              <w:rPr>
                <w:rFonts w:eastAsia="Aptos" w:cs="Aptos"/>
                <w:b/>
                <w:color w:val="000000" w:themeColor="text1"/>
                <w:sz w:val="20"/>
                <w:szCs w:val="20"/>
              </w:rPr>
            </w:pPr>
            <w:r w:rsidRPr="00175D8B">
              <w:rPr>
                <w:rFonts w:eastAsia="Aptos" w:cs="Aptos"/>
                <w:b/>
                <w:color w:val="000000" w:themeColor="text1"/>
                <w:sz w:val="20"/>
                <w:szCs w:val="20"/>
              </w:rPr>
              <w:t>Name of the Facility</w:t>
            </w:r>
          </w:p>
        </w:tc>
        <w:tc>
          <w:tcPr>
            <w:tcW w:w="3686" w:type="dxa"/>
            <w:shd w:val="clear" w:color="auto" w:fill="ABB7C1"/>
            <w:vAlign w:val="center"/>
          </w:tcPr>
          <w:p w14:paraId="369D3029" w14:textId="77777777" w:rsidR="00B70F83" w:rsidRPr="00175D8B" w:rsidRDefault="00B70F83" w:rsidP="00B70F83">
            <w:pPr>
              <w:spacing w:before="120" w:after="0" w:line="240" w:lineRule="auto"/>
              <w:jc w:val="left"/>
              <w:rPr>
                <w:rFonts w:eastAsia="Aptos" w:cs="Aptos"/>
                <w:b/>
                <w:color w:val="000000" w:themeColor="text1"/>
                <w:sz w:val="20"/>
                <w:szCs w:val="20"/>
              </w:rPr>
            </w:pPr>
            <w:r w:rsidRPr="00175D8B">
              <w:rPr>
                <w:rFonts w:eastAsia="Aptos" w:cs="Aptos"/>
                <w:b/>
                <w:color w:val="000000" w:themeColor="text1"/>
                <w:sz w:val="20"/>
                <w:szCs w:val="20"/>
              </w:rPr>
              <w:t>Activity</w:t>
            </w:r>
          </w:p>
        </w:tc>
        <w:tc>
          <w:tcPr>
            <w:tcW w:w="1559" w:type="dxa"/>
            <w:shd w:val="clear" w:color="auto" w:fill="ABB7C1"/>
            <w:vAlign w:val="center"/>
          </w:tcPr>
          <w:p w14:paraId="474D5DBA" w14:textId="77777777" w:rsidR="00B70F83" w:rsidRPr="00175D8B" w:rsidRDefault="00B70F83" w:rsidP="00B70F83">
            <w:pPr>
              <w:spacing w:before="120" w:after="0" w:line="240" w:lineRule="auto"/>
              <w:jc w:val="left"/>
              <w:rPr>
                <w:rFonts w:eastAsia="Aptos" w:cs="Aptos"/>
                <w:b/>
                <w:color w:val="000000" w:themeColor="text1"/>
                <w:sz w:val="20"/>
                <w:szCs w:val="20"/>
              </w:rPr>
            </w:pPr>
            <w:r w:rsidRPr="00175D8B">
              <w:rPr>
                <w:rFonts w:eastAsia="Aptos" w:cs="Aptos"/>
                <w:b/>
                <w:color w:val="000000" w:themeColor="text1"/>
                <w:sz w:val="20"/>
                <w:szCs w:val="20"/>
              </w:rPr>
              <w:t>Place</w:t>
            </w:r>
          </w:p>
        </w:tc>
        <w:tc>
          <w:tcPr>
            <w:tcW w:w="1422" w:type="dxa"/>
            <w:shd w:val="clear" w:color="auto" w:fill="ABB7C1"/>
            <w:vAlign w:val="center"/>
          </w:tcPr>
          <w:p w14:paraId="7E117152" w14:textId="77777777" w:rsidR="00B70F83" w:rsidRPr="00175D8B" w:rsidRDefault="00B70F83" w:rsidP="00B70F83">
            <w:pPr>
              <w:spacing w:before="120" w:after="0" w:line="240" w:lineRule="auto"/>
              <w:jc w:val="left"/>
              <w:rPr>
                <w:rFonts w:eastAsia="Aptos" w:cs="Aptos"/>
                <w:b/>
                <w:color w:val="000000" w:themeColor="text1"/>
                <w:sz w:val="20"/>
                <w:szCs w:val="20"/>
              </w:rPr>
            </w:pPr>
            <w:r w:rsidRPr="00175D8B">
              <w:rPr>
                <w:rFonts w:eastAsia="Aptos" w:cs="Aptos"/>
                <w:b/>
                <w:color w:val="000000" w:themeColor="text1"/>
                <w:sz w:val="20"/>
                <w:szCs w:val="20"/>
              </w:rPr>
              <w:t>Operates</w:t>
            </w:r>
          </w:p>
        </w:tc>
      </w:tr>
      <w:tr w:rsidR="00B70F83" w:rsidRPr="00175D8B" w14:paraId="1423AFF8" w14:textId="77777777" w:rsidTr="002550A6">
        <w:trPr>
          <w:trHeight w:val="270"/>
          <w:jc w:val="center"/>
        </w:trPr>
        <w:tc>
          <w:tcPr>
            <w:tcW w:w="2405" w:type="dxa"/>
            <w:shd w:val="clear" w:color="auto" w:fill="F2F2F2"/>
          </w:tcPr>
          <w:p w14:paraId="617C2764" w14:textId="77777777" w:rsidR="00B70F83" w:rsidRPr="00175D8B" w:rsidRDefault="00B70F83" w:rsidP="004E7BFD">
            <w:pPr>
              <w:spacing w:before="120" w:after="0" w:line="240" w:lineRule="auto"/>
              <w:jc w:val="left"/>
              <w:rPr>
                <w:rFonts w:eastAsia="Aptos" w:cs="Aptos"/>
                <w:color w:val="000000" w:themeColor="text1"/>
                <w:sz w:val="20"/>
                <w:szCs w:val="20"/>
              </w:rPr>
            </w:pPr>
            <w:r w:rsidRPr="00175D8B">
              <w:rPr>
                <w:rFonts w:eastAsia="Aptos" w:cs="Aptos"/>
                <w:color w:val="000000" w:themeColor="text1"/>
                <w:sz w:val="20"/>
                <w:szCs w:val="20"/>
              </w:rPr>
              <w:t>Arifiye Sezerler Tourism Construction Industry and Trade Limited Company</w:t>
            </w:r>
          </w:p>
        </w:tc>
        <w:tc>
          <w:tcPr>
            <w:tcW w:w="3686" w:type="dxa"/>
            <w:shd w:val="clear" w:color="auto" w:fill="F2F2F2"/>
            <w:vAlign w:val="center"/>
          </w:tcPr>
          <w:p w14:paraId="7300213C" w14:textId="77777777" w:rsidR="00B70F83" w:rsidRPr="00175D8B" w:rsidRDefault="00B70F83" w:rsidP="003A3B11">
            <w:pPr>
              <w:spacing w:before="120" w:after="0" w:line="240" w:lineRule="auto"/>
              <w:jc w:val="left"/>
              <w:rPr>
                <w:rFonts w:eastAsia="Aptos" w:cs="Aptos"/>
                <w:color w:val="000000" w:themeColor="text1"/>
                <w:sz w:val="20"/>
                <w:szCs w:val="20"/>
              </w:rPr>
            </w:pPr>
            <w:r w:rsidRPr="00175D8B">
              <w:rPr>
                <w:rFonts w:eastAsia="Aptos" w:cs="Aptos"/>
                <w:color w:val="000000" w:themeColor="text1"/>
                <w:sz w:val="20"/>
                <w:szCs w:val="20"/>
              </w:rPr>
              <w:t>Filling Area for Preparation for Rehabilitation</w:t>
            </w:r>
          </w:p>
        </w:tc>
        <w:tc>
          <w:tcPr>
            <w:tcW w:w="1559" w:type="dxa"/>
            <w:shd w:val="clear" w:color="auto" w:fill="F2F2F2"/>
            <w:vAlign w:val="center"/>
          </w:tcPr>
          <w:p w14:paraId="6707E8F0" w14:textId="77777777" w:rsidR="00B70F83" w:rsidRPr="00175D8B" w:rsidRDefault="00B70F83" w:rsidP="00B70F83">
            <w:pPr>
              <w:spacing w:before="120" w:after="0" w:line="240" w:lineRule="auto"/>
              <w:jc w:val="left"/>
              <w:rPr>
                <w:rFonts w:eastAsia="Aptos" w:cs="Aptos"/>
                <w:color w:val="000000" w:themeColor="text1"/>
                <w:sz w:val="20"/>
                <w:szCs w:val="20"/>
              </w:rPr>
            </w:pPr>
            <w:r w:rsidRPr="00175D8B">
              <w:rPr>
                <w:rFonts w:eastAsia="Aptos" w:cs="Aptos"/>
                <w:color w:val="000000" w:themeColor="text1"/>
                <w:sz w:val="20"/>
                <w:szCs w:val="20"/>
              </w:rPr>
              <w:t>Arifiye District</w:t>
            </w:r>
          </w:p>
        </w:tc>
        <w:tc>
          <w:tcPr>
            <w:tcW w:w="1422" w:type="dxa"/>
            <w:shd w:val="clear" w:color="auto" w:fill="F2F2F2"/>
            <w:vAlign w:val="center"/>
          </w:tcPr>
          <w:p w14:paraId="35803FFD" w14:textId="045332F0" w:rsidR="00B70F83" w:rsidRPr="00175D8B" w:rsidRDefault="005C09CE" w:rsidP="00B70F83">
            <w:pPr>
              <w:spacing w:before="120" w:after="0" w:line="240" w:lineRule="auto"/>
              <w:jc w:val="left"/>
              <w:rPr>
                <w:rFonts w:eastAsia="Aptos" w:cs="Aptos"/>
                <w:color w:val="000000" w:themeColor="text1"/>
                <w:sz w:val="20"/>
                <w:szCs w:val="20"/>
              </w:rPr>
            </w:pPr>
            <w:r w:rsidRPr="00175D8B">
              <w:rPr>
                <w:sz w:val="20"/>
                <w:szCs w:val="20"/>
              </w:rPr>
              <w:t>Kent Konut</w:t>
            </w:r>
          </w:p>
        </w:tc>
      </w:tr>
      <w:tr w:rsidR="00B70F83" w:rsidRPr="00175D8B" w14:paraId="10747A40" w14:textId="77777777" w:rsidTr="002550A6">
        <w:trPr>
          <w:trHeight w:val="270"/>
          <w:jc w:val="center"/>
        </w:trPr>
        <w:tc>
          <w:tcPr>
            <w:tcW w:w="2405" w:type="dxa"/>
            <w:shd w:val="clear" w:color="auto" w:fill="F2F2F2"/>
          </w:tcPr>
          <w:p w14:paraId="38227584" w14:textId="77777777" w:rsidR="00B70F83" w:rsidRPr="00175D8B" w:rsidRDefault="00B70F83" w:rsidP="004E7BFD">
            <w:pPr>
              <w:spacing w:before="120" w:after="0" w:line="240" w:lineRule="auto"/>
              <w:jc w:val="left"/>
              <w:rPr>
                <w:rFonts w:eastAsia="Aptos" w:cs="Aptos"/>
                <w:color w:val="000000" w:themeColor="text1"/>
                <w:sz w:val="20"/>
                <w:szCs w:val="20"/>
              </w:rPr>
            </w:pPr>
            <w:r w:rsidRPr="00175D8B">
              <w:rPr>
                <w:rFonts w:eastAsia="Aptos" w:cs="Aptos"/>
                <w:color w:val="000000" w:themeColor="text1"/>
                <w:sz w:val="20"/>
                <w:szCs w:val="20"/>
              </w:rPr>
              <w:t>Karacanlar Construction Industry and Trade Limited Company.</w:t>
            </w:r>
          </w:p>
        </w:tc>
        <w:tc>
          <w:tcPr>
            <w:tcW w:w="3686" w:type="dxa"/>
            <w:shd w:val="clear" w:color="auto" w:fill="F2F2F2"/>
            <w:vAlign w:val="center"/>
          </w:tcPr>
          <w:p w14:paraId="1D031A2E" w14:textId="77777777" w:rsidR="00B70F83" w:rsidRPr="00175D8B" w:rsidRDefault="00B70F83" w:rsidP="003A3B11">
            <w:pPr>
              <w:spacing w:before="120" w:after="0" w:line="240" w:lineRule="auto"/>
              <w:jc w:val="left"/>
              <w:rPr>
                <w:rFonts w:eastAsia="Aptos" w:cs="Aptos"/>
                <w:color w:val="000000" w:themeColor="text1"/>
                <w:sz w:val="20"/>
                <w:szCs w:val="20"/>
              </w:rPr>
            </w:pPr>
            <w:r w:rsidRPr="00175D8B">
              <w:rPr>
                <w:rFonts w:eastAsia="Aptos" w:cs="Aptos"/>
                <w:color w:val="000000" w:themeColor="text1"/>
                <w:sz w:val="20"/>
                <w:szCs w:val="20"/>
              </w:rPr>
              <w:t>Filling Area for Preparation for Rehabilitation</w:t>
            </w:r>
          </w:p>
        </w:tc>
        <w:tc>
          <w:tcPr>
            <w:tcW w:w="1559" w:type="dxa"/>
            <w:shd w:val="clear" w:color="auto" w:fill="F2F2F2"/>
            <w:vAlign w:val="center"/>
          </w:tcPr>
          <w:p w14:paraId="1B10064B" w14:textId="77777777" w:rsidR="00B70F83" w:rsidRPr="00175D8B" w:rsidRDefault="00B70F83" w:rsidP="00B70F83">
            <w:pPr>
              <w:spacing w:before="120" w:after="0" w:line="240" w:lineRule="auto"/>
              <w:jc w:val="left"/>
              <w:rPr>
                <w:rFonts w:eastAsia="Aptos" w:cs="Aptos"/>
                <w:color w:val="000000" w:themeColor="text1"/>
                <w:sz w:val="20"/>
                <w:szCs w:val="20"/>
              </w:rPr>
            </w:pPr>
            <w:r w:rsidRPr="00175D8B">
              <w:rPr>
                <w:rFonts w:eastAsia="Aptos" w:cs="Aptos"/>
                <w:color w:val="000000" w:themeColor="text1"/>
                <w:sz w:val="20"/>
                <w:szCs w:val="20"/>
              </w:rPr>
              <w:t>Akyazı District</w:t>
            </w:r>
          </w:p>
        </w:tc>
        <w:tc>
          <w:tcPr>
            <w:tcW w:w="1422" w:type="dxa"/>
            <w:shd w:val="clear" w:color="auto" w:fill="F2F2F2"/>
            <w:vAlign w:val="center"/>
          </w:tcPr>
          <w:p w14:paraId="50CE2BD5" w14:textId="06D5D0C5" w:rsidR="00B70F83" w:rsidRPr="00175D8B" w:rsidRDefault="005C09CE" w:rsidP="00B70F83">
            <w:pPr>
              <w:spacing w:before="120" w:after="0" w:line="240" w:lineRule="auto"/>
              <w:jc w:val="left"/>
              <w:rPr>
                <w:rFonts w:eastAsia="Aptos" w:cs="Aptos"/>
                <w:color w:val="000000" w:themeColor="text1"/>
                <w:sz w:val="20"/>
                <w:szCs w:val="20"/>
              </w:rPr>
            </w:pPr>
            <w:r w:rsidRPr="00175D8B">
              <w:rPr>
                <w:sz w:val="20"/>
                <w:szCs w:val="20"/>
              </w:rPr>
              <w:t>Kent Konut</w:t>
            </w:r>
          </w:p>
        </w:tc>
      </w:tr>
      <w:tr w:rsidR="00B70F83" w:rsidRPr="00175D8B" w14:paraId="0E36B358" w14:textId="77777777" w:rsidTr="002550A6">
        <w:trPr>
          <w:trHeight w:val="270"/>
          <w:jc w:val="center"/>
        </w:trPr>
        <w:tc>
          <w:tcPr>
            <w:tcW w:w="2405" w:type="dxa"/>
            <w:shd w:val="clear" w:color="auto" w:fill="F2F2F2"/>
          </w:tcPr>
          <w:p w14:paraId="5F82A3FE" w14:textId="77777777" w:rsidR="00B70F83" w:rsidRPr="00175D8B" w:rsidRDefault="00B70F83" w:rsidP="004E7BFD">
            <w:pPr>
              <w:spacing w:before="120" w:after="0" w:line="240" w:lineRule="auto"/>
              <w:jc w:val="left"/>
              <w:rPr>
                <w:rFonts w:eastAsia="Aptos" w:cs="Aptos"/>
                <w:color w:val="000000" w:themeColor="text1"/>
                <w:sz w:val="20"/>
                <w:szCs w:val="20"/>
              </w:rPr>
            </w:pPr>
            <w:r w:rsidRPr="00175D8B">
              <w:rPr>
                <w:rFonts w:eastAsia="Aptos" w:cs="Aptos"/>
                <w:color w:val="000000" w:themeColor="text1"/>
                <w:sz w:val="20"/>
                <w:szCs w:val="20"/>
              </w:rPr>
              <w:t>Cave New Area Excavation Soil Areas</w:t>
            </w:r>
          </w:p>
        </w:tc>
        <w:tc>
          <w:tcPr>
            <w:tcW w:w="3686" w:type="dxa"/>
            <w:shd w:val="clear" w:color="auto" w:fill="F2F2F2"/>
          </w:tcPr>
          <w:p w14:paraId="31DA30B3" w14:textId="77777777" w:rsidR="00B70F83" w:rsidRPr="00175D8B" w:rsidRDefault="00B70F83" w:rsidP="005E7C7E">
            <w:pPr>
              <w:spacing w:before="120" w:after="0" w:line="240" w:lineRule="auto"/>
              <w:jc w:val="left"/>
              <w:rPr>
                <w:rFonts w:eastAsia="Aptos" w:cs="Aptos"/>
                <w:color w:val="000000" w:themeColor="text1"/>
                <w:sz w:val="20"/>
                <w:szCs w:val="20"/>
              </w:rPr>
            </w:pPr>
            <w:r w:rsidRPr="00175D8B">
              <w:rPr>
                <w:rFonts w:eastAsia="Aptos" w:cs="Aptos"/>
                <w:color w:val="000000" w:themeColor="text1"/>
                <w:sz w:val="20"/>
                <w:szCs w:val="20"/>
              </w:rPr>
              <w:t>Filling Area for Preparation for Rehabilitation</w:t>
            </w:r>
          </w:p>
        </w:tc>
        <w:tc>
          <w:tcPr>
            <w:tcW w:w="1559" w:type="dxa"/>
            <w:shd w:val="clear" w:color="auto" w:fill="F2F2F2"/>
            <w:vAlign w:val="center"/>
          </w:tcPr>
          <w:p w14:paraId="1A8B0C4F" w14:textId="77777777" w:rsidR="00B70F83" w:rsidRPr="00175D8B" w:rsidRDefault="00B70F83" w:rsidP="00B70F83">
            <w:pPr>
              <w:spacing w:before="120" w:after="0" w:line="240" w:lineRule="auto"/>
              <w:jc w:val="left"/>
              <w:rPr>
                <w:rFonts w:eastAsia="Aptos" w:cs="Aptos"/>
                <w:color w:val="000000" w:themeColor="text1"/>
                <w:sz w:val="20"/>
                <w:szCs w:val="20"/>
              </w:rPr>
            </w:pPr>
            <w:r w:rsidRPr="00175D8B">
              <w:rPr>
                <w:rFonts w:eastAsia="Aptos" w:cs="Aptos"/>
                <w:color w:val="000000" w:themeColor="text1"/>
                <w:sz w:val="20"/>
                <w:szCs w:val="20"/>
              </w:rPr>
              <w:t>Hendek District</w:t>
            </w:r>
          </w:p>
        </w:tc>
        <w:tc>
          <w:tcPr>
            <w:tcW w:w="1422" w:type="dxa"/>
            <w:shd w:val="clear" w:color="auto" w:fill="F2F2F2"/>
            <w:vAlign w:val="center"/>
          </w:tcPr>
          <w:p w14:paraId="6363FEE6" w14:textId="53B6D627" w:rsidR="00B70F83" w:rsidRPr="00175D8B" w:rsidRDefault="005C09CE" w:rsidP="00B70F83">
            <w:pPr>
              <w:spacing w:before="120" w:after="0" w:line="240" w:lineRule="auto"/>
              <w:jc w:val="left"/>
              <w:rPr>
                <w:rFonts w:eastAsia="Aptos" w:cs="Aptos"/>
                <w:color w:val="000000" w:themeColor="text1"/>
                <w:sz w:val="20"/>
                <w:szCs w:val="20"/>
              </w:rPr>
            </w:pPr>
            <w:r w:rsidRPr="00175D8B">
              <w:rPr>
                <w:sz w:val="20"/>
                <w:szCs w:val="20"/>
              </w:rPr>
              <w:t>Kent Konut</w:t>
            </w:r>
          </w:p>
        </w:tc>
      </w:tr>
    </w:tbl>
    <w:p w14:paraId="109A992B" w14:textId="33629568" w:rsidR="00B70F83" w:rsidRPr="00175D8B" w:rsidRDefault="00B70F83" w:rsidP="00165BD3">
      <w:pPr>
        <w:pBdr>
          <w:top w:val="nil"/>
          <w:left w:val="nil"/>
          <w:bottom w:val="nil"/>
          <w:right w:val="nil"/>
          <w:between w:val="nil"/>
        </w:pBdr>
        <w:spacing w:before="120" w:after="200" w:line="240" w:lineRule="auto"/>
        <w:ind w:left="360"/>
        <w:contextualSpacing/>
        <w:jc w:val="center"/>
        <w:rPr>
          <w:rFonts w:eastAsia="Aptos" w:cs="Aptos"/>
          <w:i/>
          <w:color w:val="000000"/>
          <w:sz w:val="18"/>
          <w:szCs w:val="18"/>
        </w:rPr>
      </w:pPr>
      <w:r w:rsidRPr="00175D8B">
        <w:rPr>
          <w:rFonts w:eastAsia="Aptos" w:cs="Aptos"/>
          <w:b/>
          <w:i/>
          <w:color w:val="000000"/>
          <w:sz w:val="18"/>
          <w:szCs w:val="18"/>
        </w:rPr>
        <w:t xml:space="preserve">Source: </w:t>
      </w:r>
      <w:r w:rsidRPr="00175D8B">
        <w:rPr>
          <w:rFonts w:eastAsia="Aptos" w:cs="Aptos"/>
          <w:i/>
          <w:color w:val="000000"/>
          <w:sz w:val="18"/>
          <w:szCs w:val="18"/>
        </w:rPr>
        <w:t>Sakarya Metropolitan Municipality</w:t>
      </w:r>
      <w:bookmarkStart w:id="157" w:name="_heading=h.u53y56erfawf" w:colFirst="0" w:colLast="0"/>
      <w:bookmarkEnd w:id="157"/>
    </w:p>
    <w:p w14:paraId="680A895A" w14:textId="77777777" w:rsidR="00392850" w:rsidRPr="00175D8B" w:rsidRDefault="00392850" w:rsidP="00165BD3">
      <w:pPr>
        <w:pBdr>
          <w:top w:val="nil"/>
          <w:left w:val="nil"/>
          <w:bottom w:val="nil"/>
          <w:right w:val="nil"/>
          <w:between w:val="nil"/>
        </w:pBdr>
        <w:spacing w:before="120" w:after="200" w:line="240" w:lineRule="auto"/>
        <w:ind w:left="360"/>
        <w:contextualSpacing/>
        <w:jc w:val="center"/>
        <w:rPr>
          <w:rFonts w:eastAsia="Aptos" w:cs="Aptos"/>
          <w:i/>
          <w:color w:val="000000"/>
          <w:sz w:val="18"/>
          <w:szCs w:val="18"/>
        </w:rPr>
      </w:pPr>
    </w:p>
    <w:p w14:paraId="571A6A28" w14:textId="11397884" w:rsidR="00B70F83" w:rsidRPr="00175D8B" w:rsidRDefault="00B70F83" w:rsidP="00AE288A">
      <w:pPr>
        <w:spacing w:before="120" w:after="0"/>
        <w:contextualSpacing/>
        <w:rPr>
          <w:rFonts w:eastAsia="Aptos" w:cs="Aptos"/>
          <w:i/>
          <w:iCs/>
          <w:color w:val="000000" w:themeColor="text1"/>
          <w:sz w:val="20"/>
          <w:szCs w:val="20"/>
        </w:rPr>
      </w:pPr>
      <w:r w:rsidRPr="00175D8B">
        <w:rPr>
          <w:rFonts w:eastAsia="Aptos" w:cs="Aptos"/>
          <w:color w:val="000000"/>
          <w:szCs w:val="20"/>
        </w:rPr>
        <w:t xml:space="preserve">Three of the areas listed in </w:t>
      </w:r>
      <w:r w:rsidR="00A62E69" w:rsidRPr="00A62E69">
        <w:rPr>
          <w:rFonts w:eastAsia="Aptos" w:cs="Aptos"/>
          <w:color w:val="000000"/>
          <w:szCs w:val="20"/>
        </w:rPr>
        <w:fldChar w:fldCharType="begin"/>
      </w:r>
      <w:r w:rsidR="00A62E69" w:rsidRPr="00A62E69">
        <w:rPr>
          <w:rFonts w:eastAsia="Aptos" w:cs="Aptos"/>
          <w:color w:val="000000"/>
          <w:szCs w:val="20"/>
        </w:rPr>
        <w:instrText xml:space="preserve"> REF _Ref214634105 \h  \* MERGEFORMAT </w:instrText>
      </w:r>
      <w:r w:rsidR="00A62E69" w:rsidRPr="00A62E69">
        <w:rPr>
          <w:rFonts w:eastAsia="Aptos" w:cs="Aptos"/>
          <w:color w:val="000000"/>
          <w:szCs w:val="20"/>
        </w:rPr>
      </w:r>
      <w:r w:rsidR="00A62E69" w:rsidRPr="00A62E69">
        <w:rPr>
          <w:rFonts w:eastAsia="Aptos" w:cs="Aptos"/>
          <w:color w:val="000000"/>
          <w:szCs w:val="20"/>
        </w:rPr>
        <w:fldChar w:fldCharType="separate"/>
      </w:r>
      <w:r w:rsidR="00A62E69" w:rsidRPr="00A62E69">
        <w:t xml:space="preserve">Table </w:t>
      </w:r>
      <w:r w:rsidR="00A62E69" w:rsidRPr="00A62E69">
        <w:rPr>
          <w:noProof/>
        </w:rPr>
        <w:t>12</w:t>
      </w:r>
      <w:r w:rsidR="00A62E69" w:rsidRPr="00A62E69">
        <w:rPr>
          <w:rFonts w:eastAsia="Aptos" w:cs="Aptos"/>
          <w:color w:val="000000"/>
          <w:szCs w:val="20"/>
        </w:rPr>
        <w:fldChar w:fldCharType="end"/>
      </w:r>
      <w:r w:rsidR="00A62E69">
        <w:rPr>
          <w:rFonts w:eastAsia="Aptos" w:cs="Aptos"/>
          <w:color w:val="000000"/>
          <w:szCs w:val="20"/>
        </w:rPr>
        <w:t xml:space="preserve"> </w:t>
      </w:r>
      <w:r w:rsidRPr="00175D8B">
        <w:rPr>
          <w:rFonts w:eastAsia="Aptos" w:cs="Aptos"/>
          <w:color w:val="000000"/>
          <w:szCs w:val="20"/>
        </w:rPr>
        <w:t>are operated by Kent Konut. These areas are located in different districts of Sakarya, specifically in the Akyazı, Arifiye, and Hendek districts. The areas are classified as fill areas designated for the purpose of preparation for rehabilitation.</w:t>
      </w:r>
    </w:p>
    <w:p w14:paraId="77A40BCE" w14:textId="71694A4F" w:rsidR="00931117" w:rsidRPr="00175D8B" w:rsidRDefault="00931117" w:rsidP="006C58C5">
      <w:pPr>
        <w:pStyle w:val="ResimYazs"/>
        <w:keepNext/>
        <w:jc w:val="center"/>
      </w:pPr>
      <w:bookmarkStart w:id="158" w:name="_Toc221191313"/>
      <w:r w:rsidRPr="006C58C5">
        <w:rPr>
          <w:b/>
          <w:bCs/>
        </w:rPr>
        <w:lastRenderedPageBreak/>
        <w:t xml:space="preserve">Figure </w:t>
      </w:r>
      <w:r w:rsidRPr="006C58C5">
        <w:rPr>
          <w:b/>
          <w:bCs/>
        </w:rPr>
        <w:fldChar w:fldCharType="begin"/>
      </w:r>
      <w:r w:rsidRPr="006C58C5">
        <w:rPr>
          <w:b/>
          <w:bCs/>
        </w:rPr>
        <w:instrText xml:space="preserve"> SEQ Figure \* ARABIC </w:instrText>
      </w:r>
      <w:r w:rsidRPr="006C58C5">
        <w:rPr>
          <w:b/>
          <w:bCs/>
        </w:rPr>
        <w:fldChar w:fldCharType="separate"/>
      </w:r>
      <w:r w:rsidR="00811FB5" w:rsidRPr="00175D8B">
        <w:rPr>
          <w:b/>
          <w:bCs/>
          <w:noProof/>
        </w:rPr>
        <w:t>5</w:t>
      </w:r>
      <w:r w:rsidRPr="006C58C5">
        <w:rPr>
          <w:b/>
          <w:bCs/>
        </w:rPr>
        <w:fldChar w:fldCharType="end"/>
      </w:r>
      <w:r w:rsidRPr="006C58C5">
        <w:rPr>
          <w:b/>
          <w:bCs/>
        </w:rPr>
        <w:t>:</w:t>
      </w:r>
      <w:r w:rsidRPr="00175D8B">
        <w:t xml:space="preserve"> </w:t>
      </w:r>
      <w:r w:rsidRPr="00175D8B">
        <w:rPr>
          <w:rFonts w:eastAsia="Aptos" w:cs="Aptos"/>
          <w:color w:val="000000"/>
          <w:szCs w:val="20"/>
        </w:rPr>
        <w:t>Locations of Waste Management Facilities in Sakarya Province</w:t>
      </w:r>
      <w:bookmarkEnd w:id="158"/>
    </w:p>
    <w:p w14:paraId="2B676BC1" w14:textId="5DBEFD3B" w:rsidR="00B70F83" w:rsidRPr="00175D8B" w:rsidRDefault="005C38BA" w:rsidP="00B70F83">
      <w:pPr>
        <w:spacing w:before="120" w:after="0" w:line="278" w:lineRule="auto"/>
        <w:jc w:val="center"/>
        <w:rPr>
          <w:rFonts w:eastAsia="Aptos" w:cs="Aptos"/>
          <w:color w:val="000000" w:themeColor="text1"/>
          <w:szCs w:val="22"/>
        </w:rPr>
      </w:pPr>
      <w:r w:rsidRPr="00175D8B">
        <w:rPr>
          <w:rFonts w:eastAsia="Aptos" w:cs="Aptos"/>
          <w:noProof/>
          <w:color w:val="000000" w:themeColor="text1"/>
          <w:szCs w:val="22"/>
        </w:rPr>
        <w:drawing>
          <wp:inline distT="0" distB="0" distL="0" distR="0" wp14:anchorId="548A9273" wp14:editId="71491D27">
            <wp:extent cx="4320000" cy="4143600"/>
            <wp:effectExtent l="19050" t="19050" r="23495" b="28575"/>
            <wp:docPr id="6932540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4143600"/>
                    </a:xfrm>
                    <a:prstGeom prst="rect">
                      <a:avLst/>
                    </a:prstGeom>
                    <a:noFill/>
                    <a:ln>
                      <a:solidFill>
                        <a:srgbClr val="767171"/>
                      </a:solidFill>
                    </a:ln>
                  </pic:spPr>
                </pic:pic>
              </a:graphicData>
            </a:graphic>
          </wp:inline>
        </w:drawing>
      </w:r>
    </w:p>
    <w:p w14:paraId="020DBC8F" w14:textId="209EA1AD" w:rsidR="00B70F83" w:rsidRPr="00175D8B" w:rsidRDefault="00B70F83" w:rsidP="00B70F83">
      <w:pPr>
        <w:pBdr>
          <w:top w:val="nil"/>
          <w:left w:val="nil"/>
          <w:bottom w:val="nil"/>
          <w:right w:val="nil"/>
          <w:between w:val="nil"/>
        </w:pBdr>
        <w:spacing w:before="120" w:after="200" w:line="240" w:lineRule="auto"/>
        <w:ind w:left="360"/>
        <w:contextualSpacing/>
        <w:jc w:val="center"/>
        <w:rPr>
          <w:rFonts w:eastAsia="Aptos" w:cs="Aptos"/>
          <w:i/>
          <w:color w:val="000000"/>
          <w:sz w:val="18"/>
          <w:szCs w:val="18"/>
        </w:rPr>
      </w:pPr>
      <w:r w:rsidRPr="00175D8B">
        <w:rPr>
          <w:rFonts w:eastAsia="Aptos" w:cs="Aptos"/>
          <w:b/>
          <w:i/>
          <w:color w:val="000000"/>
          <w:sz w:val="18"/>
          <w:szCs w:val="18"/>
        </w:rPr>
        <w:t xml:space="preserve">Source: </w:t>
      </w:r>
      <w:r w:rsidRPr="00175D8B">
        <w:rPr>
          <w:rFonts w:eastAsia="Aptos" w:cs="Aptos"/>
          <w:i/>
          <w:color w:val="000000"/>
          <w:sz w:val="18"/>
          <w:szCs w:val="18"/>
        </w:rPr>
        <w:t>Sakarya Metropolitan Municipality</w:t>
      </w:r>
      <w:r w:rsidRPr="00175D8B">
        <w:rPr>
          <w:rFonts w:eastAsia="Aptos" w:cs="Aptos"/>
          <w:color w:val="000000"/>
          <w:sz w:val="18"/>
          <w:szCs w:val="18"/>
        </w:rPr>
        <w:t xml:space="preserve">, </w:t>
      </w:r>
      <w:r w:rsidRPr="00175D8B">
        <w:rPr>
          <w:rFonts w:eastAsia="Aptos" w:cs="Aptos"/>
          <w:i/>
          <w:color w:val="000000"/>
          <w:sz w:val="18"/>
          <w:szCs w:val="18"/>
        </w:rPr>
        <w:t>2024.</w:t>
      </w:r>
    </w:p>
    <w:p w14:paraId="1EB31594" w14:textId="77777777" w:rsidR="00DD1377" w:rsidRPr="00175D8B" w:rsidRDefault="00DD1377" w:rsidP="002550A6">
      <w:pPr>
        <w:pBdr>
          <w:top w:val="nil"/>
          <w:left w:val="nil"/>
          <w:bottom w:val="nil"/>
          <w:right w:val="nil"/>
          <w:between w:val="nil"/>
        </w:pBdr>
        <w:spacing w:after="200" w:line="240" w:lineRule="auto"/>
        <w:rPr>
          <w:b/>
          <w:i/>
          <w:color w:val="000000"/>
          <w:sz w:val="8"/>
          <w:szCs w:val="20"/>
        </w:rPr>
      </w:pPr>
    </w:p>
    <w:p w14:paraId="7D0F7564" w14:textId="34CC59B1" w:rsidR="004E15CE" w:rsidRPr="00175D8B" w:rsidRDefault="00A06314" w:rsidP="002550A6">
      <w:pPr>
        <w:pStyle w:val="Balk4"/>
        <w:numPr>
          <w:ilvl w:val="3"/>
          <w:numId w:val="152"/>
        </w:numPr>
        <w:rPr>
          <w:color w:val="auto"/>
        </w:rPr>
      </w:pPr>
      <w:bookmarkStart w:id="159" w:name="_Toc209708092"/>
      <w:bookmarkStart w:id="160" w:name="_Toc212541868"/>
      <w:bookmarkStart w:id="161" w:name="_Toc212542379"/>
      <w:r w:rsidRPr="00175D8B">
        <w:rPr>
          <w:b/>
          <w:color w:val="auto"/>
        </w:rPr>
        <w:t>Hazardous Waste Management Capacity</w:t>
      </w:r>
      <w:bookmarkEnd w:id="159"/>
      <w:bookmarkEnd w:id="160"/>
      <w:bookmarkEnd w:id="161"/>
    </w:p>
    <w:p w14:paraId="410EB4B2" w14:textId="5CD6D7F5" w:rsidR="00A06314" w:rsidRPr="00175D8B" w:rsidRDefault="00A06314" w:rsidP="00A06314">
      <w:bookmarkStart w:id="162" w:name="_heading=h.2e03dgv10olq" w:colFirst="0" w:colLast="0"/>
      <w:bookmarkStart w:id="163" w:name="_heading=h.druu27xsp2qj" w:colFirst="0" w:colLast="0"/>
      <w:bookmarkEnd w:id="162"/>
      <w:bookmarkEnd w:id="163"/>
      <w:r w:rsidRPr="00175D8B">
        <w:t>There is no hazardous waste recovery, incineration, or storage facility in Sakarya province. Within the scope of hazardous waste management, wastes are sent to the İZAYDAŞ facility located in Kocaeli province. The facility in question accepts and disposes of hazardous wastes, excluding radioactive, explosive, cadaver, and battery wastes. In addition to waste incineration and power generation activities, the facility also has a class 1 landfill. The facility, with a daily capacity of 130 tons, is located approximately 50 km from the Sakarya city center and is a preferred facility for the disposal of hazardous wastes.</w:t>
      </w:r>
    </w:p>
    <w:p w14:paraId="6C36E3D5" w14:textId="0CEC41F6" w:rsidR="00A06314" w:rsidRPr="00175D8B" w:rsidRDefault="00A06314" w:rsidP="00A06314">
      <w:r w:rsidRPr="00175D8B">
        <w:t xml:space="preserve">There are only solid waste storage facilities within the borders of Sakarya province. Solid waste storage facilities in Sakarya are spread across different parts of the province. As shown in </w:t>
      </w:r>
      <w:r w:rsidR="001C27B5">
        <w:fldChar w:fldCharType="begin"/>
      </w:r>
      <w:r w:rsidR="001C27B5">
        <w:instrText xml:space="preserve"> REF _Ref216098575 \h </w:instrText>
      </w:r>
      <w:r w:rsidR="001C27B5">
        <w:fldChar w:fldCharType="separate"/>
      </w:r>
      <w:r w:rsidR="001C27B5" w:rsidRPr="006C58C5">
        <w:rPr>
          <w:b/>
          <w:bCs/>
        </w:rPr>
        <w:t xml:space="preserve">Figure </w:t>
      </w:r>
      <w:r w:rsidR="001C27B5" w:rsidRPr="00175D8B">
        <w:rPr>
          <w:b/>
          <w:bCs/>
          <w:noProof/>
        </w:rPr>
        <w:t>6</w:t>
      </w:r>
      <w:r w:rsidR="001C27B5">
        <w:fldChar w:fldCharType="end"/>
      </w:r>
      <w:r w:rsidRPr="00175D8B">
        <w:t xml:space="preserve">, the density of these facilities is especially noticeable around Adapazarı, Serdivan, Erenler, and Arifiye. Additionally, Karasu and Kocaali are located in the northern part, while Geyve and Taraklı are located in the southern part of the province, where the facilities are also situated. Thanks to this distribution, waste can be </w:t>
      </w:r>
      <w:r w:rsidRPr="00175D8B">
        <w:lastRenderedPageBreak/>
        <w:t>regularly collected and managed without harming the environment, both in the city center and in rural areas.</w:t>
      </w:r>
    </w:p>
    <w:p w14:paraId="10CF540C" w14:textId="60D21E32" w:rsidR="00A06314" w:rsidRPr="00175D8B" w:rsidRDefault="00A06314" w:rsidP="00A06314">
      <w:r w:rsidRPr="00175D8B">
        <w:t xml:space="preserve">The most important investment in solid waste facilities in Sakarya is the SEKAY Integrated Solid Waste Facility, which was put into service on 06.08.2021. The facility, located in the Tekeler </w:t>
      </w:r>
      <w:r w:rsidR="00301539" w:rsidRPr="00175D8B">
        <w:t>Neighborhood</w:t>
      </w:r>
      <w:r w:rsidRPr="00175D8B">
        <w:t xml:space="preserve"> of Adapazarı, has a daily domestic waste acceptance capacity of 1,500 tons. At this facility, the waste is separated and subjected to various processes. Packaging waste is baled and directed for recycling, while waste that can be used as fuel is dried and sent to cement factories. Organic waste is processed in the biogas unit at the facility and used for electricity generation. As a result, approximately 70 percent of the incoming waste is processed, with only 30 percent being sent to the landfill. Thanks to the facility’s location and technology, there is no odor problem, and wild storage is completely prevented. With eight transfer stations established throughout the province, the waste from ten districts far from the center are also delivered to this facility, thereby increasing the efficiency of the system.</w:t>
      </w:r>
    </w:p>
    <w:p w14:paraId="7CD818F6" w14:textId="77DD5B5F" w:rsidR="00A06314" w:rsidRPr="00175D8B" w:rsidRDefault="00A06314" w:rsidP="00A06314">
      <w:r w:rsidRPr="00175D8B">
        <w:t xml:space="preserve">Another important component of waste management is the Medical Waste Sterilization Facility, which has been operating in the Tekeler </w:t>
      </w:r>
      <w:r w:rsidR="00301539" w:rsidRPr="00175D8B">
        <w:t>Neighborhood</w:t>
      </w:r>
      <w:r w:rsidRPr="00175D8B">
        <w:t xml:space="preserve"> since 2010. Here, medical waste collected from all health institutions is sterilized with an autoclave device, its volume is reduced, and it is then safely sent to the landfill.</w:t>
      </w:r>
    </w:p>
    <w:p w14:paraId="6D3FF6E3" w14:textId="6C634F98" w:rsidR="00A06314" w:rsidRPr="00175D8B" w:rsidRDefault="00301539" w:rsidP="006C58C5">
      <w:pPr>
        <w:rPr>
          <w:rFonts w:eastAsia="Aptos" w:cs="Aptos"/>
          <w:i/>
          <w:iCs/>
          <w:color w:val="000000" w:themeColor="text1"/>
          <w:sz w:val="20"/>
          <w:szCs w:val="20"/>
        </w:rPr>
      </w:pPr>
      <w:r w:rsidRPr="00175D8B">
        <w:t>As a result of the integrated system established in Sakarya, the recovery, recycling, and disposal of both municipal and medical waste are carried out in an orderly manner, extending the lifespan of disposal sites and minimizing potential environmental impacts.</w:t>
      </w:r>
    </w:p>
    <w:p w14:paraId="5A3BA4F5" w14:textId="4B05099D" w:rsidR="00931117" w:rsidRPr="00175D8B" w:rsidRDefault="00931117" w:rsidP="006C58C5">
      <w:pPr>
        <w:pStyle w:val="ResimYazs"/>
        <w:keepNext/>
        <w:jc w:val="center"/>
      </w:pPr>
      <w:bookmarkStart w:id="164" w:name="_Ref216098575"/>
      <w:bookmarkStart w:id="165" w:name="_Toc221191314"/>
      <w:r w:rsidRPr="006C58C5">
        <w:rPr>
          <w:b/>
          <w:bCs/>
        </w:rPr>
        <w:lastRenderedPageBreak/>
        <w:t xml:space="preserve">Figure </w:t>
      </w:r>
      <w:r w:rsidRPr="006C58C5">
        <w:rPr>
          <w:b/>
          <w:bCs/>
        </w:rPr>
        <w:fldChar w:fldCharType="begin"/>
      </w:r>
      <w:r w:rsidRPr="006C58C5">
        <w:rPr>
          <w:b/>
          <w:bCs/>
        </w:rPr>
        <w:instrText xml:space="preserve"> SEQ Figure \* ARABIC </w:instrText>
      </w:r>
      <w:r w:rsidRPr="006C58C5">
        <w:rPr>
          <w:b/>
          <w:bCs/>
        </w:rPr>
        <w:fldChar w:fldCharType="separate"/>
      </w:r>
      <w:r w:rsidR="00811FB5" w:rsidRPr="00175D8B">
        <w:rPr>
          <w:b/>
          <w:bCs/>
          <w:noProof/>
        </w:rPr>
        <w:t>6</w:t>
      </w:r>
      <w:r w:rsidRPr="006C58C5">
        <w:rPr>
          <w:b/>
          <w:bCs/>
        </w:rPr>
        <w:fldChar w:fldCharType="end"/>
      </w:r>
      <w:bookmarkEnd w:id="164"/>
      <w:r w:rsidRPr="006C58C5">
        <w:rPr>
          <w:b/>
          <w:bCs/>
        </w:rPr>
        <w:t>:</w:t>
      </w:r>
      <w:r w:rsidRPr="00175D8B">
        <w:t xml:space="preserve"> </w:t>
      </w:r>
      <w:r w:rsidRPr="00175D8B">
        <w:rPr>
          <w:rFonts w:eastAsia="Aptos" w:cs="Aptos"/>
          <w:color w:val="000000"/>
          <w:szCs w:val="20"/>
        </w:rPr>
        <w:t>Sakarya Province Waste Facilities</w:t>
      </w:r>
      <w:bookmarkEnd w:id="165"/>
    </w:p>
    <w:p w14:paraId="49EF43F2" w14:textId="1B0B3016" w:rsidR="00A06314" w:rsidRPr="00175D8B" w:rsidRDefault="005C38BA" w:rsidP="00A06314">
      <w:pPr>
        <w:spacing w:before="120" w:after="0" w:line="278" w:lineRule="auto"/>
        <w:jc w:val="center"/>
        <w:rPr>
          <w:rFonts w:eastAsia="Aptos" w:cs="Aptos"/>
          <w:color w:val="000000" w:themeColor="text1"/>
          <w:szCs w:val="22"/>
        </w:rPr>
      </w:pPr>
      <w:r w:rsidRPr="00175D8B">
        <w:rPr>
          <w:rFonts w:eastAsia="Aptos" w:cs="Aptos"/>
          <w:noProof/>
          <w:color w:val="000000" w:themeColor="text1"/>
          <w:szCs w:val="22"/>
        </w:rPr>
        <w:drawing>
          <wp:inline distT="0" distB="0" distL="0" distR="0" wp14:anchorId="75AE0CCA" wp14:editId="23A7A3F1">
            <wp:extent cx="4320000" cy="4143600"/>
            <wp:effectExtent l="19050" t="19050" r="23495" b="28575"/>
            <wp:docPr id="19156418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4143600"/>
                    </a:xfrm>
                    <a:prstGeom prst="rect">
                      <a:avLst/>
                    </a:prstGeom>
                    <a:noFill/>
                    <a:ln>
                      <a:solidFill>
                        <a:srgbClr val="767171"/>
                      </a:solidFill>
                    </a:ln>
                  </pic:spPr>
                </pic:pic>
              </a:graphicData>
            </a:graphic>
          </wp:inline>
        </w:drawing>
      </w:r>
    </w:p>
    <w:p w14:paraId="7B0E80E3" w14:textId="77777777" w:rsidR="00A06314" w:rsidRPr="00175D8B" w:rsidRDefault="00A06314" w:rsidP="00A06314">
      <w:pPr>
        <w:spacing w:before="120" w:after="0" w:line="276" w:lineRule="auto"/>
        <w:jc w:val="center"/>
        <w:rPr>
          <w:rFonts w:eastAsia="Aptos" w:cs="Aptos"/>
          <w:i/>
          <w:color w:val="000000" w:themeColor="text1"/>
          <w:sz w:val="18"/>
          <w:szCs w:val="18"/>
        </w:rPr>
      </w:pPr>
      <w:r w:rsidRPr="00175D8B">
        <w:rPr>
          <w:rFonts w:eastAsia="Aptos" w:cs="Aptos"/>
          <w:b/>
          <w:i/>
          <w:color w:val="000000" w:themeColor="text1"/>
          <w:sz w:val="18"/>
          <w:szCs w:val="18"/>
        </w:rPr>
        <w:t>Source:</w:t>
      </w:r>
      <w:r w:rsidRPr="00175D8B">
        <w:rPr>
          <w:rFonts w:eastAsia="Aptos" w:cs="Aptos"/>
          <w:i/>
          <w:color w:val="000000" w:themeColor="text1"/>
          <w:sz w:val="18"/>
          <w:szCs w:val="18"/>
        </w:rPr>
        <w:t xml:space="preserve"> Sakarya Metropolitan Municipality, 2024.</w:t>
      </w:r>
    </w:p>
    <w:p w14:paraId="690DDF1F" w14:textId="77777777" w:rsidR="00A06314" w:rsidRPr="00175D8B" w:rsidRDefault="00A06314" w:rsidP="00A06314"/>
    <w:p w14:paraId="3D5DA8E0" w14:textId="4F150B0D" w:rsidR="004E15CE" w:rsidRPr="00175D8B" w:rsidRDefault="003D1C2D" w:rsidP="002550A6">
      <w:pPr>
        <w:pStyle w:val="Balk4"/>
        <w:numPr>
          <w:ilvl w:val="3"/>
          <w:numId w:val="152"/>
        </w:numPr>
        <w:rPr>
          <w:color w:val="auto"/>
        </w:rPr>
      </w:pPr>
      <w:bookmarkStart w:id="166" w:name="_heading=h.o1xi5tc61uao" w:colFirst="0" w:colLast="0"/>
      <w:bookmarkStart w:id="167" w:name="_Toc209708093"/>
      <w:bookmarkStart w:id="168" w:name="_Toc212541869"/>
      <w:bookmarkStart w:id="169" w:name="_Toc212542380"/>
      <w:bookmarkEnd w:id="166"/>
      <w:r w:rsidRPr="00175D8B">
        <w:rPr>
          <w:b/>
          <w:color w:val="auto"/>
        </w:rPr>
        <w:t>Asbestos</w:t>
      </w:r>
      <w:bookmarkEnd w:id="167"/>
      <w:bookmarkEnd w:id="168"/>
      <w:bookmarkEnd w:id="169"/>
    </w:p>
    <w:p w14:paraId="6B500BE0" w14:textId="692A7327" w:rsidR="003D1C2D" w:rsidRPr="00175D8B" w:rsidRDefault="003D1C2D" w:rsidP="00F02281">
      <w:pPr>
        <w:spacing w:before="100" w:beforeAutospacing="1" w:after="100" w:afterAutospacing="1"/>
        <w:rPr>
          <w:rFonts w:eastAsia="Times New Roman" w:cs="Times New Roman"/>
        </w:rPr>
      </w:pPr>
      <w:r w:rsidRPr="00175D8B">
        <w:rPr>
          <w:rFonts w:eastAsia="Times New Roman" w:cs="Times New Roman"/>
        </w:rPr>
        <w:t xml:space="preserve">Asbestos is another issue that needs to be addressed in terms of both environmental/public health and occupational health and safety. However, it should be noted that it is not possible to make a quantitative or spatial assessment of the asbestos status of the building stock in the provinces. </w:t>
      </w:r>
      <w:r w:rsidR="00301539" w:rsidRPr="00175D8B">
        <w:rPr>
          <w:rFonts w:eastAsia="Times New Roman" w:cs="Times New Roman"/>
        </w:rPr>
        <w:t>Furthermore</w:t>
      </w:r>
      <w:r w:rsidRPr="00175D8B">
        <w:rPr>
          <w:rFonts w:eastAsia="Times New Roman" w:cs="Times New Roman"/>
        </w:rPr>
        <w:t>, it will be mandatory to conduct asbestos inventory studies before the demolition of any building within the scope of the sub-projects. Currently, some municipalities require an asbestos inventory study to be carried out prior to any demolition. Furthermore, the Regulation on the Demolition of Buildings, which came into force on July 1, 2022, mandates asbestos inventory studies at the national level.</w:t>
      </w:r>
    </w:p>
    <w:p w14:paraId="78E48C14" w14:textId="77777777" w:rsidR="003D1C2D" w:rsidRPr="00175D8B" w:rsidRDefault="003D1C2D">
      <w:pPr>
        <w:spacing w:before="100" w:beforeAutospacing="1" w:after="100" w:afterAutospacing="1"/>
        <w:rPr>
          <w:rFonts w:eastAsia="Times New Roman" w:cs="Times New Roman"/>
        </w:rPr>
      </w:pPr>
      <w:r w:rsidRPr="00175D8B">
        <w:rPr>
          <w:rFonts w:eastAsia="Times New Roman" w:cs="Times New Roman"/>
        </w:rPr>
        <w:t xml:space="preserve">Asbestos inventory studies can only be conducted by an accredited company licensed to identify asbestos in solid samples under national legislation. According to the list of approved organizations from the Ministry of Labor and Social Security (MoLSS), General Directorate of Occupational Health </w:t>
      </w:r>
      <w:r w:rsidRPr="00175D8B">
        <w:rPr>
          <w:rFonts w:eastAsia="Times New Roman" w:cs="Times New Roman"/>
        </w:rPr>
        <w:lastRenderedPageBreak/>
        <w:t>and Safety, there are a total of 10 laboratories authorized in this context in Türkiye, all of which are located in Istanbul (7 on the Anatolian side and 3 on the European side). Therefore, services from these accredited companies in Istanbul will be necessary before any demolition activities can take place.</w:t>
      </w:r>
    </w:p>
    <w:p w14:paraId="211AD89B" w14:textId="72DED745" w:rsidR="00CC7BA3" w:rsidRPr="00175D8B" w:rsidRDefault="003D1C2D" w:rsidP="003D1C2D">
      <w:pPr>
        <w:pStyle w:val="ListeParagraf"/>
        <w:spacing w:before="100" w:beforeAutospacing="1" w:after="100" w:afterAutospacing="1"/>
        <w:ind w:left="0"/>
        <w:rPr>
          <w:rFonts w:eastAsia="Times New Roman" w:cs="Times New Roman"/>
        </w:rPr>
      </w:pPr>
      <w:r w:rsidRPr="00175D8B">
        <w:rPr>
          <w:rFonts w:eastAsia="Times New Roman" w:cs="Times New Roman"/>
        </w:rPr>
        <w:t>The management of asbestos wastes with the codes 17 06 01 (insulation materials containing asbestos) and 17 06 05 (construction materials containing asbestos) in Sakarya province is carried out by İZAYDAŞ (İzmit Waste and Residues Treatment, Incineration, and Evaluation Inc.), which operates within the borders of İzmit District in Kocaeli Province. İZAYDAŞ is Türkiye's first waste disposal facility and is a competent organization throughout the country in the disposal of hazardous wastes without harming the environment and human health. In this context, the acceptance, transportation, and disposal processes of asbestos wastes generated throughout Sakarya province are carried out under the authority and responsibility of İZAYDAŞ.</w:t>
      </w:r>
    </w:p>
    <w:p w14:paraId="361FE7EC" w14:textId="7AF981D7" w:rsidR="00D80A2F" w:rsidRPr="00175D8B" w:rsidRDefault="00DA314E" w:rsidP="002550A6">
      <w:pPr>
        <w:pStyle w:val="Balk2"/>
        <w:numPr>
          <w:ilvl w:val="1"/>
          <w:numId w:val="152"/>
        </w:numPr>
      </w:pPr>
      <w:bookmarkStart w:id="170" w:name="_Toc212541870"/>
      <w:bookmarkStart w:id="171" w:name="_Toc212542381"/>
      <w:bookmarkStart w:id="172" w:name="_Toc220672787"/>
      <w:r w:rsidRPr="00175D8B">
        <w:t>Social Baseline</w:t>
      </w:r>
      <w:bookmarkEnd w:id="170"/>
      <w:bookmarkEnd w:id="171"/>
      <w:bookmarkEnd w:id="172"/>
    </w:p>
    <w:p w14:paraId="53AB5A65" w14:textId="70DEE558" w:rsidR="00D80A2F" w:rsidRPr="00175D8B" w:rsidRDefault="00DA314E" w:rsidP="002550A6">
      <w:pPr>
        <w:pStyle w:val="Balk3"/>
        <w:numPr>
          <w:ilvl w:val="2"/>
          <w:numId w:val="153"/>
        </w:numPr>
      </w:pPr>
      <w:bookmarkStart w:id="173" w:name="_Toc212541871"/>
      <w:bookmarkStart w:id="174" w:name="_Toc212542382"/>
      <w:bookmarkStart w:id="175" w:name="_Toc220672788"/>
      <w:r w:rsidRPr="00175D8B">
        <w:t>Sakarya Province Population Status</w:t>
      </w:r>
      <w:bookmarkEnd w:id="173"/>
      <w:bookmarkEnd w:id="174"/>
      <w:bookmarkEnd w:id="175"/>
    </w:p>
    <w:p w14:paraId="382C633D" w14:textId="6DD74CDE" w:rsidR="00CC7BA3" w:rsidRPr="00175D8B" w:rsidRDefault="00DA314E" w:rsidP="00CC7BA3">
      <w:pPr>
        <w:spacing w:before="240" w:after="240"/>
      </w:pPr>
      <w:r w:rsidRPr="00175D8B">
        <w:t>According to 2024 data, the population of Sakarya province is 1,110,735 people (TU</w:t>
      </w:r>
      <w:r w:rsidR="00153598">
        <w:t>RKSTAT</w:t>
      </w:r>
      <w:r w:rsidRPr="00175D8B">
        <w:t xml:space="preserve">). The population of the province tends to increase rapidly due to reasons such as rapid industrialization, the need for labor, rich and fertile soils, its geographical structure suitable for development, the suitability of climate and vegetation, its proximity to big cities, and the abundance of investments and incentives. The population of Sakarya province, which has a total of 16 districts, has been increasing regularly every year since 2007. Population trend of Sakarya </w:t>
      </w:r>
      <w:r w:rsidR="005248C3">
        <w:t>is</w:t>
      </w:r>
      <w:r w:rsidR="00E4595C">
        <w:t xml:space="preserve"> presented</w:t>
      </w:r>
      <w:r w:rsidRPr="00175D8B">
        <w:t xml:space="preserve"> in </w:t>
      </w:r>
      <w:r w:rsidR="001C27B5">
        <w:fldChar w:fldCharType="begin"/>
      </w:r>
      <w:r w:rsidR="001C27B5">
        <w:instrText xml:space="preserve"> REF _Ref214634211 \h </w:instrText>
      </w:r>
      <w:r w:rsidR="001C27B5">
        <w:fldChar w:fldCharType="separate"/>
      </w:r>
      <w:r w:rsidR="001C27B5" w:rsidRPr="006C58C5">
        <w:rPr>
          <w:b/>
          <w:bCs/>
        </w:rPr>
        <w:t xml:space="preserve">Figure </w:t>
      </w:r>
      <w:r w:rsidR="001C27B5" w:rsidRPr="00175D8B">
        <w:rPr>
          <w:b/>
          <w:bCs/>
          <w:noProof/>
        </w:rPr>
        <w:t>7</w:t>
      </w:r>
      <w:r w:rsidR="001C27B5">
        <w:fldChar w:fldCharType="end"/>
      </w:r>
      <w:r w:rsidRPr="00175D8B">
        <w:t>. As of 2011, the annual population growth rate of Sakarya province is above the average of Türkiye.</w:t>
      </w:r>
    </w:p>
    <w:p w14:paraId="0914A1BE" w14:textId="5A2CF8D3" w:rsidR="006717FF" w:rsidRPr="00175D8B" w:rsidRDefault="006717FF" w:rsidP="006717FF">
      <w:pPr>
        <w:keepNext/>
        <w:spacing w:before="120" w:after="200" w:line="278" w:lineRule="auto"/>
        <w:jc w:val="center"/>
        <w:rPr>
          <w:rFonts w:eastAsia="Aptos" w:cs="Aptos"/>
          <w:i/>
          <w:iCs/>
          <w:color w:val="000000" w:themeColor="text1"/>
          <w:sz w:val="20"/>
          <w:szCs w:val="20"/>
        </w:rPr>
      </w:pPr>
    </w:p>
    <w:p w14:paraId="02CA2BAA" w14:textId="0E5AE0B9" w:rsidR="00931117" w:rsidRPr="00175D8B" w:rsidRDefault="00931117" w:rsidP="006C58C5">
      <w:pPr>
        <w:pStyle w:val="ResimYazs"/>
        <w:keepNext/>
        <w:jc w:val="center"/>
      </w:pPr>
      <w:bookmarkStart w:id="176" w:name="_Ref214634211"/>
      <w:bookmarkStart w:id="177" w:name="_Ref214634208"/>
      <w:bookmarkStart w:id="178" w:name="_Toc221191315"/>
      <w:r w:rsidRPr="006C58C5">
        <w:rPr>
          <w:b/>
          <w:bCs/>
        </w:rPr>
        <w:t xml:space="preserve">Figure </w:t>
      </w:r>
      <w:r w:rsidRPr="006C58C5">
        <w:rPr>
          <w:b/>
          <w:bCs/>
        </w:rPr>
        <w:fldChar w:fldCharType="begin"/>
      </w:r>
      <w:r w:rsidRPr="006C58C5">
        <w:rPr>
          <w:b/>
          <w:bCs/>
        </w:rPr>
        <w:instrText xml:space="preserve"> SEQ Figure \* ARABIC </w:instrText>
      </w:r>
      <w:r w:rsidRPr="006C58C5">
        <w:rPr>
          <w:b/>
          <w:bCs/>
        </w:rPr>
        <w:fldChar w:fldCharType="separate"/>
      </w:r>
      <w:r w:rsidR="00811FB5" w:rsidRPr="00175D8B">
        <w:rPr>
          <w:b/>
          <w:bCs/>
          <w:noProof/>
        </w:rPr>
        <w:t>7</w:t>
      </w:r>
      <w:r w:rsidRPr="006C58C5">
        <w:rPr>
          <w:b/>
          <w:bCs/>
        </w:rPr>
        <w:fldChar w:fldCharType="end"/>
      </w:r>
      <w:bookmarkEnd w:id="176"/>
      <w:r w:rsidRPr="006C58C5">
        <w:rPr>
          <w:b/>
          <w:bCs/>
        </w:rPr>
        <w:t>:</w:t>
      </w:r>
      <w:r w:rsidRPr="00175D8B">
        <w:t xml:space="preserve"> </w:t>
      </w:r>
      <w:r w:rsidRPr="00175D8B">
        <w:rPr>
          <w:rFonts w:eastAsia="Aptos" w:cs="Aptos"/>
          <w:color w:val="000000"/>
          <w:szCs w:val="20"/>
        </w:rPr>
        <w:t>Population Trend of Sakarya</w:t>
      </w:r>
      <w:bookmarkEnd w:id="177"/>
      <w:bookmarkEnd w:id="178"/>
    </w:p>
    <w:p w14:paraId="778D9D35" w14:textId="77777777" w:rsidR="006717FF" w:rsidRPr="00175D8B" w:rsidRDefault="006717FF" w:rsidP="006717FF">
      <w:pPr>
        <w:keepNext/>
        <w:pBdr>
          <w:top w:val="nil"/>
          <w:left w:val="nil"/>
          <w:bottom w:val="nil"/>
          <w:right w:val="nil"/>
          <w:between w:val="nil"/>
        </w:pBdr>
        <w:spacing w:before="120" w:after="200" w:line="240" w:lineRule="auto"/>
        <w:jc w:val="center"/>
        <w:rPr>
          <w:rFonts w:eastAsia="Aptos" w:cs="Aptos"/>
          <w:color w:val="000000" w:themeColor="text1"/>
          <w:sz w:val="18"/>
          <w:szCs w:val="18"/>
        </w:rPr>
      </w:pPr>
      <w:r w:rsidRPr="00175D8B">
        <w:rPr>
          <w:rFonts w:eastAsia="Aptos" w:cs="Aptos"/>
          <w:noProof/>
          <w:color w:val="000000" w:themeColor="text1"/>
          <w:szCs w:val="22"/>
          <w:lang w:val="tr-TR" w:eastAsia="tr-TR"/>
        </w:rPr>
        <w:drawing>
          <wp:inline distT="0" distB="0" distL="0" distR="0" wp14:anchorId="1B964C75" wp14:editId="6FFFE996">
            <wp:extent cx="5760000" cy="2351119"/>
            <wp:effectExtent l="0" t="0" r="12700" b="11430"/>
            <wp:docPr id="2134947213" name="Grafik 1">
              <a:extLst xmlns:a="http://schemas.openxmlformats.org/drawingml/2006/main">
                <a:ext uri="{FF2B5EF4-FFF2-40B4-BE49-F238E27FC236}">
                  <a16:creationId xmlns:a16="http://schemas.microsoft.com/office/drawing/2014/main" id="{2DA78861-183C-ED93-09D8-17D9DE33B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5F02B2" w14:textId="646B9C30" w:rsidR="00FA7787" w:rsidRPr="00175D8B" w:rsidRDefault="006717FF" w:rsidP="002550A6">
      <w:pPr>
        <w:spacing w:line="276" w:lineRule="auto"/>
        <w:jc w:val="center"/>
      </w:pPr>
      <w:r w:rsidRPr="00175D8B">
        <w:rPr>
          <w:rFonts w:eastAsia="Aptos" w:cs="Aptos"/>
          <w:b/>
          <w:i/>
          <w:color w:val="000000" w:themeColor="text1"/>
          <w:sz w:val="18"/>
          <w:szCs w:val="18"/>
        </w:rPr>
        <w:t>Source:</w:t>
      </w:r>
      <w:r w:rsidRPr="00175D8B">
        <w:rPr>
          <w:rFonts w:eastAsia="Aptos" w:cs="Aptos"/>
          <w:i/>
          <w:color w:val="000000" w:themeColor="text1"/>
          <w:sz w:val="18"/>
          <w:szCs w:val="18"/>
        </w:rPr>
        <w:t xml:space="preserve"> Turkish Statistical Institute, Address Based Population Registration System Results, 2007-2024</w:t>
      </w:r>
      <w:bookmarkStart w:id="179" w:name="_heading=h.itl0kd6og2i7" w:colFirst="0" w:colLast="0"/>
      <w:bookmarkEnd w:id="179"/>
    </w:p>
    <w:p w14:paraId="3B7EBBD1" w14:textId="31E1258D" w:rsidR="006717FF" w:rsidRPr="00175D8B" w:rsidRDefault="008C3896" w:rsidP="002550A6">
      <w:r w:rsidRPr="00175D8B">
        <w:t xml:space="preserve">The population of Sakarya has steadily increased from 835,222 in 2007 to 1,110,735 in 2024, reflecting a growth of over 33% in 18 years, with 51% of the population being male and 49% female. </w:t>
      </w:r>
      <w:r w:rsidR="006717FF" w:rsidRPr="00175D8B">
        <w:t xml:space="preserve">When the population structure of Sakarya province is examined, it shows that it has a strong demographic dynamic in terms of both natural population growth and migration potential. It is seen that the annual population growth rate reached 19.06 per thousand in 2008, and the growth rate reached the highest levels with 21.71 and 24.63 per thousand in the 2015-2016 period. There have been sudden increases, major unexpected developments, economic attractiveness and migration movements observed in these years. There has been a slowdown compared to the increase in 2017, but in general, it has a strong impact in the range of 17-20 in the 2018-2022 period. In 2020, the rate of increase of the pandemic in Türkiye decreased significantly (5.51 per thousand), while Sakarya had a relatively more resilient period (12.55 per thousand). In 2023 and 2024, the loss of increases is noteworthy (16.56 and 11.43 per thousand, respectively). This can be explained as slowing migration flows, decreases in birth rates and the distribution of economic conditions. </w:t>
      </w:r>
    </w:p>
    <w:p w14:paraId="1291D4C0" w14:textId="638FF2F3" w:rsidR="00CC7BA3" w:rsidRPr="00175D8B" w:rsidRDefault="006717FF" w:rsidP="006717FF">
      <w:pPr>
        <w:spacing w:before="240" w:after="240"/>
      </w:pPr>
      <w:r w:rsidRPr="00175D8B">
        <w:t xml:space="preserve">When the population structure of Sakarya province is examined, it is seen that the total age dependency ratio is lower than the average of Türkiye and the average household size is higher than the average of Türkiye, as seen in </w:t>
      </w:r>
      <w:r w:rsidR="00A62E69" w:rsidRPr="00A62E69">
        <w:fldChar w:fldCharType="begin"/>
      </w:r>
      <w:r w:rsidR="00A62E69" w:rsidRPr="00A62E69">
        <w:instrText xml:space="preserve"> REF _Ref214634285 \h  \* MERGEFORMAT </w:instrText>
      </w:r>
      <w:r w:rsidR="00A62E69" w:rsidRPr="00A62E69">
        <w:fldChar w:fldCharType="separate"/>
      </w:r>
      <w:r w:rsidR="00A62E69" w:rsidRPr="00A62E69">
        <w:t xml:space="preserve">Table </w:t>
      </w:r>
      <w:r w:rsidR="00A62E69" w:rsidRPr="00A62E69">
        <w:rPr>
          <w:noProof/>
        </w:rPr>
        <w:t>13</w:t>
      </w:r>
      <w:r w:rsidR="00A62E69" w:rsidRPr="00A62E69">
        <w:fldChar w:fldCharType="end"/>
      </w:r>
      <w:r w:rsidRPr="00A62E69">
        <w:t>.</w:t>
      </w:r>
    </w:p>
    <w:p w14:paraId="239099A9" w14:textId="181EF394" w:rsidR="00E76571" w:rsidRPr="00175D8B" w:rsidRDefault="00E76571" w:rsidP="006717FF">
      <w:pPr>
        <w:spacing w:before="240" w:after="240"/>
      </w:pPr>
    </w:p>
    <w:p w14:paraId="767335F4" w14:textId="1F1574D3" w:rsidR="00E76571" w:rsidRPr="00175D8B" w:rsidRDefault="00E76571" w:rsidP="006717FF">
      <w:pPr>
        <w:spacing w:before="240" w:after="240"/>
      </w:pPr>
    </w:p>
    <w:p w14:paraId="4C008EBE" w14:textId="665027B1" w:rsidR="00277269" w:rsidRPr="00175D8B" w:rsidRDefault="00277269" w:rsidP="00F02281">
      <w:pPr>
        <w:spacing w:before="120" w:after="200" w:line="278" w:lineRule="auto"/>
        <w:jc w:val="center"/>
        <w:rPr>
          <w:rFonts w:eastAsia="Aptos" w:cs="Aptos"/>
          <w:i/>
          <w:iCs/>
          <w:color w:val="000000" w:themeColor="text1"/>
          <w:sz w:val="20"/>
          <w:szCs w:val="20"/>
        </w:rPr>
      </w:pPr>
    </w:p>
    <w:p w14:paraId="6F9B59A9" w14:textId="3053825F" w:rsidR="00931117" w:rsidRPr="006C58C5" w:rsidRDefault="00931117" w:rsidP="006C58C5">
      <w:pPr>
        <w:pStyle w:val="ResimYazs"/>
        <w:keepNext/>
        <w:jc w:val="center"/>
        <w:rPr>
          <w:b/>
          <w:bCs/>
        </w:rPr>
      </w:pPr>
      <w:bookmarkStart w:id="180" w:name="_Ref214634285"/>
      <w:bookmarkStart w:id="181" w:name="_Toc216344430"/>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13</w:t>
      </w:r>
      <w:r w:rsidRPr="006C58C5">
        <w:rPr>
          <w:b/>
          <w:bCs/>
        </w:rPr>
        <w:fldChar w:fldCharType="end"/>
      </w:r>
      <w:bookmarkEnd w:id="180"/>
      <w:r w:rsidRPr="006C58C5">
        <w:rPr>
          <w:b/>
          <w:bCs/>
        </w:rPr>
        <w:t>:</w:t>
      </w:r>
      <w:r w:rsidRPr="00175D8B">
        <w:rPr>
          <w:b/>
          <w:bCs/>
        </w:rPr>
        <w:t xml:space="preserve"> </w:t>
      </w:r>
      <w:r w:rsidRPr="00175D8B">
        <w:rPr>
          <w:rFonts w:eastAsia="Aptos" w:cs="Aptos"/>
          <w:color w:val="000000"/>
          <w:szCs w:val="20"/>
        </w:rPr>
        <w:t>Sakarya Province Age Dependency Ratio and Average Household Size</w:t>
      </w:r>
      <w:bookmarkEnd w:id="181"/>
    </w:p>
    <w:tbl>
      <w:tblPr>
        <w:tblW w:w="9072" w:type="dxa"/>
        <w:jc w:val="center"/>
        <w:tblLayout w:type="fixed"/>
        <w:tblLook w:val="0400" w:firstRow="0" w:lastRow="0" w:firstColumn="0" w:lastColumn="0" w:noHBand="0" w:noVBand="1"/>
      </w:tblPr>
      <w:tblGrid>
        <w:gridCol w:w="4643"/>
        <w:gridCol w:w="1836"/>
        <w:gridCol w:w="2593"/>
      </w:tblGrid>
      <w:tr w:rsidR="00277269" w:rsidRPr="00175D8B" w14:paraId="337A4DE4" w14:textId="77777777" w:rsidTr="002550A6">
        <w:trPr>
          <w:trHeight w:val="271"/>
          <w:tblHeader/>
          <w:jc w:val="center"/>
        </w:trPr>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BB7C1"/>
            <w:vAlign w:val="center"/>
          </w:tcPr>
          <w:p w14:paraId="4C70E81D" w14:textId="77777777" w:rsidR="00277269" w:rsidRPr="00175D8B" w:rsidRDefault="00277269" w:rsidP="008C3896">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Population</w:t>
            </w:r>
          </w:p>
        </w:tc>
        <w:tc>
          <w:tcPr>
            <w:tcW w:w="1836" w:type="dxa"/>
            <w:tcBorders>
              <w:top w:val="single" w:sz="4" w:space="0" w:color="000000" w:themeColor="text1"/>
              <w:left w:val="nil"/>
              <w:bottom w:val="nil"/>
              <w:right w:val="nil"/>
            </w:tcBorders>
            <w:shd w:val="clear" w:color="auto" w:fill="ABB7C1"/>
            <w:vAlign w:val="center"/>
          </w:tcPr>
          <w:p w14:paraId="22857941" w14:textId="77777777" w:rsidR="00277269" w:rsidRPr="00175D8B" w:rsidRDefault="00277269" w:rsidP="008C3896">
            <w:pPr>
              <w:spacing w:before="120" w:after="0" w:line="278" w:lineRule="auto"/>
              <w:jc w:val="center"/>
              <w:rPr>
                <w:rFonts w:eastAsia="Aptos" w:cs="Aptos"/>
                <w:b/>
                <w:bCs/>
                <w:color w:val="000000" w:themeColor="text1"/>
                <w:sz w:val="20"/>
                <w:szCs w:val="20"/>
              </w:rPr>
            </w:pPr>
            <w:r w:rsidRPr="00175D8B">
              <w:rPr>
                <w:rFonts w:eastAsia="Aptos" w:cs="Aptos"/>
                <w:b/>
                <w:bCs/>
                <w:color w:val="000000" w:themeColor="text1"/>
                <w:sz w:val="20"/>
                <w:szCs w:val="20"/>
              </w:rPr>
              <w:t>Türkiye</w:t>
            </w: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BB7C1"/>
            <w:vAlign w:val="center"/>
          </w:tcPr>
          <w:p w14:paraId="7589687C" w14:textId="77777777" w:rsidR="00277269" w:rsidRPr="00175D8B" w:rsidRDefault="00277269" w:rsidP="008C3896">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Sakarya</w:t>
            </w:r>
          </w:p>
        </w:tc>
      </w:tr>
      <w:tr w:rsidR="00277269" w:rsidRPr="00175D8B" w14:paraId="62911973" w14:textId="77777777" w:rsidTr="00DF417A">
        <w:trPr>
          <w:trHeight w:val="271"/>
          <w:jc w:val="center"/>
        </w:trPr>
        <w:tc>
          <w:tcPr>
            <w:tcW w:w="4643" w:type="dxa"/>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60AEC95" w14:textId="77777777" w:rsidR="00277269" w:rsidRPr="00175D8B" w:rsidRDefault="00277269" w:rsidP="00277269">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Total Age Dependency Ratio (%)</w:t>
            </w:r>
          </w:p>
        </w:tc>
        <w:tc>
          <w:tcPr>
            <w:tcW w:w="1836"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vAlign w:val="center"/>
          </w:tcPr>
          <w:p w14:paraId="1C22F848" w14:textId="256A62C6" w:rsidR="00277269" w:rsidRPr="00175D8B" w:rsidRDefault="00277269" w:rsidP="00277269">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46</w:t>
            </w:r>
            <w:r w:rsidR="0081050D" w:rsidRPr="00175D8B">
              <w:rPr>
                <w:rFonts w:eastAsia="Aptos" w:cs="Aptos"/>
                <w:color w:val="000000" w:themeColor="text1"/>
                <w:sz w:val="20"/>
                <w:szCs w:val="20"/>
              </w:rPr>
              <w:t>.</w:t>
            </w:r>
            <w:r w:rsidRPr="00175D8B">
              <w:rPr>
                <w:rFonts w:eastAsia="Aptos" w:cs="Aptos"/>
                <w:color w:val="000000" w:themeColor="text1"/>
                <w:sz w:val="20"/>
                <w:szCs w:val="20"/>
              </w:rPr>
              <w:t>12</w:t>
            </w:r>
          </w:p>
        </w:tc>
        <w:tc>
          <w:tcPr>
            <w:tcW w:w="2593"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49BA838" w14:textId="7D5C0384" w:rsidR="00277269" w:rsidRPr="00175D8B" w:rsidRDefault="00277269" w:rsidP="00277269">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45</w:t>
            </w:r>
            <w:r w:rsidR="0081050D" w:rsidRPr="00175D8B">
              <w:rPr>
                <w:rFonts w:eastAsia="Aptos" w:cs="Aptos"/>
                <w:color w:val="000000" w:themeColor="text1"/>
                <w:sz w:val="20"/>
                <w:szCs w:val="20"/>
              </w:rPr>
              <w:t>.</w:t>
            </w:r>
            <w:r w:rsidRPr="00175D8B">
              <w:rPr>
                <w:rFonts w:eastAsia="Aptos" w:cs="Aptos"/>
                <w:color w:val="000000" w:themeColor="text1"/>
                <w:sz w:val="20"/>
                <w:szCs w:val="20"/>
              </w:rPr>
              <w:t>02</w:t>
            </w:r>
          </w:p>
        </w:tc>
      </w:tr>
      <w:tr w:rsidR="00277269" w:rsidRPr="00175D8B" w14:paraId="5C7544C7" w14:textId="77777777" w:rsidTr="00DF417A">
        <w:trPr>
          <w:trHeight w:val="271"/>
          <w:jc w:val="center"/>
        </w:trPr>
        <w:tc>
          <w:tcPr>
            <w:tcW w:w="4643" w:type="dxa"/>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38A37F3" w14:textId="77777777" w:rsidR="00277269" w:rsidRPr="00175D8B" w:rsidRDefault="00277269" w:rsidP="00277269">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Average Household Size (Number)</w:t>
            </w:r>
          </w:p>
        </w:tc>
        <w:tc>
          <w:tcPr>
            <w:tcW w:w="1836"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8916A0E" w14:textId="4DFFEAFE" w:rsidR="00277269" w:rsidRPr="00175D8B" w:rsidRDefault="00277269" w:rsidP="00277269">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w:t>
            </w:r>
            <w:r w:rsidR="0081050D" w:rsidRPr="00175D8B">
              <w:rPr>
                <w:rFonts w:eastAsia="Aptos" w:cs="Aptos"/>
                <w:color w:val="000000" w:themeColor="text1"/>
                <w:sz w:val="20"/>
                <w:szCs w:val="20"/>
              </w:rPr>
              <w:t>.</w:t>
            </w:r>
            <w:r w:rsidRPr="00175D8B">
              <w:rPr>
                <w:rFonts w:eastAsia="Aptos" w:cs="Aptos"/>
                <w:color w:val="000000" w:themeColor="text1"/>
                <w:sz w:val="20"/>
                <w:szCs w:val="20"/>
              </w:rPr>
              <w:t>11</w:t>
            </w:r>
          </w:p>
        </w:tc>
        <w:tc>
          <w:tcPr>
            <w:tcW w:w="2593"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D9E4978" w14:textId="6DE6FED8" w:rsidR="00277269" w:rsidRPr="00175D8B" w:rsidRDefault="00277269" w:rsidP="00277269">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w:t>
            </w:r>
            <w:r w:rsidR="0081050D" w:rsidRPr="00175D8B">
              <w:rPr>
                <w:rFonts w:eastAsia="Aptos" w:cs="Aptos"/>
                <w:color w:val="000000" w:themeColor="text1"/>
                <w:sz w:val="20"/>
                <w:szCs w:val="20"/>
              </w:rPr>
              <w:t>.</w:t>
            </w:r>
            <w:r w:rsidRPr="00175D8B">
              <w:rPr>
                <w:rFonts w:eastAsia="Aptos" w:cs="Aptos"/>
                <w:color w:val="000000" w:themeColor="text1"/>
                <w:sz w:val="20"/>
                <w:szCs w:val="20"/>
              </w:rPr>
              <w:t>18</w:t>
            </w:r>
          </w:p>
        </w:tc>
      </w:tr>
    </w:tbl>
    <w:p w14:paraId="19DC6B60" w14:textId="7898084C" w:rsidR="00277269" w:rsidRPr="00175D8B" w:rsidRDefault="00277269" w:rsidP="00277269">
      <w:pPr>
        <w:spacing w:before="60" w:after="240" w:line="278" w:lineRule="auto"/>
        <w:jc w:val="center"/>
        <w:rPr>
          <w:rFonts w:eastAsia="Aptos" w:cs="Aptos"/>
          <w:i/>
          <w:color w:val="000000" w:themeColor="text1"/>
          <w:sz w:val="16"/>
          <w:szCs w:val="16"/>
        </w:rPr>
      </w:pPr>
      <w:r w:rsidRPr="00175D8B">
        <w:rPr>
          <w:rFonts w:eastAsia="Aptos" w:cs="Aptos"/>
          <w:b/>
          <w:i/>
          <w:color w:val="000000" w:themeColor="text1"/>
          <w:sz w:val="18"/>
          <w:szCs w:val="18"/>
        </w:rPr>
        <w:t xml:space="preserve">Source: </w:t>
      </w:r>
      <w:r w:rsidRPr="00175D8B">
        <w:rPr>
          <w:rFonts w:eastAsia="Aptos" w:cs="Aptos"/>
          <w:i/>
          <w:color w:val="000000" w:themeColor="text1"/>
          <w:sz w:val="18"/>
          <w:szCs w:val="18"/>
        </w:rPr>
        <w:t>TurkStat, Address Based Population Registration System</w:t>
      </w:r>
      <w:r w:rsidR="00153598">
        <w:rPr>
          <w:rFonts w:eastAsia="Aptos" w:cs="Aptos"/>
          <w:i/>
          <w:color w:val="000000" w:themeColor="text1"/>
          <w:sz w:val="18"/>
          <w:szCs w:val="18"/>
        </w:rPr>
        <w:t>,2024.</w:t>
      </w:r>
    </w:p>
    <w:p w14:paraId="43FEC869" w14:textId="271B6E11" w:rsidR="00277269" w:rsidRPr="00175D8B" w:rsidRDefault="00277269" w:rsidP="00277269">
      <w:pPr>
        <w:spacing w:before="240" w:after="240"/>
      </w:pPr>
      <w:bookmarkStart w:id="182" w:name="_heading=h.6eecpxmropco" w:colFirst="0" w:colLast="0"/>
      <w:bookmarkEnd w:id="182"/>
      <w:r w:rsidRPr="00175D8B">
        <w:t xml:space="preserve">The age pyramid of Sakarya province is given in </w:t>
      </w:r>
      <w:r w:rsidR="00A62E69" w:rsidRPr="00A62E69">
        <w:fldChar w:fldCharType="begin"/>
      </w:r>
      <w:r w:rsidR="00A62E69" w:rsidRPr="00A62E69">
        <w:instrText xml:space="preserve"> REF _Ref215566360 \h  \* MERGEFORMAT </w:instrText>
      </w:r>
      <w:r w:rsidR="00A62E69" w:rsidRPr="00A62E69">
        <w:fldChar w:fldCharType="separate"/>
      </w:r>
      <w:r w:rsidR="00A62E69" w:rsidRPr="00A62E69">
        <w:t xml:space="preserve">Figure </w:t>
      </w:r>
      <w:r w:rsidR="00A62E69" w:rsidRPr="00A62E69">
        <w:rPr>
          <w:noProof/>
        </w:rPr>
        <w:t>8</w:t>
      </w:r>
      <w:r w:rsidR="00A62E69" w:rsidRPr="00A62E69">
        <w:fldChar w:fldCharType="end"/>
      </w:r>
      <w:r w:rsidRPr="00175D8B">
        <w:t>. The age pyramids for 2007 and 2024 are shown comparatively. These pyramids show a significant change in the demographic structure of Sakarya province over time.</w:t>
      </w:r>
    </w:p>
    <w:p w14:paraId="205B470D" w14:textId="77777777" w:rsidR="00277269" w:rsidRPr="00175D8B" w:rsidRDefault="00277269" w:rsidP="00277269">
      <w:pPr>
        <w:spacing w:before="240" w:after="240"/>
      </w:pPr>
      <w:r w:rsidRPr="00175D8B">
        <w:t>The age pyramid of 2007 points to the type of "young population" whose base is wide and narrows upwards. This structure shows the high fertility rates and the weight of the social structure of youth. The distribution observed especially according to the 0-14 age groups reveals that the increase in the child and youth population is high in this period.</w:t>
      </w:r>
    </w:p>
    <w:p w14:paraId="68C18E91" w14:textId="77777777" w:rsidR="00277269" w:rsidRPr="00175D8B" w:rsidRDefault="00277269" w:rsidP="00277269">
      <w:pPr>
        <w:spacing w:before="240" w:after="240"/>
      </w:pPr>
      <w:r w:rsidRPr="00175D8B">
        <w:t>The 2024 pyramid shows a significant expansion in middle-aged groups, particularly in the 30-49 age range. This situation shows that the demographic structure of the province is a formation in which the predominantly young population is more balanced and the productive age group is in the majority. While there is a relative development in the 0-14 age group, there is an observable increase in the population aged 65 and over. These trends reveal declining fertility rates in the region, increasing health and lifespan, and thus a shift towards an aging but productive population structure.</w:t>
      </w:r>
    </w:p>
    <w:p w14:paraId="5D759B7E" w14:textId="0FA6A8A5" w:rsidR="00277269" w:rsidRPr="00175D8B" w:rsidRDefault="00277269" w:rsidP="006C58C5">
      <w:pPr>
        <w:spacing w:before="240" w:after="240"/>
        <w:rPr>
          <w:rFonts w:eastAsia="Aptos" w:cs="Aptos"/>
          <w:i/>
          <w:iCs/>
          <w:color w:val="000000" w:themeColor="text1"/>
          <w:sz w:val="20"/>
          <w:szCs w:val="20"/>
        </w:rPr>
      </w:pPr>
      <w:r w:rsidRPr="00175D8B">
        <w:t>In general, a large demographic part of the individuals (25-64 years old) currently in the working order in Sakarya province is formed. However, the increase in the elderly population and the decrease in the young population necessitate the improvement of new approaches in social service, health, education, and employment policies in the regional area.</w:t>
      </w:r>
    </w:p>
    <w:p w14:paraId="5C47EA9D" w14:textId="4787FD14" w:rsidR="00931117" w:rsidRPr="00175D8B" w:rsidRDefault="00931117" w:rsidP="00277269">
      <w:pPr>
        <w:spacing w:before="120" w:after="0" w:line="278" w:lineRule="auto"/>
      </w:pPr>
    </w:p>
    <w:p w14:paraId="4E0071EF" w14:textId="24944DC9" w:rsidR="00931117" w:rsidRPr="00175D8B" w:rsidRDefault="00931117" w:rsidP="006C58C5">
      <w:pPr>
        <w:pStyle w:val="ResimYazs"/>
        <w:keepNext/>
        <w:jc w:val="center"/>
      </w:pPr>
      <w:bookmarkStart w:id="183" w:name="_Ref215566360"/>
      <w:bookmarkStart w:id="184" w:name="_Toc221191316"/>
      <w:r w:rsidRPr="006C58C5">
        <w:rPr>
          <w:b/>
          <w:bCs/>
        </w:rPr>
        <w:lastRenderedPageBreak/>
        <w:t xml:space="preserve">Figure </w:t>
      </w:r>
      <w:r w:rsidRPr="006C58C5">
        <w:rPr>
          <w:b/>
          <w:bCs/>
        </w:rPr>
        <w:fldChar w:fldCharType="begin"/>
      </w:r>
      <w:r w:rsidRPr="006C58C5">
        <w:rPr>
          <w:b/>
          <w:bCs/>
        </w:rPr>
        <w:instrText xml:space="preserve"> SEQ Figure \* ARABIC </w:instrText>
      </w:r>
      <w:r w:rsidRPr="006C58C5">
        <w:rPr>
          <w:b/>
          <w:bCs/>
        </w:rPr>
        <w:fldChar w:fldCharType="separate"/>
      </w:r>
      <w:r w:rsidR="00811FB5" w:rsidRPr="00175D8B">
        <w:rPr>
          <w:b/>
          <w:bCs/>
          <w:noProof/>
        </w:rPr>
        <w:t>8</w:t>
      </w:r>
      <w:r w:rsidRPr="006C58C5">
        <w:rPr>
          <w:b/>
          <w:bCs/>
        </w:rPr>
        <w:fldChar w:fldCharType="end"/>
      </w:r>
      <w:bookmarkEnd w:id="183"/>
      <w:r w:rsidRPr="006C58C5">
        <w:rPr>
          <w:b/>
          <w:bCs/>
        </w:rPr>
        <w:t>:</w:t>
      </w:r>
      <w:r w:rsidRPr="00175D8B">
        <w:t xml:space="preserve"> </w:t>
      </w:r>
      <w:r w:rsidRPr="00175D8B">
        <w:rPr>
          <w:rFonts w:eastAsia="Aptos" w:cs="Aptos"/>
          <w:color w:val="000000"/>
          <w:szCs w:val="20"/>
        </w:rPr>
        <w:t>Change in the Population Pyramid of Sakarya Province</w:t>
      </w:r>
      <w:bookmarkEnd w:id="184"/>
    </w:p>
    <w:p w14:paraId="03DB20CC" w14:textId="4704BD76" w:rsidR="00277269" w:rsidRPr="00175D8B" w:rsidRDefault="00931117" w:rsidP="00277269">
      <w:pPr>
        <w:spacing w:before="120" w:after="0" w:line="278" w:lineRule="auto"/>
        <w:rPr>
          <w:rFonts w:eastAsia="Aptos" w:cs="Aptos"/>
          <w:color w:val="000000" w:themeColor="text1"/>
          <w:szCs w:val="22"/>
        </w:rPr>
      </w:pPr>
      <w:r w:rsidRPr="00175D8B">
        <w:rPr>
          <w:rFonts w:eastAsia="Aptos" w:cs="Aptos"/>
          <w:noProof/>
          <w:color w:val="000000" w:themeColor="text1"/>
          <w:szCs w:val="22"/>
          <w:lang w:val="tr-TR" w:eastAsia="tr-TR"/>
        </w:rPr>
        <mc:AlternateContent>
          <mc:Choice Requires="wps">
            <w:drawing>
              <wp:anchor distT="0" distB="0" distL="114300" distR="114300" simplePos="0" relativeHeight="251675648" behindDoc="0" locked="0" layoutInCell="1" allowOverlap="1" wp14:anchorId="11333AC8" wp14:editId="56140C53">
                <wp:simplePos x="0" y="0"/>
                <wp:positionH relativeFrom="column">
                  <wp:posOffset>3666490</wp:posOffset>
                </wp:positionH>
                <wp:positionV relativeFrom="paragraph">
                  <wp:posOffset>42545</wp:posOffset>
                </wp:positionV>
                <wp:extent cx="1433980" cy="331208"/>
                <wp:effectExtent l="0" t="0" r="0" b="0"/>
                <wp:wrapNone/>
                <wp:docPr id="315902773" name="Metin Kutusu 1"/>
                <wp:cNvGraphicFramePr/>
                <a:graphic xmlns:a="http://schemas.openxmlformats.org/drawingml/2006/main">
                  <a:graphicData uri="http://schemas.microsoft.com/office/word/2010/wordprocessingShape">
                    <wps:wsp>
                      <wps:cNvSpPr txBox="1"/>
                      <wps:spPr>
                        <a:xfrm>
                          <a:off x="0" y="0"/>
                          <a:ext cx="1433980" cy="331208"/>
                        </a:xfrm>
                        <a:prstGeom prst="rect">
                          <a:avLst/>
                        </a:prstGeom>
                        <a:solidFill>
                          <a:sysClr val="window" lastClr="FFFFFF"/>
                        </a:solidFill>
                        <a:ln w="6350">
                          <a:noFill/>
                        </a:ln>
                      </wps:spPr>
                      <wps:txbx>
                        <w:txbxContent>
                          <w:p w14:paraId="1D79859E" w14:textId="77777777" w:rsidR="001F6155" w:rsidRPr="004C39A8" w:rsidRDefault="001F6155" w:rsidP="00277269">
                            <w:pPr>
                              <w:rPr>
                                <w:b/>
                                <w:bCs/>
                                <w:lang w:val="tr-TR"/>
                              </w:rPr>
                            </w:pPr>
                            <w:r w:rsidRPr="004C39A8">
                              <w:rPr>
                                <w:b/>
                                <w:bCs/>
                                <w:lang w:val="tr-TR"/>
                              </w:rPr>
                              <w:t>POPULATION 20</w:t>
                            </w:r>
                            <w:r w:rsidRPr="008F120E">
                              <w:rPr>
                                <w:b/>
                                <w:bCs/>
                                <w:lang w:val="tr-TR"/>
                              </w:rPr>
                              <w:t>24</w:t>
                            </w:r>
                          </w:p>
                          <w:p w14:paraId="5A07C7FA" w14:textId="77777777" w:rsidR="001F6155" w:rsidRDefault="001F6155" w:rsidP="002772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11333AC8" id="_x0000_t202" coordsize="21600,21600" o:spt="202" path="m,l,21600r21600,l21600,xe">
                <v:stroke joinstyle="miter"/>
                <v:path gradientshapeok="t" o:connecttype="rect"/>
              </v:shapetype>
              <v:shape id="Metin Kutusu 1" o:spid="_x0000_s1026" type="#_x0000_t202" style="position:absolute;left:0;text-align:left;margin-left:288.7pt;margin-top:3.35pt;width:112.9pt;height:2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JcVgIAAJYEAAAOAAAAZHJzL2Uyb0RvYy54bWysVN9v2jAQfp+0/8Hy+0hCoKWIUDEqpmms&#10;rdROfTaOUyw5Ps92SNhf37MTaNftaRoP5s73y/d9d1lcd7UiB2GdBF3QbJRSIjSHUurngv543Hya&#10;UeI80yVToEVBj8LR6+XHD4vWzMUY9qBKYQkm0W7emoLuvTfzJHF8L2rmRmCERmMFtmYeVfuclJa1&#10;mL1WyThNL5IWbGkscOEc3t70RrqM+atKcH9XVU54ogqKb/PxtPHchTNZLtj82TKzl3x4BvuHV9RM&#10;aix6TnXDPCONlX+kqiW34KDyIw51AlUluYg9YDdZ+q6bhz0zIvaC4Dhzhsn9v7T89nBviSwLmmfT&#10;q3R8eZlTolmNVH0XXmryrfGNa0gWkGqNm2PAg8EQ332GDhk/3Tu8DAB0la3DP7ZG0I6YH884i84T&#10;HoImeX41QxNHW55n43QW0iSv0cY6/0VATYJQUIs8RnjZYet873pyCcUcKFlupFJRObq1suTAkHKc&#10;lBJaShRzHi8Luom/odpvYUqTtqAX+TSNlTSEfH0ppfFxofm+ySD5btcNiOygPCIgFvrhcoZvJL56&#10;iyXvmcVpwkZxQ/wdHpUCLAKDRMke7K+/3Qd/JBmtlLQ4nQV1PxtmBXbyVSP9V9lkEsY5KpPp5RgV&#10;+9aye2vRTb0GRCPDXTQ8isHfq5NYWaifcJFWoSqamOZYu6D+JK59vzO4iFysVtEJB9gwv9UPhofU&#10;AfrAyWP3xKwZiPNI+S2c5pjN3/HX+4ZIDavGQyUjuQHgHtUBdxz+OB7DoobteqtHr9fPyfIFAAD/&#10;/wMAUEsDBBQABgAIAAAAIQASzxCr4AAAAAgBAAAPAAAAZHJzL2Rvd25yZXYueG1sTI9BT4NAEIXv&#10;Jv6HzZh4s4tVCyJLY4xGm0iqaOJ1CyOg7CzZ3RbaX+940uPke3nvm2w5mV7s0PnOkoLzWQQCqbJ1&#10;R42C97eHswSED5pq3VtCBXv0sMyPjzKd1nakV9yVoRFcQj7VCtoQhlRKX7VotJ/ZAYnZp3VGBz5d&#10;I2unRy43vZxH0UIa3REvtHrAuxar73JrFHyM5aNbr1ZfL8NTcVgfyuIZ7wulTk+m2xsQAafwF4Zf&#10;fVaHnJ02dku1F72Cqzi+5KiCRQyCeRJdzEFsGCTXIPNM/n8g/wEAAP//AwBQSwECLQAUAAYACAAA&#10;ACEAtoM4kv4AAADhAQAAEwAAAAAAAAAAAAAAAAAAAAAAW0NvbnRlbnRfVHlwZXNdLnhtbFBLAQIt&#10;ABQABgAIAAAAIQA4/SH/1gAAAJQBAAALAAAAAAAAAAAAAAAAAC8BAABfcmVscy8ucmVsc1BLAQIt&#10;ABQABgAIAAAAIQDY3wJcVgIAAJYEAAAOAAAAAAAAAAAAAAAAAC4CAABkcnMvZTJvRG9jLnhtbFBL&#10;AQItABQABgAIAAAAIQASzxCr4AAAAAgBAAAPAAAAAAAAAAAAAAAAALAEAABkcnMvZG93bnJldi54&#10;bWxQSwUGAAAAAAQABADzAAAAvQUAAAAA&#10;" fillcolor="window" stroked="f" strokeweight=".5pt">
                <v:textbox>
                  <w:txbxContent>
                    <w:p w14:paraId="1D79859E" w14:textId="77777777" w:rsidR="001F6155" w:rsidRPr="004C39A8" w:rsidRDefault="001F6155" w:rsidP="00277269">
                      <w:pPr>
                        <w:rPr>
                          <w:b/>
                          <w:bCs/>
                          <w:lang w:val="tr-TR"/>
                        </w:rPr>
                      </w:pPr>
                      <w:r w:rsidRPr="004C39A8">
                        <w:rPr>
                          <w:b/>
                          <w:bCs/>
                          <w:lang w:val="tr-TR"/>
                        </w:rPr>
                        <w:t>POPULATION 20</w:t>
                      </w:r>
                      <w:r w:rsidRPr="008F120E">
                        <w:rPr>
                          <w:b/>
                          <w:bCs/>
                          <w:lang w:val="tr-TR"/>
                        </w:rPr>
                        <w:t>24</w:t>
                      </w:r>
                    </w:p>
                    <w:p w14:paraId="5A07C7FA" w14:textId="77777777" w:rsidR="001F6155" w:rsidRDefault="001F6155" w:rsidP="00277269"/>
                  </w:txbxContent>
                </v:textbox>
              </v:shape>
            </w:pict>
          </mc:Fallback>
        </mc:AlternateContent>
      </w:r>
      <w:r w:rsidR="00277269" w:rsidRPr="00175D8B">
        <w:rPr>
          <w:rFonts w:eastAsia="Aptos" w:cs="Aptos"/>
          <w:noProof/>
          <w:color w:val="000000" w:themeColor="text1"/>
          <w:szCs w:val="22"/>
          <w:lang w:val="tr-TR" w:eastAsia="tr-TR"/>
        </w:rPr>
        <w:drawing>
          <wp:inline distT="0" distB="0" distL="0" distR="0" wp14:anchorId="6B862918" wp14:editId="14E370BD">
            <wp:extent cx="2835910" cy="2949575"/>
            <wp:effectExtent l="0" t="0" r="2540" b="3175"/>
            <wp:docPr id="817453209" name="Grafik 1">
              <a:extLst xmlns:a="http://schemas.openxmlformats.org/drawingml/2006/main">
                <a:ext uri="{FF2B5EF4-FFF2-40B4-BE49-F238E27FC236}">
                  <a16:creationId xmlns:a16="http://schemas.microsoft.com/office/drawing/2014/main" id="{C21ABA14-5475-C9EC-DCD0-BD140972C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277269" w:rsidRPr="00175D8B">
        <w:rPr>
          <w:rFonts w:eastAsia="Aptos" w:cs="Aptos"/>
          <w:noProof/>
          <w:color w:val="000000" w:themeColor="text1"/>
          <w:szCs w:val="22"/>
          <w:lang w:val="tr-TR" w:eastAsia="tr-TR"/>
        </w:rPr>
        <w:drawing>
          <wp:inline distT="0" distB="0" distL="0" distR="0" wp14:anchorId="7468AF3D" wp14:editId="71109886">
            <wp:extent cx="2836545" cy="2948305"/>
            <wp:effectExtent l="0" t="0" r="1905" b="4445"/>
            <wp:docPr id="321649099" name="Grafik 1">
              <a:extLst xmlns:a="http://schemas.openxmlformats.org/drawingml/2006/main">
                <a:ext uri="{FF2B5EF4-FFF2-40B4-BE49-F238E27FC236}">
                  <a16:creationId xmlns:a16="http://schemas.microsoft.com/office/drawing/2014/main" id="{7ACA94A3-A93F-BAAC-59F5-92A1E57CC2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4F066A" w14:textId="55B2C662" w:rsidR="00277269" w:rsidRPr="00175D8B" w:rsidRDefault="00277269" w:rsidP="00277269">
      <w:pPr>
        <w:spacing w:before="120" w:after="0" w:line="278" w:lineRule="auto"/>
        <w:jc w:val="center"/>
        <w:rPr>
          <w:rFonts w:eastAsia="Aptos" w:cs="Aptos"/>
          <w:i/>
          <w:color w:val="000000" w:themeColor="text1"/>
          <w:sz w:val="8"/>
          <w:szCs w:val="8"/>
        </w:rPr>
      </w:pPr>
      <w:r w:rsidRPr="00175D8B">
        <w:rPr>
          <w:rFonts w:eastAsia="Aptos" w:cs="Aptos"/>
          <w:b/>
          <w:i/>
          <w:color w:val="000000" w:themeColor="text1"/>
          <w:sz w:val="18"/>
          <w:szCs w:val="18"/>
        </w:rPr>
        <w:t xml:space="preserve">Source: </w:t>
      </w:r>
      <w:r w:rsidRPr="00175D8B">
        <w:rPr>
          <w:rFonts w:eastAsia="Aptos" w:cs="Aptos"/>
          <w:i/>
          <w:color w:val="000000" w:themeColor="text1"/>
          <w:sz w:val="18"/>
          <w:szCs w:val="18"/>
        </w:rPr>
        <w:t>TurkStat, Address Based Population Registration System 2007 and 2024</w:t>
      </w:r>
    </w:p>
    <w:p w14:paraId="4635F470" w14:textId="7DC04F65" w:rsidR="00CC7BA3" w:rsidRPr="00175D8B" w:rsidRDefault="00CC7BA3" w:rsidP="00CC7BA3">
      <w:pPr>
        <w:jc w:val="center"/>
        <w:rPr>
          <w:i/>
          <w:sz w:val="8"/>
          <w:szCs w:val="8"/>
        </w:rPr>
      </w:pPr>
      <w:bookmarkStart w:id="185" w:name="_heading=h.j1k4ksn6gqhb" w:colFirst="0" w:colLast="0"/>
      <w:bookmarkEnd w:id="185"/>
    </w:p>
    <w:p w14:paraId="0F035444" w14:textId="77777777" w:rsidR="00CC7BA3" w:rsidRPr="00175D8B" w:rsidRDefault="00CC7BA3" w:rsidP="00CC7BA3">
      <w:pPr>
        <w:jc w:val="center"/>
        <w:rPr>
          <w:i/>
          <w:sz w:val="8"/>
          <w:szCs w:val="8"/>
        </w:rPr>
      </w:pPr>
    </w:p>
    <w:p w14:paraId="2822190E" w14:textId="3D33982B" w:rsidR="00D80A2F" w:rsidRPr="00175D8B" w:rsidRDefault="00277269" w:rsidP="002550A6">
      <w:pPr>
        <w:pStyle w:val="Balk3"/>
        <w:numPr>
          <w:ilvl w:val="2"/>
          <w:numId w:val="153"/>
        </w:numPr>
      </w:pPr>
      <w:bookmarkStart w:id="186" w:name="_Toc212541872"/>
      <w:bookmarkStart w:id="187" w:name="_Toc212542383"/>
      <w:bookmarkStart w:id="188" w:name="_Toc220672789"/>
      <w:r w:rsidRPr="00175D8B">
        <w:t>Education in Sakarya Province</w:t>
      </w:r>
      <w:bookmarkEnd w:id="186"/>
      <w:bookmarkEnd w:id="187"/>
      <w:bookmarkEnd w:id="188"/>
    </w:p>
    <w:p w14:paraId="62D6AC4F" w14:textId="0709550C" w:rsidR="003253B3" w:rsidRPr="00175D8B" w:rsidRDefault="00277269" w:rsidP="00FA7787">
      <w:pPr>
        <w:spacing w:before="240" w:after="240"/>
      </w:pPr>
      <w:bookmarkStart w:id="189" w:name="_heading=h.ooo86kbslfcy" w:colFirst="0" w:colLast="0"/>
      <w:bookmarkEnd w:id="189"/>
      <w:r w:rsidRPr="00175D8B">
        <w:t xml:space="preserve">Education data of Sakarya province show that the literacy and education level in Sakarya province is higher than the average of Türkiye. Educational attainment, which is the highest level of education completed by an individual, is given in </w:t>
      </w:r>
      <w:r w:rsidR="001C27B5">
        <w:fldChar w:fldCharType="begin"/>
      </w:r>
      <w:r w:rsidR="001C27B5">
        <w:instrText xml:space="preserve"> REF _Ref214634846 \h </w:instrText>
      </w:r>
      <w:r w:rsidR="001C27B5">
        <w:fldChar w:fldCharType="separate"/>
      </w:r>
      <w:r w:rsidR="001C27B5" w:rsidRPr="006C58C5">
        <w:rPr>
          <w:b/>
          <w:bCs/>
        </w:rPr>
        <w:t xml:space="preserve">Figure </w:t>
      </w:r>
      <w:r w:rsidR="001C27B5" w:rsidRPr="00175D8B">
        <w:rPr>
          <w:b/>
          <w:bCs/>
          <w:noProof/>
        </w:rPr>
        <w:t>9</w:t>
      </w:r>
      <w:r w:rsidR="001C27B5">
        <w:fldChar w:fldCharType="end"/>
      </w:r>
      <w:r w:rsidR="003F3C62">
        <w:t xml:space="preserve"> </w:t>
      </w:r>
      <w:r w:rsidRPr="00175D8B">
        <w:t xml:space="preserve">and </w:t>
      </w:r>
      <w:r w:rsidR="001C27B5">
        <w:fldChar w:fldCharType="begin"/>
      </w:r>
      <w:r w:rsidR="001C27B5">
        <w:instrText xml:space="preserve"> REF _Ref214635032 \h </w:instrText>
      </w:r>
      <w:r w:rsidR="001C27B5">
        <w:fldChar w:fldCharType="separate"/>
      </w:r>
      <w:r w:rsidR="001C27B5" w:rsidRPr="006C58C5">
        <w:rPr>
          <w:b/>
          <w:bCs/>
        </w:rPr>
        <w:t xml:space="preserve">Figure </w:t>
      </w:r>
      <w:r w:rsidR="001C27B5" w:rsidRPr="00175D8B">
        <w:rPr>
          <w:b/>
          <w:bCs/>
          <w:noProof/>
        </w:rPr>
        <w:t>10</w:t>
      </w:r>
      <w:r w:rsidR="001C27B5">
        <w:fldChar w:fldCharType="end"/>
      </w:r>
      <w:r w:rsidR="00AE288A" w:rsidRPr="00175D8B">
        <w:t>.</w:t>
      </w:r>
      <w:r w:rsidRPr="00175D8B">
        <w:t xml:space="preserve"> Although there is a difference between the education levels of </w:t>
      </w:r>
      <w:r w:rsidR="001A50C2" w:rsidRPr="00175D8B">
        <w:t>male and female individuals</w:t>
      </w:r>
      <w:r w:rsidRPr="00175D8B">
        <w:t xml:space="preserve"> at the primary and high school levels, this difference decreases at the higher education level.</w:t>
      </w:r>
    </w:p>
    <w:p w14:paraId="76BFA41D" w14:textId="13CE8649" w:rsidR="00AE288A" w:rsidRPr="00175D8B" w:rsidRDefault="00AE288A" w:rsidP="006C58C5">
      <w:pPr>
        <w:pStyle w:val="ResimYazs"/>
        <w:keepNext/>
        <w:jc w:val="center"/>
      </w:pPr>
      <w:bookmarkStart w:id="190" w:name="_Ref214634846"/>
      <w:bookmarkStart w:id="191" w:name="_Toc221191317"/>
      <w:r w:rsidRPr="006C58C5">
        <w:rPr>
          <w:b/>
          <w:bCs/>
        </w:rPr>
        <w:lastRenderedPageBreak/>
        <w:t xml:space="preserve">Figure </w:t>
      </w:r>
      <w:r w:rsidRPr="006C58C5">
        <w:rPr>
          <w:b/>
          <w:bCs/>
        </w:rPr>
        <w:fldChar w:fldCharType="begin"/>
      </w:r>
      <w:r w:rsidRPr="006C58C5">
        <w:rPr>
          <w:b/>
          <w:bCs/>
        </w:rPr>
        <w:instrText xml:space="preserve"> SEQ Figure \* ARABIC </w:instrText>
      </w:r>
      <w:r w:rsidRPr="006C58C5">
        <w:rPr>
          <w:b/>
          <w:bCs/>
        </w:rPr>
        <w:fldChar w:fldCharType="separate"/>
      </w:r>
      <w:r w:rsidR="00811FB5" w:rsidRPr="00175D8B">
        <w:rPr>
          <w:b/>
          <w:bCs/>
          <w:noProof/>
        </w:rPr>
        <w:t>9</w:t>
      </w:r>
      <w:r w:rsidRPr="006C58C5">
        <w:rPr>
          <w:b/>
          <w:bCs/>
        </w:rPr>
        <w:fldChar w:fldCharType="end"/>
      </w:r>
      <w:bookmarkEnd w:id="190"/>
      <w:r w:rsidRPr="006C58C5">
        <w:rPr>
          <w:b/>
          <w:bCs/>
        </w:rPr>
        <w:t>:</w:t>
      </w:r>
      <w:r w:rsidRPr="00175D8B">
        <w:t xml:space="preserve"> </w:t>
      </w:r>
      <w:r w:rsidRPr="00175D8B">
        <w:rPr>
          <w:rFonts w:eastAsia="Aptos" w:cs="Aptos"/>
          <w:color w:val="000000"/>
          <w:szCs w:val="20"/>
        </w:rPr>
        <w:t>Adult Education Levels in Sakarya Province</w:t>
      </w:r>
      <w:bookmarkEnd w:id="191"/>
    </w:p>
    <w:p w14:paraId="10CAD980" w14:textId="77777777" w:rsidR="00277269" w:rsidRPr="00175D8B" w:rsidRDefault="00277269" w:rsidP="00277269">
      <w:pPr>
        <w:keepNext/>
        <w:pBdr>
          <w:top w:val="nil"/>
          <w:left w:val="nil"/>
          <w:bottom w:val="nil"/>
          <w:right w:val="nil"/>
          <w:between w:val="nil"/>
        </w:pBdr>
        <w:spacing w:before="120" w:after="200" w:line="240" w:lineRule="auto"/>
        <w:jc w:val="center"/>
        <w:rPr>
          <w:rFonts w:eastAsia="Aptos" w:cs="Aptos"/>
          <w:color w:val="000000" w:themeColor="text1"/>
          <w:szCs w:val="22"/>
        </w:rPr>
      </w:pPr>
      <w:r w:rsidRPr="00175D8B">
        <w:rPr>
          <w:rFonts w:eastAsia="Aptos" w:cs="Aptos"/>
          <w:noProof/>
          <w:color w:val="000000" w:themeColor="text1"/>
          <w:szCs w:val="22"/>
          <w:lang w:val="tr-TR" w:eastAsia="tr-TR"/>
        </w:rPr>
        <w:drawing>
          <wp:inline distT="0" distB="0" distL="0" distR="0" wp14:anchorId="3BF655AB" wp14:editId="78AAACAE">
            <wp:extent cx="5661660" cy="2430780"/>
            <wp:effectExtent l="0" t="0" r="15240" b="7620"/>
            <wp:docPr id="400423030" name="Grafik 1">
              <a:extLst xmlns:a="http://schemas.openxmlformats.org/drawingml/2006/main">
                <a:ext uri="{FF2B5EF4-FFF2-40B4-BE49-F238E27FC236}">
                  <a16:creationId xmlns:a16="http://schemas.microsoft.com/office/drawing/2014/main" id="{E9921B33-41DE-BE90-57D3-4EE475C63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06AFB5" w14:textId="77777777" w:rsidR="00277269" w:rsidRPr="00175D8B" w:rsidRDefault="00277269" w:rsidP="00277269">
      <w:pPr>
        <w:spacing w:before="120" w:after="0" w:line="278" w:lineRule="auto"/>
        <w:rPr>
          <w:rFonts w:eastAsia="Aptos" w:cs="Aptos"/>
          <w:color w:val="000000" w:themeColor="text1"/>
          <w:sz w:val="16"/>
          <w:szCs w:val="16"/>
        </w:rPr>
      </w:pPr>
      <w:r w:rsidRPr="00175D8B">
        <w:rPr>
          <w:rFonts w:eastAsia="Aptos" w:cs="Aptos"/>
          <w:color w:val="000000" w:themeColor="text1"/>
          <w:sz w:val="16"/>
          <w:szCs w:val="16"/>
        </w:rPr>
        <w:t xml:space="preserve">* </w:t>
      </w:r>
      <w:r w:rsidRPr="00175D8B">
        <w:rPr>
          <w:rFonts w:eastAsia="Aptos" w:cs="Aptos"/>
          <w:i/>
          <w:color w:val="000000" w:themeColor="text1"/>
          <w:sz w:val="16"/>
          <w:szCs w:val="16"/>
        </w:rPr>
        <w:t>Adult refers to people between the ages of 25 and 64.</w:t>
      </w:r>
    </w:p>
    <w:p w14:paraId="088F930A" w14:textId="77777777" w:rsidR="00277269" w:rsidRPr="00175D8B" w:rsidRDefault="00277269" w:rsidP="00277269">
      <w:pPr>
        <w:spacing w:before="120" w:after="0" w:line="278" w:lineRule="auto"/>
        <w:jc w:val="center"/>
        <w:rPr>
          <w:rFonts w:eastAsia="Aptos" w:cs="Aptos"/>
          <w:i/>
          <w:color w:val="000000" w:themeColor="text1"/>
          <w:sz w:val="18"/>
          <w:szCs w:val="18"/>
        </w:rPr>
      </w:pPr>
      <w:r w:rsidRPr="00175D8B">
        <w:rPr>
          <w:rFonts w:eastAsia="Aptos" w:cs="Aptos"/>
          <w:b/>
          <w:i/>
          <w:color w:val="000000" w:themeColor="text1"/>
          <w:sz w:val="18"/>
          <w:szCs w:val="18"/>
        </w:rPr>
        <w:t>Source:</w:t>
      </w:r>
      <w:r w:rsidRPr="00175D8B">
        <w:rPr>
          <w:rFonts w:eastAsia="Aptos" w:cs="Aptos"/>
          <w:i/>
          <w:color w:val="000000" w:themeColor="text1"/>
          <w:sz w:val="18"/>
          <w:szCs w:val="18"/>
        </w:rPr>
        <w:t xml:space="preserve"> Turkish Statistical Institute, National Education Statistics, 2024</w:t>
      </w:r>
    </w:p>
    <w:p w14:paraId="368B8288" w14:textId="3D91447F" w:rsidR="00AE288A" w:rsidRPr="00175D8B" w:rsidRDefault="00277269" w:rsidP="006C58C5">
      <w:pPr>
        <w:spacing w:before="240" w:after="240"/>
      </w:pPr>
      <w:r w:rsidRPr="00175D8B">
        <w:rPr>
          <w:rFonts w:eastAsia="Aptos" w:cs="Aptos"/>
          <w:color w:val="000000" w:themeColor="text1"/>
          <w:szCs w:val="22"/>
        </w:rPr>
        <w:t xml:space="preserve">A high level of education is a significant factor that contributes to an individual's employability or income. Overall, as shown in </w:t>
      </w:r>
      <w:r w:rsidR="001C27B5">
        <w:rPr>
          <w:rFonts w:eastAsia="Aptos" w:cs="Aptos"/>
          <w:color w:val="000000" w:themeColor="text1"/>
          <w:szCs w:val="22"/>
        </w:rPr>
        <w:fldChar w:fldCharType="begin"/>
      </w:r>
      <w:r w:rsidR="001C27B5">
        <w:rPr>
          <w:rFonts w:eastAsia="Aptos" w:cs="Aptos"/>
          <w:color w:val="000000" w:themeColor="text1"/>
          <w:szCs w:val="22"/>
        </w:rPr>
        <w:instrText xml:space="preserve"> REF _Ref214635032 \h </w:instrText>
      </w:r>
      <w:r w:rsidR="001C27B5">
        <w:rPr>
          <w:rFonts w:eastAsia="Aptos" w:cs="Aptos"/>
          <w:color w:val="000000" w:themeColor="text1"/>
          <w:szCs w:val="22"/>
        </w:rPr>
      </w:r>
      <w:r w:rsidR="001C27B5">
        <w:rPr>
          <w:rFonts w:eastAsia="Aptos" w:cs="Aptos"/>
          <w:color w:val="000000" w:themeColor="text1"/>
          <w:szCs w:val="22"/>
        </w:rPr>
        <w:fldChar w:fldCharType="separate"/>
      </w:r>
      <w:r w:rsidR="001C27B5" w:rsidRPr="006C58C5">
        <w:rPr>
          <w:b/>
          <w:bCs/>
        </w:rPr>
        <w:t xml:space="preserve">Figure </w:t>
      </w:r>
      <w:r w:rsidR="001C27B5" w:rsidRPr="00175D8B">
        <w:rPr>
          <w:b/>
          <w:bCs/>
          <w:noProof/>
        </w:rPr>
        <w:t>10</w:t>
      </w:r>
      <w:r w:rsidR="001C27B5">
        <w:rPr>
          <w:rFonts w:eastAsia="Aptos" w:cs="Aptos"/>
          <w:color w:val="000000" w:themeColor="text1"/>
          <w:szCs w:val="22"/>
        </w:rPr>
        <w:fldChar w:fldCharType="end"/>
      </w:r>
      <w:r w:rsidRPr="00175D8B">
        <w:rPr>
          <w:rFonts w:eastAsia="Aptos" w:cs="Aptos"/>
          <w:color w:val="000000" w:themeColor="text1"/>
          <w:szCs w:val="22"/>
        </w:rPr>
        <w:t>, the percentage of adults with higher education in Sakarya province is lower than in Türkiye.</w:t>
      </w:r>
    </w:p>
    <w:p w14:paraId="211B771F" w14:textId="62C86486" w:rsidR="00AE288A" w:rsidRPr="006C58C5" w:rsidRDefault="00AE288A" w:rsidP="006C58C5">
      <w:pPr>
        <w:keepNext/>
        <w:pBdr>
          <w:top w:val="nil"/>
          <w:left w:val="nil"/>
          <w:bottom w:val="nil"/>
          <w:right w:val="nil"/>
          <w:between w:val="nil"/>
        </w:pBdr>
        <w:spacing w:before="120" w:after="200" w:line="240" w:lineRule="auto"/>
        <w:jc w:val="center"/>
        <w:rPr>
          <w:rFonts w:eastAsia="Aptos" w:cs="Aptos"/>
          <w:color w:val="000000"/>
          <w:szCs w:val="20"/>
        </w:rPr>
      </w:pPr>
      <w:bookmarkStart w:id="192" w:name="_Ref214635032"/>
      <w:bookmarkStart w:id="193" w:name="_Toc221191318"/>
      <w:r w:rsidRPr="006C58C5">
        <w:rPr>
          <w:b/>
          <w:bCs/>
        </w:rPr>
        <w:t xml:space="preserve">Figure </w:t>
      </w:r>
      <w:r w:rsidRPr="006C58C5">
        <w:rPr>
          <w:b/>
          <w:bCs/>
        </w:rPr>
        <w:fldChar w:fldCharType="begin"/>
      </w:r>
      <w:r w:rsidRPr="006C58C5">
        <w:rPr>
          <w:b/>
          <w:bCs/>
        </w:rPr>
        <w:instrText xml:space="preserve"> SEQ Figure \* ARABIC </w:instrText>
      </w:r>
      <w:r w:rsidRPr="006C58C5">
        <w:rPr>
          <w:b/>
          <w:bCs/>
        </w:rPr>
        <w:fldChar w:fldCharType="separate"/>
      </w:r>
      <w:r w:rsidR="00811FB5" w:rsidRPr="00175D8B">
        <w:rPr>
          <w:b/>
          <w:bCs/>
          <w:noProof/>
        </w:rPr>
        <w:t>10</w:t>
      </w:r>
      <w:r w:rsidRPr="006C58C5">
        <w:rPr>
          <w:b/>
          <w:bCs/>
        </w:rPr>
        <w:fldChar w:fldCharType="end"/>
      </w:r>
      <w:bookmarkEnd w:id="192"/>
      <w:r w:rsidRPr="006C58C5">
        <w:rPr>
          <w:b/>
          <w:bCs/>
        </w:rPr>
        <w:t>:</w:t>
      </w:r>
      <w:r w:rsidRPr="00175D8B">
        <w:t xml:space="preserve"> </w:t>
      </w:r>
      <w:r w:rsidRPr="00175D8B">
        <w:rPr>
          <w:rFonts w:eastAsia="Aptos" w:cs="Aptos"/>
          <w:i/>
          <w:iCs/>
          <w:color w:val="000000"/>
          <w:sz w:val="20"/>
          <w:szCs w:val="20"/>
        </w:rPr>
        <w:t>Percentages of Adult Education Levels in Sakarya and Türkiye</w:t>
      </w:r>
      <w:bookmarkEnd w:id="193"/>
    </w:p>
    <w:p w14:paraId="43BCAC02" w14:textId="504C9182" w:rsidR="00277269" w:rsidRPr="00175D8B" w:rsidRDefault="00AE288A" w:rsidP="00277269">
      <w:pPr>
        <w:keepNext/>
        <w:spacing w:before="120" w:after="0" w:line="278" w:lineRule="auto"/>
        <w:rPr>
          <w:rFonts w:eastAsia="Aptos" w:cs="Aptos"/>
          <w:color w:val="000000" w:themeColor="text1"/>
          <w:szCs w:val="22"/>
        </w:rPr>
      </w:pPr>
      <w:r w:rsidRPr="00175D8B">
        <w:rPr>
          <w:rFonts w:eastAsia="Aptos" w:cs="Aptos"/>
          <w:noProof/>
          <w:color w:val="000000" w:themeColor="text1"/>
          <w:szCs w:val="22"/>
          <w:lang w:val="tr-TR" w:eastAsia="tr-TR"/>
        </w:rPr>
        <mc:AlternateContent>
          <mc:Choice Requires="wps">
            <w:drawing>
              <wp:anchor distT="0" distB="0" distL="114300" distR="114300" simplePos="0" relativeHeight="251679744" behindDoc="0" locked="0" layoutInCell="1" allowOverlap="1" wp14:anchorId="08DB7199" wp14:editId="23BB69D0">
                <wp:simplePos x="0" y="0"/>
                <wp:positionH relativeFrom="column">
                  <wp:posOffset>1057910</wp:posOffset>
                </wp:positionH>
                <wp:positionV relativeFrom="paragraph">
                  <wp:posOffset>804545</wp:posOffset>
                </wp:positionV>
                <wp:extent cx="1106805" cy="219075"/>
                <wp:effectExtent l="0" t="0" r="0" b="9525"/>
                <wp:wrapNone/>
                <wp:docPr id="1496564514" name="Metin Kutusu 2"/>
                <wp:cNvGraphicFramePr/>
                <a:graphic xmlns:a="http://schemas.openxmlformats.org/drawingml/2006/main">
                  <a:graphicData uri="http://schemas.microsoft.com/office/word/2010/wordprocessingShape">
                    <wps:wsp>
                      <wps:cNvSpPr txBox="1"/>
                      <wps:spPr>
                        <a:xfrm>
                          <a:off x="0" y="0"/>
                          <a:ext cx="1106805" cy="219075"/>
                        </a:xfrm>
                        <a:prstGeom prst="rect">
                          <a:avLst/>
                        </a:prstGeom>
                        <a:solidFill>
                          <a:sysClr val="window" lastClr="FFFFFF"/>
                        </a:solidFill>
                        <a:ln w="6350">
                          <a:noFill/>
                        </a:ln>
                      </wps:spPr>
                      <wps:txbx>
                        <w:txbxContent>
                          <w:p w14:paraId="106A6593" w14:textId="77777777" w:rsidR="001F6155" w:rsidRPr="00165BC9" w:rsidRDefault="001F6155" w:rsidP="00277269">
                            <w:pPr>
                              <w:pStyle w:val="AralkYok"/>
                              <w:rPr>
                                <w:sz w:val="12"/>
                                <w:szCs w:val="12"/>
                              </w:rPr>
                            </w:pPr>
                            <w:r>
                              <w:rPr>
                                <w:sz w:val="12"/>
                                <w:szCs w:val="12"/>
                              </w:rP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8DB7199" id="Metin Kutusu 2" o:spid="_x0000_s1027" type="#_x0000_t202" style="position:absolute;left:0;text-align:left;margin-left:83.3pt;margin-top:63.35pt;width:87.1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tfWQIAAJ4EAAAOAAAAZHJzL2Uyb0RvYy54bWysVN9v2jAQfp+0/8Hy+0jCgBZEqBgV0zTW&#10;VqJTn43jgCXH59kOCfvrd3YCZd2epvFg7ny/fN93l/ldWylyFNZJ0DnNBiklQnMopN7n9Pvz+sMt&#10;Jc4zXTAFWuT0JBy9W7x/N2/MTAzhAKoQlmAS7WaNyenBezNLEscPomJuAEZoNJZgK+ZRtfuksKzB&#10;7JVKhmk6SRqwhbHAhXN4e98Z6SLmL0vB/WNZOuGJyim+zcfTxnMXzmQxZ7O9ZeYgef8M9g+vqJjU&#10;WPSS6p55Rmor/0hVSW7BQekHHKoEylJyEXvAbrL0TTfbAzMi9oLgOHOByf2/tPzh+GSJLJC70XQy&#10;nozG2YgSzSrk6pvwUpOvta9dTYYBqsa4GUZsDcb49hO0GHa+d3gZEGhLW4V/7I2gHUE/XYAWrSc8&#10;BGXp5DYdU8LRNsym6c04pEleo411/rOAigQhpxaJjPiy48b5zvXsEoo5ULJYS6WicnIrZcmRIec4&#10;KgU0lCjmPF7mdB1/fbXfwpQmTU4nH8dprKQh5OtKKY2PC813TQbJt7u2w+0MwA6KE+JioRsyZ/ha&#10;4uM3WPmJWZwqhAI3xT/iUSrAWtBLlBzA/vzbffBHstFKSYNTmlP3o2ZWYENfNI7BNBuNwlhHZTS+&#10;GaJiry27a4uuqxUgKBnupOFRDP5encXSQvWCC7UMVdHENMfaOfVnceW73cGF5GK5jE44yIb5jd4a&#10;HlIHBgI1z+0Ls6bnzyPzD3CeZzZ7Q2PnGyI1LGsPpYwcB5w7VHv4cQnilPQLG7bsWo9er5+VxS8A&#10;AAD//wMAUEsDBBQABgAIAAAAIQDWZVPn4QAAAAsBAAAPAAAAZHJzL2Rvd25yZXYueG1sTI/BTsMw&#10;EETvSPyDtUjcqNOATAlxKoRAUImoNCBxdeMlCcR2ZLtN6NezPcFtR/M0O5MvJ9OzPfrQOSthPkuA&#10;oa2d7mwj4f3t8WIBLERlteqdRQk/GGBZnJ7kKtNutBvcV7FhFGJDpiS0MQ4Z56Fu0agwcwNa8j6d&#10;NyqS9A3XXo0UbnqeJongRnWWPrRqwPsW6+9qZyR8jNWTX69WX6/Dc3lYH6ryBR9KKc/PprtbYBGn&#10;+AfDsT5Vh4I6bd3O6sB60kIIQulIxTUwIi6vkhtg26M1T4EXOf+/ofgFAAD//wMAUEsBAi0AFAAG&#10;AAgAAAAhALaDOJL+AAAA4QEAABMAAAAAAAAAAAAAAAAAAAAAAFtDb250ZW50X1R5cGVzXS54bWxQ&#10;SwECLQAUAAYACAAAACEAOP0h/9YAAACUAQAACwAAAAAAAAAAAAAAAAAvAQAAX3JlbHMvLnJlbHNQ&#10;SwECLQAUAAYACAAAACEAkofLX1kCAACeBAAADgAAAAAAAAAAAAAAAAAuAgAAZHJzL2Uyb0RvYy54&#10;bWxQSwECLQAUAAYACAAAACEA1mVT5+EAAAALAQAADwAAAAAAAAAAAAAAAACzBAAAZHJzL2Rvd25y&#10;ZXYueG1sUEsFBgAAAAAEAAQA8wAAAMEFAAAAAA==&#10;" fillcolor="window" stroked="f" strokeweight=".5pt">
                <v:textbox>
                  <w:txbxContent>
                    <w:p w14:paraId="106A6593" w14:textId="77777777" w:rsidR="001F6155" w:rsidRPr="00165BC9" w:rsidRDefault="001F6155" w:rsidP="00277269">
                      <w:pPr>
                        <w:pStyle w:val="AralkYok"/>
                        <w:rPr>
                          <w:sz w:val="12"/>
                          <w:szCs w:val="12"/>
                        </w:rPr>
                      </w:pPr>
                      <w:r>
                        <w:rPr>
                          <w:sz w:val="12"/>
                          <w:szCs w:val="12"/>
                        </w:rPr>
                        <w:t>Other</w:t>
                      </w:r>
                    </w:p>
                  </w:txbxContent>
                </v:textbox>
              </v:shape>
            </w:pict>
          </mc:Fallback>
        </mc:AlternateContent>
      </w:r>
      <w:r w:rsidRPr="00175D8B">
        <w:rPr>
          <w:rFonts w:eastAsia="Aptos" w:cs="Aptos"/>
          <w:noProof/>
          <w:color w:val="000000" w:themeColor="text1"/>
          <w:szCs w:val="22"/>
          <w:lang w:val="tr-TR" w:eastAsia="tr-TR"/>
        </w:rPr>
        <mc:AlternateContent>
          <mc:Choice Requires="wps">
            <w:drawing>
              <wp:anchor distT="0" distB="0" distL="114300" distR="114300" simplePos="0" relativeHeight="251677696" behindDoc="0" locked="0" layoutInCell="1" allowOverlap="1" wp14:anchorId="1954FF21" wp14:editId="740FE7CC">
                <wp:simplePos x="0" y="0"/>
                <wp:positionH relativeFrom="column">
                  <wp:posOffset>1055370</wp:posOffset>
                </wp:positionH>
                <wp:positionV relativeFrom="paragraph">
                  <wp:posOffset>342900</wp:posOffset>
                </wp:positionV>
                <wp:extent cx="1106805" cy="219075"/>
                <wp:effectExtent l="0" t="0" r="0" b="9525"/>
                <wp:wrapNone/>
                <wp:docPr id="722710351" name="Metin Kutusu 2"/>
                <wp:cNvGraphicFramePr/>
                <a:graphic xmlns:a="http://schemas.openxmlformats.org/drawingml/2006/main">
                  <a:graphicData uri="http://schemas.microsoft.com/office/word/2010/wordprocessingShape">
                    <wps:wsp>
                      <wps:cNvSpPr txBox="1"/>
                      <wps:spPr>
                        <a:xfrm>
                          <a:off x="0" y="0"/>
                          <a:ext cx="1106805" cy="219075"/>
                        </a:xfrm>
                        <a:prstGeom prst="rect">
                          <a:avLst/>
                        </a:prstGeom>
                        <a:solidFill>
                          <a:sysClr val="window" lastClr="FFFFFF"/>
                        </a:solidFill>
                        <a:ln w="6350">
                          <a:noFill/>
                        </a:ln>
                      </wps:spPr>
                      <wps:txbx>
                        <w:txbxContent>
                          <w:p w14:paraId="43E574DB" w14:textId="77777777" w:rsidR="001F6155" w:rsidRPr="00165BC9" w:rsidRDefault="001F6155" w:rsidP="00277269">
                            <w:pPr>
                              <w:pStyle w:val="AralkYok"/>
                              <w:rPr>
                                <w:sz w:val="12"/>
                                <w:szCs w:val="12"/>
                              </w:rPr>
                            </w:pPr>
                            <w:r w:rsidRPr="00165BC9">
                              <w:rPr>
                                <w:sz w:val="12"/>
                                <w:szCs w:val="12"/>
                              </w:rPr>
                              <w:t xml:space="preserve">Lower </w:t>
                            </w:r>
                            <w:r>
                              <w:rPr>
                                <w:sz w:val="12"/>
                                <w:szCs w:val="12"/>
                              </w:rPr>
                              <w:t>S</w:t>
                            </w:r>
                            <w:r w:rsidRPr="00165BC9">
                              <w:rPr>
                                <w:sz w:val="12"/>
                                <w:szCs w:val="12"/>
                              </w:rPr>
                              <w:t xml:space="preserve">econdary </w:t>
                            </w:r>
                            <w:r>
                              <w:rPr>
                                <w:sz w:val="12"/>
                                <w:szCs w:val="12"/>
                              </w:rPr>
                              <w:t>E</w:t>
                            </w:r>
                            <w:r w:rsidRPr="00165BC9">
                              <w:rPr>
                                <w:sz w:val="12"/>
                                <w:szCs w:val="12"/>
                              </w:rPr>
                              <w:t>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954FF21" id="_x0000_s1028" type="#_x0000_t202" style="position:absolute;left:0;text-align:left;margin-left:83.1pt;margin-top:27pt;width:87.1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3CIVwIAAJ0EAAAOAAAAZHJzL2Uyb0RvYy54bWysVEtvGjEQvlfqf7B8L/sIjwSxRJSIqmqa&#10;RCJVzsbrBUtej2t72aW/PmMvEJr2VJWDGXve3zezs9uuVmQvrJOgC5oNUkqE5lBKvS3oj+fVp2tK&#10;nGe6ZAq0KOhBOHo7//hh1pqpyGEHqhSWYBDtpq0p6M57M00Sx3eiZm4ARmhUVmBr5vFqt0lpWYvR&#10;a5XkaTpOWrClscCFc/h61yvpPMavKsH9Y1U54YkqKNbm42njuQlnMp+x6dYys5P8WAb7hypqJjUm&#10;PYe6Y56Rxso/QtWSW3BQ+QGHOoGqklzEHrCbLH3XzXrHjIi9IDjOnGFy/y8sf9g/WSLLgk7yfJKl&#10;V6OMEs1qpOq78FKTb41vXEPygFRr3BQd1gZdfPcZOmT89O7wMQDQVbYO/9gaQT1ifjjjLDpPeHDK&#10;0vF1OqKEoy7PbtLJKIRJ3ryNdf6LgJoEoaAWeYzwsv29873pySQkc6BkuZJKxcvBLZUle4aU46SU&#10;0FKimPP4WNBV/B2z/eamNGkLOr4apTGThhCvT6U0Fhea75sMku82XYTtDMwGygPiYqGfMWf4SmLx&#10;95j5iVkcKoQCF8U/4lEpwFxwlCjZgf31t/dgj1yjlpIWh7Sg7mfDrMCGvmqcgptsOAxTHS/D0STH&#10;i73UbC41uqmXgKAgw1hdFIO9VyexslC/4D4tQlZUMc0xd0H9SVz6fnVwH7lYLKIRzrFh/l6vDQ+h&#10;AwOBmufuhVlz5M8j8w9wGmc2fUdjbxs8NSwaD5WMHAece1SP8OMOxCk57mtYsst7tHr7qsxfAQAA&#10;//8DAFBLAwQUAAYACAAAACEARmO3ruAAAAAJAQAADwAAAGRycy9kb3ducmV2LnhtbEyPQUvDQBCF&#10;74L/YRnBm91YmxBiNkVE0YKhGgWv22RMotnZsLttYn+940mPj/l48718PZtBHND53pKCy0UEAqm2&#10;TU+tgrfX+4sUhA+aGj1YQgXf6GFdnJ7kOmvsRC94qEIruIR8phV0IYyZlL7u0Gi/sCMS3z6sMzpw&#10;dK1snJ643AxyGUWJNLon/tDpEW87rL+qvVHwPlUPbrvZfD6Pj+Vxe6zKJ7wrlTo/m2+uQQScwx8M&#10;v/qsDgU77eyeGi8GzkmyZFRBvOJNDFytohjETkGaxiCLXP5fUPwAAAD//wMAUEsBAi0AFAAGAAgA&#10;AAAhALaDOJL+AAAA4QEAABMAAAAAAAAAAAAAAAAAAAAAAFtDb250ZW50X1R5cGVzXS54bWxQSwEC&#10;LQAUAAYACAAAACEAOP0h/9YAAACUAQAACwAAAAAAAAAAAAAAAAAvAQAAX3JlbHMvLnJlbHNQSwEC&#10;LQAUAAYACAAAACEA+T9wiFcCAACdBAAADgAAAAAAAAAAAAAAAAAuAgAAZHJzL2Uyb0RvYy54bWxQ&#10;SwECLQAUAAYACAAAACEARmO3ruAAAAAJAQAADwAAAAAAAAAAAAAAAACxBAAAZHJzL2Rvd25yZXYu&#10;eG1sUEsFBgAAAAAEAAQA8wAAAL4FAAAAAA==&#10;" fillcolor="window" stroked="f" strokeweight=".5pt">
                <v:textbox>
                  <w:txbxContent>
                    <w:p w14:paraId="43E574DB" w14:textId="77777777" w:rsidR="001F6155" w:rsidRPr="00165BC9" w:rsidRDefault="001F6155" w:rsidP="00277269">
                      <w:pPr>
                        <w:pStyle w:val="AralkYok"/>
                        <w:rPr>
                          <w:sz w:val="12"/>
                          <w:szCs w:val="12"/>
                        </w:rPr>
                      </w:pPr>
                      <w:r w:rsidRPr="00165BC9">
                        <w:rPr>
                          <w:sz w:val="12"/>
                          <w:szCs w:val="12"/>
                        </w:rPr>
                        <w:t xml:space="preserve">Lower </w:t>
                      </w:r>
                      <w:r>
                        <w:rPr>
                          <w:sz w:val="12"/>
                          <w:szCs w:val="12"/>
                        </w:rPr>
                        <w:t>S</w:t>
                      </w:r>
                      <w:r w:rsidRPr="00165BC9">
                        <w:rPr>
                          <w:sz w:val="12"/>
                          <w:szCs w:val="12"/>
                        </w:rPr>
                        <w:t xml:space="preserve">econdary </w:t>
                      </w:r>
                      <w:r>
                        <w:rPr>
                          <w:sz w:val="12"/>
                          <w:szCs w:val="12"/>
                        </w:rPr>
                        <w:t>E</w:t>
                      </w:r>
                      <w:r w:rsidRPr="00165BC9">
                        <w:rPr>
                          <w:sz w:val="12"/>
                          <w:szCs w:val="12"/>
                        </w:rPr>
                        <w:t>ducation</w:t>
                      </w:r>
                    </w:p>
                  </w:txbxContent>
                </v:textbox>
              </v:shape>
            </w:pict>
          </mc:Fallback>
        </mc:AlternateContent>
      </w:r>
      <w:r w:rsidRPr="00175D8B">
        <w:rPr>
          <w:rFonts w:eastAsia="Aptos" w:cs="Aptos"/>
          <w:noProof/>
          <w:color w:val="000000" w:themeColor="text1"/>
          <w:szCs w:val="22"/>
          <w:lang w:val="tr-TR" w:eastAsia="tr-TR"/>
        </w:rPr>
        <mc:AlternateContent>
          <mc:Choice Requires="wps">
            <w:drawing>
              <wp:anchor distT="0" distB="0" distL="114300" distR="114300" simplePos="0" relativeHeight="251678720" behindDoc="0" locked="0" layoutInCell="1" allowOverlap="1" wp14:anchorId="0523D832" wp14:editId="0BA27FDD">
                <wp:simplePos x="0" y="0"/>
                <wp:positionH relativeFrom="column">
                  <wp:posOffset>1059180</wp:posOffset>
                </wp:positionH>
                <wp:positionV relativeFrom="paragraph">
                  <wp:posOffset>552450</wp:posOffset>
                </wp:positionV>
                <wp:extent cx="1107141" cy="219635"/>
                <wp:effectExtent l="0" t="0" r="0" b="9525"/>
                <wp:wrapNone/>
                <wp:docPr id="1644600290" name="Metin Kutusu 2"/>
                <wp:cNvGraphicFramePr/>
                <a:graphic xmlns:a="http://schemas.openxmlformats.org/drawingml/2006/main">
                  <a:graphicData uri="http://schemas.microsoft.com/office/word/2010/wordprocessingShape">
                    <wps:wsp>
                      <wps:cNvSpPr txBox="1"/>
                      <wps:spPr>
                        <a:xfrm>
                          <a:off x="0" y="0"/>
                          <a:ext cx="1107141" cy="219635"/>
                        </a:xfrm>
                        <a:prstGeom prst="rect">
                          <a:avLst/>
                        </a:prstGeom>
                        <a:solidFill>
                          <a:sysClr val="window" lastClr="FFFFFF"/>
                        </a:solidFill>
                        <a:ln w="6350">
                          <a:noFill/>
                        </a:ln>
                      </wps:spPr>
                      <wps:txbx>
                        <w:txbxContent>
                          <w:p w14:paraId="68F2AEE0" w14:textId="77777777" w:rsidR="001F6155" w:rsidRPr="00165BC9" w:rsidRDefault="001F6155" w:rsidP="00277269">
                            <w:pPr>
                              <w:pStyle w:val="AralkYok"/>
                              <w:rPr>
                                <w:sz w:val="12"/>
                                <w:szCs w:val="12"/>
                              </w:rPr>
                            </w:pPr>
                            <w:r>
                              <w:rPr>
                                <w:sz w:val="12"/>
                                <w:szCs w:val="12"/>
                              </w:rPr>
                              <w:t>Upper</w:t>
                            </w:r>
                            <w:r w:rsidRPr="00165BC9">
                              <w:rPr>
                                <w:sz w:val="12"/>
                                <w:szCs w:val="12"/>
                              </w:rPr>
                              <w:t xml:space="preserve"> </w:t>
                            </w:r>
                            <w:r>
                              <w:rPr>
                                <w:sz w:val="12"/>
                                <w:szCs w:val="12"/>
                              </w:rPr>
                              <w:t>S</w:t>
                            </w:r>
                            <w:r w:rsidRPr="00165BC9">
                              <w:rPr>
                                <w:sz w:val="12"/>
                                <w:szCs w:val="12"/>
                              </w:rPr>
                              <w:t xml:space="preserve">econdary </w:t>
                            </w:r>
                            <w:r>
                              <w:rPr>
                                <w:sz w:val="12"/>
                                <w:szCs w:val="12"/>
                              </w:rPr>
                              <w:t>E</w:t>
                            </w:r>
                            <w:r w:rsidRPr="00165BC9">
                              <w:rPr>
                                <w:sz w:val="12"/>
                                <w:szCs w:val="12"/>
                              </w:rPr>
                              <w:t>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523D832" id="_x0000_s1029" type="#_x0000_t202" style="position:absolute;left:0;text-align:left;margin-left:83.4pt;margin-top:43.5pt;width:87.2pt;height:1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n3VwIAAJ4EAAAOAAAAZHJzL2Uyb0RvYy54bWysVF1P2zAUfZ+0/2D5fSQppYyKFHWgTtMY&#10;IMHEs+s4NJLj69lOk+7X79hpgbE9TeuDe+37fc69Ob8YWs22yvmGTMmLo5wzZSRVjXkq+feH1YeP&#10;nPkgTCU0GVXynfL8YvH+3Xlv52pCG9KVcgxBjJ/3tuSbEOw8y7zcqFb4I7LKQFmTa0XA1T1llRM9&#10;orc6m+T5LOvJVdaRVN7j9WpU8kWKX9dKhtu69iowXXLUFtLp0rmOZ7Y4F/MnJ+ymkfsyxD9U0YrG&#10;IOlzqCsRBOtc80eotpGOPNXhSFKbUV03UqUe0E2Rv+nmfiOsSr0AHG+fYfL/L6y82d451lTgbjad&#10;zvJ8cgaYjGjB1TcVGsO+dqHzHZtEqHrr5/C4t/AJwyca4HZ493iMCAy1a+M/emPQI9ruGWg1BCaj&#10;U5GfFtOCMwndpDibHZ/EMNmLt3U+fFbUsiiU3IHIhK/YXvswmh5MYjJPuqlWjdbpsvOX2rGtAOcY&#10;lYp6zrTwAY8lX6XfPttvbtqwvuQoJU+ZDMV4YyptUFxsfmwySmFYDwm34wMAa6p2wMXROGTeylWD&#10;4q+R+U44TBWgwKaEWxy1JuSivcTZhtzPv71He5ANLWc9prTk/kcnnEJDXwzG4KyYTuNYp8v05HSC&#10;i3utWb/WmK69JIAC4FFdEqN90AexdtQ+YqGWMStUwkjkLnk4iJdh3B0spFTLZTLCIFsRrs29lTF0&#10;ZCBS8zA8Cmf3/AUwf0OHeRbzNzSOttHT0LILVDeJ44jziOoefixBmpL9wsYte31PVi+flcUvAAAA&#10;//8DAFBLAwQUAAYACAAAACEAbFJ4J+AAAAAKAQAADwAAAGRycy9kb3ducmV2LnhtbEyPQUvDQBSE&#10;74L/YXmCN7tJlFhiNkVE0YKhGgWv2+SZRLNvw+62if31fZ70OMww802+ms0g9uh8b0lBvIhAINW2&#10;6alV8P72cLEE4YOmRg+WUMEPelgVpye5zho70Svuq9AKLiGfaQVdCGMmpa87NNov7IjE3qd1RgeW&#10;rpWN0xOXm0EmUZRKo3vihU6PeNdh/V3tjIKPqXp0m/X662V8Kg+bQ1U+432p1PnZfHsDIuAc/sLw&#10;i8/oUDDT1u6o8WJgnaaMHhQsr/kTBy6v4gTElp0kTkEWufx/oTgCAAD//wMAUEsBAi0AFAAGAAgA&#10;AAAhALaDOJL+AAAA4QEAABMAAAAAAAAAAAAAAAAAAAAAAFtDb250ZW50X1R5cGVzXS54bWxQSwEC&#10;LQAUAAYACAAAACEAOP0h/9YAAACUAQAACwAAAAAAAAAAAAAAAAAvAQAAX3JlbHMvLnJlbHNQSwEC&#10;LQAUAAYACAAAACEAgBtJ91cCAACeBAAADgAAAAAAAAAAAAAAAAAuAgAAZHJzL2Uyb0RvYy54bWxQ&#10;SwECLQAUAAYACAAAACEAbFJ4J+AAAAAKAQAADwAAAAAAAAAAAAAAAACxBAAAZHJzL2Rvd25yZXYu&#10;eG1sUEsFBgAAAAAEAAQA8wAAAL4FAAAAAA==&#10;" fillcolor="window" stroked="f" strokeweight=".5pt">
                <v:textbox>
                  <w:txbxContent>
                    <w:p w14:paraId="68F2AEE0" w14:textId="77777777" w:rsidR="001F6155" w:rsidRPr="00165BC9" w:rsidRDefault="001F6155" w:rsidP="00277269">
                      <w:pPr>
                        <w:pStyle w:val="AralkYok"/>
                        <w:rPr>
                          <w:sz w:val="12"/>
                          <w:szCs w:val="12"/>
                        </w:rPr>
                      </w:pPr>
                      <w:r>
                        <w:rPr>
                          <w:sz w:val="12"/>
                          <w:szCs w:val="12"/>
                        </w:rPr>
                        <w:t>Upper</w:t>
                      </w:r>
                      <w:r w:rsidRPr="00165BC9">
                        <w:rPr>
                          <w:sz w:val="12"/>
                          <w:szCs w:val="12"/>
                        </w:rPr>
                        <w:t xml:space="preserve"> </w:t>
                      </w:r>
                      <w:r>
                        <w:rPr>
                          <w:sz w:val="12"/>
                          <w:szCs w:val="12"/>
                        </w:rPr>
                        <w:t>S</w:t>
                      </w:r>
                      <w:r w:rsidRPr="00165BC9">
                        <w:rPr>
                          <w:sz w:val="12"/>
                          <w:szCs w:val="12"/>
                        </w:rPr>
                        <w:t xml:space="preserve">econdary </w:t>
                      </w:r>
                      <w:r>
                        <w:rPr>
                          <w:sz w:val="12"/>
                          <w:szCs w:val="12"/>
                        </w:rPr>
                        <w:t>E</w:t>
                      </w:r>
                      <w:r w:rsidRPr="00165BC9">
                        <w:rPr>
                          <w:sz w:val="12"/>
                          <w:szCs w:val="12"/>
                        </w:rPr>
                        <w:t>ducation</w:t>
                      </w:r>
                    </w:p>
                  </w:txbxContent>
                </v:textbox>
              </v:shape>
            </w:pict>
          </mc:Fallback>
        </mc:AlternateContent>
      </w:r>
      <w:r w:rsidR="00277269" w:rsidRPr="00175D8B">
        <w:rPr>
          <w:rFonts w:eastAsia="Aptos" w:cs="Aptos"/>
          <w:noProof/>
          <w:color w:val="000000" w:themeColor="text1"/>
          <w:szCs w:val="22"/>
          <w:lang w:val="tr-TR" w:eastAsia="tr-TR"/>
        </w:rPr>
        <w:drawing>
          <wp:inline distT="0" distB="0" distL="0" distR="0" wp14:anchorId="78549D3D" wp14:editId="61212378">
            <wp:extent cx="2851200" cy="2743200"/>
            <wp:effectExtent l="0" t="0" r="6350" b="0"/>
            <wp:docPr id="344267158" name="Grafik 1">
              <a:extLst xmlns:a="http://schemas.openxmlformats.org/drawingml/2006/main">
                <a:ext uri="{FF2B5EF4-FFF2-40B4-BE49-F238E27FC236}">
                  <a16:creationId xmlns:a16="http://schemas.microsoft.com/office/drawing/2014/main" id="{A5097FC9-ED0C-AE47-307A-C4689D1C1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277269" w:rsidRPr="00175D8B">
        <w:rPr>
          <w:rFonts w:eastAsia="Aptos" w:cs="Aptos"/>
          <w:noProof/>
          <w:color w:val="000000" w:themeColor="text1"/>
          <w:szCs w:val="22"/>
        </w:rPr>
        <w:t xml:space="preserve"> </w:t>
      </w:r>
      <w:r w:rsidR="00277269" w:rsidRPr="00175D8B">
        <w:rPr>
          <w:rFonts w:eastAsia="Aptos" w:cs="Aptos"/>
          <w:noProof/>
          <w:color w:val="000000" w:themeColor="text1"/>
          <w:szCs w:val="22"/>
          <w:lang w:val="tr-TR" w:eastAsia="tr-TR"/>
        </w:rPr>
        <w:drawing>
          <wp:inline distT="0" distB="0" distL="0" distR="0" wp14:anchorId="4F5AAB9A" wp14:editId="64761A32">
            <wp:extent cx="2851150" cy="2743200"/>
            <wp:effectExtent l="0" t="0" r="6350" b="0"/>
            <wp:docPr id="1420317129" name="Grafik 1">
              <a:extLst xmlns:a="http://schemas.openxmlformats.org/drawingml/2006/main">
                <a:ext uri="{FF2B5EF4-FFF2-40B4-BE49-F238E27FC236}">
                  <a16:creationId xmlns:a16="http://schemas.microsoft.com/office/drawing/2014/main" id="{549D12F4-0323-E585-868E-89DC4CC6F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1F98AD" w14:textId="77777777" w:rsidR="00277269" w:rsidRPr="00175D8B" w:rsidRDefault="00277269" w:rsidP="00277269">
      <w:pPr>
        <w:spacing w:before="120" w:after="0" w:line="278" w:lineRule="auto"/>
        <w:rPr>
          <w:rFonts w:eastAsia="Aptos" w:cs="Aptos"/>
          <w:color w:val="000000" w:themeColor="text1"/>
          <w:sz w:val="16"/>
          <w:szCs w:val="16"/>
        </w:rPr>
      </w:pPr>
      <w:r w:rsidRPr="00175D8B">
        <w:rPr>
          <w:rFonts w:eastAsia="Aptos" w:cs="Aptos"/>
          <w:color w:val="000000" w:themeColor="text1"/>
          <w:sz w:val="16"/>
          <w:szCs w:val="16"/>
        </w:rPr>
        <w:t>*</w:t>
      </w:r>
      <w:r w:rsidRPr="00175D8B">
        <w:rPr>
          <w:rFonts w:eastAsia="Aptos" w:cs="Aptos"/>
          <w:i/>
          <w:color w:val="000000" w:themeColor="text1"/>
          <w:sz w:val="16"/>
          <w:szCs w:val="16"/>
        </w:rPr>
        <w:t xml:space="preserve"> Adult refers to people between the ages of 25 and 64.</w:t>
      </w:r>
    </w:p>
    <w:p w14:paraId="2F30F76C" w14:textId="77777777" w:rsidR="00277269" w:rsidRPr="00175D8B" w:rsidRDefault="00277269" w:rsidP="00277269">
      <w:pPr>
        <w:spacing w:before="240" w:after="240" w:line="278" w:lineRule="auto"/>
        <w:jc w:val="center"/>
        <w:rPr>
          <w:rFonts w:eastAsia="Aptos" w:cs="Aptos"/>
          <w:i/>
          <w:iCs/>
          <w:color w:val="000000" w:themeColor="text1"/>
          <w:sz w:val="18"/>
          <w:szCs w:val="18"/>
        </w:rPr>
      </w:pPr>
      <w:r w:rsidRPr="00175D8B">
        <w:rPr>
          <w:rFonts w:eastAsia="Aptos" w:cs="Aptos"/>
          <w:b/>
          <w:bCs/>
          <w:i/>
          <w:iCs/>
          <w:color w:val="000000" w:themeColor="text1"/>
          <w:sz w:val="18"/>
          <w:szCs w:val="18"/>
        </w:rPr>
        <w:t>Source:</w:t>
      </w:r>
      <w:r w:rsidRPr="00175D8B">
        <w:rPr>
          <w:rFonts w:eastAsia="Aptos" w:cs="Aptos"/>
          <w:i/>
          <w:iCs/>
          <w:color w:val="000000" w:themeColor="text1"/>
          <w:sz w:val="18"/>
          <w:szCs w:val="18"/>
        </w:rPr>
        <w:t xml:space="preserve"> Turkish Statistical Institute, National Education Statistics, 2024</w:t>
      </w:r>
    </w:p>
    <w:p w14:paraId="29B8F863" w14:textId="7C25278F" w:rsidR="00277269" w:rsidRPr="00175D8B" w:rsidRDefault="001A50C2" w:rsidP="002550A6">
      <w:pPr>
        <w:spacing w:before="240" w:after="240"/>
        <w:rPr>
          <w:rFonts w:eastAsia="Aptos" w:cs="Aptos"/>
          <w:color w:val="000000" w:themeColor="text1"/>
          <w:szCs w:val="22"/>
        </w:rPr>
      </w:pPr>
      <w:r w:rsidRPr="00175D8B">
        <w:rPr>
          <w:rFonts w:eastAsia="Aptos" w:cs="Aptos"/>
          <w:color w:val="000000" w:themeColor="text1"/>
          <w:szCs w:val="22"/>
        </w:rPr>
        <w:lastRenderedPageBreak/>
        <w:t xml:space="preserve">As seen </w:t>
      </w:r>
      <w:r w:rsidR="00277269" w:rsidRPr="00175D8B">
        <w:rPr>
          <w:rFonts w:eastAsia="Aptos" w:cs="Aptos"/>
          <w:color w:val="000000" w:themeColor="text1"/>
          <w:szCs w:val="22"/>
        </w:rPr>
        <w:t>at the 2023/24 academic year, there are 1,923 (one thousand nine hundred twenty-three) public schools and 9,368 (nine thousand three hundred sixty-eight) classrooms affiliated to the</w:t>
      </w:r>
      <w:r w:rsidR="00B35AEE" w:rsidRPr="00175D8B">
        <w:rPr>
          <w:rFonts w:eastAsia="Aptos" w:cs="Aptos"/>
          <w:color w:val="000000" w:themeColor="text1"/>
          <w:szCs w:val="22"/>
        </w:rPr>
        <w:t xml:space="preserve"> </w:t>
      </w:r>
      <w:bookmarkStart w:id="194" w:name="_heading=h.z35tbjph3ww4" w:colFirst="0" w:colLast="0"/>
      <w:bookmarkEnd w:id="194"/>
      <w:r w:rsidR="00277269" w:rsidRPr="00175D8B">
        <w:rPr>
          <w:rFonts w:eastAsia="Aptos" w:cs="Aptos"/>
          <w:color w:val="000000" w:themeColor="text1"/>
          <w:szCs w:val="22"/>
        </w:rPr>
        <w:t>Ministry of National Education at all levels of education in Sakarya province, and 227,176 (two hundred twenty-seven thousand one hundred seventy-six) students receive education in these schools. A total of 124,403 (one hundred twenty-four thousand four hundred three) of these students are in primary education, 65,126 (sixty-five thousand one hundred twenty-six) of whom are in primary school and 59,277 (fifty-nine thousand two hundred seventy-seven) are in secondary school. 68,007 (sixty-eight thousand seven) students continue secondary education.</w:t>
      </w:r>
    </w:p>
    <w:p w14:paraId="69C638A9" w14:textId="0FB62BC9" w:rsidR="00277269" w:rsidRPr="00175D8B" w:rsidRDefault="00277269" w:rsidP="006C58C5">
      <w:pPr>
        <w:spacing w:before="240" w:after="240"/>
        <w:rPr>
          <w:rFonts w:eastAsia="Aptos" w:cs="Aptos"/>
          <w:i/>
          <w:iCs/>
          <w:color w:val="000000" w:themeColor="text1"/>
          <w:sz w:val="20"/>
          <w:szCs w:val="20"/>
        </w:rPr>
      </w:pPr>
      <w:r w:rsidRPr="00175D8B">
        <w:rPr>
          <w:rFonts w:eastAsia="Aptos" w:cs="Aptos"/>
          <w:color w:val="000000" w:themeColor="text1"/>
          <w:szCs w:val="22"/>
        </w:rPr>
        <w:t>There are two state universities operating in Sakarya province: Sakarya University and</w:t>
      </w:r>
      <w:hyperlink r:id="rId26">
        <w:r w:rsidRPr="00175D8B">
          <w:rPr>
            <w:rFonts w:eastAsia="Aptos" w:cs="Aptos"/>
            <w:color w:val="000000" w:themeColor="text1"/>
            <w:szCs w:val="22"/>
          </w:rPr>
          <w:t xml:space="preserve"> Sakarya University of Applied Sciences</w:t>
        </w:r>
      </w:hyperlink>
      <w:r w:rsidRPr="00175D8B">
        <w:rPr>
          <w:rFonts w:eastAsia="Aptos" w:cs="Aptos"/>
          <w:color w:val="000000" w:themeColor="text1"/>
          <w:szCs w:val="22"/>
        </w:rPr>
        <w:t>. Sakarya University and Sakarya University of Applied Sciences cooperate closely with the agricultural sector, with education, research and application activities supporting the province's strong agricultural support. In particular, units such as the Faculty of Agriculture, Agricultural Sciences and Technologies Application and Research Center within Sakarya University of Applied Sciences support agricultural production in the region.</w:t>
      </w:r>
      <w:bookmarkStart w:id="195" w:name="_heading=h.sq7e03f29alj" w:colFirst="0" w:colLast="0"/>
      <w:bookmarkEnd w:id="195"/>
    </w:p>
    <w:p w14:paraId="28E5D25A" w14:textId="5738C36C" w:rsidR="00023E42" w:rsidRPr="00175D8B" w:rsidRDefault="00023E42" w:rsidP="006C58C5">
      <w:pPr>
        <w:pStyle w:val="ResimYazs"/>
        <w:keepNext/>
        <w:jc w:val="center"/>
      </w:pPr>
      <w:bookmarkStart w:id="196" w:name="_Toc216344431"/>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14</w:t>
      </w:r>
      <w:r w:rsidRPr="006C58C5">
        <w:rPr>
          <w:b/>
          <w:bCs/>
        </w:rPr>
        <w:fldChar w:fldCharType="end"/>
      </w:r>
      <w:r w:rsidRPr="006C58C5">
        <w:rPr>
          <w:b/>
          <w:bCs/>
        </w:rPr>
        <w:t>:</w:t>
      </w:r>
      <w:r w:rsidRPr="00175D8B">
        <w:t xml:space="preserve"> </w:t>
      </w:r>
      <w:r w:rsidRPr="00175D8B">
        <w:rPr>
          <w:rFonts w:eastAsia="Aptos" w:cs="Aptos"/>
          <w:color w:val="000000"/>
          <w:szCs w:val="20"/>
        </w:rPr>
        <w:t>Data Table Showing Education Status in Sakarya Province</w:t>
      </w:r>
      <w:bookmarkEnd w:id="196"/>
    </w:p>
    <w:tbl>
      <w:tblPr>
        <w:tblW w:w="9072" w:type="dxa"/>
        <w:jc w:val="center"/>
        <w:tblLayout w:type="fixed"/>
        <w:tblLook w:val="0400" w:firstRow="0" w:lastRow="0" w:firstColumn="0" w:lastColumn="0" w:noHBand="0" w:noVBand="1"/>
      </w:tblPr>
      <w:tblGrid>
        <w:gridCol w:w="2784"/>
        <w:gridCol w:w="1173"/>
        <w:gridCol w:w="1128"/>
        <w:gridCol w:w="1204"/>
        <w:gridCol w:w="1414"/>
        <w:gridCol w:w="1369"/>
      </w:tblGrid>
      <w:tr w:rsidR="00277269" w:rsidRPr="00175D8B" w14:paraId="5233F715" w14:textId="77777777" w:rsidTr="002550A6">
        <w:trPr>
          <w:trHeight w:val="315"/>
          <w:tblHeader/>
          <w:jc w:val="center"/>
        </w:trPr>
        <w:tc>
          <w:tcPr>
            <w:tcW w:w="90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BB7C1"/>
            <w:vAlign w:val="center"/>
          </w:tcPr>
          <w:p w14:paraId="74789D35" w14:textId="77777777" w:rsidR="00277269" w:rsidRPr="00175D8B" w:rsidRDefault="00277269" w:rsidP="00277269">
            <w:pPr>
              <w:spacing w:before="120" w:after="0" w:line="240" w:lineRule="auto"/>
              <w:rPr>
                <w:rFonts w:eastAsia="Aptos" w:cs="Aptos"/>
                <w:b/>
                <w:color w:val="000000" w:themeColor="text1"/>
                <w:sz w:val="20"/>
                <w:szCs w:val="20"/>
              </w:rPr>
            </w:pPr>
            <w:r w:rsidRPr="00175D8B">
              <w:rPr>
                <w:rFonts w:eastAsia="Aptos" w:cs="Aptos"/>
                <w:b/>
                <w:color w:val="000000" w:themeColor="text1"/>
                <w:sz w:val="20"/>
                <w:szCs w:val="20"/>
              </w:rPr>
              <w:t>Education Status</w:t>
            </w:r>
          </w:p>
        </w:tc>
      </w:tr>
      <w:tr w:rsidR="00277269" w:rsidRPr="00175D8B" w14:paraId="5E65EEC5" w14:textId="77777777" w:rsidTr="002550A6">
        <w:trPr>
          <w:trHeight w:val="300"/>
          <w:tblHeader/>
          <w:jc w:val="center"/>
        </w:trPr>
        <w:tc>
          <w:tcPr>
            <w:tcW w:w="2784" w:type="dxa"/>
            <w:tcBorders>
              <w:top w:val="nil"/>
              <w:left w:val="single" w:sz="4" w:space="0" w:color="000000" w:themeColor="text1"/>
              <w:bottom w:val="single" w:sz="4" w:space="0" w:color="000000" w:themeColor="text1"/>
              <w:right w:val="single" w:sz="4" w:space="0" w:color="000000" w:themeColor="text1"/>
            </w:tcBorders>
            <w:shd w:val="clear" w:color="auto" w:fill="ABB7C1"/>
            <w:vAlign w:val="center"/>
          </w:tcPr>
          <w:p w14:paraId="2E9AD226" w14:textId="77777777" w:rsidR="00277269" w:rsidRPr="00175D8B" w:rsidRDefault="00277269" w:rsidP="00277269">
            <w:pPr>
              <w:spacing w:before="120" w:after="0" w:line="240" w:lineRule="auto"/>
              <w:rPr>
                <w:rFonts w:eastAsia="Aptos" w:cs="Aptos"/>
                <w:b/>
                <w:color w:val="000000" w:themeColor="text1"/>
                <w:sz w:val="20"/>
                <w:szCs w:val="20"/>
              </w:rPr>
            </w:pPr>
            <w:r w:rsidRPr="00175D8B">
              <w:rPr>
                <w:rFonts w:eastAsia="Aptos" w:cs="Aptos"/>
                <w:b/>
                <w:color w:val="000000"/>
                <w:sz w:val="20"/>
                <w:szCs w:val="20"/>
              </w:rPr>
              <w:t>Education Status (6+ years)</w:t>
            </w:r>
          </w:p>
        </w:tc>
        <w:tc>
          <w:tcPr>
            <w:tcW w:w="1173" w:type="dxa"/>
            <w:tcBorders>
              <w:top w:val="nil"/>
              <w:left w:val="nil"/>
              <w:bottom w:val="single" w:sz="4" w:space="0" w:color="000000" w:themeColor="text1"/>
              <w:right w:val="single" w:sz="4" w:space="0" w:color="000000" w:themeColor="text1"/>
            </w:tcBorders>
            <w:shd w:val="clear" w:color="auto" w:fill="ABB7C1"/>
            <w:vAlign w:val="center"/>
          </w:tcPr>
          <w:p w14:paraId="047CB667" w14:textId="77777777" w:rsidR="00277269" w:rsidRPr="00175D8B" w:rsidRDefault="00277269" w:rsidP="00277269">
            <w:pPr>
              <w:spacing w:before="120" w:after="0" w:line="240" w:lineRule="auto"/>
              <w:rPr>
                <w:rFonts w:eastAsia="Aptos" w:cs="Aptos"/>
                <w:b/>
                <w:bCs/>
                <w:color w:val="000000" w:themeColor="text1"/>
                <w:sz w:val="20"/>
                <w:szCs w:val="20"/>
              </w:rPr>
            </w:pPr>
            <w:r w:rsidRPr="00175D8B">
              <w:rPr>
                <w:rFonts w:eastAsia="Aptos" w:cs="Aptos"/>
                <w:b/>
                <w:bCs/>
                <w:color w:val="000000" w:themeColor="text1"/>
                <w:sz w:val="20"/>
                <w:szCs w:val="20"/>
              </w:rPr>
              <w:t>Total</w:t>
            </w:r>
          </w:p>
        </w:tc>
        <w:tc>
          <w:tcPr>
            <w:tcW w:w="1128" w:type="dxa"/>
            <w:tcBorders>
              <w:top w:val="nil"/>
              <w:left w:val="nil"/>
              <w:bottom w:val="single" w:sz="4" w:space="0" w:color="000000" w:themeColor="text1"/>
              <w:right w:val="single" w:sz="4" w:space="0" w:color="000000" w:themeColor="text1"/>
            </w:tcBorders>
            <w:shd w:val="clear" w:color="auto" w:fill="ABB7C1"/>
            <w:vAlign w:val="center"/>
          </w:tcPr>
          <w:p w14:paraId="3F6E428B" w14:textId="77777777" w:rsidR="00277269" w:rsidRPr="00175D8B" w:rsidRDefault="00277269" w:rsidP="00277269">
            <w:pPr>
              <w:spacing w:before="120" w:after="0" w:line="240" w:lineRule="auto"/>
              <w:rPr>
                <w:rFonts w:eastAsia="Aptos" w:cs="Aptos"/>
                <w:b/>
                <w:color w:val="000000" w:themeColor="text1"/>
                <w:sz w:val="20"/>
                <w:szCs w:val="20"/>
              </w:rPr>
            </w:pPr>
            <w:r w:rsidRPr="00175D8B">
              <w:rPr>
                <w:rFonts w:eastAsia="Aptos" w:cs="Aptos"/>
                <w:b/>
                <w:color w:val="000000"/>
                <w:sz w:val="20"/>
                <w:szCs w:val="20"/>
              </w:rPr>
              <w:t>Male</w:t>
            </w:r>
          </w:p>
        </w:tc>
        <w:tc>
          <w:tcPr>
            <w:tcW w:w="1204" w:type="dxa"/>
            <w:tcBorders>
              <w:top w:val="nil"/>
              <w:left w:val="nil"/>
              <w:bottom w:val="single" w:sz="4" w:space="0" w:color="000000" w:themeColor="text1"/>
              <w:right w:val="single" w:sz="4" w:space="0" w:color="000000" w:themeColor="text1"/>
            </w:tcBorders>
            <w:shd w:val="clear" w:color="auto" w:fill="ABB7C1"/>
            <w:vAlign w:val="center"/>
          </w:tcPr>
          <w:p w14:paraId="03FBA006" w14:textId="291E6973" w:rsidR="00277269" w:rsidRPr="00175D8B" w:rsidRDefault="004160B8" w:rsidP="00277269">
            <w:pPr>
              <w:spacing w:before="120" w:after="0" w:line="240" w:lineRule="auto"/>
              <w:rPr>
                <w:rFonts w:eastAsia="Aptos" w:cs="Aptos"/>
                <w:b/>
                <w:color w:val="000000" w:themeColor="text1"/>
                <w:sz w:val="20"/>
                <w:szCs w:val="20"/>
              </w:rPr>
            </w:pPr>
            <w:r w:rsidRPr="00175D8B">
              <w:rPr>
                <w:rFonts w:eastAsia="Aptos" w:cs="Aptos"/>
                <w:b/>
                <w:color w:val="000000"/>
                <w:sz w:val="20"/>
                <w:szCs w:val="20"/>
              </w:rPr>
              <w:t>Female</w:t>
            </w:r>
          </w:p>
        </w:tc>
        <w:tc>
          <w:tcPr>
            <w:tcW w:w="1414" w:type="dxa"/>
            <w:tcBorders>
              <w:top w:val="nil"/>
              <w:left w:val="nil"/>
              <w:bottom w:val="single" w:sz="4" w:space="0" w:color="000000" w:themeColor="text1"/>
              <w:right w:val="single" w:sz="4" w:space="0" w:color="000000" w:themeColor="text1"/>
            </w:tcBorders>
            <w:shd w:val="clear" w:color="auto" w:fill="ABB7C1"/>
            <w:vAlign w:val="center"/>
          </w:tcPr>
          <w:p w14:paraId="6736AB44" w14:textId="77777777" w:rsidR="00277269" w:rsidRPr="00175D8B" w:rsidRDefault="00277269" w:rsidP="00277269">
            <w:pPr>
              <w:spacing w:before="120" w:after="0" w:line="240" w:lineRule="auto"/>
              <w:rPr>
                <w:rFonts w:eastAsia="Aptos" w:cs="Aptos"/>
                <w:color w:val="000000" w:themeColor="text1"/>
                <w:sz w:val="20"/>
                <w:szCs w:val="20"/>
              </w:rPr>
            </w:pPr>
            <w:r w:rsidRPr="00175D8B">
              <w:rPr>
                <w:rFonts w:eastAsia="Aptos" w:cs="Aptos"/>
                <w:b/>
                <w:bCs/>
                <w:color w:val="000000" w:themeColor="text1"/>
                <w:sz w:val="20"/>
                <w:szCs w:val="20"/>
              </w:rPr>
              <w:t xml:space="preserve">Male </w:t>
            </w:r>
            <w:r w:rsidRPr="00175D8B">
              <w:rPr>
                <w:rFonts w:eastAsia="Aptos" w:cs="Aptos"/>
                <w:b/>
                <w:bCs/>
                <w:color w:val="000000" w:themeColor="text1"/>
                <w:sz w:val="19"/>
                <w:szCs w:val="19"/>
              </w:rPr>
              <w:t>Proportion</w:t>
            </w:r>
          </w:p>
        </w:tc>
        <w:tc>
          <w:tcPr>
            <w:tcW w:w="1369" w:type="dxa"/>
            <w:tcBorders>
              <w:top w:val="nil"/>
              <w:left w:val="nil"/>
              <w:bottom w:val="single" w:sz="4" w:space="0" w:color="000000" w:themeColor="text1"/>
              <w:right w:val="single" w:sz="4" w:space="0" w:color="000000" w:themeColor="text1"/>
            </w:tcBorders>
            <w:shd w:val="clear" w:color="auto" w:fill="ABB7C1"/>
            <w:vAlign w:val="center"/>
          </w:tcPr>
          <w:p w14:paraId="37554C89" w14:textId="77777777" w:rsidR="00277269" w:rsidRPr="00175D8B" w:rsidRDefault="00277269" w:rsidP="00277269">
            <w:pPr>
              <w:spacing w:before="120" w:after="0" w:line="240" w:lineRule="auto"/>
              <w:rPr>
                <w:rFonts w:eastAsia="Aptos" w:cs="Aptos"/>
                <w:color w:val="000000" w:themeColor="text1"/>
                <w:sz w:val="20"/>
                <w:szCs w:val="20"/>
              </w:rPr>
            </w:pPr>
            <w:r w:rsidRPr="00175D8B">
              <w:rPr>
                <w:rFonts w:eastAsia="Aptos" w:cs="Aptos"/>
                <w:b/>
                <w:bCs/>
                <w:color w:val="000000" w:themeColor="text1"/>
                <w:sz w:val="20"/>
                <w:szCs w:val="20"/>
              </w:rPr>
              <w:t xml:space="preserve">Female </w:t>
            </w:r>
            <w:r w:rsidRPr="00175D8B">
              <w:rPr>
                <w:rFonts w:eastAsia="Aptos" w:cs="Aptos"/>
                <w:b/>
                <w:bCs/>
                <w:color w:val="000000" w:themeColor="text1"/>
                <w:sz w:val="19"/>
                <w:szCs w:val="19"/>
              </w:rPr>
              <w:t>Proportion</w:t>
            </w:r>
          </w:p>
        </w:tc>
      </w:tr>
      <w:tr w:rsidR="00277269" w:rsidRPr="00175D8B" w14:paraId="4D71606E" w14:textId="77777777" w:rsidTr="00DF417A">
        <w:trPr>
          <w:trHeight w:val="255"/>
          <w:jc w:val="center"/>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vAlign w:val="bottom"/>
          </w:tcPr>
          <w:p w14:paraId="0785F4F4"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Unknown</w:t>
            </w:r>
          </w:p>
        </w:tc>
        <w:tc>
          <w:tcPr>
            <w:tcW w:w="1173" w:type="dxa"/>
            <w:tcBorders>
              <w:top w:val="single" w:sz="6" w:space="0" w:color="000000" w:themeColor="text1"/>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3912F202"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5507</w:t>
            </w:r>
          </w:p>
        </w:tc>
        <w:tc>
          <w:tcPr>
            <w:tcW w:w="1128" w:type="dxa"/>
            <w:tcBorders>
              <w:top w:val="single" w:sz="6" w:space="0" w:color="000000" w:themeColor="text1"/>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26DB0780"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2640</w:t>
            </w:r>
          </w:p>
        </w:tc>
        <w:tc>
          <w:tcPr>
            <w:tcW w:w="1204" w:type="dxa"/>
            <w:tcBorders>
              <w:top w:val="single" w:sz="6" w:space="0" w:color="000000" w:themeColor="text1"/>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3BBB8BFF"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2867</w:t>
            </w:r>
          </w:p>
        </w:tc>
        <w:tc>
          <w:tcPr>
            <w:tcW w:w="1414" w:type="dxa"/>
            <w:tcBorders>
              <w:top w:val="single" w:sz="6" w:space="0" w:color="000000" w:themeColor="text1"/>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24F68EF4" w14:textId="0EC01D19"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5</w:t>
            </w:r>
          </w:p>
        </w:tc>
        <w:tc>
          <w:tcPr>
            <w:tcW w:w="1369" w:type="dxa"/>
            <w:tcBorders>
              <w:top w:val="single" w:sz="6" w:space="0" w:color="000000" w:themeColor="text1"/>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21D6EDE6" w14:textId="7B290405"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5</w:t>
            </w:r>
          </w:p>
        </w:tc>
      </w:tr>
      <w:tr w:rsidR="00277269" w:rsidRPr="00175D8B" w14:paraId="17BA97A0" w14:textId="77777777" w:rsidTr="00DF417A">
        <w:trPr>
          <w:trHeight w:val="255"/>
          <w:jc w:val="center"/>
        </w:trPr>
        <w:tc>
          <w:tcPr>
            <w:tcW w:w="2784" w:type="dxa"/>
            <w:tcBorders>
              <w:top w:val="nil"/>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vAlign w:val="bottom"/>
          </w:tcPr>
          <w:p w14:paraId="118D2791"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Doctorate</w:t>
            </w:r>
          </w:p>
        </w:tc>
        <w:tc>
          <w:tcPr>
            <w:tcW w:w="1173"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6F33A3B7"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2985</w:t>
            </w:r>
          </w:p>
        </w:tc>
        <w:tc>
          <w:tcPr>
            <w:tcW w:w="1128"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2B1C8C9B"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1897</w:t>
            </w:r>
          </w:p>
        </w:tc>
        <w:tc>
          <w:tcPr>
            <w:tcW w:w="120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014AEA28"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1088</w:t>
            </w:r>
          </w:p>
        </w:tc>
        <w:tc>
          <w:tcPr>
            <w:tcW w:w="141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3205BDD3" w14:textId="6F8C4001"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6</w:t>
            </w:r>
          </w:p>
        </w:tc>
        <w:tc>
          <w:tcPr>
            <w:tcW w:w="1369"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21501176" w14:textId="728060DE"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4</w:t>
            </w:r>
          </w:p>
        </w:tc>
      </w:tr>
      <w:tr w:rsidR="00277269" w:rsidRPr="00175D8B" w14:paraId="3DA16168" w14:textId="77777777" w:rsidTr="00DF417A">
        <w:trPr>
          <w:trHeight w:val="483"/>
          <w:jc w:val="center"/>
        </w:trPr>
        <w:tc>
          <w:tcPr>
            <w:tcW w:w="2784" w:type="dxa"/>
            <w:tcBorders>
              <w:top w:val="nil"/>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vAlign w:val="bottom"/>
          </w:tcPr>
          <w:p w14:paraId="6C579659" w14:textId="77777777" w:rsidR="00277269" w:rsidRPr="00175D8B" w:rsidRDefault="00277269" w:rsidP="00277269">
            <w:pPr>
              <w:spacing w:before="240" w:after="0" w:line="240" w:lineRule="auto"/>
              <w:rPr>
                <w:rFonts w:eastAsia="Aptos" w:cs="Aptos"/>
                <w:color w:val="000000" w:themeColor="text1"/>
                <w:szCs w:val="22"/>
              </w:rPr>
            </w:pPr>
            <w:r w:rsidRPr="00175D8B">
              <w:rPr>
                <w:rFonts w:eastAsia="Aptos" w:cs="Aptos"/>
                <w:color w:val="000000" w:themeColor="text1"/>
                <w:sz w:val="20"/>
                <w:szCs w:val="20"/>
              </w:rPr>
              <w:t>High School or Equivalent Vocational School</w:t>
            </w:r>
          </w:p>
        </w:tc>
        <w:tc>
          <w:tcPr>
            <w:tcW w:w="1173"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772FC5E2"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265729</w:t>
            </w:r>
          </w:p>
        </w:tc>
        <w:tc>
          <w:tcPr>
            <w:tcW w:w="1128"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7EC766C2"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150424</w:t>
            </w:r>
          </w:p>
        </w:tc>
        <w:tc>
          <w:tcPr>
            <w:tcW w:w="120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42BE23D3"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115305</w:t>
            </w:r>
          </w:p>
        </w:tc>
        <w:tc>
          <w:tcPr>
            <w:tcW w:w="141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13713F87" w14:textId="42112440"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6</w:t>
            </w:r>
          </w:p>
        </w:tc>
        <w:tc>
          <w:tcPr>
            <w:tcW w:w="1369"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7A9EEAC4" w14:textId="26A891FB"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4</w:t>
            </w:r>
          </w:p>
        </w:tc>
      </w:tr>
      <w:tr w:rsidR="00277269" w:rsidRPr="00175D8B" w14:paraId="1992B1D5" w14:textId="77777777" w:rsidTr="00DF417A">
        <w:trPr>
          <w:trHeight w:val="255"/>
          <w:jc w:val="center"/>
        </w:trPr>
        <w:tc>
          <w:tcPr>
            <w:tcW w:w="2784" w:type="dxa"/>
            <w:tcBorders>
              <w:top w:val="nil"/>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vAlign w:val="bottom"/>
          </w:tcPr>
          <w:p w14:paraId="7322A486"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Literate, No Formal Education Completed</w:t>
            </w:r>
          </w:p>
        </w:tc>
        <w:tc>
          <w:tcPr>
            <w:tcW w:w="1173"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130EAF67"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81386</w:t>
            </w:r>
          </w:p>
        </w:tc>
        <w:tc>
          <w:tcPr>
            <w:tcW w:w="1128"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356BCCAC"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36438</w:t>
            </w:r>
          </w:p>
        </w:tc>
        <w:tc>
          <w:tcPr>
            <w:tcW w:w="120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0397BC8D"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44948</w:t>
            </w:r>
          </w:p>
        </w:tc>
        <w:tc>
          <w:tcPr>
            <w:tcW w:w="141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6F292D6F" w14:textId="2BF4FEC9"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4</w:t>
            </w:r>
          </w:p>
        </w:tc>
        <w:tc>
          <w:tcPr>
            <w:tcW w:w="1369"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19C0EEB7" w14:textId="70DF2C20"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6</w:t>
            </w:r>
          </w:p>
        </w:tc>
      </w:tr>
      <w:tr w:rsidR="00277269" w:rsidRPr="00175D8B" w14:paraId="79845CE5" w14:textId="77777777" w:rsidTr="00DF417A">
        <w:trPr>
          <w:trHeight w:val="384"/>
          <w:jc w:val="center"/>
        </w:trPr>
        <w:tc>
          <w:tcPr>
            <w:tcW w:w="2784" w:type="dxa"/>
            <w:tcBorders>
              <w:top w:val="nil"/>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vAlign w:val="bottom"/>
          </w:tcPr>
          <w:p w14:paraId="2BBCF991"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Illiterate</w:t>
            </w:r>
          </w:p>
        </w:tc>
        <w:tc>
          <w:tcPr>
            <w:tcW w:w="1173"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0BBF0A91"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18280</w:t>
            </w:r>
          </w:p>
        </w:tc>
        <w:tc>
          <w:tcPr>
            <w:tcW w:w="1128"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3B051CD1"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3194</w:t>
            </w:r>
          </w:p>
        </w:tc>
        <w:tc>
          <w:tcPr>
            <w:tcW w:w="120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4E2F43FC"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15086</w:t>
            </w:r>
          </w:p>
        </w:tc>
        <w:tc>
          <w:tcPr>
            <w:tcW w:w="141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064FEE05" w14:textId="3CACAFED"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2</w:t>
            </w:r>
          </w:p>
        </w:tc>
        <w:tc>
          <w:tcPr>
            <w:tcW w:w="1369"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436AF6A1" w14:textId="47E5EAF1"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8</w:t>
            </w:r>
          </w:p>
        </w:tc>
      </w:tr>
      <w:tr w:rsidR="00277269" w:rsidRPr="00175D8B" w14:paraId="722FCF82" w14:textId="77777777" w:rsidTr="00DF417A">
        <w:trPr>
          <w:trHeight w:val="678"/>
          <w:jc w:val="center"/>
        </w:trPr>
        <w:tc>
          <w:tcPr>
            <w:tcW w:w="2784" w:type="dxa"/>
            <w:tcBorders>
              <w:top w:val="nil"/>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vAlign w:val="bottom"/>
          </w:tcPr>
          <w:p w14:paraId="65ECB84C" w14:textId="77777777" w:rsidR="00277269" w:rsidRPr="00175D8B" w:rsidRDefault="00277269" w:rsidP="00277269">
            <w:pPr>
              <w:spacing w:before="240" w:after="0" w:line="240" w:lineRule="auto"/>
              <w:rPr>
                <w:rFonts w:eastAsia="Aptos" w:cs="Aptos"/>
                <w:color w:val="000000" w:themeColor="text1"/>
                <w:szCs w:val="22"/>
              </w:rPr>
            </w:pPr>
            <w:r w:rsidRPr="00175D8B">
              <w:rPr>
                <w:rFonts w:eastAsia="Aptos" w:cs="Aptos"/>
                <w:color w:val="000000" w:themeColor="text1"/>
                <w:sz w:val="20"/>
                <w:szCs w:val="20"/>
              </w:rPr>
              <w:t>Middel School or Equivalent Vocational School</w:t>
            </w:r>
          </w:p>
        </w:tc>
        <w:tc>
          <w:tcPr>
            <w:tcW w:w="1173"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4567263B"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165968</w:t>
            </w:r>
          </w:p>
        </w:tc>
        <w:tc>
          <w:tcPr>
            <w:tcW w:w="1128"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2132917B"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91411</w:t>
            </w:r>
          </w:p>
        </w:tc>
        <w:tc>
          <w:tcPr>
            <w:tcW w:w="120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2C03F2AD"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74557</w:t>
            </w:r>
          </w:p>
        </w:tc>
        <w:tc>
          <w:tcPr>
            <w:tcW w:w="141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2E81AC44" w14:textId="5A730334"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6</w:t>
            </w:r>
          </w:p>
        </w:tc>
        <w:tc>
          <w:tcPr>
            <w:tcW w:w="1369"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3FBA893D" w14:textId="094ED210"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4</w:t>
            </w:r>
          </w:p>
        </w:tc>
      </w:tr>
      <w:tr w:rsidR="00277269" w:rsidRPr="00175D8B" w14:paraId="34A83D8C" w14:textId="77777777" w:rsidTr="00DF417A">
        <w:trPr>
          <w:trHeight w:val="255"/>
          <w:jc w:val="center"/>
        </w:trPr>
        <w:tc>
          <w:tcPr>
            <w:tcW w:w="2784" w:type="dxa"/>
            <w:tcBorders>
              <w:top w:val="nil"/>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vAlign w:val="bottom"/>
          </w:tcPr>
          <w:p w14:paraId="2F38B313" w14:textId="77777777" w:rsidR="00277269" w:rsidRPr="00175D8B" w:rsidRDefault="00277269" w:rsidP="00277269">
            <w:pPr>
              <w:spacing w:before="240" w:after="0" w:line="240" w:lineRule="auto"/>
              <w:rPr>
                <w:rFonts w:eastAsia="Aptos" w:cs="Aptos"/>
                <w:color w:val="000000" w:themeColor="text1"/>
                <w:szCs w:val="22"/>
              </w:rPr>
            </w:pPr>
            <w:r w:rsidRPr="00175D8B">
              <w:rPr>
                <w:rFonts w:eastAsia="Aptos" w:cs="Aptos"/>
                <w:color w:val="000000" w:themeColor="text1"/>
                <w:sz w:val="20"/>
                <w:szCs w:val="20"/>
              </w:rPr>
              <w:t>Master's Degree and Above</w:t>
            </w:r>
          </w:p>
        </w:tc>
        <w:tc>
          <w:tcPr>
            <w:tcW w:w="1173"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2D3ABBB1"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17929</w:t>
            </w:r>
          </w:p>
        </w:tc>
        <w:tc>
          <w:tcPr>
            <w:tcW w:w="1128"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413F3C55"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9690</w:t>
            </w:r>
          </w:p>
        </w:tc>
        <w:tc>
          <w:tcPr>
            <w:tcW w:w="120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31FA6A36"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8239</w:t>
            </w:r>
          </w:p>
        </w:tc>
        <w:tc>
          <w:tcPr>
            <w:tcW w:w="141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6EC97195" w14:textId="2FDD6011"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5</w:t>
            </w:r>
          </w:p>
        </w:tc>
        <w:tc>
          <w:tcPr>
            <w:tcW w:w="1369"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41174469" w14:textId="5ABB451D"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5</w:t>
            </w:r>
          </w:p>
        </w:tc>
      </w:tr>
      <w:tr w:rsidR="00277269" w:rsidRPr="00175D8B" w14:paraId="36AF4BBC" w14:textId="77777777" w:rsidTr="00DF417A">
        <w:trPr>
          <w:trHeight w:val="255"/>
          <w:jc w:val="center"/>
        </w:trPr>
        <w:tc>
          <w:tcPr>
            <w:tcW w:w="2784" w:type="dxa"/>
            <w:tcBorders>
              <w:top w:val="nil"/>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vAlign w:val="bottom"/>
          </w:tcPr>
          <w:p w14:paraId="354DEFB0" w14:textId="77777777" w:rsidR="00277269" w:rsidRPr="00175D8B" w:rsidRDefault="00277269" w:rsidP="00277269">
            <w:pPr>
              <w:spacing w:before="240" w:after="0" w:line="240" w:lineRule="auto"/>
              <w:rPr>
                <w:rFonts w:eastAsia="Aptos" w:cs="Aptos"/>
                <w:color w:val="000000" w:themeColor="text1"/>
                <w:szCs w:val="22"/>
              </w:rPr>
            </w:pPr>
            <w:r w:rsidRPr="00175D8B">
              <w:rPr>
                <w:rFonts w:eastAsia="Aptos" w:cs="Aptos"/>
                <w:color w:val="000000" w:themeColor="text1"/>
                <w:sz w:val="20"/>
                <w:szCs w:val="20"/>
              </w:rPr>
              <w:t>College or Faculty</w:t>
            </w:r>
          </w:p>
        </w:tc>
        <w:tc>
          <w:tcPr>
            <w:tcW w:w="1173"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09F105E3"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154428</w:t>
            </w:r>
          </w:p>
        </w:tc>
        <w:tc>
          <w:tcPr>
            <w:tcW w:w="1128"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7E7B8BDC"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78176</w:t>
            </w:r>
          </w:p>
        </w:tc>
        <w:tc>
          <w:tcPr>
            <w:tcW w:w="120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64B1722D"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76252</w:t>
            </w:r>
          </w:p>
        </w:tc>
        <w:tc>
          <w:tcPr>
            <w:tcW w:w="141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067620E9" w14:textId="5D575AAD"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5</w:t>
            </w:r>
          </w:p>
        </w:tc>
        <w:tc>
          <w:tcPr>
            <w:tcW w:w="1369"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7CD94815" w14:textId="7B3E8353"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5</w:t>
            </w:r>
          </w:p>
        </w:tc>
      </w:tr>
      <w:tr w:rsidR="00277269" w:rsidRPr="00175D8B" w14:paraId="4975CFEC" w14:textId="77777777" w:rsidTr="00DF417A">
        <w:trPr>
          <w:trHeight w:val="444"/>
          <w:jc w:val="center"/>
        </w:trPr>
        <w:tc>
          <w:tcPr>
            <w:tcW w:w="2784" w:type="dxa"/>
            <w:tcBorders>
              <w:top w:val="nil"/>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vAlign w:val="bottom"/>
          </w:tcPr>
          <w:p w14:paraId="7DF939BE"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Primary school</w:t>
            </w:r>
          </w:p>
        </w:tc>
        <w:tc>
          <w:tcPr>
            <w:tcW w:w="1173"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5D29350B"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227629</w:t>
            </w:r>
          </w:p>
        </w:tc>
        <w:tc>
          <w:tcPr>
            <w:tcW w:w="1128"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10E4CD20"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93007</w:t>
            </w:r>
          </w:p>
        </w:tc>
        <w:tc>
          <w:tcPr>
            <w:tcW w:w="120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349E0E35"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134622</w:t>
            </w:r>
          </w:p>
        </w:tc>
        <w:tc>
          <w:tcPr>
            <w:tcW w:w="141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2E93C8F8" w14:textId="2840F73F"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4</w:t>
            </w:r>
          </w:p>
        </w:tc>
        <w:tc>
          <w:tcPr>
            <w:tcW w:w="1369"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76919108" w14:textId="5F59FB89"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6</w:t>
            </w:r>
          </w:p>
        </w:tc>
      </w:tr>
      <w:tr w:rsidR="00277269" w:rsidRPr="00175D8B" w14:paraId="709F0C77" w14:textId="77777777" w:rsidTr="00DF417A">
        <w:trPr>
          <w:trHeight w:val="480"/>
          <w:jc w:val="center"/>
        </w:trPr>
        <w:tc>
          <w:tcPr>
            <w:tcW w:w="2784" w:type="dxa"/>
            <w:tcBorders>
              <w:top w:val="nil"/>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vAlign w:val="bottom"/>
          </w:tcPr>
          <w:p w14:paraId="47B67FDA"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lastRenderedPageBreak/>
              <w:t>Primary</w:t>
            </w:r>
          </w:p>
        </w:tc>
        <w:tc>
          <w:tcPr>
            <w:tcW w:w="1173"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3F53B659"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67780</w:t>
            </w:r>
          </w:p>
        </w:tc>
        <w:tc>
          <w:tcPr>
            <w:tcW w:w="1128"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09873A3E"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36958</w:t>
            </w:r>
          </w:p>
        </w:tc>
        <w:tc>
          <w:tcPr>
            <w:tcW w:w="120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23D2220F" w14:textId="77777777"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30822</w:t>
            </w:r>
          </w:p>
        </w:tc>
        <w:tc>
          <w:tcPr>
            <w:tcW w:w="141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4F716281" w14:textId="1A1393D5"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5</w:t>
            </w:r>
          </w:p>
        </w:tc>
        <w:tc>
          <w:tcPr>
            <w:tcW w:w="1369"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4BDCCC86" w14:textId="7C1B1CC8" w:rsidR="00277269" w:rsidRPr="00175D8B" w:rsidRDefault="00277269" w:rsidP="00277269">
            <w:pPr>
              <w:spacing w:before="240" w:after="0" w:line="276" w:lineRule="auto"/>
              <w:rPr>
                <w:rFonts w:eastAsia="Aptos" w:cs="Aptos"/>
                <w:color w:val="000000" w:themeColor="text1"/>
                <w:sz w:val="20"/>
                <w:szCs w:val="20"/>
              </w:rPr>
            </w:pPr>
            <w:r w:rsidRPr="00175D8B">
              <w:rPr>
                <w:rFonts w:eastAsia="Aptos" w:cs="Aptos"/>
                <w:color w:val="000000" w:themeColor="text1"/>
                <w:sz w:val="20"/>
                <w:szCs w:val="20"/>
              </w:rPr>
              <w:t>0</w:t>
            </w:r>
            <w:r w:rsidR="001A50C2" w:rsidRPr="00175D8B">
              <w:rPr>
                <w:rFonts w:eastAsia="Aptos" w:cs="Aptos"/>
                <w:color w:val="000000" w:themeColor="text1"/>
                <w:sz w:val="20"/>
                <w:szCs w:val="20"/>
              </w:rPr>
              <w:t>.</w:t>
            </w:r>
            <w:r w:rsidRPr="00175D8B">
              <w:rPr>
                <w:rFonts w:eastAsia="Aptos" w:cs="Aptos"/>
                <w:color w:val="000000" w:themeColor="text1"/>
                <w:sz w:val="20"/>
                <w:szCs w:val="20"/>
              </w:rPr>
              <w:t>5</w:t>
            </w:r>
          </w:p>
        </w:tc>
      </w:tr>
      <w:tr w:rsidR="00277269" w:rsidRPr="00175D8B" w14:paraId="5A52A551" w14:textId="77777777" w:rsidTr="00DF417A">
        <w:trPr>
          <w:trHeight w:val="255"/>
          <w:jc w:val="center"/>
        </w:trPr>
        <w:tc>
          <w:tcPr>
            <w:tcW w:w="2784" w:type="dxa"/>
            <w:tcBorders>
              <w:top w:val="nil"/>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vAlign w:val="bottom"/>
          </w:tcPr>
          <w:p w14:paraId="20AE1EA1" w14:textId="77777777" w:rsidR="00277269" w:rsidRPr="00175D8B" w:rsidRDefault="00277269" w:rsidP="00277269">
            <w:pPr>
              <w:spacing w:before="240" w:after="0" w:line="276" w:lineRule="auto"/>
              <w:rPr>
                <w:rFonts w:eastAsia="Aptos" w:cs="Aptos"/>
                <w:b/>
                <w:bCs/>
                <w:color w:val="000000" w:themeColor="text1"/>
                <w:sz w:val="20"/>
                <w:szCs w:val="20"/>
              </w:rPr>
            </w:pPr>
            <w:r w:rsidRPr="00175D8B">
              <w:rPr>
                <w:rFonts w:eastAsia="Aptos" w:cs="Aptos"/>
                <w:b/>
                <w:bCs/>
                <w:color w:val="000000" w:themeColor="text1"/>
                <w:sz w:val="20"/>
                <w:szCs w:val="20"/>
              </w:rPr>
              <w:t>TOTAL</w:t>
            </w:r>
          </w:p>
        </w:tc>
        <w:tc>
          <w:tcPr>
            <w:tcW w:w="1173"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52D9C175" w14:textId="77777777" w:rsidR="00277269" w:rsidRPr="00175D8B" w:rsidRDefault="00277269" w:rsidP="00277269">
            <w:pPr>
              <w:spacing w:before="240" w:after="0" w:line="276" w:lineRule="auto"/>
              <w:rPr>
                <w:rFonts w:eastAsia="Aptos" w:cs="Aptos"/>
                <w:b/>
                <w:color w:val="000000" w:themeColor="text1"/>
                <w:sz w:val="20"/>
                <w:szCs w:val="20"/>
              </w:rPr>
            </w:pPr>
            <w:r w:rsidRPr="00175D8B">
              <w:rPr>
                <w:rFonts w:eastAsia="Aptos" w:cs="Aptos"/>
                <w:b/>
                <w:color w:val="000000" w:themeColor="text1"/>
                <w:sz w:val="20"/>
                <w:szCs w:val="20"/>
              </w:rPr>
              <w:t>1007621</w:t>
            </w:r>
          </w:p>
        </w:tc>
        <w:tc>
          <w:tcPr>
            <w:tcW w:w="1128"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06DF7D79" w14:textId="77777777" w:rsidR="00277269" w:rsidRPr="00175D8B" w:rsidRDefault="00277269" w:rsidP="00277269">
            <w:pPr>
              <w:spacing w:before="240" w:after="0" w:line="276" w:lineRule="auto"/>
              <w:rPr>
                <w:rFonts w:eastAsia="Aptos" w:cs="Aptos"/>
                <w:b/>
                <w:color w:val="000000" w:themeColor="text1"/>
                <w:sz w:val="20"/>
                <w:szCs w:val="20"/>
              </w:rPr>
            </w:pPr>
            <w:r w:rsidRPr="00175D8B">
              <w:rPr>
                <w:rFonts w:eastAsia="Aptos" w:cs="Aptos"/>
                <w:b/>
                <w:color w:val="000000" w:themeColor="text1"/>
                <w:sz w:val="20"/>
                <w:szCs w:val="20"/>
              </w:rPr>
              <w:t>503835</w:t>
            </w:r>
          </w:p>
        </w:tc>
        <w:tc>
          <w:tcPr>
            <w:tcW w:w="120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46DD47E0" w14:textId="77777777" w:rsidR="00277269" w:rsidRPr="00175D8B" w:rsidRDefault="00277269" w:rsidP="00277269">
            <w:pPr>
              <w:spacing w:before="240" w:after="0" w:line="276" w:lineRule="auto"/>
              <w:rPr>
                <w:rFonts w:eastAsia="Aptos" w:cs="Aptos"/>
                <w:b/>
                <w:color w:val="000000" w:themeColor="text1"/>
                <w:sz w:val="20"/>
                <w:szCs w:val="20"/>
              </w:rPr>
            </w:pPr>
            <w:r w:rsidRPr="00175D8B">
              <w:rPr>
                <w:rFonts w:eastAsia="Aptos" w:cs="Aptos"/>
                <w:b/>
                <w:color w:val="000000" w:themeColor="text1"/>
                <w:sz w:val="20"/>
                <w:szCs w:val="20"/>
              </w:rPr>
              <w:t>503786</w:t>
            </w:r>
          </w:p>
        </w:tc>
        <w:tc>
          <w:tcPr>
            <w:tcW w:w="1414"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321B29B4" w14:textId="372C0CA8" w:rsidR="00277269" w:rsidRPr="00175D8B" w:rsidRDefault="00277269" w:rsidP="00277269">
            <w:pPr>
              <w:spacing w:before="240" w:after="0" w:line="276" w:lineRule="auto"/>
              <w:rPr>
                <w:rFonts w:eastAsia="Aptos" w:cs="Aptos"/>
                <w:b/>
                <w:color w:val="000000" w:themeColor="text1"/>
                <w:sz w:val="20"/>
                <w:szCs w:val="20"/>
              </w:rPr>
            </w:pPr>
            <w:r w:rsidRPr="00175D8B">
              <w:rPr>
                <w:rFonts w:eastAsia="Aptos" w:cs="Aptos"/>
                <w:b/>
                <w:color w:val="000000" w:themeColor="text1"/>
                <w:sz w:val="20"/>
                <w:szCs w:val="20"/>
              </w:rPr>
              <w:t>5</w:t>
            </w:r>
            <w:r w:rsidR="001A50C2" w:rsidRPr="00175D8B">
              <w:rPr>
                <w:rFonts w:eastAsia="Aptos" w:cs="Aptos"/>
                <w:b/>
                <w:color w:val="000000" w:themeColor="text1"/>
                <w:sz w:val="20"/>
                <w:szCs w:val="20"/>
              </w:rPr>
              <w:t>.</w:t>
            </w:r>
            <w:r w:rsidRPr="00175D8B">
              <w:rPr>
                <w:rFonts w:eastAsia="Aptos" w:cs="Aptos"/>
                <w:b/>
                <w:color w:val="000000" w:themeColor="text1"/>
                <w:sz w:val="20"/>
                <w:szCs w:val="20"/>
              </w:rPr>
              <w:t>3</w:t>
            </w:r>
          </w:p>
        </w:tc>
        <w:tc>
          <w:tcPr>
            <w:tcW w:w="1369" w:type="dxa"/>
            <w:tcBorders>
              <w:top w:val="nil"/>
              <w:left w:val="nil"/>
              <w:bottom w:val="single" w:sz="6" w:space="0" w:color="000000" w:themeColor="text1"/>
              <w:right w:val="single" w:sz="6" w:space="0" w:color="000000" w:themeColor="text1"/>
            </w:tcBorders>
            <w:shd w:val="clear" w:color="auto" w:fill="F2F2F2" w:themeFill="background1" w:themeFillShade="F2"/>
            <w:tcMar>
              <w:top w:w="0" w:type="dxa"/>
              <w:left w:w="80" w:type="dxa"/>
              <w:bottom w:w="0" w:type="dxa"/>
              <w:right w:w="80" w:type="dxa"/>
            </w:tcMar>
          </w:tcPr>
          <w:p w14:paraId="571BA340" w14:textId="2FEE675E" w:rsidR="00277269" w:rsidRPr="00175D8B" w:rsidRDefault="00277269" w:rsidP="00277269">
            <w:pPr>
              <w:spacing w:before="240" w:after="0" w:line="276" w:lineRule="auto"/>
              <w:rPr>
                <w:rFonts w:eastAsia="Aptos" w:cs="Aptos"/>
                <w:b/>
                <w:color w:val="000000" w:themeColor="text1"/>
                <w:sz w:val="20"/>
                <w:szCs w:val="20"/>
              </w:rPr>
            </w:pPr>
            <w:r w:rsidRPr="00175D8B">
              <w:rPr>
                <w:rFonts w:eastAsia="Aptos" w:cs="Aptos"/>
                <w:b/>
                <w:color w:val="000000" w:themeColor="text1"/>
                <w:sz w:val="20"/>
                <w:szCs w:val="20"/>
              </w:rPr>
              <w:t>5</w:t>
            </w:r>
            <w:r w:rsidR="001A50C2" w:rsidRPr="00175D8B">
              <w:rPr>
                <w:rFonts w:eastAsia="Aptos" w:cs="Aptos"/>
                <w:b/>
                <w:color w:val="000000" w:themeColor="text1"/>
                <w:sz w:val="20"/>
                <w:szCs w:val="20"/>
              </w:rPr>
              <w:t>.</w:t>
            </w:r>
            <w:r w:rsidRPr="00175D8B">
              <w:rPr>
                <w:rFonts w:eastAsia="Aptos" w:cs="Aptos"/>
                <w:b/>
                <w:color w:val="000000" w:themeColor="text1"/>
                <w:sz w:val="20"/>
                <w:szCs w:val="20"/>
              </w:rPr>
              <w:t>2</w:t>
            </w:r>
          </w:p>
        </w:tc>
      </w:tr>
    </w:tbl>
    <w:p w14:paraId="32CF33FB" w14:textId="0E4CE1B5" w:rsidR="00277269" w:rsidRPr="00175D8B" w:rsidRDefault="00277269" w:rsidP="006C58C5">
      <w:pPr>
        <w:spacing w:before="120" w:after="0" w:line="278" w:lineRule="auto"/>
        <w:jc w:val="center"/>
        <w:rPr>
          <w:rFonts w:eastAsia="Aptos" w:cs="Aptos"/>
          <w:i/>
          <w:iCs/>
          <w:color w:val="000000" w:themeColor="text1"/>
          <w:sz w:val="20"/>
          <w:szCs w:val="20"/>
        </w:rPr>
      </w:pPr>
      <w:r w:rsidRPr="00175D8B">
        <w:rPr>
          <w:rFonts w:eastAsia="Aptos" w:cs="Aptos"/>
          <w:b/>
          <w:i/>
          <w:color w:val="000000" w:themeColor="text1"/>
          <w:sz w:val="18"/>
          <w:szCs w:val="18"/>
        </w:rPr>
        <w:t>Source:</w:t>
      </w:r>
      <w:r w:rsidRPr="00175D8B">
        <w:rPr>
          <w:rFonts w:eastAsia="Aptos" w:cs="Aptos"/>
          <w:i/>
          <w:color w:val="000000" w:themeColor="text1"/>
          <w:sz w:val="18"/>
          <w:szCs w:val="18"/>
        </w:rPr>
        <w:t xml:space="preserve"> Higher Education Council</w:t>
      </w:r>
      <w:bookmarkStart w:id="197" w:name="_heading=h.dvj07fmkebei" w:colFirst="0" w:colLast="0"/>
      <w:bookmarkEnd w:id="197"/>
    </w:p>
    <w:p w14:paraId="70961EA2" w14:textId="7314B5B6" w:rsidR="00023E42" w:rsidRPr="00175D8B" w:rsidRDefault="00023E42" w:rsidP="006C58C5">
      <w:pPr>
        <w:pStyle w:val="ResimYazs"/>
        <w:keepNext/>
        <w:jc w:val="center"/>
      </w:pPr>
      <w:bookmarkStart w:id="198" w:name="_Toc221191319"/>
      <w:r w:rsidRPr="006C58C5">
        <w:rPr>
          <w:b/>
          <w:bCs/>
        </w:rPr>
        <w:t xml:space="preserve">Figure </w:t>
      </w:r>
      <w:r w:rsidRPr="006C58C5">
        <w:rPr>
          <w:b/>
          <w:bCs/>
        </w:rPr>
        <w:fldChar w:fldCharType="begin"/>
      </w:r>
      <w:r w:rsidRPr="006C58C5">
        <w:rPr>
          <w:b/>
          <w:bCs/>
        </w:rPr>
        <w:instrText xml:space="preserve"> SEQ Figure \* ARABIC </w:instrText>
      </w:r>
      <w:r w:rsidRPr="006C58C5">
        <w:rPr>
          <w:b/>
          <w:bCs/>
        </w:rPr>
        <w:fldChar w:fldCharType="separate"/>
      </w:r>
      <w:r w:rsidR="00811FB5" w:rsidRPr="00175D8B">
        <w:rPr>
          <w:b/>
          <w:bCs/>
          <w:noProof/>
        </w:rPr>
        <w:t>11</w:t>
      </w:r>
      <w:r w:rsidRPr="006C58C5">
        <w:rPr>
          <w:b/>
          <w:bCs/>
        </w:rPr>
        <w:fldChar w:fldCharType="end"/>
      </w:r>
      <w:r w:rsidRPr="006C58C5">
        <w:rPr>
          <w:b/>
          <w:bCs/>
        </w:rPr>
        <w:t>:</w:t>
      </w:r>
      <w:r w:rsidRPr="00175D8B">
        <w:t xml:space="preserve"> </w:t>
      </w:r>
      <w:r w:rsidRPr="00175D8B">
        <w:rPr>
          <w:rFonts w:eastAsia="Aptos" w:cs="Aptos"/>
          <w:color w:val="000000"/>
          <w:szCs w:val="20"/>
        </w:rPr>
        <w:t>Sakarya Province Education Level Percentage</w:t>
      </w:r>
      <w:bookmarkEnd w:id="198"/>
    </w:p>
    <w:p w14:paraId="5209E48C" w14:textId="77777777" w:rsidR="00277269" w:rsidRPr="00175D8B" w:rsidRDefault="00277269" w:rsidP="00277269">
      <w:pPr>
        <w:keepNext/>
        <w:pBdr>
          <w:top w:val="nil"/>
          <w:left w:val="nil"/>
          <w:bottom w:val="nil"/>
          <w:right w:val="nil"/>
          <w:between w:val="nil"/>
        </w:pBdr>
        <w:spacing w:before="120" w:after="200" w:line="240" w:lineRule="auto"/>
        <w:jc w:val="center"/>
        <w:rPr>
          <w:rFonts w:eastAsia="Aptos" w:cs="Aptos"/>
          <w:color w:val="000000" w:themeColor="text1"/>
          <w:szCs w:val="22"/>
        </w:rPr>
      </w:pPr>
      <w:r w:rsidRPr="00175D8B">
        <w:rPr>
          <w:rFonts w:eastAsia="Aptos" w:cs="Aptos"/>
          <w:noProof/>
          <w:color w:val="000000" w:themeColor="text1"/>
          <w:szCs w:val="22"/>
          <w:lang w:val="tr-TR" w:eastAsia="tr-TR"/>
        </w:rPr>
        <w:drawing>
          <wp:inline distT="0" distB="0" distL="0" distR="0" wp14:anchorId="4F2CCAC2" wp14:editId="24D6438D">
            <wp:extent cx="5756910" cy="3054234"/>
            <wp:effectExtent l="0" t="0" r="15240" b="13335"/>
            <wp:docPr id="5535477" name="Grafik 1">
              <a:extLst xmlns:a="http://schemas.openxmlformats.org/drawingml/2006/main">
                <a:ext uri="{FF2B5EF4-FFF2-40B4-BE49-F238E27FC236}">
                  <a16:creationId xmlns:a16="http://schemas.microsoft.com/office/drawing/2014/main" id="{B0EA6C8E-60BC-136A-1776-42DE837B9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A9238C" w14:textId="568FAD81" w:rsidR="00F0115E" w:rsidRPr="00175D8B" w:rsidRDefault="00277269" w:rsidP="002550A6">
      <w:pPr>
        <w:pBdr>
          <w:top w:val="nil"/>
          <w:left w:val="nil"/>
          <w:bottom w:val="nil"/>
          <w:right w:val="nil"/>
          <w:between w:val="nil"/>
        </w:pBdr>
        <w:spacing w:before="120" w:after="200" w:line="240" w:lineRule="auto"/>
        <w:jc w:val="center"/>
        <w:rPr>
          <w:i/>
          <w:sz w:val="18"/>
          <w:szCs w:val="18"/>
        </w:rPr>
      </w:pPr>
      <w:bookmarkStart w:id="199" w:name="_heading=h.24cnr1qvmmy" w:colFirst="0" w:colLast="0"/>
      <w:bookmarkEnd w:id="199"/>
      <w:r w:rsidRPr="00175D8B">
        <w:rPr>
          <w:rFonts w:eastAsia="Aptos" w:cs="Aptos"/>
          <w:b/>
          <w:i/>
          <w:color w:val="000000"/>
          <w:sz w:val="18"/>
          <w:szCs w:val="18"/>
        </w:rPr>
        <w:t>Source:</w:t>
      </w:r>
      <w:r w:rsidRPr="00175D8B">
        <w:rPr>
          <w:rFonts w:eastAsia="Aptos" w:cs="Aptos"/>
          <w:i/>
          <w:color w:val="000000"/>
          <w:sz w:val="18"/>
          <w:szCs w:val="18"/>
        </w:rPr>
        <w:t xml:space="preserve"> Turkish Statistical Institute, Population Statistics, 2024</w:t>
      </w:r>
    </w:p>
    <w:p w14:paraId="0D399A43" w14:textId="262154DE" w:rsidR="00D80A2F" w:rsidRPr="00175D8B" w:rsidRDefault="002A7065" w:rsidP="002550A6">
      <w:pPr>
        <w:pStyle w:val="Balk3"/>
        <w:numPr>
          <w:ilvl w:val="2"/>
          <w:numId w:val="153"/>
        </w:numPr>
        <w:ind w:left="1560"/>
      </w:pPr>
      <w:bookmarkStart w:id="200" w:name="_Toc212541873"/>
      <w:bookmarkStart w:id="201" w:name="_Toc212542384"/>
      <w:bookmarkStart w:id="202" w:name="_Toc220672790"/>
      <w:r w:rsidRPr="00175D8B">
        <w:t>Socio-Economic Status of Sakarya Province</w:t>
      </w:r>
      <w:bookmarkEnd w:id="200"/>
      <w:bookmarkEnd w:id="201"/>
      <w:bookmarkEnd w:id="202"/>
    </w:p>
    <w:p w14:paraId="33B51439" w14:textId="08FDA291" w:rsidR="002A7065" w:rsidRPr="00175D8B" w:rsidRDefault="00067CC9" w:rsidP="00023E42">
      <w:pPr>
        <w:rPr>
          <w:rFonts w:eastAsia="Aptos" w:cs="Aptos"/>
          <w:i/>
          <w:iCs/>
          <w:color w:val="000000" w:themeColor="text1"/>
          <w:sz w:val="20"/>
          <w:szCs w:val="20"/>
        </w:rPr>
      </w:pPr>
      <w:r w:rsidRPr="00175D8B">
        <w:t xml:space="preserve"> According to the Socio-Economic Development Ranking of Provinces and Regions Research conducted by the Ministry of Industry and Technology, in 2025, Sakarya Province was ranked as the 12</w:t>
      </w:r>
      <w:r w:rsidR="00B2578D" w:rsidRPr="00175D8B">
        <w:rPr>
          <w:vertAlign w:val="superscript"/>
        </w:rPr>
        <w:t>th</w:t>
      </w:r>
      <w:r w:rsidR="00B2578D" w:rsidRPr="00175D8B">
        <w:t> </w:t>
      </w:r>
      <w:r w:rsidRPr="00175D8B">
        <w:t>most developed province in Türkiye with a score of 0.729.  The study employs SEGE (</w:t>
      </w:r>
      <w:r w:rsidR="0058190D" w:rsidRPr="00175D8B">
        <w:t>Socio Economic Development Index</w:t>
      </w:r>
      <w:r w:rsidRPr="00175D8B">
        <w:t>) which analyzes the development levels of provinces via using 52 different variables that focusing on socio-economic dimension</w:t>
      </w:r>
      <w:r w:rsidR="001511D0" w:rsidRPr="00175D8B">
        <w:t>.</w:t>
      </w:r>
      <w:r w:rsidR="001511D0" w:rsidRPr="00175D8B">
        <w:rPr>
          <w:rStyle w:val="DipnotBavurusu"/>
        </w:rPr>
        <w:footnoteReference w:id="14"/>
      </w:r>
      <w:r w:rsidR="00695D59" w:rsidRPr="00175D8B">
        <w:t xml:space="preserve"> Sakarya is part of the TR42 NUTS-2 Region, which consists of the provinces of Kocaeli, Sakarya, Düzce, Bolu, and Yalova.  </w:t>
      </w:r>
    </w:p>
    <w:p w14:paraId="344B2AD5" w14:textId="6862F10A" w:rsidR="00023E42" w:rsidRPr="00175D8B" w:rsidRDefault="00023E42" w:rsidP="006C58C5">
      <w:pPr>
        <w:pStyle w:val="ResimYazs"/>
        <w:keepNext/>
        <w:jc w:val="center"/>
      </w:pPr>
      <w:bookmarkStart w:id="203" w:name="_Toc221191320"/>
      <w:r w:rsidRPr="006C58C5">
        <w:rPr>
          <w:b/>
          <w:bCs/>
        </w:rPr>
        <w:lastRenderedPageBreak/>
        <w:t xml:space="preserve">Figure </w:t>
      </w:r>
      <w:r w:rsidRPr="006C58C5">
        <w:rPr>
          <w:b/>
          <w:bCs/>
        </w:rPr>
        <w:fldChar w:fldCharType="begin"/>
      </w:r>
      <w:r w:rsidRPr="006C58C5">
        <w:rPr>
          <w:b/>
          <w:bCs/>
        </w:rPr>
        <w:instrText xml:space="preserve"> SEQ Figure \* ARABIC </w:instrText>
      </w:r>
      <w:r w:rsidRPr="006C58C5">
        <w:rPr>
          <w:b/>
          <w:bCs/>
        </w:rPr>
        <w:fldChar w:fldCharType="separate"/>
      </w:r>
      <w:r w:rsidR="00811FB5" w:rsidRPr="00175D8B">
        <w:rPr>
          <w:b/>
          <w:bCs/>
          <w:noProof/>
        </w:rPr>
        <w:t>12</w:t>
      </w:r>
      <w:r w:rsidRPr="006C58C5">
        <w:rPr>
          <w:b/>
          <w:bCs/>
        </w:rPr>
        <w:fldChar w:fldCharType="end"/>
      </w:r>
      <w:r w:rsidRPr="006C58C5">
        <w:rPr>
          <w:b/>
          <w:bCs/>
        </w:rPr>
        <w:t>:</w:t>
      </w:r>
      <w:r w:rsidRPr="00175D8B">
        <w:t xml:space="preserve"> </w:t>
      </w:r>
      <w:r w:rsidRPr="00175D8B">
        <w:rPr>
          <w:rFonts w:eastAsia="Aptos" w:cs="Aptos"/>
          <w:szCs w:val="20"/>
        </w:rPr>
        <w:t>2025 SEGE Studies</w:t>
      </w:r>
      <w:bookmarkEnd w:id="203"/>
    </w:p>
    <w:p w14:paraId="44D599A3" w14:textId="1E38465D" w:rsidR="002A7065" w:rsidRPr="00175D8B" w:rsidRDefault="005C38BA" w:rsidP="002550A6">
      <w:pPr>
        <w:keepNext/>
        <w:spacing w:before="120" w:after="200" w:line="278" w:lineRule="auto"/>
        <w:jc w:val="center"/>
        <w:rPr>
          <w:rFonts w:eastAsia="Aptos" w:cs="Aptos"/>
          <w:color w:val="FF0000"/>
          <w:szCs w:val="22"/>
        </w:rPr>
      </w:pPr>
      <w:r w:rsidRPr="00175D8B">
        <w:rPr>
          <w:b/>
          <w:i/>
          <w:noProof/>
          <w:color w:val="FF0000"/>
          <w:sz w:val="18"/>
          <w:szCs w:val="18"/>
        </w:rPr>
        <w:drawing>
          <wp:inline distT="0" distB="0" distL="0" distR="0" wp14:anchorId="605CED5A" wp14:editId="680A791F">
            <wp:extent cx="4320000" cy="3049200"/>
            <wp:effectExtent l="0" t="0" r="4445" b="0"/>
            <wp:docPr id="210298727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3049200"/>
                    </a:xfrm>
                    <a:prstGeom prst="rect">
                      <a:avLst/>
                    </a:prstGeom>
                    <a:noFill/>
                    <a:ln>
                      <a:noFill/>
                    </a:ln>
                  </pic:spPr>
                </pic:pic>
              </a:graphicData>
            </a:graphic>
          </wp:inline>
        </w:drawing>
      </w:r>
    </w:p>
    <w:p w14:paraId="62BCEE8D" w14:textId="44284583" w:rsidR="002A7065" w:rsidRPr="00175D8B" w:rsidRDefault="002A7065" w:rsidP="006C58C5">
      <w:pPr>
        <w:pBdr>
          <w:top w:val="nil"/>
          <w:left w:val="nil"/>
          <w:bottom w:val="nil"/>
          <w:right w:val="nil"/>
          <w:between w:val="nil"/>
        </w:pBdr>
        <w:spacing w:before="120" w:after="200" w:line="240" w:lineRule="auto"/>
        <w:jc w:val="center"/>
        <w:rPr>
          <w:rFonts w:eastAsia="Aptos" w:cs="Aptos"/>
          <w:i/>
          <w:iCs/>
          <w:color w:val="000000"/>
          <w:sz w:val="20"/>
          <w:szCs w:val="20"/>
        </w:rPr>
      </w:pPr>
      <w:r w:rsidRPr="00175D8B">
        <w:rPr>
          <w:rFonts w:eastAsia="Aptos" w:cs="Aptos"/>
          <w:b/>
          <w:bCs/>
          <w:i/>
          <w:iCs/>
          <w:color w:val="000000" w:themeColor="text1"/>
          <w:sz w:val="18"/>
          <w:szCs w:val="18"/>
        </w:rPr>
        <w:t>Source:</w:t>
      </w:r>
      <w:r w:rsidRPr="00175D8B">
        <w:rPr>
          <w:rFonts w:eastAsia="Aptos" w:cs="Aptos"/>
          <w:i/>
          <w:iCs/>
          <w:color w:val="000000" w:themeColor="text1"/>
          <w:sz w:val="18"/>
          <w:szCs w:val="18"/>
        </w:rPr>
        <w:t xml:space="preserve"> Republic of Türkiye Ministry of Industry and Technology, General Directorate of Development Agencies. SEGE Studies, 20</w:t>
      </w:r>
      <w:r w:rsidR="00023E42" w:rsidRPr="00175D8B">
        <w:rPr>
          <w:rFonts w:eastAsia="Aptos" w:cs="Aptos"/>
          <w:i/>
          <w:iCs/>
          <w:color w:val="000000" w:themeColor="text1"/>
          <w:sz w:val="18"/>
          <w:szCs w:val="18"/>
        </w:rPr>
        <w:t>25</w:t>
      </w:r>
      <w:r w:rsidRPr="00175D8B">
        <w:rPr>
          <w:rFonts w:eastAsia="Aptos" w:cs="Aptos"/>
          <w:i/>
          <w:iCs/>
          <w:color w:val="000000" w:themeColor="text1"/>
          <w:sz w:val="18"/>
          <w:szCs w:val="18"/>
        </w:rPr>
        <w:t>.</w:t>
      </w:r>
    </w:p>
    <w:p w14:paraId="35D868BC" w14:textId="44921A7D" w:rsidR="00581D6A" w:rsidRPr="00175D8B" w:rsidRDefault="00581D6A" w:rsidP="002550A6">
      <w:pPr>
        <w:keepNext/>
        <w:spacing w:before="120" w:after="200" w:line="278" w:lineRule="auto"/>
        <w:jc w:val="center"/>
      </w:pPr>
    </w:p>
    <w:p w14:paraId="4A36C13F" w14:textId="6F785F93" w:rsidR="00581D6A" w:rsidRPr="00175D8B" w:rsidRDefault="00581D6A" w:rsidP="006C58C5">
      <w:pPr>
        <w:pStyle w:val="ResimYazs"/>
        <w:keepNext/>
        <w:jc w:val="center"/>
      </w:pPr>
      <w:bookmarkStart w:id="204" w:name="_Toc221191321"/>
      <w:r w:rsidRPr="006C58C5">
        <w:rPr>
          <w:b/>
          <w:bCs/>
        </w:rPr>
        <w:t xml:space="preserve">Figure </w:t>
      </w:r>
      <w:r w:rsidRPr="006C58C5">
        <w:rPr>
          <w:b/>
          <w:bCs/>
        </w:rPr>
        <w:fldChar w:fldCharType="begin"/>
      </w:r>
      <w:r w:rsidRPr="006C58C5">
        <w:rPr>
          <w:b/>
          <w:bCs/>
        </w:rPr>
        <w:instrText xml:space="preserve"> SEQ Figure \* ARABIC </w:instrText>
      </w:r>
      <w:r w:rsidRPr="006C58C5">
        <w:rPr>
          <w:b/>
          <w:bCs/>
        </w:rPr>
        <w:fldChar w:fldCharType="separate"/>
      </w:r>
      <w:r w:rsidR="00811FB5" w:rsidRPr="00175D8B">
        <w:rPr>
          <w:b/>
          <w:bCs/>
          <w:noProof/>
        </w:rPr>
        <w:t>13</w:t>
      </w:r>
      <w:r w:rsidRPr="006C58C5">
        <w:rPr>
          <w:b/>
          <w:bCs/>
        </w:rPr>
        <w:fldChar w:fldCharType="end"/>
      </w:r>
      <w:r w:rsidRPr="006C58C5">
        <w:rPr>
          <w:b/>
          <w:bCs/>
        </w:rPr>
        <w:t>:</w:t>
      </w:r>
      <w:r w:rsidRPr="00175D8B">
        <w:t xml:space="preserve"> </w:t>
      </w:r>
      <w:r w:rsidRPr="00175D8B">
        <w:rPr>
          <w:rFonts w:eastAsia="Aptos" w:cs="Aptos"/>
          <w:color w:val="000000"/>
          <w:szCs w:val="20"/>
        </w:rPr>
        <w:t>2025 SEGE Study of Sakarya Province</w:t>
      </w:r>
      <w:bookmarkEnd w:id="204"/>
    </w:p>
    <w:p w14:paraId="05188DFD" w14:textId="340EF5CB" w:rsidR="002A7065" w:rsidRPr="00175D8B" w:rsidRDefault="00581D6A" w:rsidP="002550A6">
      <w:pPr>
        <w:keepNext/>
        <w:spacing w:before="120" w:after="200" w:line="278" w:lineRule="auto"/>
        <w:jc w:val="center"/>
        <w:rPr>
          <w:rFonts w:eastAsia="Aptos" w:cs="Aptos"/>
          <w:color w:val="FF0000"/>
          <w:szCs w:val="22"/>
        </w:rPr>
      </w:pPr>
      <w:r w:rsidRPr="00175D8B">
        <w:rPr>
          <w:rFonts w:eastAsia="Aptos" w:cs="Aptos"/>
          <w:i/>
          <w:noProof/>
          <w:color w:val="000000"/>
          <w:sz w:val="20"/>
          <w:szCs w:val="20"/>
          <w:lang w:val="tr-TR" w:eastAsia="tr-TR"/>
        </w:rPr>
        <mc:AlternateContent>
          <mc:Choice Requires="wps">
            <w:drawing>
              <wp:anchor distT="0" distB="0" distL="114300" distR="114300" simplePos="0" relativeHeight="251681792" behindDoc="0" locked="0" layoutInCell="1" allowOverlap="1" wp14:anchorId="7DC05A7E" wp14:editId="5CC2E677">
                <wp:simplePos x="0" y="0"/>
                <wp:positionH relativeFrom="column">
                  <wp:posOffset>2157095</wp:posOffset>
                </wp:positionH>
                <wp:positionV relativeFrom="paragraph">
                  <wp:posOffset>200660</wp:posOffset>
                </wp:positionV>
                <wp:extent cx="1524000" cy="285750"/>
                <wp:effectExtent l="0" t="0" r="0" b="0"/>
                <wp:wrapNone/>
                <wp:docPr id="1029035224" name="Metin Kutusu 3"/>
                <wp:cNvGraphicFramePr/>
                <a:graphic xmlns:a="http://schemas.openxmlformats.org/drawingml/2006/main">
                  <a:graphicData uri="http://schemas.microsoft.com/office/word/2010/wordprocessingShape">
                    <wps:wsp>
                      <wps:cNvSpPr txBox="1"/>
                      <wps:spPr>
                        <a:xfrm>
                          <a:off x="0" y="0"/>
                          <a:ext cx="1524000" cy="285750"/>
                        </a:xfrm>
                        <a:prstGeom prst="rect">
                          <a:avLst/>
                        </a:prstGeom>
                        <a:solidFill>
                          <a:sysClr val="window" lastClr="FFFFFF"/>
                        </a:solidFill>
                        <a:ln w="6350">
                          <a:noFill/>
                        </a:ln>
                      </wps:spPr>
                      <wps:txbx>
                        <w:txbxContent>
                          <w:p w14:paraId="18D3B4BF" w14:textId="77777777" w:rsidR="001F6155" w:rsidRPr="008C12BE" w:rsidRDefault="001F6155" w:rsidP="002A7065">
                            <w:pPr>
                              <w:pStyle w:val="AralkYok"/>
                              <w:jc w:val="center"/>
                              <w:rPr>
                                <w:b/>
                                <w:bCs/>
                                <w:sz w:val="18"/>
                                <w:szCs w:val="18"/>
                              </w:rPr>
                            </w:pPr>
                            <w:r w:rsidRPr="008C12BE">
                              <w:rPr>
                                <w:b/>
                                <w:bCs/>
                                <w:sz w:val="18"/>
                                <w:szCs w:val="18"/>
                              </w:rPr>
                              <w:t>Sakarya (11th Rank)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DC05A7E" id="Metin Kutusu 3" o:spid="_x0000_s1030" type="#_x0000_t202" style="position:absolute;left:0;text-align:left;margin-left:169.85pt;margin-top:15.8pt;width:120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jLWQIAAJ4EAAAOAAAAZHJzL2Uyb0RvYy54bWysVF1P2zAUfZ+0/2D5fSQNLYOKFHWgTtMY&#10;IMHEs+s4NJLj69lOk+7X79hpgbE9TeuDe+37fc69Ob8YWs22yvmGTMknRzlnykiqGvNU8u8Pqw+n&#10;nPkgTCU0GVXynfL8YvH+3Xlv56qgDelKOYYgxs97W/JNCHaeZV5uVCv8EVlloKzJtSLg6p6yyoke&#10;0VudFXl+kvXkKutIKu/xejUq+SLFr2slw21dexWYLjlqC+l06VzHM1uci/mTE3bTyH0Z4h+qaEVj&#10;kPQ51JUIgnWu+SNU20hHnupwJKnNqK4bqVIP6GaSv+nmfiOsSr0AHG+fYfL/L6y82d451lTgLi/O&#10;8uNZUUw5M6IFV99UaAz72oXOd+w4QtVbP4fHvYVPGD7RALfDu8djRGCoXRv/0RuDHqDvnoFWQ2Ay&#10;Os2KaZ5DJaErTmcfZ4mJ7MXbOh8+K2pZFEruQGTCV2yvfUAlMD2YxGSedFOtGq3TZecvtWNbAc4x&#10;KhX1nGnhAx5Lvkq/WDRC/OamDetLfnKMWmIUQzHeaKcNzGPzY5NRCsN6SLhNDwCsqdoBF0fjkHkr&#10;Vw2Kv0bmO+EwVegXmxJucdSakIv2Emcbcj//9h7tQTa0nPWY0pL7H51wCg19MRiDs8l0Gsc6Xaaz&#10;jwUu7rVm/VpjuvaSAMoEO2llEqN90AexdtQ+YqGWMStUwkjkLnk4iJdh3B0spFTLZTLCIFsRrs29&#10;lTF0xC5S8zA8Cmf3/AUwf0OHeRbzNzSOtiPqyy5Q3SSOI84jqnv4sQSJt/3Cxi17fU9WL5+VxS8A&#10;AAD//wMAUEsDBBQABgAIAAAAIQBgLfXS4AAAAAkBAAAPAAAAZHJzL2Rvd25yZXYueG1sTI9NS8NA&#10;EIbvgv9hGcGb3dRiojGbIqJooaEaBa/b7JhEs7Mhu21if73Tk97m4+GdZ7LlZDuxx8G3jhTMZxEI&#10;pMqZlmoF72+PF9cgfNBkdOcIFfygh2V+epLp1LiRXnFfhlpwCPlUK2hC6FMpfdWg1X7meiTefbrB&#10;6sDtUEsz6JHDbScvoyiWVrfEFxrd432D1Xe5swo+xvJp2KxWXy/9c3HYHMpijQ+FUudn090tiIBT&#10;+IPhqM/qkLPT1u3IeNEpWCxuEka5mMcgGLhKjoOtgiSOQeaZ/P9B/gsAAP//AwBQSwECLQAUAAYA&#10;CAAAACEAtoM4kv4AAADhAQAAEwAAAAAAAAAAAAAAAAAAAAAAW0NvbnRlbnRfVHlwZXNdLnhtbFBL&#10;AQItABQABgAIAAAAIQA4/SH/1gAAAJQBAAALAAAAAAAAAAAAAAAAAC8BAABfcmVscy8ucmVsc1BL&#10;AQItABQABgAIAAAAIQDjYyjLWQIAAJ4EAAAOAAAAAAAAAAAAAAAAAC4CAABkcnMvZTJvRG9jLnht&#10;bFBLAQItABQABgAIAAAAIQBgLfXS4AAAAAkBAAAPAAAAAAAAAAAAAAAAALMEAABkcnMvZG93bnJl&#10;di54bWxQSwUGAAAAAAQABADzAAAAwAUAAAAA&#10;" fillcolor="window" stroked="f" strokeweight=".5pt">
                <v:textbox>
                  <w:txbxContent>
                    <w:p w14:paraId="18D3B4BF" w14:textId="77777777" w:rsidR="001F6155" w:rsidRPr="008C12BE" w:rsidRDefault="001F6155" w:rsidP="002A7065">
                      <w:pPr>
                        <w:pStyle w:val="AralkYok"/>
                        <w:jc w:val="center"/>
                        <w:rPr>
                          <w:b/>
                          <w:bCs/>
                          <w:sz w:val="18"/>
                          <w:szCs w:val="18"/>
                        </w:rPr>
                      </w:pPr>
                      <w:r w:rsidRPr="008C12BE">
                        <w:rPr>
                          <w:b/>
                          <w:bCs/>
                          <w:sz w:val="18"/>
                          <w:szCs w:val="18"/>
                        </w:rPr>
                        <w:t>Sakarya (11th Rank)</w:t>
                      </w:r>
                    </w:p>
                  </w:txbxContent>
                </v:textbox>
              </v:shape>
            </w:pict>
          </mc:Fallback>
        </mc:AlternateContent>
      </w:r>
      <w:r w:rsidRPr="00175D8B">
        <w:rPr>
          <w:rFonts w:eastAsia="Aptos" w:cs="Aptos"/>
          <w:i/>
          <w:noProof/>
          <w:color w:val="000000"/>
          <w:sz w:val="20"/>
          <w:szCs w:val="20"/>
          <w:lang w:val="tr-TR" w:eastAsia="tr-TR"/>
        </w:rPr>
        <mc:AlternateContent>
          <mc:Choice Requires="wps">
            <w:drawing>
              <wp:anchor distT="0" distB="0" distL="114300" distR="114300" simplePos="0" relativeHeight="251689984" behindDoc="0" locked="0" layoutInCell="1" allowOverlap="1" wp14:anchorId="1C4E51AE" wp14:editId="14C2B535">
                <wp:simplePos x="0" y="0"/>
                <wp:positionH relativeFrom="column">
                  <wp:posOffset>1654175</wp:posOffset>
                </wp:positionH>
                <wp:positionV relativeFrom="paragraph">
                  <wp:posOffset>2997200</wp:posOffset>
                </wp:positionV>
                <wp:extent cx="1177925" cy="228600"/>
                <wp:effectExtent l="0" t="0" r="3175" b="0"/>
                <wp:wrapNone/>
                <wp:docPr id="720462162" name="Metin Kutusu 4"/>
                <wp:cNvGraphicFramePr/>
                <a:graphic xmlns:a="http://schemas.openxmlformats.org/drawingml/2006/main">
                  <a:graphicData uri="http://schemas.microsoft.com/office/word/2010/wordprocessingShape">
                    <wps:wsp>
                      <wps:cNvSpPr txBox="1"/>
                      <wps:spPr>
                        <a:xfrm>
                          <a:off x="0" y="0"/>
                          <a:ext cx="1177925" cy="228600"/>
                        </a:xfrm>
                        <a:prstGeom prst="rect">
                          <a:avLst/>
                        </a:prstGeom>
                        <a:solidFill>
                          <a:sysClr val="window" lastClr="FFFFFF"/>
                        </a:solidFill>
                        <a:ln w="6350">
                          <a:noFill/>
                        </a:ln>
                      </wps:spPr>
                      <wps:txbx>
                        <w:txbxContent>
                          <w:p w14:paraId="3EBE4565" w14:textId="77777777" w:rsidR="001F6155" w:rsidRPr="002550A6" w:rsidRDefault="001F6155" w:rsidP="002A7065">
                            <w:pPr>
                              <w:pStyle w:val="AralkYok"/>
                              <w:jc w:val="left"/>
                              <w:rPr>
                                <w:sz w:val="20"/>
                                <w:szCs w:val="20"/>
                              </w:rPr>
                            </w:pPr>
                            <w:r w:rsidRPr="002550A6">
                              <w:rPr>
                                <w:sz w:val="20"/>
                                <w:szCs w:val="20"/>
                              </w:rPr>
                              <w:t>Sub-dimension Rankings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C4E51AE" id="Metin Kutusu 4" o:spid="_x0000_s1031" type="#_x0000_t202" style="position:absolute;left:0;text-align:left;margin-left:130.25pt;margin-top:236pt;width:92.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AwWgIAAJ0EAAAOAAAAZHJzL2Uyb0RvYy54bWysVEuP2jAQvlfqf7B8Lwkpj11EWFFWVFXp&#10;7kpstWfjOGDJ8bi2Q0J/fccOYem2p6oczNjz/r6ZzO/aSpGjsE6CzulwkFIiNIdC6n1Ovz+vP9xQ&#10;4jzTBVOgRU5PwtG7xft388bMRAYHUIWwBINoN2tMTg/em1mSOH4QFXMDMEKjsgRbMY9Xu08KyxqM&#10;XqkkS9NJ0oAtjAUunMPX+05JFzF+WQruH8vSCU9UTrE2H08bz104k8WczfaWmYPk5zLYP1RRMakx&#10;6SXUPfOM1Fb+EaqS3IKD0g84VAmUpeQi9oDdDNM33WwPzIjYC4LjzAUm9//C8ofjkyWyyOk0S0eT&#10;bDjJKNGsQqq+CS81+Vr72tVkFJBqjJuhw9agi28/QYuM9+8OHwMAbWmr8I+tEdQj5qcLzqL1hAen&#10;4XR6m40p4ajLsptJGolIXr2Ndf6zgIoEIacWeYzwsuPGeawETXuTkMyBksVaKhUvJ7dSlhwZUo6T&#10;UkBDiWLO42NO1/EXisYQv7kpTZqcTj6O05hJQ4jX2SmN5qH5rskg+XbXRtjGPQA7KE6Ii4Vuxpzh&#10;a4nFbzDzE7M4VAgFLop/xKNUgLngLFFyAPvzb+/BHrlGLSUNDmlO3Y+aWYENfdE4BbfD0ShMdbyM&#10;xkghJfZas7vW6LpaAYIyxJU0PIrB3qteLC1UL7hPy5AVVUxzzJ1T34sr360O7iMXy2U0wjk2zG/0&#10;1vAQOjAQqHluX5g1Z/48Mv8A/Tiz2RsaO9vgqWFZeyhl5Djg3KF6hh93IPJ23tewZNf3aPX6VVn8&#10;AgAA//8DAFBLAwQUAAYACAAAACEA0Mc0reIAAAALAQAADwAAAGRycy9kb3ducmV2LnhtbEyPwUrE&#10;MBCG74LvEEbw5iaWbl1q00VE0QXLahW8ZpuxrTZJSbLbuk/veNLbDPPxz/cX69kM7IA+9M5KuFwI&#10;YGgbp3vbSnh7vb9YAQtRWa0GZ1HCNwZYl6cnhcq1m+wLHurYMgqxIVcSuhjHnPPQdGhUWLgRLd0+&#10;nDcq0upbrr2aKNwMPBEi40b1lj50asTbDpuvem8kvE/1g99uNp/P42N13B7r6gnvKinPz+aba2AR&#10;5/gHw68+qUNJTju3tzqwQUKSiSWhEtKrhEoRkaYZDTsJS7ESwMuC/+9Q/gAAAP//AwBQSwECLQAU&#10;AAYACAAAACEAtoM4kv4AAADhAQAAEwAAAAAAAAAAAAAAAAAAAAAAW0NvbnRlbnRfVHlwZXNdLnht&#10;bFBLAQItABQABgAIAAAAIQA4/SH/1gAAAJQBAAALAAAAAAAAAAAAAAAAAC8BAABfcmVscy8ucmVs&#10;c1BLAQItABQABgAIAAAAIQARvyAwWgIAAJ0EAAAOAAAAAAAAAAAAAAAAAC4CAABkcnMvZTJvRG9j&#10;LnhtbFBLAQItABQABgAIAAAAIQDQxzSt4gAAAAsBAAAPAAAAAAAAAAAAAAAAALQEAABkcnMvZG93&#10;bnJldi54bWxQSwUGAAAAAAQABADzAAAAwwUAAAAA&#10;" fillcolor="window" stroked="f" strokeweight=".5pt">
                <v:textbox>
                  <w:txbxContent>
                    <w:p w14:paraId="3EBE4565" w14:textId="77777777" w:rsidR="001F6155" w:rsidRPr="002550A6" w:rsidRDefault="001F6155" w:rsidP="002A7065">
                      <w:pPr>
                        <w:pStyle w:val="AralkYok"/>
                        <w:jc w:val="left"/>
                        <w:rPr>
                          <w:sz w:val="20"/>
                          <w:szCs w:val="20"/>
                        </w:rPr>
                      </w:pPr>
                      <w:r w:rsidRPr="002550A6">
                        <w:rPr>
                          <w:sz w:val="20"/>
                          <w:szCs w:val="20"/>
                        </w:rPr>
                        <w:t>Sub-dimension Rankings</w:t>
                      </w:r>
                    </w:p>
                  </w:txbxContent>
                </v:textbox>
              </v:shape>
            </w:pict>
          </mc:Fallback>
        </mc:AlternateContent>
      </w:r>
      <w:r w:rsidRPr="00175D8B">
        <w:rPr>
          <w:rFonts w:eastAsia="Aptos" w:cs="Aptos"/>
          <w:i/>
          <w:noProof/>
          <w:color w:val="000000"/>
          <w:sz w:val="20"/>
          <w:szCs w:val="20"/>
          <w:lang w:val="tr-TR" w:eastAsia="tr-TR"/>
        </w:rPr>
        <mc:AlternateContent>
          <mc:Choice Requires="wps">
            <w:drawing>
              <wp:anchor distT="0" distB="0" distL="114300" distR="114300" simplePos="0" relativeHeight="251691008" behindDoc="0" locked="0" layoutInCell="1" allowOverlap="1" wp14:anchorId="3FBE2DA7" wp14:editId="080A0CD3">
                <wp:simplePos x="0" y="0"/>
                <wp:positionH relativeFrom="column">
                  <wp:posOffset>3347720</wp:posOffset>
                </wp:positionH>
                <wp:positionV relativeFrom="paragraph">
                  <wp:posOffset>2981325</wp:posOffset>
                </wp:positionV>
                <wp:extent cx="1343025" cy="228600"/>
                <wp:effectExtent l="0" t="0" r="9525" b="0"/>
                <wp:wrapNone/>
                <wp:docPr id="1157567888" name="Metin Kutusu 4"/>
                <wp:cNvGraphicFramePr/>
                <a:graphic xmlns:a="http://schemas.openxmlformats.org/drawingml/2006/main">
                  <a:graphicData uri="http://schemas.microsoft.com/office/word/2010/wordprocessingShape">
                    <wps:wsp>
                      <wps:cNvSpPr txBox="1"/>
                      <wps:spPr>
                        <a:xfrm>
                          <a:off x="0" y="0"/>
                          <a:ext cx="1343025" cy="228600"/>
                        </a:xfrm>
                        <a:prstGeom prst="rect">
                          <a:avLst/>
                        </a:prstGeom>
                        <a:solidFill>
                          <a:sysClr val="window" lastClr="FFFFFF"/>
                        </a:solidFill>
                        <a:ln w="6350">
                          <a:noFill/>
                        </a:ln>
                      </wps:spPr>
                      <wps:txbx>
                        <w:txbxContent>
                          <w:p w14:paraId="13B1A536" w14:textId="77B2C6D2" w:rsidR="001F6155" w:rsidRPr="002550A6" w:rsidRDefault="001F6155" w:rsidP="002A7065">
                            <w:pPr>
                              <w:pStyle w:val="AralkYok"/>
                              <w:rPr>
                                <w:sz w:val="20"/>
                                <w:szCs w:val="20"/>
                              </w:rPr>
                            </w:pPr>
                            <w:r w:rsidRPr="002550A6">
                              <w:rPr>
                                <w:sz w:val="20"/>
                                <w:szCs w:val="20"/>
                              </w:rPr>
                              <w:t>SE-GE 2025 Rank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FBE2DA7" id="_x0000_s1032" type="#_x0000_t202" style="position:absolute;left:0;text-align:left;margin-left:263.6pt;margin-top:234.75pt;width:105.7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9ycWwIAAJ4EAAAOAAAAZHJzL2Uyb0RvYy54bWysVF1P2zAUfZ+0/2D5fSQtbekqUtSBOk1j&#10;gAQTz67j0EiOr2c7Tbpfv2OnBcb2NK0P7rXv9zn35vyibzTbKedrMgUfneScKSOprM1Twb8/rD/M&#10;OfNBmFJoMqrge+X5xfL9u/POLtSYtqRL5RiCGL/obMG3IdhFlnm5VY3wJ2SVgbIi14iAq3vKSic6&#10;RG90Ns7zWdaRK60jqbzH69Wg5MsUv6qUDLdV5VVguuCoLaTTpXMTz2x5LhZPTthtLQ9liH+oohG1&#10;QdLnUFciCNa6+o9QTS0dearCiaQmo6qqpUo9oJtR/qab+62wKvUCcLx9hsn/v7DyZnfnWF2Cu9H0&#10;bDo7m8/BmBENuPqmQm3Y1za0vmWTCFVn/QIe9xY+of9EPdyO7x6PEYG+ck38R28MeoC+fwZa9YHJ&#10;6HQ6Oc3HU84kdOPxfJYnJrIXb+t8+KyoYVEouAORCV+xu/YBlcD0aBKTedJ1ua61Tpe9v9SO7QQ4&#10;x6iU1HGmhQ94LPg6/WLRCPGbmzasK/jsdJqnTIZivMFOG5jH5ocmoxT6TZ9wmx0B2FC5By6OhiHz&#10;Vq5rFH+NzHfCYaoABTYl3OKoNCEXHSTOtuR+/u092oNsaDnrMKUF9z9a4RQa+mIwBh9Hk0kc63SZ&#10;TM/GuLjXms1rjWmbSwIoI+yklUmM9kEfxcpR84iFWsWsUAkjkbvg4ShehmF3sJBSrVbJCINsRbg2&#10;91bG0JGBSM1D/yicPfAXwPwNHedZLN7QONhGT0OrNlBVJ44jzgOqB/ixBIm3w8LGLXt9T1Yvn5Xl&#10;LwAAAP//AwBQSwMEFAAGAAgAAAAhAFUKTG/jAAAACwEAAA8AAABkcnMvZG93bnJldi54bWxMj8FO&#10;wzAQRO9I/IO1SNyoQyBNCXEqhEBQiahtQOLqxksSiNeR7TahX485wXE1TzNv8+Wke3ZA6zpDAi5n&#10;ETCk2qiOGgFvr48XC2DOS1KyN4QCvtHBsjg9yWWmzEhbPFS+YaGEXCYFtN4PGeeublFLNzMDUsg+&#10;jNXSh9M2XFk5hnLd8ziK5lzLjsJCKwe8b7H+qvZawPtYPdn1avW5GZ7L4/pYlS/4UApxfjbd3QLz&#10;OPk/GH71gzoUwWln9qQc6wUkcRoHVMD1/CYBFoj0apEC24UoShLgRc7//1D8AAAA//8DAFBLAQIt&#10;ABQABgAIAAAAIQC2gziS/gAAAOEBAAATAAAAAAAAAAAAAAAAAAAAAABbQ29udGVudF9UeXBlc10u&#10;eG1sUEsBAi0AFAAGAAgAAAAhADj9If/WAAAAlAEAAAsAAAAAAAAAAAAAAAAALwEAAF9yZWxzLy5y&#10;ZWxzUEsBAi0AFAAGAAgAAAAhADrL3JxbAgAAngQAAA4AAAAAAAAAAAAAAAAALgIAAGRycy9lMm9E&#10;b2MueG1sUEsBAi0AFAAGAAgAAAAhAFUKTG/jAAAACwEAAA8AAAAAAAAAAAAAAAAAtQQAAGRycy9k&#10;b3ducmV2LnhtbFBLBQYAAAAABAAEAPMAAADFBQAAAAA=&#10;" fillcolor="window" stroked="f" strokeweight=".5pt">
                <v:textbox>
                  <w:txbxContent>
                    <w:p w14:paraId="13B1A536" w14:textId="77B2C6D2" w:rsidR="001F6155" w:rsidRPr="002550A6" w:rsidRDefault="001F6155" w:rsidP="002A7065">
                      <w:pPr>
                        <w:pStyle w:val="AralkYok"/>
                        <w:rPr>
                          <w:sz w:val="20"/>
                          <w:szCs w:val="20"/>
                        </w:rPr>
                      </w:pPr>
                      <w:r w:rsidRPr="002550A6">
                        <w:rPr>
                          <w:sz w:val="20"/>
                          <w:szCs w:val="20"/>
                        </w:rPr>
                        <w:t>SE-GE 2025 Rank</w:t>
                      </w:r>
                    </w:p>
                  </w:txbxContent>
                </v:textbox>
              </v:shape>
            </w:pict>
          </mc:Fallback>
        </mc:AlternateContent>
      </w:r>
      <w:r w:rsidR="001511D0" w:rsidRPr="00175D8B">
        <w:rPr>
          <w:noProof/>
          <w:lang w:val="tr-TR" w:eastAsia="tr-TR"/>
        </w:rPr>
        <w:drawing>
          <wp:inline distT="0" distB="0" distL="0" distR="0" wp14:anchorId="126AF1F8" wp14:editId="4ED2FDE1">
            <wp:extent cx="4318140" cy="3343653"/>
            <wp:effectExtent l="0" t="0" r="635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anayi.gov.tr/assets/img/sege/Sakarya.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318140" cy="3343653"/>
                    </a:xfrm>
                    <a:prstGeom prst="rect">
                      <a:avLst/>
                    </a:prstGeom>
                    <a:noFill/>
                    <a:ln>
                      <a:noFill/>
                    </a:ln>
                  </pic:spPr>
                </pic:pic>
              </a:graphicData>
            </a:graphic>
          </wp:inline>
        </w:drawing>
      </w:r>
    </w:p>
    <w:p w14:paraId="1A0BD291" w14:textId="3769FB91" w:rsidR="002A7065" w:rsidRPr="00175D8B" w:rsidRDefault="002A7065" w:rsidP="002A7065">
      <w:pPr>
        <w:spacing w:before="120" w:after="0" w:line="278" w:lineRule="auto"/>
        <w:jc w:val="center"/>
        <w:rPr>
          <w:rFonts w:eastAsia="Aptos" w:cs="Aptos"/>
          <w:i/>
          <w:iCs/>
          <w:color w:val="000000" w:themeColor="text1"/>
          <w:sz w:val="18"/>
          <w:szCs w:val="18"/>
        </w:rPr>
      </w:pPr>
      <w:r w:rsidRPr="00175D8B">
        <w:rPr>
          <w:rFonts w:eastAsia="Aptos" w:cs="Aptos"/>
          <w:b/>
          <w:bCs/>
          <w:i/>
          <w:iCs/>
          <w:color w:val="000000" w:themeColor="text1"/>
          <w:sz w:val="18"/>
          <w:szCs w:val="18"/>
        </w:rPr>
        <w:t>Source:</w:t>
      </w:r>
      <w:r w:rsidRPr="00175D8B">
        <w:rPr>
          <w:rFonts w:eastAsia="Aptos" w:cs="Aptos"/>
          <w:i/>
          <w:iCs/>
          <w:color w:val="000000" w:themeColor="text1"/>
          <w:sz w:val="18"/>
          <w:szCs w:val="18"/>
        </w:rPr>
        <w:t xml:space="preserve"> Republic of Türkiye Ministry of Industry and Technology, General Directorate of Development Agencies. SEGE Studies, 20</w:t>
      </w:r>
      <w:r w:rsidR="00880261" w:rsidRPr="00175D8B">
        <w:rPr>
          <w:rFonts w:eastAsia="Aptos" w:cs="Aptos"/>
          <w:i/>
          <w:iCs/>
          <w:color w:val="000000" w:themeColor="text1"/>
          <w:sz w:val="18"/>
          <w:szCs w:val="18"/>
        </w:rPr>
        <w:t>25</w:t>
      </w:r>
      <w:r w:rsidRPr="00175D8B">
        <w:rPr>
          <w:rFonts w:eastAsia="Aptos" w:cs="Aptos"/>
          <w:i/>
          <w:iCs/>
          <w:color w:val="000000" w:themeColor="text1"/>
          <w:sz w:val="18"/>
          <w:szCs w:val="18"/>
        </w:rPr>
        <w:t>.</w:t>
      </w:r>
    </w:p>
    <w:p w14:paraId="2B8077B6" w14:textId="77777777" w:rsidR="002A7065" w:rsidRPr="00175D8B" w:rsidRDefault="002A7065" w:rsidP="00F0115E"/>
    <w:p w14:paraId="6CBCF7D1" w14:textId="3F892D19" w:rsidR="00F0115E" w:rsidRPr="00175D8B" w:rsidRDefault="002A7065" w:rsidP="00F0115E">
      <w:r w:rsidRPr="00175D8B">
        <w:t>It is seen that the developed provinces in the second tier</w:t>
      </w:r>
      <w:r w:rsidR="00946449" w:rsidRPr="00175D8B">
        <w:rPr>
          <w:rStyle w:val="DipnotBavurusu"/>
        </w:rPr>
        <w:footnoteReference w:id="15"/>
      </w:r>
      <w:r w:rsidRPr="00175D8B">
        <w:t xml:space="preserve">  have created an important center of attraction at the regional level and create positive economic and social effects for the less developed provinces around them.</w:t>
      </w:r>
    </w:p>
    <w:p w14:paraId="3E9086B7" w14:textId="77E4BB7F" w:rsidR="00B1794C" w:rsidRPr="00175D8B" w:rsidRDefault="00B1794C" w:rsidP="00F0115E">
      <w:r w:rsidRPr="00175D8B">
        <w:t>According to the SEGE-2025 study conducted by the Ministry of Industry and Technology, Sakarya Province ranks 1</w:t>
      </w:r>
      <w:r w:rsidR="003253B3" w:rsidRPr="00175D8B">
        <w:t>2</w:t>
      </w:r>
      <w:r w:rsidRPr="00175D8B">
        <w:t>th nationwide in Türkiye. When assessed across seven sub-dimensions, the province ranks 12th in demography, 18th in quality of life, 38th in healthcare, 10th in employment, 23rd in education, 23rd in fiscal capacity, 12th in accessibility, and 13th in competitiveness and innovation capacity.</w:t>
      </w:r>
    </w:p>
    <w:p w14:paraId="51242292" w14:textId="3443718F" w:rsidR="00581D6A" w:rsidRPr="00175D8B" w:rsidRDefault="00581D6A" w:rsidP="006C58C5">
      <w:pPr>
        <w:pStyle w:val="ResimYazs"/>
        <w:keepNext/>
        <w:jc w:val="center"/>
      </w:pPr>
      <w:bookmarkStart w:id="205" w:name="_Toc216344432"/>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15</w:t>
      </w:r>
      <w:r w:rsidRPr="006C58C5">
        <w:rPr>
          <w:b/>
          <w:bCs/>
        </w:rPr>
        <w:fldChar w:fldCharType="end"/>
      </w:r>
      <w:r w:rsidRPr="006C58C5">
        <w:rPr>
          <w:b/>
          <w:bCs/>
        </w:rPr>
        <w:t>:</w:t>
      </w:r>
      <w:r w:rsidRPr="00175D8B">
        <w:t xml:space="preserve"> </w:t>
      </w:r>
      <w:r w:rsidRPr="00175D8B">
        <w:rPr>
          <w:rFonts w:eastAsia="Aptos" w:cs="Aptos"/>
          <w:color w:val="000000"/>
          <w:szCs w:val="20"/>
        </w:rPr>
        <w:t>Socioeconomic Development Ranking of Sakarya Districts</w:t>
      </w:r>
      <w:bookmarkEnd w:id="205"/>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8"/>
        <w:gridCol w:w="741"/>
        <w:gridCol w:w="794"/>
        <w:gridCol w:w="1005"/>
        <w:gridCol w:w="768"/>
        <w:gridCol w:w="794"/>
        <w:gridCol w:w="808"/>
        <w:gridCol w:w="847"/>
        <w:gridCol w:w="847"/>
        <w:gridCol w:w="860"/>
      </w:tblGrid>
      <w:tr w:rsidR="00020BC3" w:rsidRPr="00175D8B" w14:paraId="3F2FEEA2" w14:textId="77777777" w:rsidTr="00DF417A">
        <w:trPr>
          <w:trHeight w:val="255"/>
          <w:tblHeader/>
          <w:jc w:val="center"/>
        </w:trPr>
        <w:tc>
          <w:tcPr>
            <w:tcW w:w="1608" w:type="dxa"/>
            <w:vMerge w:val="restart"/>
            <w:shd w:val="clear" w:color="auto" w:fill="ABB7C1"/>
            <w:vAlign w:val="center"/>
          </w:tcPr>
          <w:p w14:paraId="5FCABDFF" w14:textId="77777777" w:rsidR="00020BC3" w:rsidRPr="00175D8B" w:rsidRDefault="00020BC3" w:rsidP="00020BC3">
            <w:pPr>
              <w:spacing w:before="120" w:after="0" w:line="240" w:lineRule="auto"/>
              <w:jc w:val="center"/>
              <w:rPr>
                <w:rFonts w:eastAsia="Aptos" w:cs="Aptos"/>
                <w:b/>
                <w:bCs/>
                <w:color w:val="000000" w:themeColor="text1"/>
                <w:sz w:val="20"/>
                <w:szCs w:val="20"/>
              </w:rPr>
            </w:pPr>
            <w:r w:rsidRPr="00175D8B">
              <w:rPr>
                <w:rFonts w:eastAsia="Aptos" w:cs="Aptos"/>
                <w:b/>
                <w:bCs/>
                <w:color w:val="000000" w:themeColor="text1"/>
                <w:sz w:val="20"/>
                <w:szCs w:val="20"/>
              </w:rPr>
              <w:t xml:space="preserve">District  </w:t>
            </w:r>
          </w:p>
        </w:tc>
        <w:tc>
          <w:tcPr>
            <w:tcW w:w="2540" w:type="dxa"/>
            <w:gridSpan w:val="3"/>
            <w:shd w:val="clear" w:color="auto" w:fill="ABB7C1"/>
            <w:vAlign w:val="center"/>
          </w:tcPr>
          <w:p w14:paraId="7FE7CC94" w14:textId="77777777" w:rsidR="00020BC3" w:rsidRPr="00175D8B" w:rsidRDefault="00020BC3" w:rsidP="00020BC3">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National Development Rank</w:t>
            </w:r>
          </w:p>
        </w:tc>
        <w:tc>
          <w:tcPr>
            <w:tcW w:w="2370" w:type="dxa"/>
            <w:gridSpan w:val="3"/>
            <w:shd w:val="clear" w:color="auto" w:fill="ABB7C1"/>
            <w:vAlign w:val="center"/>
          </w:tcPr>
          <w:p w14:paraId="7AA04E03" w14:textId="77777777" w:rsidR="00020BC3" w:rsidRPr="00175D8B" w:rsidRDefault="00020BC3" w:rsidP="00020BC3">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Development Order in Sakarya Province</w:t>
            </w:r>
          </w:p>
        </w:tc>
        <w:tc>
          <w:tcPr>
            <w:tcW w:w="2554" w:type="dxa"/>
            <w:gridSpan w:val="3"/>
            <w:shd w:val="clear" w:color="auto" w:fill="ABB7C1"/>
            <w:vAlign w:val="center"/>
          </w:tcPr>
          <w:p w14:paraId="72DDB9DB" w14:textId="77777777" w:rsidR="00020BC3" w:rsidRPr="00175D8B" w:rsidRDefault="00020BC3" w:rsidP="00020BC3">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Development Level</w:t>
            </w:r>
          </w:p>
        </w:tc>
      </w:tr>
      <w:tr w:rsidR="00020BC3" w:rsidRPr="00175D8B" w14:paraId="6F98A761" w14:textId="77777777" w:rsidTr="00DF417A">
        <w:trPr>
          <w:trHeight w:val="379"/>
          <w:tblHeader/>
          <w:jc w:val="center"/>
        </w:trPr>
        <w:tc>
          <w:tcPr>
            <w:tcW w:w="1608" w:type="dxa"/>
            <w:vMerge/>
            <w:vAlign w:val="center"/>
          </w:tcPr>
          <w:p w14:paraId="2CE2A23B" w14:textId="77777777" w:rsidR="00020BC3" w:rsidRPr="00175D8B" w:rsidRDefault="00020BC3" w:rsidP="00020BC3">
            <w:pPr>
              <w:widowControl w:val="0"/>
              <w:pBdr>
                <w:top w:val="nil"/>
                <w:left w:val="nil"/>
                <w:bottom w:val="nil"/>
                <w:right w:val="nil"/>
                <w:between w:val="nil"/>
              </w:pBdr>
              <w:spacing w:before="120" w:after="0" w:line="276" w:lineRule="auto"/>
              <w:jc w:val="center"/>
              <w:rPr>
                <w:rFonts w:eastAsia="Aptos" w:cs="Aptos"/>
                <w:b/>
                <w:color w:val="000000" w:themeColor="text1"/>
                <w:sz w:val="20"/>
                <w:szCs w:val="20"/>
              </w:rPr>
            </w:pPr>
          </w:p>
        </w:tc>
        <w:tc>
          <w:tcPr>
            <w:tcW w:w="741" w:type="dxa"/>
            <w:shd w:val="clear" w:color="auto" w:fill="ABB7C1"/>
            <w:vAlign w:val="center"/>
          </w:tcPr>
          <w:p w14:paraId="0D76820F" w14:textId="77777777" w:rsidR="00020BC3" w:rsidRPr="00175D8B" w:rsidRDefault="00020BC3" w:rsidP="00020BC3">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2004</w:t>
            </w:r>
          </w:p>
        </w:tc>
        <w:tc>
          <w:tcPr>
            <w:tcW w:w="794" w:type="dxa"/>
            <w:shd w:val="clear" w:color="auto" w:fill="ABB7C1"/>
            <w:vAlign w:val="center"/>
          </w:tcPr>
          <w:p w14:paraId="16683E03" w14:textId="77777777" w:rsidR="00020BC3" w:rsidRPr="00175D8B" w:rsidRDefault="00020BC3" w:rsidP="00020BC3">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2017</w:t>
            </w:r>
          </w:p>
        </w:tc>
        <w:tc>
          <w:tcPr>
            <w:tcW w:w="1005" w:type="dxa"/>
            <w:shd w:val="clear" w:color="auto" w:fill="ABB7C1"/>
            <w:vAlign w:val="center"/>
          </w:tcPr>
          <w:p w14:paraId="381FB449" w14:textId="77777777" w:rsidR="00020BC3" w:rsidRPr="00175D8B" w:rsidRDefault="00020BC3" w:rsidP="00020BC3">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2022</w:t>
            </w:r>
          </w:p>
        </w:tc>
        <w:tc>
          <w:tcPr>
            <w:tcW w:w="768" w:type="dxa"/>
            <w:shd w:val="clear" w:color="auto" w:fill="ABB7C1"/>
            <w:vAlign w:val="center"/>
          </w:tcPr>
          <w:p w14:paraId="33541B07" w14:textId="77777777" w:rsidR="00020BC3" w:rsidRPr="00175D8B" w:rsidRDefault="00020BC3" w:rsidP="00020BC3">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2004</w:t>
            </w:r>
          </w:p>
        </w:tc>
        <w:tc>
          <w:tcPr>
            <w:tcW w:w="794" w:type="dxa"/>
            <w:shd w:val="clear" w:color="auto" w:fill="ABB7C1"/>
            <w:vAlign w:val="center"/>
          </w:tcPr>
          <w:p w14:paraId="3C9DB276" w14:textId="77777777" w:rsidR="00020BC3" w:rsidRPr="00175D8B" w:rsidRDefault="00020BC3" w:rsidP="00020BC3">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2017</w:t>
            </w:r>
          </w:p>
        </w:tc>
        <w:tc>
          <w:tcPr>
            <w:tcW w:w="808" w:type="dxa"/>
            <w:shd w:val="clear" w:color="auto" w:fill="ABB7C1"/>
            <w:vAlign w:val="center"/>
          </w:tcPr>
          <w:p w14:paraId="08D42752" w14:textId="77777777" w:rsidR="00020BC3" w:rsidRPr="00175D8B" w:rsidRDefault="00020BC3" w:rsidP="00020BC3">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2022</w:t>
            </w:r>
          </w:p>
        </w:tc>
        <w:tc>
          <w:tcPr>
            <w:tcW w:w="847" w:type="dxa"/>
            <w:shd w:val="clear" w:color="auto" w:fill="ABB7C1"/>
            <w:vAlign w:val="center"/>
          </w:tcPr>
          <w:p w14:paraId="4DF52F15" w14:textId="77777777" w:rsidR="00020BC3" w:rsidRPr="00175D8B" w:rsidRDefault="00020BC3" w:rsidP="00020BC3">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2004</w:t>
            </w:r>
          </w:p>
        </w:tc>
        <w:tc>
          <w:tcPr>
            <w:tcW w:w="847" w:type="dxa"/>
            <w:shd w:val="clear" w:color="auto" w:fill="ABB7C1"/>
            <w:vAlign w:val="center"/>
          </w:tcPr>
          <w:p w14:paraId="521C1E9B" w14:textId="77777777" w:rsidR="00020BC3" w:rsidRPr="00175D8B" w:rsidRDefault="00020BC3" w:rsidP="00020BC3">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2017</w:t>
            </w:r>
          </w:p>
        </w:tc>
        <w:tc>
          <w:tcPr>
            <w:tcW w:w="860" w:type="dxa"/>
            <w:shd w:val="clear" w:color="auto" w:fill="ABB7C1"/>
            <w:vAlign w:val="center"/>
          </w:tcPr>
          <w:p w14:paraId="1BCF0251" w14:textId="77777777" w:rsidR="00020BC3" w:rsidRPr="00175D8B" w:rsidRDefault="00020BC3" w:rsidP="00020BC3">
            <w:pPr>
              <w:spacing w:before="120"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2022</w:t>
            </w:r>
          </w:p>
        </w:tc>
      </w:tr>
      <w:tr w:rsidR="00020BC3" w:rsidRPr="00175D8B" w14:paraId="77223D86" w14:textId="77777777" w:rsidTr="00DF417A">
        <w:trPr>
          <w:trHeight w:val="25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4E5A18CB"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Serdivan</w:t>
            </w:r>
          </w:p>
        </w:tc>
        <w:tc>
          <w:tcPr>
            <w:tcW w:w="74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175F497"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53544AF"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145</w:t>
            </w:r>
          </w:p>
        </w:tc>
        <w:tc>
          <w:tcPr>
            <w:tcW w:w="1005"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798C2EA"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77</w:t>
            </w:r>
          </w:p>
        </w:tc>
        <w:tc>
          <w:tcPr>
            <w:tcW w:w="76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A7A86F1"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9978FD0"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w:t>
            </w:r>
          </w:p>
        </w:tc>
        <w:tc>
          <w:tcPr>
            <w:tcW w:w="80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674E440"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D651BE2"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AEB5C28"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w:t>
            </w:r>
          </w:p>
        </w:tc>
        <w:tc>
          <w:tcPr>
            <w:tcW w:w="8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23B4711"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w:t>
            </w:r>
          </w:p>
        </w:tc>
      </w:tr>
      <w:tr w:rsidR="00020BC3" w:rsidRPr="00175D8B" w14:paraId="1B897330" w14:textId="77777777" w:rsidTr="00DF417A">
        <w:trPr>
          <w:trHeight w:val="25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779F4286"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Adapazarı</w:t>
            </w:r>
          </w:p>
        </w:tc>
        <w:tc>
          <w:tcPr>
            <w:tcW w:w="74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3C810D5"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D3A827D"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152</w:t>
            </w:r>
          </w:p>
        </w:tc>
        <w:tc>
          <w:tcPr>
            <w:tcW w:w="1005"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8ACB758"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87</w:t>
            </w:r>
          </w:p>
        </w:tc>
        <w:tc>
          <w:tcPr>
            <w:tcW w:w="76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502A52D"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1879301"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w:t>
            </w:r>
          </w:p>
        </w:tc>
        <w:tc>
          <w:tcPr>
            <w:tcW w:w="80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91F572C"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25FE33D"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39D741A"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w:t>
            </w:r>
          </w:p>
        </w:tc>
        <w:tc>
          <w:tcPr>
            <w:tcW w:w="8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A7BD43A"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w:t>
            </w:r>
          </w:p>
        </w:tc>
      </w:tr>
      <w:tr w:rsidR="00020BC3" w:rsidRPr="00175D8B" w14:paraId="169E6DFA" w14:textId="77777777" w:rsidTr="00DF417A">
        <w:trPr>
          <w:trHeight w:val="25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0314C22C"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Arifiye</w:t>
            </w:r>
          </w:p>
        </w:tc>
        <w:tc>
          <w:tcPr>
            <w:tcW w:w="74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E69BB45"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9422321"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190</w:t>
            </w:r>
          </w:p>
        </w:tc>
        <w:tc>
          <w:tcPr>
            <w:tcW w:w="1005"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94A8A66"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106</w:t>
            </w:r>
          </w:p>
        </w:tc>
        <w:tc>
          <w:tcPr>
            <w:tcW w:w="76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BAC23A1"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5DF9048"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w:t>
            </w:r>
          </w:p>
        </w:tc>
        <w:tc>
          <w:tcPr>
            <w:tcW w:w="80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CAF0E38"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2C1620B"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FDB28D1"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w:t>
            </w:r>
          </w:p>
        </w:tc>
        <w:tc>
          <w:tcPr>
            <w:tcW w:w="8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5B9DEA0"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w:t>
            </w:r>
          </w:p>
        </w:tc>
      </w:tr>
      <w:tr w:rsidR="00020BC3" w:rsidRPr="00175D8B" w14:paraId="4D194607" w14:textId="77777777" w:rsidTr="00DF417A">
        <w:trPr>
          <w:trHeight w:val="25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56EDDF18"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Sapanca</w:t>
            </w:r>
          </w:p>
        </w:tc>
        <w:tc>
          <w:tcPr>
            <w:tcW w:w="74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E947C4C"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17174FC"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222</w:t>
            </w:r>
          </w:p>
        </w:tc>
        <w:tc>
          <w:tcPr>
            <w:tcW w:w="1005"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8A1A750"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177</w:t>
            </w:r>
          </w:p>
        </w:tc>
        <w:tc>
          <w:tcPr>
            <w:tcW w:w="76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C9C71A5"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8C088A7"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w:t>
            </w:r>
          </w:p>
        </w:tc>
        <w:tc>
          <w:tcPr>
            <w:tcW w:w="80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D4753F9"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46D411C"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E67BE38"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w:t>
            </w:r>
          </w:p>
        </w:tc>
        <w:tc>
          <w:tcPr>
            <w:tcW w:w="8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CF92551"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w:t>
            </w:r>
          </w:p>
        </w:tc>
      </w:tr>
      <w:tr w:rsidR="00020BC3" w:rsidRPr="00175D8B" w14:paraId="320468BB" w14:textId="77777777" w:rsidTr="00DF417A">
        <w:trPr>
          <w:trHeight w:val="25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5DA05DD2"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Erenler</w:t>
            </w:r>
          </w:p>
        </w:tc>
        <w:tc>
          <w:tcPr>
            <w:tcW w:w="74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C3C34FA"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CC9460B"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234</w:t>
            </w:r>
          </w:p>
        </w:tc>
        <w:tc>
          <w:tcPr>
            <w:tcW w:w="1005"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090EB24"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179</w:t>
            </w:r>
          </w:p>
        </w:tc>
        <w:tc>
          <w:tcPr>
            <w:tcW w:w="76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2998112"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5F963D6"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5</w:t>
            </w:r>
          </w:p>
        </w:tc>
        <w:tc>
          <w:tcPr>
            <w:tcW w:w="80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B77C97C"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5</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D794B20"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143E37E"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w:t>
            </w:r>
          </w:p>
        </w:tc>
        <w:tc>
          <w:tcPr>
            <w:tcW w:w="8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47B1C95"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w:t>
            </w:r>
          </w:p>
        </w:tc>
      </w:tr>
      <w:tr w:rsidR="00020BC3" w:rsidRPr="00175D8B" w14:paraId="4CD45B4B" w14:textId="77777777" w:rsidTr="00DF417A">
        <w:trPr>
          <w:trHeight w:val="25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6E329749"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Ditch</w:t>
            </w:r>
          </w:p>
        </w:tc>
        <w:tc>
          <w:tcPr>
            <w:tcW w:w="74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5E2C50E"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7AE758B"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215</w:t>
            </w:r>
          </w:p>
        </w:tc>
        <w:tc>
          <w:tcPr>
            <w:tcW w:w="1005"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AE0059A"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253</w:t>
            </w:r>
          </w:p>
        </w:tc>
        <w:tc>
          <w:tcPr>
            <w:tcW w:w="76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F43AFF4"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2C1D04D"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6</w:t>
            </w:r>
          </w:p>
        </w:tc>
        <w:tc>
          <w:tcPr>
            <w:tcW w:w="80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060D757"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6</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E31F561"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D9F5CBC"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w:t>
            </w:r>
          </w:p>
        </w:tc>
        <w:tc>
          <w:tcPr>
            <w:tcW w:w="8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5B5719C"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w:t>
            </w:r>
          </w:p>
        </w:tc>
      </w:tr>
      <w:tr w:rsidR="00020BC3" w:rsidRPr="00175D8B" w14:paraId="7B08A429" w14:textId="77777777" w:rsidTr="00DF417A">
        <w:trPr>
          <w:trHeight w:val="25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09BF1C33"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Akyazi</w:t>
            </w:r>
          </w:p>
        </w:tc>
        <w:tc>
          <w:tcPr>
            <w:tcW w:w="74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3A97CBD"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8231895"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237</w:t>
            </w:r>
          </w:p>
        </w:tc>
        <w:tc>
          <w:tcPr>
            <w:tcW w:w="1005"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572CF45"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288</w:t>
            </w:r>
          </w:p>
        </w:tc>
        <w:tc>
          <w:tcPr>
            <w:tcW w:w="76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08633F3"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783DFB8"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7</w:t>
            </w:r>
          </w:p>
        </w:tc>
        <w:tc>
          <w:tcPr>
            <w:tcW w:w="80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92A8C28"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7</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04FAD1B"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BB09EBB"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w:t>
            </w:r>
          </w:p>
        </w:tc>
        <w:tc>
          <w:tcPr>
            <w:tcW w:w="8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1C62F13"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w:t>
            </w:r>
          </w:p>
        </w:tc>
      </w:tr>
      <w:tr w:rsidR="00020BC3" w:rsidRPr="00175D8B" w14:paraId="599662D1" w14:textId="77777777" w:rsidTr="00DF417A">
        <w:trPr>
          <w:trHeight w:val="25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158EB9A9"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Pamukova</w:t>
            </w:r>
          </w:p>
        </w:tc>
        <w:tc>
          <w:tcPr>
            <w:tcW w:w="74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F7554E6"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346C07C"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273</w:t>
            </w:r>
          </w:p>
        </w:tc>
        <w:tc>
          <w:tcPr>
            <w:tcW w:w="1005"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C535971"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346</w:t>
            </w:r>
          </w:p>
        </w:tc>
        <w:tc>
          <w:tcPr>
            <w:tcW w:w="76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49B42C2"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35CC5F2"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8</w:t>
            </w:r>
          </w:p>
        </w:tc>
        <w:tc>
          <w:tcPr>
            <w:tcW w:w="80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922BAF7"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8</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46B7EDB"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AEE6B54"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w:t>
            </w:r>
          </w:p>
        </w:tc>
        <w:tc>
          <w:tcPr>
            <w:tcW w:w="8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7985233"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w:t>
            </w:r>
          </w:p>
        </w:tc>
      </w:tr>
      <w:tr w:rsidR="00020BC3" w:rsidRPr="00175D8B" w14:paraId="38A78F87" w14:textId="77777777" w:rsidTr="00DF417A">
        <w:trPr>
          <w:trHeight w:val="25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7959C22A"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Geyve</w:t>
            </w:r>
          </w:p>
        </w:tc>
        <w:tc>
          <w:tcPr>
            <w:tcW w:w="74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37AC816"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85AAD2A"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265</w:t>
            </w:r>
          </w:p>
        </w:tc>
        <w:tc>
          <w:tcPr>
            <w:tcW w:w="1005"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9B1EE6F"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355</w:t>
            </w:r>
          </w:p>
        </w:tc>
        <w:tc>
          <w:tcPr>
            <w:tcW w:w="76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A1511C8"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558105B"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9</w:t>
            </w:r>
          </w:p>
        </w:tc>
        <w:tc>
          <w:tcPr>
            <w:tcW w:w="80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E783FB5"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9</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630FBFD"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03FEEB4"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w:t>
            </w:r>
          </w:p>
        </w:tc>
        <w:tc>
          <w:tcPr>
            <w:tcW w:w="8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FB54869"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w:t>
            </w:r>
          </w:p>
        </w:tc>
      </w:tr>
      <w:tr w:rsidR="00020BC3" w:rsidRPr="00175D8B" w14:paraId="3F8F4C11" w14:textId="77777777" w:rsidTr="00DF417A">
        <w:trPr>
          <w:trHeight w:val="25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0F3A0E67"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Ferizli</w:t>
            </w:r>
          </w:p>
        </w:tc>
        <w:tc>
          <w:tcPr>
            <w:tcW w:w="74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1474F86"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7C293CE"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284</w:t>
            </w:r>
          </w:p>
        </w:tc>
        <w:tc>
          <w:tcPr>
            <w:tcW w:w="1005"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EAD34A8"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397</w:t>
            </w:r>
          </w:p>
        </w:tc>
        <w:tc>
          <w:tcPr>
            <w:tcW w:w="76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5C9DD4F"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C3BF617"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10</w:t>
            </w:r>
          </w:p>
        </w:tc>
        <w:tc>
          <w:tcPr>
            <w:tcW w:w="80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35CBAC1"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10</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7755542"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B5481F8"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w:t>
            </w:r>
          </w:p>
        </w:tc>
        <w:tc>
          <w:tcPr>
            <w:tcW w:w="8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40ADB63"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w:t>
            </w:r>
          </w:p>
        </w:tc>
      </w:tr>
      <w:tr w:rsidR="00020BC3" w:rsidRPr="00175D8B" w14:paraId="021575C0" w14:textId="77777777" w:rsidTr="00DF417A">
        <w:trPr>
          <w:trHeight w:val="25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7765FF9D"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Söğütlü</w:t>
            </w:r>
          </w:p>
        </w:tc>
        <w:tc>
          <w:tcPr>
            <w:tcW w:w="74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F0C2944"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097D9AA"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292</w:t>
            </w:r>
          </w:p>
        </w:tc>
        <w:tc>
          <w:tcPr>
            <w:tcW w:w="1005"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C861EEE"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367</w:t>
            </w:r>
          </w:p>
        </w:tc>
        <w:tc>
          <w:tcPr>
            <w:tcW w:w="76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05D77F0"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CCF061C"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11</w:t>
            </w:r>
          </w:p>
        </w:tc>
        <w:tc>
          <w:tcPr>
            <w:tcW w:w="80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D2A246F"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11</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4C47C01"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0D62FB8"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w:t>
            </w:r>
          </w:p>
        </w:tc>
        <w:tc>
          <w:tcPr>
            <w:tcW w:w="8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3F17B57"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w:t>
            </w:r>
          </w:p>
        </w:tc>
      </w:tr>
      <w:tr w:rsidR="00020BC3" w:rsidRPr="00175D8B" w14:paraId="0BEED90C" w14:textId="77777777" w:rsidTr="00DF417A">
        <w:trPr>
          <w:trHeight w:val="25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0C53029F"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Karasu</w:t>
            </w:r>
          </w:p>
        </w:tc>
        <w:tc>
          <w:tcPr>
            <w:tcW w:w="74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7984642"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7CC4129"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275</w:t>
            </w:r>
          </w:p>
        </w:tc>
        <w:tc>
          <w:tcPr>
            <w:tcW w:w="1005"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1ECA1BA"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285</w:t>
            </w:r>
          </w:p>
        </w:tc>
        <w:tc>
          <w:tcPr>
            <w:tcW w:w="76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E05429F"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AD9B6BD"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12</w:t>
            </w:r>
          </w:p>
        </w:tc>
        <w:tc>
          <w:tcPr>
            <w:tcW w:w="80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D443691"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12</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CEE4493"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BC98476"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w:t>
            </w:r>
          </w:p>
        </w:tc>
        <w:tc>
          <w:tcPr>
            <w:tcW w:w="8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CEB5A2B"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w:t>
            </w:r>
          </w:p>
        </w:tc>
      </w:tr>
      <w:tr w:rsidR="00020BC3" w:rsidRPr="00175D8B" w14:paraId="3CE2FA46" w14:textId="77777777" w:rsidTr="00DF417A">
        <w:trPr>
          <w:trHeight w:val="25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65096864"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Kaynarca</w:t>
            </w:r>
          </w:p>
        </w:tc>
        <w:tc>
          <w:tcPr>
            <w:tcW w:w="74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4F6A5A9"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53E1C5C"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298</w:t>
            </w:r>
          </w:p>
        </w:tc>
        <w:tc>
          <w:tcPr>
            <w:tcW w:w="1005"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AD2D8B3"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520</w:t>
            </w:r>
          </w:p>
        </w:tc>
        <w:tc>
          <w:tcPr>
            <w:tcW w:w="76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5D03ECB"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105BDA7"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13</w:t>
            </w:r>
          </w:p>
        </w:tc>
        <w:tc>
          <w:tcPr>
            <w:tcW w:w="80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4496338"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13</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E7033FC"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1871FD1"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5</w:t>
            </w:r>
          </w:p>
        </w:tc>
        <w:tc>
          <w:tcPr>
            <w:tcW w:w="8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7DC6386"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5</w:t>
            </w:r>
          </w:p>
        </w:tc>
      </w:tr>
      <w:tr w:rsidR="00020BC3" w:rsidRPr="00175D8B" w14:paraId="12735A12" w14:textId="77777777" w:rsidTr="00DF417A">
        <w:trPr>
          <w:trHeight w:val="25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6AA82D2A"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Kocaali</w:t>
            </w:r>
          </w:p>
        </w:tc>
        <w:tc>
          <w:tcPr>
            <w:tcW w:w="74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0D98703"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41D675D"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305</w:t>
            </w:r>
          </w:p>
        </w:tc>
        <w:tc>
          <w:tcPr>
            <w:tcW w:w="1005"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7133C7E"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468</w:t>
            </w:r>
          </w:p>
        </w:tc>
        <w:tc>
          <w:tcPr>
            <w:tcW w:w="76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8048237"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0046D04"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14</w:t>
            </w:r>
          </w:p>
        </w:tc>
        <w:tc>
          <w:tcPr>
            <w:tcW w:w="80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4D7282B"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14</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D2CBACE"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68077216"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w:t>
            </w:r>
          </w:p>
        </w:tc>
        <w:tc>
          <w:tcPr>
            <w:tcW w:w="8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0B09C93"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w:t>
            </w:r>
          </w:p>
        </w:tc>
      </w:tr>
      <w:tr w:rsidR="00020BC3" w:rsidRPr="00175D8B" w14:paraId="08B92C70" w14:textId="77777777" w:rsidTr="00DF417A">
        <w:trPr>
          <w:trHeight w:val="25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6E530D86"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Taraklı</w:t>
            </w:r>
          </w:p>
        </w:tc>
        <w:tc>
          <w:tcPr>
            <w:tcW w:w="74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33AC0BC"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000AF83"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319</w:t>
            </w:r>
          </w:p>
        </w:tc>
        <w:tc>
          <w:tcPr>
            <w:tcW w:w="1005"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559E572"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584</w:t>
            </w:r>
          </w:p>
        </w:tc>
        <w:tc>
          <w:tcPr>
            <w:tcW w:w="76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4C4215F"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341162A"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15</w:t>
            </w:r>
          </w:p>
        </w:tc>
        <w:tc>
          <w:tcPr>
            <w:tcW w:w="80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2FC008D"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15</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8AE2360"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B8FF7E9"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5</w:t>
            </w:r>
          </w:p>
        </w:tc>
        <w:tc>
          <w:tcPr>
            <w:tcW w:w="8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D267DE9"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5</w:t>
            </w:r>
          </w:p>
        </w:tc>
      </w:tr>
      <w:tr w:rsidR="00020BC3" w:rsidRPr="00175D8B" w14:paraId="61E0E7D4" w14:textId="77777777" w:rsidTr="00DF417A">
        <w:trPr>
          <w:trHeight w:val="255"/>
          <w:jc w:val="center"/>
        </w:trPr>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bottom"/>
          </w:tcPr>
          <w:p w14:paraId="42EA8188"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Karapürçek</w:t>
            </w:r>
          </w:p>
        </w:tc>
        <w:tc>
          <w:tcPr>
            <w:tcW w:w="741"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97804C4"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4C5B9C2F"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326</w:t>
            </w:r>
          </w:p>
        </w:tc>
        <w:tc>
          <w:tcPr>
            <w:tcW w:w="1005"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71838DC3"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597</w:t>
            </w:r>
          </w:p>
        </w:tc>
        <w:tc>
          <w:tcPr>
            <w:tcW w:w="76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5EE2781C"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794"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126B732"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16</w:t>
            </w:r>
          </w:p>
        </w:tc>
        <w:tc>
          <w:tcPr>
            <w:tcW w:w="808"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54EB7A8"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16</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7E86E3E"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84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1AD9FB92"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5</w:t>
            </w:r>
          </w:p>
        </w:tc>
        <w:tc>
          <w:tcPr>
            <w:tcW w:w="8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3794C89C" w14:textId="77777777" w:rsidR="00020BC3" w:rsidRPr="00175D8B" w:rsidRDefault="00020BC3" w:rsidP="00020BC3">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5</w:t>
            </w:r>
          </w:p>
        </w:tc>
      </w:tr>
    </w:tbl>
    <w:p w14:paraId="5AE57AF7" w14:textId="3B7251D4" w:rsidR="00020BC3" w:rsidRPr="00175D8B" w:rsidRDefault="00020BC3" w:rsidP="00020BC3">
      <w:pPr>
        <w:spacing w:before="120" w:after="0" w:line="278" w:lineRule="auto"/>
        <w:ind w:right="19"/>
        <w:rPr>
          <w:rFonts w:eastAsia="Aptos" w:cs="Aptos"/>
          <w:i/>
          <w:color w:val="404040"/>
          <w:sz w:val="8"/>
          <w:szCs w:val="22"/>
        </w:rPr>
      </w:pPr>
      <w:r w:rsidRPr="00175D8B">
        <w:rPr>
          <w:rFonts w:eastAsia="Aptos" w:cs="Aptos"/>
          <w:i/>
          <w:color w:val="000000" w:themeColor="text1"/>
          <w:sz w:val="18"/>
          <w:szCs w:val="18"/>
        </w:rPr>
        <w:lastRenderedPageBreak/>
        <w:t xml:space="preserve">* </w:t>
      </w:r>
      <w:r w:rsidRPr="00175D8B">
        <w:rPr>
          <w:rFonts w:eastAsia="Aptos" w:cs="Aptos"/>
          <w:i/>
          <w:color w:val="404040"/>
          <w:sz w:val="18"/>
          <w:szCs w:val="18"/>
        </w:rPr>
        <w:t>In 2004, no development ranking was made at the district level for Sakarya province, and since the SEGE-2004 study only covered certain central districts, Sakarya districts were excluded from the scope of the research. In the SEGE reports prepared in the following years, all districts were included in the evaluation according to the current administrative boundaries</w:t>
      </w:r>
      <w:r w:rsidRPr="00175D8B">
        <w:rPr>
          <w:rFonts w:eastAsia="Aptos" w:cs="Aptos"/>
          <w:i/>
          <w:color w:val="404040"/>
          <w:szCs w:val="22"/>
        </w:rPr>
        <w:t>.</w:t>
      </w:r>
    </w:p>
    <w:p w14:paraId="30AB3E8E" w14:textId="77777777" w:rsidR="00020BC3" w:rsidRPr="00175D8B" w:rsidRDefault="00020BC3" w:rsidP="00020BC3">
      <w:pPr>
        <w:spacing w:before="120" w:after="0" w:line="278" w:lineRule="auto"/>
        <w:jc w:val="center"/>
        <w:rPr>
          <w:rFonts w:eastAsia="Aptos" w:cs="Aptos"/>
          <w:i/>
          <w:iCs/>
          <w:color w:val="000000" w:themeColor="text1"/>
          <w:sz w:val="8"/>
          <w:szCs w:val="8"/>
        </w:rPr>
      </w:pPr>
      <w:r w:rsidRPr="00175D8B">
        <w:rPr>
          <w:rFonts w:eastAsia="Aptos" w:cs="Aptos"/>
          <w:b/>
          <w:bCs/>
          <w:i/>
          <w:iCs/>
          <w:color w:val="000000" w:themeColor="text1"/>
          <w:sz w:val="18"/>
          <w:szCs w:val="18"/>
        </w:rPr>
        <w:t>Source:</w:t>
      </w:r>
      <w:r w:rsidRPr="00175D8B">
        <w:rPr>
          <w:rFonts w:eastAsia="Aptos" w:cs="Aptos"/>
          <w:i/>
          <w:iCs/>
          <w:color w:val="000000" w:themeColor="text1"/>
          <w:sz w:val="18"/>
          <w:szCs w:val="18"/>
        </w:rPr>
        <w:t xml:space="preserve"> Republic of Türkiye Ministry of Industry and Technology, General Directorate of Development Agencies. SEGE Studies, 2022.</w:t>
      </w:r>
    </w:p>
    <w:p w14:paraId="5EBEBE7F" w14:textId="77777777" w:rsidR="00F74D52" w:rsidRPr="00175D8B" w:rsidRDefault="00F74D52" w:rsidP="00020BC3">
      <w:pPr>
        <w:rPr>
          <w:i/>
          <w:sz w:val="8"/>
          <w:szCs w:val="18"/>
        </w:rPr>
      </w:pPr>
      <w:bookmarkStart w:id="206" w:name="_heading=h.y6rcbp8ppl0n" w:colFirst="0" w:colLast="0"/>
      <w:bookmarkEnd w:id="206"/>
    </w:p>
    <w:p w14:paraId="2463B24A" w14:textId="2BBA00D7" w:rsidR="00020BC3" w:rsidRPr="00175D8B" w:rsidRDefault="00020BC3" w:rsidP="00020BC3">
      <w:pPr>
        <w:spacing w:after="160"/>
      </w:pPr>
      <w:r w:rsidRPr="00175D8B">
        <w:t>According to the "Socio-Economic Development Ranking of Districts Survey" conducted by the Ministry of Industry and Technology in 2022, Serdivan is the most developed district of Sakarya. Serdivan ranks 77th in Türkiye with 1,527 points, Adapazarı ranks 87th with 1,392 points, and Arifiye ranks 106th with 1,148 points. When 2017 and 2022 are compared throughout the</w:t>
      </w:r>
      <w:r w:rsidR="00E76571" w:rsidRPr="00175D8B">
        <w:t xml:space="preserve"> </w:t>
      </w:r>
      <w:r w:rsidRPr="00175D8B">
        <w:t>province, an increase in the national development ranking was observed in some districts, while partial declines were observed in others.</w:t>
      </w:r>
      <w:r w:rsidR="00B1794C" w:rsidRPr="00175D8B">
        <w:rPr>
          <w:rStyle w:val="DipnotBavurusu"/>
        </w:rPr>
        <w:footnoteReference w:id="16"/>
      </w:r>
    </w:p>
    <w:p w14:paraId="1FBB934E" w14:textId="77777777" w:rsidR="00020BC3" w:rsidRPr="00175D8B" w:rsidRDefault="00020BC3" w:rsidP="00020BC3">
      <w:pPr>
        <w:spacing w:after="160"/>
      </w:pPr>
      <w:r w:rsidRPr="00175D8B">
        <w:t>Serdivan district, in particular, has shown remarkable development, rising from 145th to 77th place. Arifiye and Adapazarı districts also maintained their first three places in the province. While Sapanca and Erenler districts continue to be at the 3rd level development level, Hendek and Karasu districts have approached the upper levels in the 2022 ranking. On the other hand, districts such as Kaynarca, Taraklı and Karapürçek continue to be the districts with the lowest level of development in Sakarya province.</w:t>
      </w:r>
    </w:p>
    <w:p w14:paraId="2723E2A1" w14:textId="355B98A0" w:rsidR="003D063A" w:rsidRPr="00175D8B" w:rsidRDefault="00020BC3" w:rsidP="00F74D52">
      <w:pPr>
        <w:spacing w:after="160"/>
      </w:pPr>
      <w:r w:rsidRPr="00175D8B">
        <w:t>In general, as of 2022, the development differences between the districts in Sakarya continue; however, significant progress has been made in socio-economic development indicators in central districts such as Serdivan, Adapazarı and Arifiye.</w:t>
      </w:r>
    </w:p>
    <w:p w14:paraId="4610FBE1" w14:textId="610AC95B" w:rsidR="00D80A2F" w:rsidRPr="00175D8B" w:rsidRDefault="008C27AC" w:rsidP="002550A6">
      <w:pPr>
        <w:pStyle w:val="Balk3"/>
        <w:numPr>
          <w:ilvl w:val="2"/>
          <w:numId w:val="153"/>
        </w:numPr>
        <w:ind w:left="1560"/>
      </w:pPr>
      <w:bookmarkStart w:id="207" w:name="_Toc212541874"/>
      <w:bookmarkStart w:id="208" w:name="_Toc212542385"/>
      <w:bookmarkStart w:id="209" w:name="_Toc220672791"/>
      <w:r w:rsidRPr="00175D8B">
        <w:t>Vulnerable Groups</w:t>
      </w:r>
      <w:bookmarkEnd w:id="207"/>
      <w:bookmarkEnd w:id="208"/>
      <w:bookmarkEnd w:id="209"/>
      <w:r w:rsidRPr="00175D8B">
        <w:t xml:space="preserve">  </w:t>
      </w:r>
    </w:p>
    <w:p w14:paraId="69817FE7" w14:textId="587E5514" w:rsidR="0095684B" w:rsidRPr="00175D8B" w:rsidRDefault="008C27AC" w:rsidP="0095684B">
      <w:pPr>
        <w:spacing w:afterLines="120" w:after="288"/>
        <w:rPr>
          <w:rFonts w:cs="Tahoma"/>
          <w:iCs/>
          <w:szCs w:val="20"/>
        </w:rPr>
      </w:pPr>
      <w:r w:rsidRPr="00175D8B">
        <w:rPr>
          <w:rFonts w:cs="Tahoma"/>
          <w:iCs/>
          <w:szCs w:val="20"/>
        </w:rPr>
        <w:t>Potential vulnerable groups in Sakarya are considered but not limited to, the following:</w:t>
      </w:r>
    </w:p>
    <w:p w14:paraId="3DFFFEEB" w14:textId="77777777" w:rsidR="008C27AC" w:rsidRPr="00175D8B" w:rsidRDefault="008C27AC">
      <w:pPr>
        <w:pStyle w:val="ListeParagraf"/>
        <w:numPr>
          <w:ilvl w:val="0"/>
          <w:numId w:val="43"/>
        </w:numPr>
        <w:autoSpaceDE w:val="0"/>
        <w:autoSpaceDN w:val="0"/>
        <w:adjustRightInd w:val="0"/>
        <w:spacing w:afterLines="120" w:after="288"/>
        <w:rPr>
          <w:szCs w:val="20"/>
        </w:rPr>
      </w:pPr>
      <w:r w:rsidRPr="00175D8B">
        <w:rPr>
          <w:szCs w:val="20"/>
        </w:rPr>
        <w:t>Female-headed households,</w:t>
      </w:r>
    </w:p>
    <w:p w14:paraId="20E3478D" w14:textId="77777777" w:rsidR="008C27AC" w:rsidRPr="00175D8B" w:rsidRDefault="008C27AC">
      <w:pPr>
        <w:pStyle w:val="ListeParagraf"/>
        <w:numPr>
          <w:ilvl w:val="0"/>
          <w:numId w:val="43"/>
        </w:numPr>
        <w:autoSpaceDE w:val="0"/>
        <w:autoSpaceDN w:val="0"/>
        <w:adjustRightInd w:val="0"/>
        <w:spacing w:afterLines="120" w:after="288"/>
        <w:rPr>
          <w:szCs w:val="20"/>
        </w:rPr>
      </w:pPr>
      <w:r w:rsidRPr="00175D8B">
        <w:rPr>
          <w:szCs w:val="20"/>
        </w:rPr>
        <w:t>Disabled people,</w:t>
      </w:r>
    </w:p>
    <w:p w14:paraId="4A3CBF51" w14:textId="77777777" w:rsidR="008C27AC" w:rsidRPr="00175D8B" w:rsidRDefault="008C27AC">
      <w:pPr>
        <w:pStyle w:val="ListeParagraf"/>
        <w:numPr>
          <w:ilvl w:val="0"/>
          <w:numId w:val="43"/>
        </w:numPr>
        <w:autoSpaceDE w:val="0"/>
        <w:autoSpaceDN w:val="0"/>
        <w:adjustRightInd w:val="0"/>
        <w:spacing w:afterLines="120" w:after="288"/>
        <w:rPr>
          <w:szCs w:val="20"/>
        </w:rPr>
      </w:pPr>
      <w:r w:rsidRPr="00175D8B">
        <w:rPr>
          <w:szCs w:val="20"/>
        </w:rPr>
        <w:t>Elderly persons,</w:t>
      </w:r>
    </w:p>
    <w:p w14:paraId="17847120" w14:textId="77777777" w:rsidR="008C27AC" w:rsidRPr="00175D8B" w:rsidRDefault="008C27AC">
      <w:pPr>
        <w:pStyle w:val="ListeParagraf"/>
        <w:numPr>
          <w:ilvl w:val="0"/>
          <w:numId w:val="43"/>
        </w:numPr>
        <w:autoSpaceDE w:val="0"/>
        <w:autoSpaceDN w:val="0"/>
        <w:adjustRightInd w:val="0"/>
        <w:spacing w:afterLines="120" w:after="288"/>
        <w:rPr>
          <w:szCs w:val="20"/>
        </w:rPr>
      </w:pPr>
      <w:r w:rsidRPr="00175D8B">
        <w:rPr>
          <w:szCs w:val="20"/>
        </w:rPr>
        <w:t>Poor households (including those with many children) &amp; people without any social security insurance (including unemployed young population, households with child workers),</w:t>
      </w:r>
    </w:p>
    <w:p w14:paraId="4EF4A547" w14:textId="77777777" w:rsidR="008C27AC" w:rsidRPr="00175D8B" w:rsidRDefault="008C27AC">
      <w:pPr>
        <w:pStyle w:val="ListeParagraf"/>
        <w:numPr>
          <w:ilvl w:val="0"/>
          <w:numId w:val="43"/>
        </w:numPr>
        <w:autoSpaceDE w:val="0"/>
        <w:autoSpaceDN w:val="0"/>
        <w:adjustRightInd w:val="0"/>
        <w:spacing w:afterLines="120" w:after="288"/>
        <w:rPr>
          <w:szCs w:val="20"/>
        </w:rPr>
      </w:pPr>
      <w:r w:rsidRPr="00175D8B">
        <w:rPr>
          <w:szCs w:val="20"/>
        </w:rPr>
        <w:t>Immigrants / Syrians under temporary protection (SuTP) / Other ethnic groups,</w:t>
      </w:r>
    </w:p>
    <w:p w14:paraId="0BC92D75" w14:textId="43555E96" w:rsidR="008C27AC" w:rsidRPr="00175D8B" w:rsidRDefault="008C27AC">
      <w:pPr>
        <w:pStyle w:val="ListeParagraf"/>
        <w:numPr>
          <w:ilvl w:val="0"/>
          <w:numId w:val="43"/>
        </w:numPr>
        <w:autoSpaceDE w:val="0"/>
        <w:autoSpaceDN w:val="0"/>
        <w:adjustRightInd w:val="0"/>
        <w:spacing w:afterLines="120" w:after="288"/>
        <w:rPr>
          <w:szCs w:val="20"/>
        </w:rPr>
      </w:pPr>
      <w:r w:rsidRPr="00175D8B">
        <w:rPr>
          <w:szCs w:val="20"/>
        </w:rPr>
        <w:t>Persons and groups whose livelihoods are dependent on the structures subject to the Project who will be permanently displaced, economically and physically (e.g., supers).</w:t>
      </w:r>
    </w:p>
    <w:p w14:paraId="0DB1AADA" w14:textId="3D7F7D38" w:rsidR="008C27AC" w:rsidRPr="00175D8B" w:rsidRDefault="008E3B84" w:rsidP="00D8459F">
      <w:pPr>
        <w:pStyle w:val="ListeParagraf"/>
        <w:spacing w:after="288"/>
        <w:ind w:left="0"/>
      </w:pPr>
      <w:r w:rsidRPr="00175D8B">
        <w:lastRenderedPageBreak/>
        <w:t>All the vulnerable groups listed above — regardless of whether they are rights holders, tenants, or limited real rights holders — will be identified in advance during the application process of the buildings that will apply for financing under the CDRC Project. Following the acceptance of the building into the Project, these groups will be further detailed within the building-based Resettlement Plans (RPs), will be defined as beneficiaries under the Project, and will be eligible for the additional interest rate discount.</w:t>
      </w:r>
    </w:p>
    <w:p w14:paraId="17ED9A39" w14:textId="3332235E" w:rsidR="004E15CE" w:rsidRPr="00175D8B" w:rsidRDefault="002B791A" w:rsidP="002550A6">
      <w:pPr>
        <w:pStyle w:val="Balk5"/>
        <w:numPr>
          <w:ilvl w:val="3"/>
          <w:numId w:val="153"/>
        </w:numPr>
        <w:ind w:left="2268"/>
      </w:pPr>
      <w:bookmarkStart w:id="210" w:name="_Toc209708099"/>
      <w:bookmarkStart w:id="211" w:name="_Toc212541875"/>
      <w:bookmarkStart w:id="212" w:name="_Toc212542386"/>
      <w:r w:rsidRPr="00175D8B">
        <w:t>Migrants and Syrians under Temporary Protection (SuTP)</w:t>
      </w:r>
      <w:bookmarkEnd w:id="210"/>
      <w:bookmarkEnd w:id="211"/>
      <w:bookmarkEnd w:id="212"/>
    </w:p>
    <w:p w14:paraId="730548BB" w14:textId="733A8B70" w:rsidR="00F0115E" w:rsidRPr="00175D8B" w:rsidRDefault="00E86144" w:rsidP="00F0115E">
      <w:pPr>
        <w:pStyle w:val="ListeParagraf"/>
        <w:spacing w:after="288"/>
        <w:ind w:left="0"/>
      </w:pPr>
      <w:r w:rsidRPr="00460919">
        <w:t>Households with migrants and SuTPs who are residing/working as owners or tenants in the project provinces will be able to benefit from supports or rental assistance when they meet the conditions for applying for credit or assistance</w:t>
      </w:r>
      <w:r w:rsidR="00F0115E" w:rsidRPr="00175D8B">
        <w:t>.</w:t>
      </w:r>
      <w:r w:rsidR="00F0115E" w:rsidRPr="00175D8B">
        <w:rPr>
          <w:vertAlign w:val="superscript"/>
        </w:rPr>
        <w:footnoteReference w:id="17"/>
      </w:r>
    </w:p>
    <w:p w14:paraId="1AE243CA" w14:textId="77777777" w:rsidR="00F0115E" w:rsidRPr="00175D8B" w:rsidRDefault="00F0115E" w:rsidP="00F0115E">
      <w:pPr>
        <w:pStyle w:val="ListeParagraf"/>
        <w:spacing w:after="288"/>
        <w:ind w:left="0"/>
        <w:rPr>
          <w:sz w:val="16"/>
          <w:szCs w:val="16"/>
        </w:rPr>
      </w:pPr>
    </w:p>
    <w:p w14:paraId="3EFE123C" w14:textId="4BD2C8D4" w:rsidR="003D063A" w:rsidRPr="00175D8B" w:rsidRDefault="00EA2FEB" w:rsidP="00F0115E">
      <w:pPr>
        <w:pStyle w:val="ListeParagraf"/>
        <w:spacing w:before="240" w:after="280"/>
        <w:ind w:left="0"/>
      </w:pPr>
      <w:r w:rsidRPr="00175D8B">
        <w:t xml:space="preserve">As of </w:t>
      </w:r>
      <w:r w:rsidR="002D46BF" w:rsidRPr="00175D8B">
        <w:t>October,</w:t>
      </w:r>
      <w:r w:rsidR="00EB0DF7" w:rsidRPr="00175D8B">
        <w:t xml:space="preserve"> </w:t>
      </w:r>
      <w:r w:rsidRPr="00175D8B">
        <w:t>2025, the number of SuTP in Türkiye is 2,555,560. Only</w:t>
      </w:r>
      <w:r w:rsidR="00EB0DF7" w:rsidRPr="00175D8B">
        <w:t xml:space="preserve"> </w:t>
      </w:r>
      <w:r w:rsidRPr="00175D8B">
        <w:t>1.5% of Syrians live in temporary accommodation centers, while 98.5% reside in cities and villages. In Sakarya, which is among the project provinces, the number of SuTP is 12,</w:t>
      </w:r>
      <w:r w:rsidR="00B1794C" w:rsidRPr="00175D8B">
        <w:t>352</w:t>
      </w:r>
      <w:r w:rsidRPr="00175D8B">
        <w:t xml:space="preserve"> people. When evaluated in proportion to the provincial population, it ranks 21st among 81 provinces with a rate of 1.</w:t>
      </w:r>
      <w:r w:rsidR="00B1794C" w:rsidRPr="00175D8B">
        <w:t>10</w:t>
      </w:r>
      <w:r w:rsidRPr="00175D8B">
        <w:t xml:space="preserve"> percent. The number and rate of SuTP and the ranking of the province in terms of both number and rate are given in </w:t>
      </w:r>
      <w:r w:rsidR="00A62E69" w:rsidRPr="00A62E69">
        <w:fldChar w:fldCharType="begin"/>
      </w:r>
      <w:r w:rsidR="00A62E69" w:rsidRPr="00A62E69">
        <w:instrText xml:space="preserve"> REF _Ref214635483 \h  \* MERGEFORMAT </w:instrText>
      </w:r>
      <w:r w:rsidR="00A62E69" w:rsidRPr="00A62E69">
        <w:fldChar w:fldCharType="separate"/>
      </w:r>
      <w:r w:rsidR="00A62E69" w:rsidRPr="00A62E69">
        <w:t xml:space="preserve">Table </w:t>
      </w:r>
      <w:r w:rsidR="00A62E69" w:rsidRPr="00A62E69">
        <w:rPr>
          <w:noProof/>
        </w:rPr>
        <w:t>16</w:t>
      </w:r>
      <w:r w:rsidR="00A62E69" w:rsidRPr="00A62E69">
        <w:fldChar w:fldCharType="end"/>
      </w:r>
      <w:r w:rsidRPr="00A62E69">
        <w:t>.</w:t>
      </w:r>
    </w:p>
    <w:p w14:paraId="451A37BF" w14:textId="4CF3ADD0" w:rsidR="00581D6A" w:rsidRPr="00175D8B" w:rsidRDefault="00581D6A" w:rsidP="006C58C5">
      <w:pPr>
        <w:pStyle w:val="ResimYazs"/>
        <w:keepNext/>
        <w:jc w:val="center"/>
      </w:pPr>
      <w:bookmarkStart w:id="213" w:name="_Ref214635483"/>
      <w:bookmarkStart w:id="214" w:name="_Toc216344433"/>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16</w:t>
      </w:r>
      <w:r w:rsidRPr="006C58C5">
        <w:rPr>
          <w:b/>
          <w:bCs/>
        </w:rPr>
        <w:fldChar w:fldCharType="end"/>
      </w:r>
      <w:bookmarkEnd w:id="213"/>
      <w:r w:rsidRPr="006C58C5">
        <w:rPr>
          <w:b/>
          <w:bCs/>
        </w:rPr>
        <w:t>:</w:t>
      </w:r>
      <w:r w:rsidRPr="00175D8B">
        <w:t xml:space="preserve"> </w:t>
      </w:r>
      <w:r w:rsidRPr="00175D8B">
        <w:rPr>
          <w:rFonts w:eastAsia="Aptos" w:cs="Aptos"/>
          <w:szCs w:val="20"/>
        </w:rPr>
        <w:t>SuTP</w:t>
      </w:r>
      <w:r w:rsidRPr="00175D8B">
        <w:rPr>
          <w:rFonts w:eastAsia="Aptos" w:cs="Aptos"/>
          <w:color w:val="000000"/>
          <w:szCs w:val="20"/>
        </w:rPr>
        <w:t xml:space="preserve"> Population and Percentage of Sakarya Province</w:t>
      </w:r>
      <w:bookmarkEnd w:id="214"/>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1277"/>
        <w:gridCol w:w="1278"/>
        <w:gridCol w:w="1421"/>
        <w:gridCol w:w="1988"/>
        <w:gridCol w:w="2119"/>
      </w:tblGrid>
      <w:tr w:rsidR="00EA2FEB" w:rsidRPr="00175D8B" w14:paraId="71DC0DE2" w14:textId="77777777" w:rsidTr="00DF417A">
        <w:trPr>
          <w:trHeight w:val="842"/>
          <w:jc w:val="center"/>
        </w:trPr>
        <w:tc>
          <w:tcPr>
            <w:tcW w:w="989" w:type="dxa"/>
            <w:shd w:val="clear" w:color="auto" w:fill="ABB7C1"/>
          </w:tcPr>
          <w:p w14:paraId="2B2D1E94" w14:textId="77777777" w:rsidR="00EA2FEB" w:rsidRPr="00175D8B" w:rsidRDefault="00EA2FEB" w:rsidP="00EA2FEB">
            <w:pPr>
              <w:spacing w:before="120" w:after="288" w:line="240" w:lineRule="auto"/>
              <w:jc w:val="center"/>
              <w:rPr>
                <w:rFonts w:eastAsia="Aptos" w:cs="Aptos"/>
                <w:b/>
                <w:color w:val="000000" w:themeColor="text1"/>
                <w:sz w:val="18"/>
                <w:szCs w:val="18"/>
              </w:rPr>
            </w:pPr>
            <w:r w:rsidRPr="00175D8B">
              <w:rPr>
                <w:rFonts w:eastAsia="Aptos" w:cs="Aptos"/>
                <w:b/>
                <w:color w:val="000000" w:themeColor="text1"/>
                <w:sz w:val="18"/>
                <w:szCs w:val="18"/>
              </w:rPr>
              <w:t>Province</w:t>
            </w:r>
          </w:p>
        </w:tc>
        <w:tc>
          <w:tcPr>
            <w:tcW w:w="1277" w:type="dxa"/>
            <w:shd w:val="clear" w:color="auto" w:fill="ABB7C1"/>
          </w:tcPr>
          <w:p w14:paraId="7CFAD879" w14:textId="77777777" w:rsidR="00EA2FEB" w:rsidRPr="00175D8B" w:rsidRDefault="00EA2FEB" w:rsidP="00EA2FEB">
            <w:pPr>
              <w:spacing w:before="120" w:after="288" w:line="240" w:lineRule="auto"/>
              <w:jc w:val="center"/>
              <w:rPr>
                <w:rFonts w:eastAsia="Aptos" w:cs="Aptos"/>
                <w:b/>
                <w:color w:val="000000" w:themeColor="text1"/>
                <w:sz w:val="18"/>
                <w:szCs w:val="18"/>
              </w:rPr>
            </w:pPr>
            <w:r w:rsidRPr="00175D8B">
              <w:rPr>
                <w:b/>
                <w:bCs/>
                <w:color w:val="000000" w:themeColor="text1"/>
                <w:sz w:val="18"/>
                <w:szCs w:val="18"/>
                <w:lang w:val="tr-TR"/>
              </w:rPr>
              <w:t>Population of Province</w:t>
            </w:r>
          </w:p>
        </w:tc>
        <w:tc>
          <w:tcPr>
            <w:tcW w:w="1278" w:type="dxa"/>
            <w:shd w:val="clear" w:color="auto" w:fill="ABB7C1"/>
          </w:tcPr>
          <w:p w14:paraId="3E4F8973" w14:textId="77777777" w:rsidR="00EA2FEB" w:rsidRPr="00175D8B" w:rsidRDefault="00EA2FEB" w:rsidP="00EA2FEB">
            <w:pPr>
              <w:spacing w:before="120" w:after="288" w:line="240" w:lineRule="auto"/>
              <w:jc w:val="center"/>
              <w:rPr>
                <w:rFonts w:eastAsia="Aptos" w:cs="Aptos"/>
                <w:b/>
                <w:color w:val="000000" w:themeColor="text1"/>
                <w:sz w:val="18"/>
                <w:szCs w:val="18"/>
              </w:rPr>
            </w:pPr>
            <w:r w:rsidRPr="00175D8B">
              <w:rPr>
                <w:b/>
                <w:bCs/>
                <w:color w:val="000000" w:themeColor="text1"/>
                <w:sz w:val="18"/>
                <w:szCs w:val="18"/>
                <w:lang w:val="tr-TR"/>
              </w:rPr>
              <w:t>Population of SuTP</w:t>
            </w:r>
          </w:p>
        </w:tc>
        <w:tc>
          <w:tcPr>
            <w:tcW w:w="1421" w:type="dxa"/>
            <w:shd w:val="clear" w:color="auto" w:fill="ABB7C1"/>
          </w:tcPr>
          <w:p w14:paraId="0C58E569" w14:textId="77777777" w:rsidR="00EA2FEB" w:rsidRPr="00175D8B" w:rsidRDefault="00EA2FEB" w:rsidP="00EA2FEB">
            <w:pPr>
              <w:spacing w:before="120" w:after="288" w:line="240" w:lineRule="auto"/>
              <w:jc w:val="center"/>
              <w:rPr>
                <w:rFonts w:eastAsia="Aptos" w:cs="Aptos"/>
                <w:b/>
                <w:color w:val="000000" w:themeColor="text1"/>
                <w:sz w:val="18"/>
                <w:szCs w:val="18"/>
              </w:rPr>
            </w:pPr>
            <w:r w:rsidRPr="00175D8B">
              <w:rPr>
                <w:b/>
                <w:bCs/>
                <w:color w:val="000000" w:themeColor="text1"/>
                <w:sz w:val="18"/>
                <w:szCs w:val="18"/>
                <w:lang w:val="tr-TR"/>
              </w:rPr>
              <w:t>Percentage of SuTP</w:t>
            </w:r>
          </w:p>
        </w:tc>
        <w:tc>
          <w:tcPr>
            <w:tcW w:w="1988" w:type="dxa"/>
            <w:shd w:val="clear" w:color="auto" w:fill="ABB7C1"/>
          </w:tcPr>
          <w:p w14:paraId="49659E72" w14:textId="77777777" w:rsidR="00EA2FEB" w:rsidRPr="00175D8B" w:rsidRDefault="00EA2FEB" w:rsidP="00EA2FEB">
            <w:pPr>
              <w:spacing w:before="120" w:after="288" w:line="240" w:lineRule="auto"/>
              <w:jc w:val="center"/>
              <w:rPr>
                <w:rFonts w:eastAsia="Aptos" w:cs="Aptos"/>
                <w:b/>
                <w:color w:val="000000" w:themeColor="text1"/>
                <w:sz w:val="18"/>
                <w:szCs w:val="18"/>
              </w:rPr>
            </w:pPr>
            <w:r w:rsidRPr="00175D8B">
              <w:rPr>
                <w:b/>
                <w:bCs/>
                <w:color w:val="000000" w:themeColor="text1"/>
                <w:sz w:val="18"/>
                <w:szCs w:val="18"/>
                <w:lang w:val="tr-TR"/>
              </w:rPr>
              <w:t>Rank of the province in terms of population of SuTP</w:t>
            </w:r>
          </w:p>
        </w:tc>
        <w:tc>
          <w:tcPr>
            <w:tcW w:w="2119" w:type="dxa"/>
            <w:shd w:val="clear" w:color="auto" w:fill="ABB7C1"/>
          </w:tcPr>
          <w:p w14:paraId="5A7C692F" w14:textId="77777777" w:rsidR="00EA2FEB" w:rsidRPr="00175D8B" w:rsidRDefault="00EA2FEB" w:rsidP="00EA2FEB">
            <w:pPr>
              <w:spacing w:before="120" w:after="288" w:line="240" w:lineRule="auto"/>
              <w:jc w:val="center"/>
              <w:rPr>
                <w:rFonts w:eastAsia="Aptos" w:cs="Aptos"/>
                <w:b/>
                <w:color w:val="000000" w:themeColor="text1"/>
                <w:sz w:val="18"/>
                <w:szCs w:val="18"/>
              </w:rPr>
            </w:pPr>
            <w:r w:rsidRPr="00175D8B">
              <w:rPr>
                <w:rFonts w:eastAsia="Aptos" w:cs="Aptos"/>
                <w:b/>
                <w:color w:val="000000" w:themeColor="text1"/>
                <w:sz w:val="18"/>
                <w:szCs w:val="18"/>
              </w:rPr>
              <w:t xml:space="preserve">Ranking of the Province in Terms of </w:t>
            </w:r>
            <w:r w:rsidRPr="00175D8B">
              <w:rPr>
                <w:b/>
                <w:bCs/>
                <w:color w:val="000000" w:themeColor="text1"/>
                <w:sz w:val="18"/>
                <w:szCs w:val="18"/>
                <w:lang w:val="tr-TR"/>
              </w:rPr>
              <w:t>SuTP</w:t>
            </w:r>
            <w:r w:rsidRPr="00175D8B">
              <w:rPr>
                <w:rFonts w:eastAsia="Aptos" w:cs="Aptos"/>
                <w:b/>
                <w:color w:val="000000" w:themeColor="text1"/>
                <w:sz w:val="18"/>
                <w:szCs w:val="18"/>
              </w:rPr>
              <w:t xml:space="preserve"> Percentage</w:t>
            </w:r>
          </w:p>
        </w:tc>
      </w:tr>
      <w:tr w:rsidR="00EA2FEB" w:rsidRPr="00175D8B" w14:paraId="6049E3D6" w14:textId="77777777" w:rsidTr="00DF417A">
        <w:trPr>
          <w:trHeight w:val="619"/>
          <w:jc w:val="center"/>
        </w:trPr>
        <w:tc>
          <w:tcPr>
            <w:tcW w:w="989" w:type="dxa"/>
            <w:tcBorders>
              <w:top w:val="single" w:sz="6" w:space="0" w:color="000000"/>
              <w:left w:val="single" w:sz="6" w:space="0" w:color="000000"/>
              <w:bottom w:val="single" w:sz="6" w:space="0" w:color="000000"/>
              <w:right w:val="single" w:sz="6" w:space="0" w:color="000000"/>
            </w:tcBorders>
            <w:shd w:val="clear" w:color="auto" w:fill="F2F2F2"/>
            <w:tcMar>
              <w:top w:w="20" w:type="dxa"/>
              <w:left w:w="80" w:type="dxa"/>
              <w:bottom w:w="20" w:type="dxa"/>
              <w:right w:w="80" w:type="dxa"/>
            </w:tcMar>
          </w:tcPr>
          <w:p w14:paraId="220D80D4" w14:textId="77777777" w:rsidR="00EA2FEB" w:rsidRPr="00175D8B" w:rsidRDefault="00EA2FEB" w:rsidP="00EA2FEB">
            <w:pPr>
              <w:spacing w:before="240" w:after="280" w:line="240" w:lineRule="auto"/>
              <w:jc w:val="center"/>
              <w:rPr>
                <w:rFonts w:eastAsia="Aptos" w:cs="Aptos"/>
                <w:color w:val="000000" w:themeColor="text1"/>
                <w:sz w:val="20"/>
                <w:szCs w:val="20"/>
              </w:rPr>
            </w:pPr>
            <w:r w:rsidRPr="00175D8B">
              <w:rPr>
                <w:rFonts w:eastAsia="Aptos" w:cs="Aptos"/>
                <w:color w:val="000000" w:themeColor="text1"/>
                <w:sz w:val="20"/>
                <w:szCs w:val="20"/>
              </w:rPr>
              <w:t>Sakarya</w:t>
            </w:r>
          </w:p>
        </w:tc>
        <w:tc>
          <w:tcPr>
            <w:tcW w:w="1277" w:type="dxa"/>
            <w:tcBorders>
              <w:top w:val="single" w:sz="6" w:space="0" w:color="000000"/>
              <w:left w:val="nil"/>
              <w:bottom w:val="single" w:sz="6" w:space="0" w:color="000000"/>
              <w:right w:val="single" w:sz="6" w:space="0" w:color="000000"/>
            </w:tcBorders>
            <w:shd w:val="clear" w:color="auto" w:fill="F2F2F2"/>
            <w:tcMar>
              <w:top w:w="20" w:type="dxa"/>
              <w:left w:w="80" w:type="dxa"/>
              <w:bottom w:w="20" w:type="dxa"/>
              <w:right w:w="80" w:type="dxa"/>
            </w:tcMar>
          </w:tcPr>
          <w:p w14:paraId="7B1403E1" w14:textId="65822909" w:rsidR="00EA2FEB" w:rsidRPr="00175D8B" w:rsidRDefault="00EA2FEB" w:rsidP="00EA2FEB">
            <w:pPr>
              <w:spacing w:before="240" w:after="280" w:line="240" w:lineRule="auto"/>
              <w:jc w:val="center"/>
              <w:rPr>
                <w:rFonts w:eastAsia="Aptos" w:cs="Aptos"/>
                <w:color w:val="000000" w:themeColor="text1"/>
                <w:sz w:val="20"/>
                <w:szCs w:val="20"/>
              </w:rPr>
            </w:pPr>
            <w:r w:rsidRPr="00175D8B">
              <w:rPr>
                <w:rFonts w:eastAsia="Aptos" w:cs="Aptos"/>
                <w:color w:val="000000" w:themeColor="text1"/>
                <w:sz w:val="20"/>
                <w:szCs w:val="20"/>
              </w:rPr>
              <w:t>1</w:t>
            </w:r>
            <w:r w:rsidR="001A50C2" w:rsidRPr="00175D8B">
              <w:rPr>
                <w:rFonts w:eastAsia="Aptos" w:cs="Aptos"/>
                <w:color w:val="000000" w:themeColor="text1"/>
                <w:sz w:val="20"/>
                <w:szCs w:val="20"/>
              </w:rPr>
              <w:t>,</w:t>
            </w:r>
            <w:r w:rsidRPr="00175D8B">
              <w:rPr>
                <w:rFonts w:eastAsia="Aptos" w:cs="Aptos"/>
                <w:color w:val="000000" w:themeColor="text1"/>
                <w:sz w:val="20"/>
                <w:szCs w:val="20"/>
              </w:rPr>
              <w:t>110</w:t>
            </w:r>
            <w:r w:rsidR="001A50C2" w:rsidRPr="00175D8B">
              <w:rPr>
                <w:rFonts w:eastAsia="Aptos" w:cs="Aptos"/>
                <w:color w:val="000000" w:themeColor="text1"/>
                <w:sz w:val="20"/>
                <w:szCs w:val="20"/>
              </w:rPr>
              <w:t>,</w:t>
            </w:r>
            <w:r w:rsidRPr="00175D8B">
              <w:rPr>
                <w:rFonts w:eastAsia="Aptos" w:cs="Aptos"/>
                <w:color w:val="000000" w:themeColor="text1"/>
                <w:sz w:val="20"/>
                <w:szCs w:val="20"/>
              </w:rPr>
              <w:t>735</w:t>
            </w:r>
          </w:p>
        </w:tc>
        <w:tc>
          <w:tcPr>
            <w:tcW w:w="1278" w:type="dxa"/>
            <w:tcBorders>
              <w:top w:val="single" w:sz="6" w:space="0" w:color="000000"/>
              <w:left w:val="nil"/>
              <w:bottom w:val="single" w:sz="6" w:space="0" w:color="000000"/>
              <w:right w:val="single" w:sz="6" w:space="0" w:color="000000"/>
            </w:tcBorders>
            <w:shd w:val="clear" w:color="auto" w:fill="F2F2F2"/>
            <w:tcMar>
              <w:top w:w="20" w:type="dxa"/>
              <w:left w:w="80" w:type="dxa"/>
              <w:bottom w:w="20" w:type="dxa"/>
              <w:right w:w="80" w:type="dxa"/>
            </w:tcMar>
          </w:tcPr>
          <w:p w14:paraId="49E5B7CA" w14:textId="72FFB0C2" w:rsidR="00EA2FEB" w:rsidRPr="00175D8B" w:rsidRDefault="00EA2FEB" w:rsidP="00EA2FEB">
            <w:pPr>
              <w:spacing w:before="240" w:after="280" w:line="240" w:lineRule="auto"/>
              <w:jc w:val="center"/>
              <w:rPr>
                <w:rFonts w:eastAsia="Aptos" w:cs="Aptos"/>
                <w:color w:val="000000" w:themeColor="text1"/>
                <w:sz w:val="20"/>
                <w:szCs w:val="20"/>
              </w:rPr>
            </w:pPr>
            <w:r w:rsidRPr="00175D8B">
              <w:rPr>
                <w:rFonts w:eastAsia="Aptos" w:cs="Aptos"/>
                <w:color w:val="000000" w:themeColor="text1"/>
                <w:sz w:val="20"/>
                <w:szCs w:val="20"/>
              </w:rPr>
              <w:t>12</w:t>
            </w:r>
            <w:r w:rsidR="001A50C2" w:rsidRPr="00175D8B">
              <w:rPr>
                <w:rFonts w:eastAsia="Aptos" w:cs="Aptos"/>
                <w:color w:val="000000" w:themeColor="text1"/>
                <w:sz w:val="20"/>
                <w:szCs w:val="20"/>
              </w:rPr>
              <w:t>.</w:t>
            </w:r>
            <w:r w:rsidR="00B1794C" w:rsidRPr="00175D8B">
              <w:rPr>
                <w:rFonts w:eastAsia="Aptos" w:cs="Aptos"/>
                <w:color w:val="000000" w:themeColor="text1"/>
                <w:sz w:val="20"/>
                <w:szCs w:val="20"/>
              </w:rPr>
              <w:t>352</w:t>
            </w:r>
          </w:p>
        </w:tc>
        <w:tc>
          <w:tcPr>
            <w:tcW w:w="1421" w:type="dxa"/>
            <w:tcBorders>
              <w:top w:val="single" w:sz="6" w:space="0" w:color="000000"/>
              <w:left w:val="nil"/>
              <w:bottom w:val="single" w:sz="6" w:space="0" w:color="000000"/>
              <w:right w:val="single" w:sz="6" w:space="0" w:color="000000"/>
            </w:tcBorders>
            <w:shd w:val="clear" w:color="auto" w:fill="F2F2F2"/>
            <w:tcMar>
              <w:top w:w="20" w:type="dxa"/>
              <w:left w:w="80" w:type="dxa"/>
              <w:bottom w:w="20" w:type="dxa"/>
              <w:right w:w="80" w:type="dxa"/>
            </w:tcMar>
          </w:tcPr>
          <w:p w14:paraId="0CC88D56" w14:textId="16FDA846" w:rsidR="00EA2FEB" w:rsidRPr="00175D8B" w:rsidRDefault="00EA2FEB" w:rsidP="00EA2FEB">
            <w:pPr>
              <w:spacing w:before="240" w:after="280" w:line="240" w:lineRule="auto"/>
              <w:jc w:val="center"/>
              <w:rPr>
                <w:rFonts w:eastAsia="Aptos" w:cs="Aptos"/>
                <w:color w:val="000000" w:themeColor="text1"/>
                <w:sz w:val="20"/>
                <w:szCs w:val="20"/>
              </w:rPr>
            </w:pPr>
            <w:r w:rsidRPr="00175D8B">
              <w:rPr>
                <w:rFonts w:eastAsia="Aptos" w:cs="Aptos"/>
                <w:color w:val="000000" w:themeColor="text1"/>
                <w:sz w:val="20"/>
                <w:szCs w:val="20"/>
              </w:rPr>
              <w:t>1</w:t>
            </w:r>
            <w:r w:rsidR="001A50C2" w:rsidRPr="00175D8B">
              <w:rPr>
                <w:rFonts w:eastAsia="Aptos" w:cs="Aptos"/>
                <w:color w:val="000000" w:themeColor="text1"/>
                <w:sz w:val="20"/>
                <w:szCs w:val="20"/>
              </w:rPr>
              <w:t>.</w:t>
            </w:r>
            <w:r w:rsidRPr="00175D8B">
              <w:rPr>
                <w:rFonts w:eastAsia="Aptos" w:cs="Aptos"/>
                <w:color w:val="000000" w:themeColor="text1"/>
                <w:sz w:val="20"/>
                <w:szCs w:val="20"/>
              </w:rPr>
              <w:t>1</w:t>
            </w:r>
            <w:r w:rsidR="00B1794C" w:rsidRPr="00175D8B">
              <w:rPr>
                <w:rFonts w:eastAsia="Aptos" w:cs="Aptos"/>
                <w:color w:val="000000" w:themeColor="text1"/>
                <w:sz w:val="20"/>
                <w:szCs w:val="20"/>
              </w:rPr>
              <w:t>0</w:t>
            </w:r>
          </w:p>
        </w:tc>
        <w:tc>
          <w:tcPr>
            <w:tcW w:w="1988" w:type="dxa"/>
            <w:tcBorders>
              <w:top w:val="single" w:sz="6" w:space="0" w:color="000000"/>
              <w:left w:val="nil"/>
              <w:bottom w:val="single" w:sz="6" w:space="0" w:color="000000"/>
              <w:right w:val="single" w:sz="6" w:space="0" w:color="000000"/>
            </w:tcBorders>
            <w:shd w:val="clear" w:color="auto" w:fill="F2F2F2"/>
            <w:tcMar>
              <w:top w:w="20" w:type="dxa"/>
              <w:left w:w="80" w:type="dxa"/>
              <w:bottom w:w="20" w:type="dxa"/>
              <w:right w:w="80" w:type="dxa"/>
            </w:tcMar>
          </w:tcPr>
          <w:p w14:paraId="04E2E4A0" w14:textId="77777777" w:rsidR="00EA2FEB" w:rsidRPr="00175D8B" w:rsidRDefault="00EA2FEB" w:rsidP="00EA2FEB">
            <w:pPr>
              <w:spacing w:before="240" w:after="280" w:line="240" w:lineRule="auto"/>
              <w:jc w:val="center"/>
              <w:rPr>
                <w:rFonts w:eastAsia="Aptos" w:cs="Aptos"/>
                <w:color w:val="CC0000"/>
                <w:sz w:val="20"/>
                <w:szCs w:val="20"/>
              </w:rPr>
            </w:pPr>
            <w:r w:rsidRPr="00175D8B">
              <w:rPr>
                <w:rFonts w:eastAsia="Aptos" w:cs="Aptos"/>
                <w:color w:val="000000" w:themeColor="text1"/>
                <w:sz w:val="20"/>
                <w:szCs w:val="20"/>
              </w:rPr>
              <w:t>21</w:t>
            </w:r>
          </w:p>
        </w:tc>
        <w:tc>
          <w:tcPr>
            <w:tcW w:w="2119" w:type="dxa"/>
            <w:tcBorders>
              <w:top w:val="single" w:sz="6" w:space="0" w:color="000000"/>
              <w:left w:val="nil"/>
              <w:bottom w:val="single" w:sz="6" w:space="0" w:color="000000"/>
              <w:right w:val="single" w:sz="6" w:space="0" w:color="000000"/>
            </w:tcBorders>
            <w:shd w:val="clear" w:color="auto" w:fill="F2F2F2"/>
            <w:tcMar>
              <w:top w:w="20" w:type="dxa"/>
              <w:left w:w="80" w:type="dxa"/>
              <w:bottom w:w="20" w:type="dxa"/>
              <w:right w:w="80" w:type="dxa"/>
            </w:tcMar>
          </w:tcPr>
          <w:p w14:paraId="0F699370" w14:textId="77777777" w:rsidR="00EA2FEB" w:rsidRPr="00175D8B" w:rsidRDefault="00EA2FEB" w:rsidP="00EA2FEB">
            <w:pPr>
              <w:spacing w:before="240" w:after="280" w:line="240" w:lineRule="auto"/>
              <w:jc w:val="center"/>
              <w:rPr>
                <w:rFonts w:eastAsia="Aptos" w:cs="Aptos"/>
                <w:color w:val="000000" w:themeColor="text1"/>
                <w:sz w:val="20"/>
                <w:szCs w:val="20"/>
              </w:rPr>
            </w:pPr>
            <w:r w:rsidRPr="00175D8B">
              <w:rPr>
                <w:rFonts w:eastAsia="Aptos" w:cs="Aptos"/>
                <w:color w:val="000000" w:themeColor="text1"/>
                <w:sz w:val="20"/>
                <w:szCs w:val="20"/>
              </w:rPr>
              <w:t>25</w:t>
            </w:r>
          </w:p>
        </w:tc>
      </w:tr>
    </w:tbl>
    <w:p w14:paraId="0DB672C5" w14:textId="6959521F" w:rsidR="00EA2FEB" w:rsidRPr="00175D8B" w:rsidRDefault="00EA2FEB" w:rsidP="00EA2FEB">
      <w:pPr>
        <w:spacing w:before="120" w:after="288" w:line="278" w:lineRule="auto"/>
        <w:ind w:left="360"/>
        <w:contextualSpacing/>
        <w:jc w:val="center"/>
        <w:rPr>
          <w:rFonts w:eastAsia="Aptos" w:cs="Aptos"/>
          <w:i/>
          <w:iCs/>
          <w:color w:val="000000" w:themeColor="text1"/>
          <w:sz w:val="18"/>
          <w:szCs w:val="18"/>
        </w:rPr>
      </w:pPr>
      <w:r w:rsidRPr="00175D8B">
        <w:rPr>
          <w:rFonts w:eastAsia="Aptos" w:cs="Aptos"/>
          <w:b/>
          <w:bCs/>
          <w:i/>
          <w:iCs/>
          <w:color w:val="000000" w:themeColor="text1"/>
          <w:sz w:val="18"/>
          <w:szCs w:val="18"/>
        </w:rPr>
        <w:t>Source:</w:t>
      </w:r>
      <w:r w:rsidRPr="00175D8B">
        <w:rPr>
          <w:rFonts w:eastAsia="Aptos" w:cs="Aptos"/>
          <w:i/>
          <w:iCs/>
          <w:color w:val="000000" w:themeColor="text1"/>
          <w:sz w:val="18"/>
          <w:szCs w:val="18"/>
        </w:rPr>
        <w:t xml:space="preserve"> Republic of Türkiye Ministry of Interior, Directorate General of Migration Management</w:t>
      </w:r>
      <w:r w:rsidR="006E0095">
        <w:rPr>
          <w:rFonts w:eastAsia="Aptos" w:cs="Aptos"/>
          <w:i/>
          <w:iCs/>
          <w:color w:val="000000" w:themeColor="text1"/>
          <w:sz w:val="18"/>
          <w:szCs w:val="18"/>
        </w:rPr>
        <w:t>, 2025</w:t>
      </w:r>
      <w:r w:rsidRPr="00175D8B">
        <w:rPr>
          <w:rFonts w:eastAsia="Aptos" w:cs="Aptos"/>
          <w:i/>
          <w:iCs/>
          <w:color w:val="000000" w:themeColor="text1"/>
          <w:sz w:val="18"/>
          <w:szCs w:val="18"/>
        </w:rPr>
        <w:t>.</w:t>
      </w:r>
    </w:p>
    <w:p w14:paraId="2B5DA3DE" w14:textId="6D64C740" w:rsidR="00EA2FEB" w:rsidRPr="00175D8B" w:rsidRDefault="00EA2FEB" w:rsidP="00581D6A">
      <w:pPr>
        <w:keepNext/>
        <w:spacing w:before="120" w:after="200" w:line="278" w:lineRule="auto"/>
        <w:rPr>
          <w:rFonts w:eastAsia="Aptos" w:cs="Aptos"/>
          <w:i/>
          <w:color w:val="000000" w:themeColor="text1"/>
          <w:sz w:val="20"/>
          <w:szCs w:val="20"/>
        </w:rPr>
      </w:pPr>
    </w:p>
    <w:p w14:paraId="25907AB9" w14:textId="2A154D90" w:rsidR="00581D6A" w:rsidRPr="006C58C5" w:rsidRDefault="00581D6A" w:rsidP="006C58C5">
      <w:pPr>
        <w:keepNext/>
        <w:spacing w:before="120" w:after="200" w:line="278" w:lineRule="auto"/>
        <w:jc w:val="center"/>
        <w:rPr>
          <w:rFonts w:eastAsia="Aptos" w:cs="Aptos"/>
          <w:szCs w:val="20"/>
        </w:rPr>
      </w:pPr>
      <w:bookmarkStart w:id="215" w:name="_Toc221191322"/>
      <w:r w:rsidRPr="006C58C5">
        <w:rPr>
          <w:b/>
          <w:bCs/>
        </w:rPr>
        <w:t xml:space="preserve">Figure </w:t>
      </w:r>
      <w:r w:rsidRPr="006C58C5">
        <w:rPr>
          <w:b/>
          <w:bCs/>
        </w:rPr>
        <w:fldChar w:fldCharType="begin"/>
      </w:r>
      <w:r w:rsidRPr="006C58C5">
        <w:rPr>
          <w:b/>
          <w:bCs/>
        </w:rPr>
        <w:instrText xml:space="preserve"> SEQ Figure \* ARABIC </w:instrText>
      </w:r>
      <w:r w:rsidRPr="006C58C5">
        <w:rPr>
          <w:b/>
          <w:bCs/>
        </w:rPr>
        <w:fldChar w:fldCharType="separate"/>
      </w:r>
      <w:r w:rsidR="00811FB5" w:rsidRPr="00175D8B">
        <w:rPr>
          <w:b/>
          <w:bCs/>
          <w:noProof/>
        </w:rPr>
        <w:t>14</w:t>
      </w:r>
      <w:r w:rsidRPr="006C58C5">
        <w:rPr>
          <w:b/>
          <w:bCs/>
        </w:rPr>
        <w:fldChar w:fldCharType="end"/>
      </w:r>
      <w:r w:rsidRPr="006C58C5">
        <w:rPr>
          <w:b/>
          <w:bCs/>
        </w:rPr>
        <w:t>:</w:t>
      </w:r>
      <w:r w:rsidRPr="00175D8B">
        <w:t xml:space="preserve"> </w:t>
      </w:r>
      <w:r w:rsidRPr="006C58C5">
        <w:rPr>
          <w:rFonts w:eastAsia="Aptos" w:cs="Aptos"/>
          <w:i/>
          <w:color w:val="000000"/>
          <w:sz w:val="20"/>
          <w:szCs w:val="20"/>
        </w:rPr>
        <w:t>Sakarya Province Address Based Population Registration System Syrian Population by Districts</w:t>
      </w:r>
      <w:bookmarkEnd w:id="215"/>
    </w:p>
    <w:p w14:paraId="42644D3F" w14:textId="6A2B8356" w:rsidR="00EA2FEB" w:rsidRPr="00175D8B" w:rsidRDefault="00762947" w:rsidP="00EA2FEB">
      <w:pPr>
        <w:spacing w:before="120" w:after="0" w:line="278" w:lineRule="auto"/>
        <w:jc w:val="center"/>
        <w:rPr>
          <w:rFonts w:eastAsia="Aptos" w:cs="Aptos"/>
          <w:i/>
          <w:color w:val="000000" w:themeColor="text1"/>
          <w:sz w:val="18"/>
          <w:szCs w:val="18"/>
        </w:rPr>
      </w:pPr>
      <w:r w:rsidRPr="00175D8B">
        <w:rPr>
          <w:rFonts w:eastAsia="Aptos" w:cs="Aptos"/>
          <w:i/>
          <w:noProof/>
          <w:color w:val="000000" w:themeColor="text1"/>
          <w:sz w:val="18"/>
          <w:szCs w:val="18"/>
        </w:rPr>
        <w:drawing>
          <wp:inline distT="0" distB="0" distL="0" distR="0" wp14:anchorId="3FEEE57B" wp14:editId="61EAF6F3">
            <wp:extent cx="4229100" cy="4061460"/>
            <wp:effectExtent l="19050" t="19050" r="19050" b="15240"/>
            <wp:docPr id="6517348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9100" cy="4061460"/>
                    </a:xfrm>
                    <a:prstGeom prst="rect">
                      <a:avLst/>
                    </a:prstGeom>
                    <a:noFill/>
                    <a:ln>
                      <a:solidFill>
                        <a:srgbClr val="767171"/>
                      </a:solidFill>
                    </a:ln>
                  </pic:spPr>
                </pic:pic>
              </a:graphicData>
            </a:graphic>
          </wp:inline>
        </w:drawing>
      </w:r>
      <w:r w:rsidR="00EA2FEB" w:rsidRPr="00175D8B">
        <w:rPr>
          <w:rFonts w:eastAsia="Aptos" w:cs="Aptos"/>
          <w:i/>
          <w:noProof/>
          <w:color w:val="000000" w:themeColor="text1"/>
          <w:sz w:val="18"/>
          <w:szCs w:val="18"/>
        </w:rPr>
        <w:t xml:space="preserve"> </w:t>
      </w:r>
    </w:p>
    <w:p w14:paraId="1CF43C4F" w14:textId="77777777" w:rsidR="00EA2FEB" w:rsidRPr="00175D8B" w:rsidRDefault="00EA2FEB" w:rsidP="00EA2FEB">
      <w:pPr>
        <w:spacing w:before="120" w:after="288" w:line="278" w:lineRule="auto"/>
        <w:ind w:left="360"/>
        <w:contextualSpacing/>
        <w:jc w:val="center"/>
        <w:rPr>
          <w:rFonts w:eastAsia="Aptos" w:cs="Aptos"/>
          <w:i/>
          <w:color w:val="000000" w:themeColor="text1"/>
          <w:sz w:val="18"/>
          <w:szCs w:val="18"/>
        </w:rPr>
      </w:pPr>
      <w:r w:rsidRPr="00175D8B">
        <w:rPr>
          <w:rFonts w:eastAsia="Aptos" w:cs="Aptos"/>
          <w:b/>
          <w:i/>
          <w:color w:val="000000" w:themeColor="text1"/>
          <w:sz w:val="18"/>
          <w:szCs w:val="18"/>
        </w:rPr>
        <w:t>Source:</w:t>
      </w:r>
      <w:r w:rsidRPr="00175D8B">
        <w:rPr>
          <w:rFonts w:eastAsia="Aptos" w:cs="Aptos"/>
          <w:i/>
          <w:color w:val="000000" w:themeColor="text1"/>
          <w:sz w:val="18"/>
          <w:szCs w:val="18"/>
        </w:rPr>
        <w:t xml:space="preserve"> TurkStat, 2024.</w:t>
      </w:r>
    </w:p>
    <w:p w14:paraId="60BA750B" w14:textId="77777777" w:rsidR="00EA2FEB" w:rsidRPr="00175D8B" w:rsidRDefault="00EA2FEB" w:rsidP="00EA2FEB">
      <w:pPr>
        <w:spacing w:before="120" w:after="288" w:line="278" w:lineRule="auto"/>
        <w:ind w:left="360"/>
        <w:contextualSpacing/>
        <w:jc w:val="center"/>
        <w:rPr>
          <w:rFonts w:eastAsia="Aptos" w:cs="Aptos"/>
          <w:i/>
          <w:color w:val="000000" w:themeColor="text1"/>
          <w:sz w:val="18"/>
          <w:szCs w:val="18"/>
        </w:rPr>
      </w:pPr>
    </w:p>
    <w:p w14:paraId="6C2918BC" w14:textId="77777777" w:rsidR="00EA2FEB" w:rsidRPr="00175D8B" w:rsidRDefault="00EA2FEB" w:rsidP="002550A6">
      <w:pPr>
        <w:spacing w:before="120" w:after="288"/>
        <w:contextualSpacing/>
        <w:rPr>
          <w:rFonts w:eastAsia="Aptos" w:cs="Aptos"/>
          <w:color w:val="000000" w:themeColor="text1"/>
          <w:szCs w:val="22"/>
        </w:rPr>
      </w:pPr>
      <w:r w:rsidRPr="00175D8B">
        <w:rPr>
          <w:rFonts w:eastAsia="Aptos" w:cs="Aptos"/>
          <w:color w:val="000000" w:themeColor="text1"/>
          <w:szCs w:val="22"/>
        </w:rPr>
        <w:t xml:space="preserve">According to the data of the Address Based Population Registration System (ABPRS) as of December 2024, a total of 25,227 foreign nationals live in Sakarya province. According to the foreign population, the first five districts were determined as Adapazarı, Serdivan, Erenler, Sapanca and Karasu, respectively. </w:t>
      </w:r>
    </w:p>
    <w:p w14:paraId="62653E1C" w14:textId="77777777" w:rsidR="003C0F81" w:rsidRPr="00175D8B" w:rsidRDefault="003C0F81" w:rsidP="00EA2FEB">
      <w:pPr>
        <w:spacing w:before="120" w:after="288" w:line="278" w:lineRule="auto"/>
        <w:contextualSpacing/>
        <w:rPr>
          <w:rFonts w:eastAsia="Aptos" w:cs="Aptos"/>
          <w:color w:val="000000" w:themeColor="text1"/>
          <w:szCs w:val="22"/>
        </w:rPr>
      </w:pPr>
    </w:p>
    <w:p w14:paraId="5465ED7A" w14:textId="227B4B8C" w:rsidR="00581D6A" w:rsidRPr="00175D8B" w:rsidRDefault="00581D6A" w:rsidP="006C58C5">
      <w:pPr>
        <w:pStyle w:val="ResimYazs"/>
        <w:keepNext/>
        <w:jc w:val="center"/>
      </w:pPr>
      <w:bookmarkStart w:id="216" w:name="_Toc221191323"/>
      <w:r w:rsidRPr="006C58C5">
        <w:rPr>
          <w:b/>
          <w:bCs/>
        </w:rPr>
        <w:lastRenderedPageBreak/>
        <w:t xml:space="preserve">Figure </w:t>
      </w:r>
      <w:r w:rsidRPr="006C58C5">
        <w:rPr>
          <w:b/>
          <w:bCs/>
        </w:rPr>
        <w:fldChar w:fldCharType="begin"/>
      </w:r>
      <w:r w:rsidRPr="006C58C5">
        <w:rPr>
          <w:b/>
          <w:bCs/>
        </w:rPr>
        <w:instrText xml:space="preserve"> SEQ Figure \* ARABIC </w:instrText>
      </w:r>
      <w:r w:rsidRPr="006C58C5">
        <w:rPr>
          <w:b/>
          <w:bCs/>
        </w:rPr>
        <w:fldChar w:fldCharType="separate"/>
      </w:r>
      <w:r w:rsidR="00811FB5" w:rsidRPr="00175D8B">
        <w:rPr>
          <w:b/>
          <w:bCs/>
          <w:noProof/>
        </w:rPr>
        <w:t>15</w:t>
      </w:r>
      <w:r w:rsidRPr="006C58C5">
        <w:rPr>
          <w:b/>
          <w:bCs/>
        </w:rPr>
        <w:fldChar w:fldCharType="end"/>
      </w:r>
      <w:r w:rsidRPr="006C58C5">
        <w:rPr>
          <w:b/>
          <w:bCs/>
        </w:rPr>
        <w:t>:</w:t>
      </w:r>
      <w:r w:rsidRPr="00175D8B">
        <w:t xml:space="preserve">  </w:t>
      </w:r>
      <w:r w:rsidRPr="00175D8B">
        <w:rPr>
          <w:rFonts w:eastAsia="Aptos" w:cs="Aptos"/>
          <w:color w:val="000000"/>
          <w:szCs w:val="20"/>
        </w:rPr>
        <w:t>Sakarya Province Address Based Population Registration System Foreign National Population by Districts</w:t>
      </w:r>
      <w:bookmarkEnd w:id="216"/>
    </w:p>
    <w:p w14:paraId="4D2D53DB" w14:textId="1FED1FD4" w:rsidR="005F6E6B" w:rsidRPr="00175D8B" w:rsidRDefault="00EF75F1" w:rsidP="005F6E6B">
      <w:pPr>
        <w:keepNext/>
        <w:pBdr>
          <w:top w:val="nil"/>
          <w:left w:val="nil"/>
          <w:bottom w:val="nil"/>
          <w:right w:val="nil"/>
          <w:between w:val="nil"/>
        </w:pBdr>
        <w:spacing w:before="120" w:after="200" w:line="240" w:lineRule="auto"/>
        <w:jc w:val="center"/>
        <w:rPr>
          <w:rFonts w:eastAsia="Aptos" w:cs="Aptos"/>
          <w:b/>
          <w:i/>
          <w:color w:val="000000"/>
          <w:sz w:val="20"/>
          <w:szCs w:val="20"/>
        </w:rPr>
      </w:pPr>
      <w:r w:rsidRPr="00175D8B">
        <w:rPr>
          <w:rFonts w:eastAsia="Aptos" w:cs="Aptos"/>
          <w:b/>
          <w:i/>
          <w:noProof/>
          <w:color w:val="000000"/>
          <w:sz w:val="20"/>
          <w:szCs w:val="20"/>
        </w:rPr>
        <w:drawing>
          <wp:inline distT="0" distB="0" distL="0" distR="0" wp14:anchorId="7CBCDEE8" wp14:editId="4977E826">
            <wp:extent cx="4320000" cy="4143600"/>
            <wp:effectExtent l="19050" t="19050" r="23495" b="28575"/>
            <wp:docPr id="10802240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0" cy="4143600"/>
                    </a:xfrm>
                    <a:prstGeom prst="rect">
                      <a:avLst/>
                    </a:prstGeom>
                    <a:noFill/>
                    <a:ln>
                      <a:solidFill>
                        <a:srgbClr val="767171"/>
                      </a:solidFill>
                    </a:ln>
                  </pic:spPr>
                </pic:pic>
              </a:graphicData>
            </a:graphic>
          </wp:inline>
        </w:drawing>
      </w:r>
    </w:p>
    <w:p w14:paraId="7DC03FBC" w14:textId="766FC43B" w:rsidR="00F0115E" w:rsidRPr="00175D8B" w:rsidRDefault="005F6E6B" w:rsidP="005F6E6B">
      <w:pPr>
        <w:spacing w:before="120" w:after="288" w:line="278" w:lineRule="auto"/>
        <w:ind w:left="360"/>
        <w:contextualSpacing/>
        <w:jc w:val="center"/>
        <w:rPr>
          <w:rFonts w:eastAsia="Aptos" w:cs="Aptos"/>
          <w:i/>
          <w:color w:val="000000" w:themeColor="text1"/>
          <w:sz w:val="18"/>
          <w:szCs w:val="18"/>
        </w:rPr>
      </w:pPr>
      <w:r w:rsidRPr="00175D8B">
        <w:rPr>
          <w:rFonts w:eastAsia="Aptos" w:cs="Aptos"/>
          <w:b/>
          <w:i/>
          <w:color w:val="000000" w:themeColor="text1"/>
          <w:sz w:val="18"/>
          <w:szCs w:val="18"/>
        </w:rPr>
        <w:t>Source:</w:t>
      </w:r>
      <w:r w:rsidRPr="00175D8B">
        <w:rPr>
          <w:rFonts w:eastAsia="Aptos" w:cs="Aptos"/>
          <w:i/>
          <w:color w:val="000000" w:themeColor="text1"/>
          <w:sz w:val="18"/>
          <w:szCs w:val="18"/>
        </w:rPr>
        <w:t xml:space="preserve"> TurkStat, 2024.</w:t>
      </w:r>
    </w:p>
    <w:p w14:paraId="5F30A516" w14:textId="047725D1" w:rsidR="004E15CE" w:rsidRPr="00175D8B" w:rsidRDefault="005F6E6B" w:rsidP="002550A6">
      <w:pPr>
        <w:pStyle w:val="Balk5"/>
        <w:numPr>
          <w:ilvl w:val="3"/>
          <w:numId w:val="153"/>
        </w:numPr>
        <w:ind w:left="2268"/>
      </w:pPr>
      <w:bookmarkStart w:id="217" w:name="_heading=h.8zo5cy3xkxle" w:colFirst="0" w:colLast="0"/>
      <w:bookmarkStart w:id="218" w:name="_heading=h.m9jhrekopiop" w:colFirst="0" w:colLast="0"/>
      <w:bookmarkStart w:id="219" w:name="_heading=h.xh8g6wquhve2" w:colFirst="0" w:colLast="0"/>
      <w:bookmarkStart w:id="220" w:name="_Toc209525733"/>
      <w:bookmarkEnd w:id="217"/>
      <w:bookmarkEnd w:id="218"/>
      <w:bookmarkEnd w:id="219"/>
      <w:r w:rsidRPr="00175D8B">
        <w:t>Roma Population</w:t>
      </w:r>
      <w:bookmarkEnd w:id="220"/>
    </w:p>
    <w:p w14:paraId="214BF47D" w14:textId="1E2124F1" w:rsidR="006714DA" w:rsidRPr="00175D8B" w:rsidRDefault="005F6E6B" w:rsidP="006714DA">
      <w:pPr>
        <w:spacing w:after="288"/>
      </w:pPr>
      <w:r w:rsidRPr="00175D8B">
        <w:t>Within the scope of the project, the Roma were evaluated as the ethnic group that stands out in terms of vulnerability. There are 14 non-governmental organizations in Adapazarı, Akyazı, Arifiye, Erenler, Ferizli, Geyve, Hendek, Karapürçek, Karasu, Kaynarca, Pamukova, Sapanca, Söğütlü and Taraklı districts of the Roma in Sakarya, and these non-governmental organizations are affiliated to the Sakarya Roma Federation.</w:t>
      </w:r>
    </w:p>
    <w:p w14:paraId="79EF1249" w14:textId="5C3301C8" w:rsidR="006714DA" w:rsidRPr="00175D8B" w:rsidRDefault="005F6E6B" w:rsidP="006714DA">
      <w:pPr>
        <w:spacing w:after="288"/>
      </w:pPr>
      <w:r w:rsidRPr="00175D8B">
        <w:rPr>
          <w:color w:val="000000"/>
        </w:rPr>
        <w:t xml:space="preserve">Roma population generally lives in the most disadvantaged areas and in the poorest districts of cities. The main policy areas that Roma should receive support from, which are stated in the “Strategy </w:t>
      </w:r>
      <w:r w:rsidRPr="00175D8B">
        <w:rPr>
          <w:color w:val="000000"/>
        </w:rPr>
        <w:lastRenderedPageBreak/>
        <w:t>Document for Roma Population” of the Ministry of Family and Social Policies, and the observations made during the preparation of the strategy document regarding these policy areas are as follows:</w:t>
      </w:r>
      <w:r w:rsidR="006714DA" w:rsidRPr="00175D8B">
        <w:rPr>
          <w:vertAlign w:val="superscript"/>
        </w:rPr>
        <w:footnoteReference w:id="18"/>
      </w:r>
    </w:p>
    <w:p w14:paraId="639D612B" w14:textId="24726E80" w:rsidR="006714DA" w:rsidRPr="00175D8B" w:rsidRDefault="005F6E6B">
      <w:pPr>
        <w:pStyle w:val="ListeParagraf"/>
        <w:numPr>
          <w:ilvl w:val="0"/>
          <w:numId w:val="46"/>
        </w:numPr>
        <w:rPr>
          <w:color w:val="000000"/>
        </w:rPr>
      </w:pPr>
      <w:r w:rsidRPr="00175D8B">
        <w:rPr>
          <w:b/>
          <w:bCs/>
          <w:color w:val="000000"/>
        </w:rPr>
        <w:t>Education:</w:t>
      </w:r>
      <w:r w:rsidRPr="00175D8B">
        <w:rPr>
          <w:color w:val="000000"/>
        </w:rPr>
        <w:t xml:space="preserve"> Roma children have limited access to educational opportunities and experience high levels of absenteeism. Some Roma children are unable to continue their education because their families cannot afford to pay for their education or they have to work to support their families, while some of the children who attend school drop out because they think they are facing social exclusion.</w:t>
      </w:r>
    </w:p>
    <w:p w14:paraId="4663E489" w14:textId="77777777" w:rsidR="005F6E6B" w:rsidRPr="00175D8B" w:rsidRDefault="005F6E6B">
      <w:pPr>
        <w:pStyle w:val="ListeParagraf"/>
        <w:numPr>
          <w:ilvl w:val="0"/>
          <w:numId w:val="46"/>
        </w:numPr>
        <w:rPr>
          <w:color w:val="000000"/>
        </w:rPr>
      </w:pPr>
      <w:r w:rsidRPr="00175D8B">
        <w:rPr>
          <w:b/>
          <w:bCs/>
          <w:color w:val="000000"/>
        </w:rPr>
        <w:t>Employment:</w:t>
      </w:r>
      <w:r w:rsidRPr="00175D8B">
        <w:rPr>
          <w:color w:val="000000"/>
        </w:rPr>
        <w:t xml:space="preserve"> There is not enough data on the situation of Roma population in the labor market. However, the general opinion and observations are that Roma population mostly work in precarious, unqualified and low-status jobs. Thus, their income is not regular and is far from satisfying the needs of their families.</w:t>
      </w:r>
    </w:p>
    <w:p w14:paraId="01432AD3" w14:textId="77777777" w:rsidR="005F6E6B" w:rsidRPr="00175D8B" w:rsidRDefault="005F6E6B">
      <w:pPr>
        <w:pStyle w:val="ListeParagraf"/>
        <w:numPr>
          <w:ilvl w:val="0"/>
          <w:numId w:val="46"/>
        </w:numPr>
        <w:rPr>
          <w:color w:val="000000"/>
        </w:rPr>
      </w:pPr>
      <w:r w:rsidRPr="00175D8B">
        <w:rPr>
          <w:b/>
          <w:bCs/>
          <w:color w:val="000000"/>
        </w:rPr>
        <w:t>Shelter:</w:t>
      </w:r>
      <w:r w:rsidRPr="00175D8B">
        <w:rPr>
          <w:color w:val="000000"/>
        </w:rPr>
        <w:t xml:space="preserve"> The houses they live in are physically inadequate. In fact, the Roma population mostly lives in makeshift shacks that they build themselves on public or private lands. In the urban transformation area projects carried out to improve the living environments of the Roma in the past, the fact that the houses were generally built far from the city center and multi-storey increased the integration and employment problems of the Roma population with the society.</w:t>
      </w:r>
    </w:p>
    <w:p w14:paraId="08CE85F8" w14:textId="77777777" w:rsidR="005F6E6B" w:rsidRPr="00175D8B" w:rsidRDefault="005F6E6B">
      <w:pPr>
        <w:pStyle w:val="ListeParagraf"/>
        <w:numPr>
          <w:ilvl w:val="0"/>
          <w:numId w:val="46"/>
        </w:numPr>
        <w:rPr>
          <w:color w:val="000000"/>
        </w:rPr>
      </w:pPr>
      <w:r w:rsidRPr="00175D8B">
        <w:rPr>
          <w:b/>
          <w:bCs/>
          <w:color w:val="000000"/>
        </w:rPr>
        <w:t>Health:</w:t>
      </w:r>
      <w:r w:rsidRPr="00175D8B">
        <w:rPr>
          <w:color w:val="000000"/>
        </w:rPr>
        <w:t xml:space="preserve"> Both the general health literacy of Roma population and—although varies from region to region—the level of awareness of health services they can benefit from is generally low.</w:t>
      </w:r>
    </w:p>
    <w:p w14:paraId="3430C4BD" w14:textId="03C2E2E7" w:rsidR="005F6E6B" w:rsidRPr="00175D8B" w:rsidRDefault="005F6E6B">
      <w:pPr>
        <w:pStyle w:val="ListeParagraf"/>
        <w:numPr>
          <w:ilvl w:val="0"/>
          <w:numId w:val="46"/>
        </w:numPr>
        <w:rPr>
          <w:color w:val="000000"/>
        </w:rPr>
      </w:pPr>
      <w:r w:rsidRPr="00175D8B">
        <w:rPr>
          <w:b/>
          <w:bCs/>
          <w:color w:val="000000"/>
        </w:rPr>
        <w:t>Social services and social assistance:</w:t>
      </w:r>
      <w:r w:rsidRPr="00175D8B">
        <w:rPr>
          <w:color w:val="000000"/>
        </w:rPr>
        <w:t xml:space="preserve"> The low employment level of Roma population and the fact that they work in temporary/precarious jobs bring along the risk of poverty. Since they do not have the ability to pay premiums, they are generally not included in the social insurance system and are not supported through the social service and assistance system.</w:t>
      </w:r>
    </w:p>
    <w:p w14:paraId="3C0EFDEB" w14:textId="19B20E98" w:rsidR="006714DA" w:rsidRPr="00175D8B" w:rsidRDefault="00A3215F" w:rsidP="006714DA">
      <w:pPr>
        <w:pStyle w:val="NormalWeb"/>
        <w:spacing w:line="360" w:lineRule="auto"/>
        <w:rPr>
          <w:rFonts w:ascii="Aptos" w:hAnsi="Aptos"/>
          <w:szCs w:val="22"/>
          <w:lang w:val="en-US"/>
        </w:rPr>
      </w:pPr>
      <w:r w:rsidRPr="00175D8B">
        <w:rPr>
          <w:rFonts w:ascii="Aptos" w:hAnsi="Aptos"/>
          <w:szCs w:val="22"/>
          <w:lang w:val="en-US"/>
        </w:rPr>
        <w:t xml:space="preserve">It is estimated that the Roma population in Sakarya province is approximately 65.7 thousand people. The district where the Roma population lives most densely is Adapazarı, followed by Erenler. The districts that do not have Roma settlement areas are Serdivan and Kocaali Districts. Roma neighborhoods exist in all other districts. It reveals that the Roma population in Sakarya province is concentrated in the central districts, while there is no settlement in rural and certain districts. Roma communities residing in Sakarya make their living mainly in areas such as musicianship, porter, shoe </w:t>
      </w:r>
      <w:r w:rsidRPr="00175D8B">
        <w:rPr>
          <w:rFonts w:ascii="Aptos" w:hAnsi="Aptos"/>
          <w:szCs w:val="22"/>
          <w:lang w:val="en-US"/>
        </w:rPr>
        <w:lastRenderedPageBreak/>
        <w:t>shiner, bundling and scrap collection. However, it is observed that Roma citizens do not benefit sufficiently from the socio-economic resources in the region. The work done by Roma citizens living in Sakarya province is generally unqualified</w:t>
      </w:r>
      <w:r w:rsidR="006714DA" w:rsidRPr="00175D8B">
        <w:rPr>
          <w:rFonts w:ascii="Aptos" w:hAnsi="Aptos"/>
          <w:szCs w:val="22"/>
          <w:lang w:val="en-US"/>
        </w:rPr>
        <w:t>.</w:t>
      </w:r>
      <w:r w:rsidR="006714DA" w:rsidRPr="00175D8B">
        <w:rPr>
          <w:rStyle w:val="DipnotBavurusu"/>
          <w:rFonts w:ascii="Aptos" w:hAnsi="Aptos"/>
          <w:lang w:val="en-US"/>
        </w:rPr>
        <w:footnoteReference w:id="19"/>
      </w:r>
    </w:p>
    <w:p w14:paraId="262FE575" w14:textId="3D626BEF" w:rsidR="006714DA" w:rsidRPr="00175D8B" w:rsidRDefault="00A3215F" w:rsidP="006714DA">
      <w:pPr>
        <w:spacing w:after="288"/>
      </w:pPr>
      <w:r w:rsidRPr="00175D8B">
        <w:t>The main considerations of Roma regarding urban transformation are</w:t>
      </w:r>
      <w:r w:rsidR="006714DA" w:rsidRPr="00175D8B">
        <w:rPr>
          <w:vertAlign w:val="superscript"/>
        </w:rPr>
        <w:footnoteReference w:id="20"/>
      </w:r>
      <w:r w:rsidR="006714DA" w:rsidRPr="00175D8B">
        <w:t xml:space="preserve"> :</w:t>
      </w:r>
    </w:p>
    <w:p w14:paraId="0F9D698B" w14:textId="77777777" w:rsidR="0075579D" w:rsidRPr="00175D8B" w:rsidRDefault="0075579D">
      <w:pPr>
        <w:numPr>
          <w:ilvl w:val="0"/>
          <w:numId w:val="67"/>
        </w:numPr>
        <w:pBdr>
          <w:top w:val="nil"/>
          <w:left w:val="nil"/>
          <w:bottom w:val="nil"/>
          <w:right w:val="nil"/>
          <w:between w:val="nil"/>
        </w:pBdr>
        <w:spacing w:before="120" w:after="0"/>
        <w:rPr>
          <w:rFonts w:eastAsia="Aptos" w:cs="Aptos"/>
          <w:color w:val="000000"/>
          <w:szCs w:val="22"/>
        </w:rPr>
      </w:pPr>
      <w:r w:rsidRPr="00175D8B">
        <w:rPr>
          <w:rFonts w:eastAsia="Aptos" w:cs="Aptos"/>
          <w:b/>
          <w:color w:val="000000"/>
          <w:szCs w:val="22"/>
        </w:rPr>
        <w:t>Lack of zoning plans</w:t>
      </w:r>
      <w:r w:rsidRPr="00175D8B">
        <w:rPr>
          <w:rFonts w:eastAsia="Aptos" w:cs="Aptos"/>
          <w:bCs/>
          <w:color w:val="000000"/>
          <w:szCs w:val="22"/>
        </w:rPr>
        <w:t xml:space="preserve"> Many</w:t>
      </w:r>
      <w:r w:rsidRPr="00175D8B">
        <w:rPr>
          <w:rFonts w:eastAsia="Aptos" w:cs="Aptos"/>
          <w:color w:val="000000"/>
          <w:szCs w:val="22"/>
        </w:rPr>
        <w:t xml:space="preserve"> neighborhoods where Roma are densely populated do not have a zoning plan.</w:t>
      </w:r>
    </w:p>
    <w:p w14:paraId="24E6A8DA" w14:textId="77777777" w:rsidR="0075579D" w:rsidRPr="00175D8B" w:rsidRDefault="0075579D">
      <w:pPr>
        <w:numPr>
          <w:ilvl w:val="0"/>
          <w:numId w:val="67"/>
        </w:numPr>
        <w:pBdr>
          <w:top w:val="nil"/>
          <w:left w:val="nil"/>
          <w:bottom w:val="nil"/>
          <w:right w:val="nil"/>
          <w:between w:val="nil"/>
        </w:pBdr>
        <w:spacing w:before="120" w:after="0"/>
        <w:rPr>
          <w:rFonts w:eastAsia="Aptos" w:cs="Aptos"/>
          <w:color w:val="000000" w:themeColor="text1"/>
          <w:szCs w:val="22"/>
        </w:rPr>
      </w:pPr>
      <w:r w:rsidRPr="00175D8B">
        <w:rPr>
          <w:rFonts w:eastAsia="Aptos" w:cs="Aptos"/>
          <w:b/>
          <w:color w:val="000000"/>
          <w:szCs w:val="22"/>
        </w:rPr>
        <w:t>Poor physical condition of buildings:</w:t>
      </w:r>
      <w:r w:rsidRPr="00175D8B">
        <w:rPr>
          <w:rFonts w:eastAsia="Aptos" w:cs="Aptos"/>
          <w:color w:val="000000"/>
          <w:szCs w:val="22"/>
        </w:rPr>
        <w:t xml:space="preserve"> Some Roma living in tents and barracks are vulnerable to natural disasters. In addition, although they do not live in tents and barracks, the buildings where some of the Roma live are in a very poor condition and should be reinforced in terms of earthquake risk.</w:t>
      </w:r>
    </w:p>
    <w:p w14:paraId="3FE8853E" w14:textId="77777777" w:rsidR="0075579D" w:rsidRPr="00175D8B" w:rsidRDefault="0075579D">
      <w:pPr>
        <w:numPr>
          <w:ilvl w:val="0"/>
          <w:numId w:val="45"/>
        </w:numPr>
        <w:pBdr>
          <w:top w:val="nil"/>
          <w:left w:val="nil"/>
          <w:bottom w:val="nil"/>
          <w:right w:val="nil"/>
          <w:between w:val="nil"/>
        </w:pBdr>
        <w:spacing w:before="120" w:after="160"/>
        <w:rPr>
          <w:rFonts w:eastAsia="Aptos" w:cs="Aptos"/>
          <w:color w:val="000000"/>
          <w:szCs w:val="22"/>
        </w:rPr>
      </w:pPr>
      <w:r w:rsidRPr="00175D8B">
        <w:rPr>
          <w:rFonts w:eastAsia="Aptos" w:cs="Aptos"/>
          <w:b/>
          <w:color w:val="000000"/>
          <w:szCs w:val="22"/>
        </w:rPr>
        <w:t>Risky buildings and risky areas:</w:t>
      </w:r>
      <w:r w:rsidRPr="00175D8B">
        <w:rPr>
          <w:rFonts w:eastAsia="Aptos" w:cs="Aptos"/>
          <w:color w:val="000000"/>
          <w:szCs w:val="22"/>
        </w:rPr>
        <w:t xml:space="preserve"> Although there are different opinions on this subject, it is generally seen that it is more appropriate to reconstruct existing risky buildings on the basis of buildings instead of areas in the transformation of risky buildings. In the implementations made on the basis of risky-area, the increase in the value of the newly constructed buildings causes social segregation and Roma cannot live in these buildings. In addition, they cannot continue their previous social life, which they were accustomed to, in these restructured regions, and their social networks are interrupted.</w:t>
      </w:r>
    </w:p>
    <w:p w14:paraId="3F64542F" w14:textId="53CB7CAB" w:rsidR="00B23424" w:rsidRPr="00175D8B" w:rsidRDefault="00B23424" w:rsidP="002550A6">
      <w:pPr>
        <w:pStyle w:val="Balk3"/>
        <w:numPr>
          <w:ilvl w:val="2"/>
          <w:numId w:val="153"/>
        </w:numPr>
      </w:pPr>
      <w:bookmarkStart w:id="221" w:name="_Toc212541876"/>
      <w:bookmarkStart w:id="222" w:name="_Toc212542387"/>
      <w:bookmarkStart w:id="223" w:name="_Toc220672792"/>
      <w:r w:rsidRPr="00175D8B">
        <w:t>Cultural Heritage</w:t>
      </w:r>
      <w:bookmarkEnd w:id="221"/>
      <w:bookmarkEnd w:id="222"/>
      <w:bookmarkEnd w:id="223"/>
      <w:r w:rsidRPr="00175D8B">
        <w:t xml:space="preserve"> </w:t>
      </w:r>
    </w:p>
    <w:p w14:paraId="1487A3D1" w14:textId="17904D5A" w:rsidR="00B23424" w:rsidRPr="00175D8B" w:rsidRDefault="00B23424" w:rsidP="00B23424">
      <w:pPr>
        <w:spacing w:after="288"/>
      </w:pPr>
      <w:r w:rsidRPr="00175D8B">
        <w:t>Sakarya is a</w:t>
      </w:r>
      <w:r w:rsidR="00A36866" w:rsidRPr="00175D8B">
        <w:t xml:space="preserve"> relatively</w:t>
      </w:r>
      <w:r w:rsidRPr="00175D8B">
        <w:t xml:space="preserve"> important city in terms of cultural heritage with its historical buildings, monuments, religious and civil architecture examples in the Marmara Region.</w:t>
      </w:r>
    </w:p>
    <w:p w14:paraId="65516330" w14:textId="6C0C6B24" w:rsidR="00B23424" w:rsidRPr="00175D8B" w:rsidRDefault="00B23424" w:rsidP="00B23424">
      <w:pPr>
        <w:spacing w:after="288"/>
      </w:pPr>
      <w:r w:rsidRPr="00175D8B">
        <w:t>The Cultural and Natural Heritage Protection Law (No. 2863) of Turkiye outlines a comprehensive framework for the identification, protection, and management of various types of protected areas that hold cultural and natural significance. The law defines several types of areas to be protected:</w:t>
      </w:r>
    </w:p>
    <w:p w14:paraId="7E570951" w14:textId="77777777" w:rsidR="00B23424" w:rsidRPr="00175D8B" w:rsidRDefault="00B23424" w:rsidP="00B23424">
      <w:pPr>
        <w:spacing w:after="288"/>
      </w:pPr>
      <w:r w:rsidRPr="00175D8B">
        <w:rPr>
          <w:b/>
          <w:bCs/>
        </w:rPr>
        <w:lastRenderedPageBreak/>
        <w:t>Archaeological Sites:</w:t>
      </w:r>
      <w:r w:rsidRPr="00175D8B">
        <w:t xml:space="preserve"> Areas containing remnants of past civilizations, including ruins, artifacts, and structures. These sites are carefully excavated and conserved, with restrictions on construction and development to prevent damage.</w:t>
      </w:r>
    </w:p>
    <w:p w14:paraId="6C0D634E" w14:textId="77777777" w:rsidR="00B23424" w:rsidRPr="00175D8B" w:rsidRDefault="00B23424" w:rsidP="00B23424">
      <w:pPr>
        <w:spacing w:after="288"/>
      </w:pPr>
      <w:r w:rsidRPr="00175D8B">
        <w:rPr>
          <w:b/>
          <w:bCs/>
        </w:rPr>
        <w:t>Historical Sites:</w:t>
      </w:r>
      <w:r w:rsidRPr="00175D8B">
        <w:t xml:space="preserve"> Locations with significant historical buildings, monuments, and structures. Efforts focus on preserving the architectural integrity and historical context, often through restoration projects and maintenance regulations.</w:t>
      </w:r>
    </w:p>
    <w:p w14:paraId="58A7A357" w14:textId="77777777" w:rsidR="00B23424" w:rsidRPr="00175D8B" w:rsidRDefault="00B23424" w:rsidP="00B23424">
      <w:pPr>
        <w:spacing w:after="288"/>
      </w:pPr>
      <w:r w:rsidRPr="00175D8B">
        <w:rPr>
          <w:b/>
          <w:bCs/>
        </w:rPr>
        <w:t>Urban Conservation Areas:</w:t>
      </w:r>
      <w:r w:rsidRPr="00175D8B">
        <w:t xml:space="preserve"> Sections of cities or towns with significant historical and cultural value, often featuring a concentration of heritage buildings. Regulations control alterations to buildings and urban development to maintain the area's historical character.</w:t>
      </w:r>
    </w:p>
    <w:p w14:paraId="4AB9B038" w14:textId="0A33B90A" w:rsidR="00B23424" w:rsidRPr="00175D8B" w:rsidRDefault="00B23424" w:rsidP="00B23424">
      <w:pPr>
        <w:spacing w:after="288"/>
      </w:pPr>
      <w:r w:rsidRPr="00175D8B">
        <w:rPr>
          <w:b/>
          <w:bCs/>
        </w:rPr>
        <w:t>Natural Sites:</w:t>
      </w:r>
      <w:r w:rsidRPr="00175D8B">
        <w:t xml:space="preserve"> Areas with unique natural features, landscapes, or ecosystems that have cultural or scientific importance. Conservation efforts include preserving the natural state, restricting harmful activities, and promoting sustainable use.</w:t>
      </w:r>
    </w:p>
    <w:p w14:paraId="5B7BDAF8" w14:textId="557D7FE5" w:rsidR="00B23424" w:rsidRPr="00175D8B" w:rsidRDefault="00B23424" w:rsidP="00581D6A">
      <w:pPr>
        <w:pStyle w:val="ListeParagraf"/>
        <w:spacing w:after="288"/>
        <w:ind w:left="0"/>
      </w:pPr>
      <w:r w:rsidRPr="00175D8B">
        <w:rPr>
          <w:b/>
          <w:bCs/>
        </w:rPr>
        <w:t>Mixed Areas:</w:t>
      </w:r>
      <w:r w:rsidRPr="00175D8B">
        <w:t xml:space="preserve"> Areas with both cultural and natural heritage values, such as landscapes with archaeological significance or historic rural areas.  Management strategies aim to balance the preservation of both natural and cultural elements, often integrating conservation practices for both types of heritage. Immovable cultural heritage values in Sakarya province are presented in </w:t>
      </w:r>
      <w:r w:rsidR="00A62E69" w:rsidRPr="00A62E69">
        <w:fldChar w:fldCharType="begin"/>
      </w:r>
      <w:r w:rsidR="00A62E69" w:rsidRPr="00A62E69">
        <w:instrText xml:space="preserve"> REF _Ref214635634 \h  \* MERGEFORMAT </w:instrText>
      </w:r>
      <w:r w:rsidR="00A62E69" w:rsidRPr="00A62E69">
        <w:fldChar w:fldCharType="separate"/>
      </w:r>
      <w:r w:rsidR="00A62E69" w:rsidRPr="00A62E69">
        <w:t xml:space="preserve">Table </w:t>
      </w:r>
      <w:r w:rsidR="00A62E69" w:rsidRPr="00A62E69">
        <w:rPr>
          <w:noProof/>
        </w:rPr>
        <w:t>17</w:t>
      </w:r>
      <w:r w:rsidR="00A62E69" w:rsidRPr="00A62E69">
        <w:fldChar w:fldCharType="end"/>
      </w:r>
      <w:r w:rsidRPr="00175D8B">
        <w:t xml:space="preserve">, and protected areas are presented in </w:t>
      </w:r>
      <w:r w:rsidR="00A62E69" w:rsidRPr="00A62E69">
        <w:fldChar w:fldCharType="begin"/>
      </w:r>
      <w:r w:rsidR="00A62E69" w:rsidRPr="00A62E69">
        <w:instrText xml:space="preserve"> REF _Ref214635697 \h  \* MERGEFORMAT </w:instrText>
      </w:r>
      <w:r w:rsidR="00A62E69" w:rsidRPr="00A62E69">
        <w:fldChar w:fldCharType="separate"/>
      </w:r>
      <w:r w:rsidR="00A62E69" w:rsidRPr="00A62E69">
        <w:t xml:space="preserve">Table </w:t>
      </w:r>
      <w:r w:rsidR="00A62E69" w:rsidRPr="00A62E69">
        <w:rPr>
          <w:noProof/>
        </w:rPr>
        <w:t>18</w:t>
      </w:r>
      <w:r w:rsidR="00A62E69" w:rsidRPr="00A62E69">
        <w:fldChar w:fldCharType="end"/>
      </w:r>
      <w:r w:rsidR="00A62E69" w:rsidRPr="00A62E69">
        <w:t>.</w:t>
      </w:r>
    </w:p>
    <w:p w14:paraId="2867FABB" w14:textId="426F775B" w:rsidR="00581D6A" w:rsidRPr="00175D8B" w:rsidRDefault="00581D6A" w:rsidP="006C58C5">
      <w:pPr>
        <w:pStyle w:val="ResimYazs"/>
        <w:keepNext/>
        <w:jc w:val="center"/>
      </w:pPr>
      <w:bookmarkStart w:id="224" w:name="_Ref214635634"/>
      <w:bookmarkStart w:id="225" w:name="_Toc216344434"/>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17</w:t>
      </w:r>
      <w:r w:rsidRPr="006C58C5">
        <w:rPr>
          <w:b/>
          <w:bCs/>
        </w:rPr>
        <w:fldChar w:fldCharType="end"/>
      </w:r>
      <w:bookmarkEnd w:id="224"/>
      <w:r w:rsidRPr="006C58C5">
        <w:rPr>
          <w:b/>
          <w:bCs/>
        </w:rPr>
        <w:t>:</w:t>
      </w:r>
      <w:r w:rsidRPr="00175D8B">
        <w:t xml:space="preserve"> </w:t>
      </w:r>
      <w:r w:rsidRPr="00175D8B">
        <w:rPr>
          <w:rFonts w:eastAsia="Aptos" w:cs="Aptos"/>
          <w:color w:val="000000"/>
          <w:szCs w:val="20"/>
        </w:rPr>
        <w:t>In Sakarya Province Immovable Cultural Assets</w:t>
      </w:r>
      <w:bookmarkEnd w:id="225"/>
    </w:p>
    <w:tbl>
      <w:tblPr>
        <w:tblW w:w="907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248"/>
        <w:gridCol w:w="1824"/>
      </w:tblGrid>
      <w:tr w:rsidR="00B23424" w:rsidRPr="00175D8B" w14:paraId="0082B341" w14:textId="77777777" w:rsidTr="002550A6">
        <w:trPr>
          <w:trHeight w:val="300"/>
          <w:jc w:val="center"/>
        </w:trPr>
        <w:tc>
          <w:tcPr>
            <w:tcW w:w="7248" w:type="dxa"/>
            <w:shd w:val="clear" w:color="auto" w:fill="ACB9CA" w:themeFill="text2" w:themeFillTint="66"/>
            <w:vAlign w:val="center"/>
          </w:tcPr>
          <w:p w14:paraId="398C41C6" w14:textId="77777777" w:rsidR="00B23424" w:rsidRPr="00175D8B" w:rsidRDefault="00B23424" w:rsidP="002657EF">
            <w:pPr>
              <w:spacing w:before="120" w:after="0"/>
              <w:jc w:val="left"/>
              <w:rPr>
                <w:rFonts w:eastAsia="Aptos" w:cs="Aptos"/>
                <w:color w:val="000000" w:themeColor="text1"/>
                <w:sz w:val="20"/>
                <w:szCs w:val="20"/>
              </w:rPr>
            </w:pPr>
            <w:r w:rsidRPr="00175D8B">
              <w:rPr>
                <w:rFonts w:eastAsia="Aptos" w:cs="Aptos"/>
                <w:b/>
                <w:bCs/>
                <w:color w:val="000000" w:themeColor="text1"/>
                <w:sz w:val="20"/>
                <w:szCs w:val="20"/>
              </w:rPr>
              <w:t>Immovable Cultural Heritage</w:t>
            </w:r>
          </w:p>
        </w:tc>
        <w:tc>
          <w:tcPr>
            <w:tcW w:w="1824" w:type="dxa"/>
            <w:shd w:val="clear" w:color="auto" w:fill="ACB9CA" w:themeFill="text2" w:themeFillTint="66"/>
            <w:vAlign w:val="center"/>
          </w:tcPr>
          <w:p w14:paraId="54C40F10" w14:textId="77777777" w:rsidR="00B23424" w:rsidRPr="00175D8B" w:rsidRDefault="00B23424" w:rsidP="002550A6">
            <w:pPr>
              <w:spacing w:before="120" w:after="0" w:line="240" w:lineRule="auto"/>
              <w:jc w:val="center"/>
              <w:rPr>
                <w:rFonts w:eastAsia="Aptos" w:cs="Aptos"/>
                <w:b/>
                <w:bCs/>
                <w:color w:val="000000" w:themeColor="text1"/>
                <w:sz w:val="20"/>
                <w:szCs w:val="20"/>
              </w:rPr>
            </w:pPr>
            <w:r w:rsidRPr="00175D8B">
              <w:rPr>
                <w:rFonts w:eastAsia="Aptos" w:cs="Aptos"/>
                <w:b/>
                <w:bCs/>
                <w:color w:val="000000" w:themeColor="text1"/>
                <w:sz w:val="20"/>
                <w:szCs w:val="20"/>
              </w:rPr>
              <w:t>Number</w:t>
            </w:r>
          </w:p>
        </w:tc>
      </w:tr>
      <w:tr w:rsidR="00B23424" w:rsidRPr="00175D8B" w14:paraId="2254BDFD" w14:textId="77777777" w:rsidTr="00DF417A">
        <w:trPr>
          <w:jc w:val="center"/>
        </w:trPr>
        <w:tc>
          <w:tcPr>
            <w:tcW w:w="7248" w:type="dxa"/>
            <w:shd w:val="clear" w:color="auto" w:fill="F2F2F2" w:themeFill="background1" w:themeFillShade="F2"/>
            <w:vAlign w:val="bottom"/>
          </w:tcPr>
          <w:p w14:paraId="3123814E" w14:textId="77777777" w:rsidR="00B23424" w:rsidRPr="00175D8B" w:rsidRDefault="00B23424" w:rsidP="00B23424">
            <w:pPr>
              <w:spacing w:before="120" w:after="288" w:line="240" w:lineRule="auto"/>
              <w:jc w:val="left"/>
              <w:rPr>
                <w:rFonts w:eastAsia="Aptos" w:cs="Aptos"/>
                <w:color w:val="000000" w:themeColor="text1"/>
                <w:sz w:val="20"/>
                <w:szCs w:val="20"/>
              </w:rPr>
            </w:pPr>
            <w:r w:rsidRPr="00175D8B">
              <w:rPr>
                <w:rFonts w:eastAsia="Aptos" w:cs="Aptos"/>
                <w:color w:val="000000" w:themeColor="text1"/>
                <w:sz w:val="20"/>
                <w:szCs w:val="20"/>
              </w:rPr>
              <w:t>Administrative Structures</w:t>
            </w:r>
          </w:p>
        </w:tc>
        <w:tc>
          <w:tcPr>
            <w:tcW w:w="1824" w:type="dxa"/>
            <w:shd w:val="clear" w:color="auto" w:fill="F2F2F2" w:themeFill="background1" w:themeFillShade="F2"/>
            <w:vAlign w:val="bottom"/>
          </w:tcPr>
          <w:p w14:paraId="3A246C1F" w14:textId="77777777" w:rsidR="00B23424" w:rsidRPr="00175D8B" w:rsidRDefault="00B23424" w:rsidP="00B23424">
            <w:pPr>
              <w:spacing w:before="120" w:after="288" w:line="240" w:lineRule="auto"/>
              <w:ind w:left="567"/>
              <w:jc w:val="left"/>
              <w:rPr>
                <w:rFonts w:eastAsia="Aptos" w:cs="Aptos"/>
                <w:color w:val="000000" w:themeColor="text1"/>
                <w:sz w:val="20"/>
                <w:szCs w:val="20"/>
              </w:rPr>
            </w:pPr>
            <w:r w:rsidRPr="00175D8B">
              <w:rPr>
                <w:rFonts w:eastAsia="Aptos" w:cs="Aptos"/>
                <w:color w:val="000000" w:themeColor="text1"/>
                <w:sz w:val="20"/>
                <w:szCs w:val="20"/>
              </w:rPr>
              <w:t>24</w:t>
            </w:r>
          </w:p>
        </w:tc>
      </w:tr>
      <w:tr w:rsidR="00B23424" w:rsidRPr="00175D8B" w14:paraId="2A460DF9" w14:textId="77777777" w:rsidTr="00DF417A">
        <w:trPr>
          <w:jc w:val="center"/>
        </w:trPr>
        <w:tc>
          <w:tcPr>
            <w:tcW w:w="7248" w:type="dxa"/>
            <w:shd w:val="clear" w:color="auto" w:fill="F2F2F2" w:themeFill="background1" w:themeFillShade="F2"/>
            <w:vAlign w:val="bottom"/>
          </w:tcPr>
          <w:p w14:paraId="2809511A" w14:textId="77777777" w:rsidR="00B23424" w:rsidRPr="00175D8B" w:rsidRDefault="00B23424" w:rsidP="00B23424">
            <w:pPr>
              <w:spacing w:before="120" w:after="288"/>
              <w:jc w:val="left"/>
              <w:rPr>
                <w:rFonts w:eastAsia="Aptos" w:cs="Aptos"/>
                <w:color w:val="000000" w:themeColor="text1"/>
                <w:szCs w:val="22"/>
              </w:rPr>
            </w:pPr>
            <w:r w:rsidRPr="00175D8B">
              <w:rPr>
                <w:rFonts w:eastAsia="Aptos" w:cs="Aptos"/>
                <w:color w:val="000000" w:themeColor="text1"/>
                <w:sz w:val="20"/>
                <w:szCs w:val="20"/>
              </w:rPr>
              <w:t>Cultural Structures</w:t>
            </w:r>
          </w:p>
        </w:tc>
        <w:tc>
          <w:tcPr>
            <w:tcW w:w="1824" w:type="dxa"/>
            <w:shd w:val="clear" w:color="auto" w:fill="F2F2F2" w:themeFill="background1" w:themeFillShade="F2"/>
            <w:vAlign w:val="bottom"/>
          </w:tcPr>
          <w:p w14:paraId="08792326" w14:textId="77777777" w:rsidR="00B23424" w:rsidRPr="00175D8B" w:rsidRDefault="00B23424" w:rsidP="00B23424">
            <w:pPr>
              <w:spacing w:before="120" w:after="288" w:line="240" w:lineRule="auto"/>
              <w:ind w:left="567"/>
              <w:jc w:val="left"/>
              <w:rPr>
                <w:rFonts w:eastAsia="Aptos" w:cs="Aptos"/>
                <w:color w:val="000000" w:themeColor="text1"/>
                <w:sz w:val="20"/>
                <w:szCs w:val="20"/>
              </w:rPr>
            </w:pPr>
            <w:r w:rsidRPr="00175D8B">
              <w:rPr>
                <w:rFonts w:eastAsia="Aptos" w:cs="Aptos"/>
                <w:color w:val="000000" w:themeColor="text1"/>
                <w:sz w:val="20"/>
                <w:szCs w:val="20"/>
              </w:rPr>
              <w:t>44</w:t>
            </w:r>
          </w:p>
        </w:tc>
      </w:tr>
      <w:tr w:rsidR="00B23424" w:rsidRPr="00175D8B" w14:paraId="290C3248" w14:textId="77777777" w:rsidTr="00DF417A">
        <w:trPr>
          <w:jc w:val="center"/>
        </w:trPr>
        <w:tc>
          <w:tcPr>
            <w:tcW w:w="7248" w:type="dxa"/>
            <w:shd w:val="clear" w:color="auto" w:fill="F2F2F2" w:themeFill="background1" w:themeFillShade="F2"/>
            <w:vAlign w:val="bottom"/>
          </w:tcPr>
          <w:p w14:paraId="5C92C087" w14:textId="77777777" w:rsidR="00B23424" w:rsidRPr="00175D8B" w:rsidRDefault="00B23424" w:rsidP="00B23424">
            <w:pPr>
              <w:spacing w:before="120" w:after="288"/>
              <w:jc w:val="left"/>
              <w:rPr>
                <w:rFonts w:eastAsia="Aptos" w:cs="Aptos"/>
                <w:color w:val="000000" w:themeColor="text1"/>
                <w:szCs w:val="22"/>
              </w:rPr>
            </w:pPr>
            <w:r w:rsidRPr="00175D8B">
              <w:rPr>
                <w:rFonts w:eastAsia="Aptos" w:cs="Aptos"/>
                <w:color w:val="000000" w:themeColor="text1"/>
                <w:sz w:val="20"/>
                <w:szCs w:val="20"/>
              </w:rPr>
              <w:t>Martyrs' Cemetery</w:t>
            </w:r>
          </w:p>
        </w:tc>
        <w:tc>
          <w:tcPr>
            <w:tcW w:w="1824" w:type="dxa"/>
            <w:shd w:val="clear" w:color="auto" w:fill="F2F2F2" w:themeFill="background1" w:themeFillShade="F2"/>
            <w:vAlign w:val="bottom"/>
          </w:tcPr>
          <w:p w14:paraId="04F0E84B" w14:textId="77777777" w:rsidR="00B23424" w:rsidRPr="00175D8B" w:rsidRDefault="00B23424" w:rsidP="00B23424">
            <w:pPr>
              <w:spacing w:before="120" w:after="288" w:line="240" w:lineRule="auto"/>
              <w:ind w:left="567"/>
              <w:jc w:val="left"/>
              <w:rPr>
                <w:rFonts w:eastAsia="Aptos" w:cs="Aptos"/>
                <w:color w:val="000000" w:themeColor="text1"/>
                <w:sz w:val="20"/>
                <w:szCs w:val="20"/>
              </w:rPr>
            </w:pPr>
            <w:r w:rsidRPr="00175D8B">
              <w:rPr>
                <w:rFonts w:eastAsia="Aptos" w:cs="Aptos"/>
                <w:color w:val="000000" w:themeColor="text1"/>
                <w:sz w:val="20"/>
                <w:szCs w:val="20"/>
              </w:rPr>
              <w:t>4</w:t>
            </w:r>
          </w:p>
        </w:tc>
      </w:tr>
      <w:tr w:rsidR="00B23424" w:rsidRPr="00175D8B" w14:paraId="0092EDC8" w14:textId="77777777" w:rsidTr="00DF417A">
        <w:trPr>
          <w:jc w:val="center"/>
        </w:trPr>
        <w:tc>
          <w:tcPr>
            <w:tcW w:w="7248" w:type="dxa"/>
            <w:shd w:val="clear" w:color="auto" w:fill="F2F2F2" w:themeFill="background1" w:themeFillShade="F2"/>
            <w:vAlign w:val="bottom"/>
          </w:tcPr>
          <w:p w14:paraId="53F1AE00" w14:textId="77777777" w:rsidR="00B23424" w:rsidRPr="00175D8B" w:rsidRDefault="00B23424" w:rsidP="00B23424">
            <w:pPr>
              <w:spacing w:before="120" w:after="288"/>
              <w:jc w:val="left"/>
              <w:rPr>
                <w:rFonts w:eastAsia="Aptos" w:cs="Aptos"/>
                <w:color w:val="000000" w:themeColor="text1"/>
                <w:szCs w:val="22"/>
              </w:rPr>
            </w:pPr>
            <w:r w:rsidRPr="00175D8B">
              <w:rPr>
                <w:rFonts w:eastAsia="Aptos" w:cs="Aptos"/>
                <w:color w:val="000000" w:themeColor="text1"/>
                <w:sz w:val="20"/>
                <w:szCs w:val="20"/>
              </w:rPr>
              <w:t>Military Buildings</w:t>
            </w:r>
          </w:p>
        </w:tc>
        <w:tc>
          <w:tcPr>
            <w:tcW w:w="1824" w:type="dxa"/>
            <w:shd w:val="clear" w:color="auto" w:fill="F2F2F2" w:themeFill="background1" w:themeFillShade="F2"/>
            <w:vAlign w:val="bottom"/>
          </w:tcPr>
          <w:p w14:paraId="79AD1887" w14:textId="77777777" w:rsidR="00B23424" w:rsidRPr="00175D8B" w:rsidRDefault="00B23424" w:rsidP="00B23424">
            <w:pPr>
              <w:spacing w:before="120" w:after="288" w:line="240" w:lineRule="auto"/>
              <w:ind w:left="567"/>
              <w:jc w:val="left"/>
              <w:rPr>
                <w:rFonts w:eastAsia="Aptos" w:cs="Aptos"/>
                <w:color w:val="000000" w:themeColor="text1"/>
                <w:sz w:val="20"/>
                <w:szCs w:val="20"/>
              </w:rPr>
            </w:pPr>
            <w:r w:rsidRPr="00175D8B">
              <w:rPr>
                <w:rFonts w:eastAsia="Aptos" w:cs="Aptos"/>
                <w:color w:val="000000" w:themeColor="text1"/>
                <w:sz w:val="20"/>
                <w:szCs w:val="20"/>
              </w:rPr>
              <w:t>19</w:t>
            </w:r>
          </w:p>
        </w:tc>
      </w:tr>
      <w:tr w:rsidR="00B23424" w:rsidRPr="00175D8B" w14:paraId="03CC3451" w14:textId="77777777" w:rsidTr="00DF417A">
        <w:trPr>
          <w:jc w:val="center"/>
        </w:trPr>
        <w:tc>
          <w:tcPr>
            <w:tcW w:w="7248" w:type="dxa"/>
            <w:shd w:val="clear" w:color="auto" w:fill="F2F2F2" w:themeFill="background1" w:themeFillShade="F2"/>
            <w:vAlign w:val="bottom"/>
          </w:tcPr>
          <w:p w14:paraId="1FB8B327" w14:textId="77777777" w:rsidR="00B23424" w:rsidRPr="00175D8B" w:rsidRDefault="00B23424" w:rsidP="00B23424">
            <w:pPr>
              <w:spacing w:before="120" w:after="288" w:line="240" w:lineRule="auto"/>
              <w:jc w:val="left"/>
              <w:rPr>
                <w:rFonts w:eastAsia="Aptos" w:cs="Aptos"/>
                <w:color w:val="000000" w:themeColor="text1"/>
                <w:sz w:val="20"/>
                <w:szCs w:val="20"/>
              </w:rPr>
            </w:pPr>
            <w:r w:rsidRPr="00175D8B">
              <w:rPr>
                <w:rFonts w:eastAsia="Aptos" w:cs="Aptos"/>
                <w:color w:val="000000" w:themeColor="text1"/>
                <w:sz w:val="20"/>
                <w:szCs w:val="20"/>
              </w:rPr>
              <w:t>Industrial and Commercial Buildings</w:t>
            </w:r>
          </w:p>
        </w:tc>
        <w:tc>
          <w:tcPr>
            <w:tcW w:w="1824" w:type="dxa"/>
            <w:shd w:val="clear" w:color="auto" w:fill="F2F2F2" w:themeFill="background1" w:themeFillShade="F2"/>
            <w:vAlign w:val="bottom"/>
          </w:tcPr>
          <w:p w14:paraId="0BBD9A11" w14:textId="77777777" w:rsidR="00B23424" w:rsidRPr="00175D8B" w:rsidRDefault="00B23424" w:rsidP="00B23424">
            <w:pPr>
              <w:spacing w:before="120" w:after="288" w:line="240" w:lineRule="auto"/>
              <w:ind w:left="567"/>
              <w:jc w:val="left"/>
              <w:rPr>
                <w:rFonts w:eastAsia="Aptos" w:cs="Aptos"/>
                <w:color w:val="000000" w:themeColor="text1"/>
                <w:sz w:val="20"/>
                <w:szCs w:val="20"/>
              </w:rPr>
            </w:pPr>
            <w:r w:rsidRPr="00175D8B">
              <w:rPr>
                <w:rFonts w:eastAsia="Aptos" w:cs="Aptos"/>
                <w:color w:val="000000" w:themeColor="text1"/>
                <w:sz w:val="20"/>
                <w:szCs w:val="20"/>
              </w:rPr>
              <w:t>49</w:t>
            </w:r>
          </w:p>
        </w:tc>
      </w:tr>
      <w:tr w:rsidR="00B23424" w:rsidRPr="00175D8B" w14:paraId="65AECB18" w14:textId="77777777" w:rsidTr="00DF417A">
        <w:trPr>
          <w:jc w:val="center"/>
        </w:trPr>
        <w:tc>
          <w:tcPr>
            <w:tcW w:w="7248" w:type="dxa"/>
            <w:shd w:val="clear" w:color="auto" w:fill="F2F2F2" w:themeFill="background1" w:themeFillShade="F2"/>
            <w:vAlign w:val="bottom"/>
          </w:tcPr>
          <w:p w14:paraId="4BFFB0C0" w14:textId="77777777" w:rsidR="00B23424" w:rsidRPr="00175D8B" w:rsidRDefault="00B23424" w:rsidP="00B23424">
            <w:pPr>
              <w:spacing w:before="120" w:after="288"/>
              <w:jc w:val="left"/>
              <w:rPr>
                <w:rFonts w:eastAsia="Aptos" w:cs="Aptos"/>
                <w:color w:val="000000" w:themeColor="text1"/>
                <w:szCs w:val="22"/>
              </w:rPr>
            </w:pPr>
            <w:r w:rsidRPr="00175D8B">
              <w:rPr>
                <w:rFonts w:eastAsia="Aptos" w:cs="Aptos"/>
                <w:color w:val="000000" w:themeColor="text1"/>
                <w:sz w:val="20"/>
                <w:szCs w:val="20"/>
              </w:rPr>
              <w:lastRenderedPageBreak/>
              <w:t>Religious Structures</w:t>
            </w:r>
          </w:p>
        </w:tc>
        <w:tc>
          <w:tcPr>
            <w:tcW w:w="1824" w:type="dxa"/>
            <w:shd w:val="clear" w:color="auto" w:fill="F2F2F2" w:themeFill="background1" w:themeFillShade="F2"/>
            <w:vAlign w:val="bottom"/>
          </w:tcPr>
          <w:p w14:paraId="2B2C831D" w14:textId="77777777" w:rsidR="00B23424" w:rsidRPr="00175D8B" w:rsidRDefault="00B23424" w:rsidP="00B23424">
            <w:pPr>
              <w:spacing w:before="120" w:after="288" w:line="240" w:lineRule="auto"/>
              <w:ind w:left="567"/>
              <w:jc w:val="left"/>
              <w:rPr>
                <w:rFonts w:eastAsia="Aptos" w:cs="Aptos"/>
                <w:color w:val="000000" w:themeColor="text1"/>
                <w:sz w:val="20"/>
                <w:szCs w:val="20"/>
              </w:rPr>
            </w:pPr>
            <w:r w:rsidRPr="00175D8B">
              <w:rPr>
                <w:rFonts w:eastAsia="Aptos" w:cs="Aptos"/>
                <w:color w:val="000000" w:themeColor="text1"/>
                <w:sz w:val="20"/>
                <w:szCs w:val="20"/>
              </w:rPr>
              <w:t>55</w:t>
            </w:r>
          </w:p>
        </w:tc>
      </w:tr>
      <w:tr w:rsidR="00B23424" w:rsidRPr="00175D8B" w14:paraId="25E55F24" w14:textId="77777777" w:rsidTr="00DF417A">
        <w:trPr>
          <w:jc w:val="center"/>
        </w:trPr>
        <w:tc>
          <w:tcPr>
            <w:tcW w:w="7248" w:type="dxa"/>
            <w:shd w:val="clear" w:color="auto" w:fill="F2F2F2" w:themeFill="background1" w:themeFillShade="F2"/>
            <w:vAlign w:val="bottom"/>
          </w:tcPr>
          <w:p w14:paraId="7DB25692" w14:textId="77777777" w:rsidR="00B23424" w:rsidRPr="00175D8B" w:rsidRDefault="00B23424" w:rsidP="00B23424">
            <w:pPr>
              <w:spacing w:before="120" w:after="288" w:line="240" w:lineRule="auto"/>
              <w:jc w:val="left"/>
              <w:rPr>
                <w:rFonts w:eastAsia="Aptos" w:cs="Aptos"/>
                <w:color w:val="000000" w:themeColor="text1"/>
                <w:sz w:val="20"/>
                <w:szCs w:val="20"/>
              </w:rPr>
            </w:pPr>
            <w:r w:rsidRPr="00175D8B">
              <w:rPr>
                <w:rFonts w:eastAsia="Aptos" w:cs="Aptos"/>
                <w:color w:val="000000" w:themeColor="text1"/>
                <w:sz w:val="20"/>
                <w:szCs w:val="20"/>
              </w:rPr>
              <w:t>Cemeteries</w:t>
            </w:r>
          </w:p>
        </w:tc>
        <w:tc>
          <w:tcPr>
            <w:tcW w:w="1824" w:type="dxa"/>
            <w:shd w:val="clear" w:color="auto" w:fill="F2F2F2" w:themeFill="background1" w:themeFillShade="F2"/>
            <w:vAlign w:val="bottom"/>
          </w:tcPr>
          <w:p w14:paraId="3DB00CBC" w14:textId="77777777" w:rsidR="00B23424" w:rsidRPr="00175D8B" w:rsidRDefault="00B23424" w:rsidP="00B23424">
            <w:pPr>
              <w:spacing w:before="120" w:after="288" w:line="240" w:lineRule="auto"/>
              <w:ind w:left="567"/>
              <w:jc w:val="left"/>
              <w:rPr>
                <w:rFonts w:eastAsia="Aptos" w:cs="Aptos"/>
                <w:color w:val="000000" w:themeColor="text1"/>
                <w:sz w:val="20"/>
                <w:szCs w:val="20"/>
              </w:rPr>
            </w:pPr>
            <w:r w:rsidRPr="00175D8B">
              <w:rPr>
                <w:rFonts w:eastAsia="Aptos" w:cs="Aptos"/>
                <w:color w:val="000000" w:themeColor="text1"/>
                <w:sz w:val="20"/>
                <w:szCs w:val="20"/>
              </w:rPr>
              <w:t>58</w:t>
            </w:r>
          </w:p>
        </w:tc>
      </w:tr>
      <w:tr w:rsidR="00B23424" w:rsidRPr="00175D8B" w14:paraId="4B3FF63F" w14:textId="77777777" w:rsidTr="00DF417A">
        <w:trPr>
          <w:jc w:val="center"/>
        </w:trPr>
        <w:tc>
          <w:tcPr>
            <w:tcW w:w="7248" w:type="dxa"/>
            <w:shd w:val="clear" w:color="auto" w:fill="F2F2F2" w:themeFill="background1" w:themeFillShade="F2"/>
            <w:vAlign w:val="bottom"/>
          </w:tcPr>
          <w:p w14:paraId="6B7FAF8F" w14:textId="77777777" w:rsidR="00B23424" w:rsidRPr="00175D8B" w:rsidRDefault="00B23424" w:rsidP="00B23424">
            <w:pPr>
              <w:spacing w:before="120" w:after="288"/>
              <w:jc w:val="left"/>
              <w:rPr>
                <w:rFonts w:eastAsia="Aptos" w:cs="Aptos"/>
                <w:color w:val="000000" w:themeColor="text1"/>
                <w:szCs w:val="22"/>
              </w:rPr>
            </w:pPr>
            <w:r w:rsidRPr="00175D8B">
              <w:rPr>
                <w:rFonts w:eastAsia="Aptos" w:cs="Aptos"/>
                <w:color w:val="000000" w:themeColor="text1"/>
                <w:sz w:val="20"/>
                <w:szCs w:val="20"/>
              </w:rPr>
              <w:t>Civil Architecture Example</w:t>
            </w:r>
          </w:p>
        </w:tc>
        <w:tc>
          <w:tcPr>
            <w:tcW w:w="1824" w:type="dxa"/>
            <w:shd w:val="clear" w:color="auto" w:fill="F2F2F2" w:themeFill="background1" w:themeFillShade="F2"/>
            <w:vAlign w:val="bottom"/>
          </w:tcPr>
          <w:p w14:paraId="1C7EE5BB" w14:textId="77777777" w:rsidR="00B23424" w:rsidRPr="00175D8B" w:rsidRDefault="00B23424" w:rsidP="00B23424">
            <w:pPr>
              <w:spacing w:before="120" w:after="288" w:line="240" w:lineRule="auto"/>
              <w:ind w:left="567"/>
              <w:jc w:val="left"/>
              <w:rPr>
                <w:rFonts w:eastAsia="Aptos" w:cs="Aptos"/>
                <w:color w:val="000000" w:themeColor="text1"/>
                <w:sz w:val="20"/>
                <w:szCs w:val="20"/>
              </w:rPr>
            </w:pPr>
            <w:r w:rsidRPr="00175D8B">
              <w:rPr>
                <w:rFonts w:eastAsia="Aptos" w:cs="Aptos"/>
                <w:color w:val="000000" w:themeColor="text1"/>
                <w:sz w:val="20"/>
                <w:szCs w:val="20"/>
              </w:rPr>
              <w:t>323</w:t>
            </w:r>
          </w:p>
        </w:tc>
      </w:tr>
      <w:tr w:rsidR="00B23424" w:rsidRPr="00175D8B" w14:paraId="673357C3" w14:textId="77777777" w:rsidTr="00DF417A">
        <w:trPr>
          <w:jc w:val="center"/>
        </w:trPr>
        <w:tc>
          <w:tcPr>
            <w:tcW w:w="7248" w:type="dxa"/>
            <w:shd w:val="clear" w:color="auto" w:fill="F2F2F2" w:themeFill="background1" w:themeFillShade="F2"/>
            <w:vAlign w:val="bottom"/>
          </w:tcPr>
          <w:p w14:paraId="6FD6BB61" w14:textId="77777777" w:rsidR="00B23424" w:rsidRPr="00175D8B" w:rsidRDefault="00B23424" w:rsidP="00B23424">
            <w:pPr>
              <w:spacing w:before="120" w:after="288" w:line="240" w:lineRule="auto"/>
              <w:jc w:val="left"/>
              <w:rPr>
                <w:rFonts w:eastAsia="Aptos" w:cs="Aptos"/>
                <w:color w:val="000000" w:themeColor="text1"/>
                <w:sz w:val="20"/>
                <w:szCs w:val="20"/>
              </w:rPr>
            </w:pPr>
            <w:r w:rsidRPr="00175D8B">
              <w:rPr>
                <w:rFonts w:eastAsia="Aptos" w:cs="Aptos"/>
                <w:color w:val="000000" w:themeColor="text1"/>
                <w:sz w:val="20"/>
                <w:szCs w:val="20"/>
              </w:rPr>
              <w:t>Remains</w:t>
            </w:r>
          </w:p>
        </w:tc>
        <w:tc>
          <w:tcPr>
            <w:tcW w:w="1824" w:type="dxa"/>
            <w:shd w:val="clear" w:color="auto" w:fill="F2F2F2" w:themeFill="background1" w:themeFillShade="F2"/>
            <w:vAlign w:val="bottom"/>
          </w:tcPr>
          <w:p w14:paraId="1BDF790B" w14:textId="77777777" w:rsidR="00B23424" w:rsidRPr="00175D8B" w:rsidRDefault="00B23424" w:rsidP="00B23424">
            <w:pPr>
              <w:spacing w:before="120" w:after="288" w:line="240" w:lineRule="auto"/>
              <w:ind w:left="567"/>
              <w:jc w:val="left"/>
              <w:rPr>
                <w:rFonts w:eastAsia="Aptos" w:cs="Aptos"/>
                <w:color w:val="000000" w:themeColor="text1"/>
                <w:sz w:val="20"/>
                <w:szCs w:val="20"/>
              </w:rPr>
            </w:pPr>
            <w:r w:rsidRPr="00175D8B">
              <w:rPr>
                <w:rFonts w:eastAsia="Aptos" w:cs="Aptos"/>
                <w:color w:val="000000" w:themeColor="text1"/>
                <w:sz w:val="20"/>
                <w:szCs w:val="20"/>
              </w:rPr>
              <w:t>15</w:t>
            </w:r>
          </w:p>
        </w:tc>
      </w:tr>
      <w:tr w:rsidR="00B23424" w:rsidRPr="00175D8B" w14:paraId="622E251B" w14:textId="77777777" w:rsidTr="00DF417A">
        <w:trPr>
          <w:jc w:val="center"/>
        </w:trPr>
        <w:tc>
          <w:tcPr>
            <w:tcW w:w="7248" w:type="dxa"/>
            <w:shd w:val="clear" w:color="auto" w:fill="F2F2F2" w:themeFill="background1" w:themeFillShade="F2"/>
            <w:vAlign w:val="bottom"/>
          </w:tcPr>
          <w:p w14:paraId="37BAB998" w14:textId="77777777" w:rsidR="00B23424" w:rsidRPr="00175D8B" w:rsidRDefault="00B23424" w:rsidP="00B23424">
            <w:pPr>
              <w:spacing w:before="120" w:after="288" w:line="240" w:lineRule="auto"/>
              <w:jc w:val="left"/>
              <w:rPr>
                <w:rFonts w:eastAsia="Aptos" w:cs="Aptos"/>
                <w:b/>
                <w:bCs/>
                <w:color w:val="000000" w:themeColor="text1"/>
                <w:sz w:val="20"/>
                <w:szCs w:val="20"/>
              </w:rPr>
            </w:pPr>
            <w:r w:rsidRPr="00175D8B">
              <w:rPr>
                <w:rFonts w:eastAsia="Aptos" w:cs="Aptos"/>
                <w:b/>
                <w:bCs/>
                <w:color w:val="000000" w:themeColor="text1"/>
                <w:sz w:val="20"/>
                <w:szCs w:val="20"/>
              </w:rPr>
              <w:t>Total</w:t>
            </w:r>
          </w:p>
        </w:tc>
        <w:tc>
          <w:tcPr>
            <w:tcW w:w="1824" w:type="dxa"/>
            <w:shd w:val="clear" w:color="auto" w:fill="F2F2F2" w:themeFill="background1" w:themeFillShade="F2"/>
            <w:vAlign w:val="bottom"/>
          </w:tcPr>
          <w:p w14:paraId="116EC953" w14:textId="77777777" w:rsidR="00B23424" w:rsidRPr="00175D8B" w:rsidRDefault="00B23424" w:rsidP="00B23424">
            <w:pPr>
              <w:spacing w:before="120" w:after="288" w:line="240" w:lineRule="auto"/>
              <w:ind w:left="567"/>
              <w:jc w:val="left"/>
              <w:rPr>
                <w:rFonts w:eastAsia="Aptos" w:cs="Aptos"/>
                <w:b/>
                <w:bCs/>
                <w:color w:val="000000" w:themeColor="text1"/>
                <w:sz w:val="20"/>
                <w:szCs w:val="20"/>
              </w:rPr>
            </w:pPr>
            <w:r w:rsidRPr="00175D8B">
              <w:rPr>
                <w:rFonts w:eastAsia="Aptos" w:cs="Aptos"/>
                <w:b/>
                <w:bCs/>
                <w:color w:val="000000" w:themeColor="text1"/>
                <w:sz w:val="20"/>
                <w:szCs w:val="20"/>
              </w:rPr>
              <w:t>591</w:t>
            </w:r>
          </w:p>
        </w:tc>
      </w:tr>
    </w:tbl>
    <w:p w14:paraId="1F52603E" w14:textId="77777777" w:rsidR="00B23424" w:rsidRPr="00175D8B" w:rsidRDefault="00B23424" w:rsidP="00B23424">
      <w:pPr>
        <w:spacing w:before="120" w:after="0" w:line="278" w:lineRule="auto"/>
        <w:ind w:left="360"/>
        <w:contextualSpacing/>
        <w:jc w:val="center"/>
        <w:rPr>
          <w:rFonts w:eastAsia="Aptos" w:cs="Aptos"/>
          <w:i/>
          <w:color w:val="000000" w:themeColor="text1"/>
          <w:sz w:val="8"/>
          <w:szCs w:val="18"/>
        </w:rPr>
      </w:pPr>
      <w:r w:rsidRPr="00175D8B">
        <w:rPr>
          <w:rFonts w:eastAsia="Aptos" w:cs="Aptos"/>
          <w:b/>
          <w:i/>
          <w:color w:val="000000" w:themeColor="text1"/>
          <w:sz w:val="18"/>
          <w:szCs w:val="18"/>
        </w:rPr>
        <w:t>Source:</w:t>
      </w:r>
      <w:r w:rsidRPr="00175D8B">
        <w:rPr>
          <w:rFonts w:eastAsia="Aptos" w:cs="Aptos"/>
          <w:i/>
          <w:color w:val="000000" w:themeColor="text1"/>
          <w:sz w:val="18"/>
          <w:szCs w:val="18"/>
        </w:rPr>
        <w:t xml:space="preserve"> General Directorate of Cultural Heritage and Museums</w:t>
      </w:r>
      <w:bookmarkStart w:id="226" w:name="_heading=h.row4svrg44ne" w:colFirst="0" w:colLast="0"/>
      <w:bookmarkEnd w:id="226"/>
    </w:p>
    <w:p w14:paraId="3642DF6C" w14:textId="77777777" w:rsidR="00B23424" w:rsidRPr="00175D8B" w:rsidRDefault="00B23424" w:rsidP="00B23424">
      <w:pPr>
        <w:spacing w:before="120" w:after="0" w:line="278" w:lineRule="auto"/>
        <w:ind w:left="360"/>
        <w:contextualSpacing/>
        <w:jc w:val="center"/>
        <w:rPr>
          <w:rFonts w:eastAsia="Aptos" w:cs="Aptos"/>
          <w:i/>
          <w:color w:val="000000" w:themeColor="text1"/>
          <w:sz w:val="8"/>
          <w:szCs w:val="18"/>
        </w:rPr>
      </w:pPr>
    </w:p>
    <w:p w14:paraId="36A13B23" w14:textId="58A60578" w:rsidR="00581D6A" w:rsidRPr="00175D8B" w:rsidRDefault="00581D6A" w:rsidP="006C58C5">
      <w:pPr>
        <w:pStyle w:val="ResimYazs"/>
        <w:keepNext/>
        <w:jc w:val="center"/>
      </w:pPr>
      <w:bookmarkStart w:id="227" w:name="_Ref214635697"/>
      <w:bookmarkStart w:id="228" w:name="_Toc216344435"/>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18</w:t>
      </w:r>
      <w:r w:rsidRPr="006C58C5">
        <w:rPr>
          <w:b/>
          <w:bCs/>
        </w:rPr>
        <w:fldChar w:fldCharType="end"/>
      </w:r>
      <w:bookmarkEnd w:id="227"/>
      <w:r w:rsidRPr="006C58C5">
        <w:rPr>
          <w:b/>
          <w:bCs/>
        </w:rPr>
        <w:t>:</w:t>
      </w:r>
      <w:r w:rsidRPr="00175D8B">
        <w:t xml:space="preserve"> </w:t>
      </w:r>
      <w:r w:rsidRPr="00175D8B">
        <w:rPr>
          <w:rFonts w:eastAsia="Aptos" w:cs="Aptos"/>
          <w:color w:val="000000"/>
          <w:szCs w:val="20"/>
        </w:rPr>
        <w:t>Protected Areas in Sakarya Province</w:t>
      </w:r>
      <w:bookmarkEnd w:id="228"/>
    </w:p>
    <w:tbl>
      <w:tblPr>
        <w:tblW w:w="907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248"/>
        <w:gridCol w:w="1824"/>
      </w:tblGrid>
      <w:tr w:rsidR="00B23424" w:rsidRPr="00175D8B" w14:paraId="122D88B6" w14:textId="77777777" w:rsidTr="002550A6">
        <w:trPr>
          <w:trHeight w:val="300"/>
          <w:jc w:val="center"/>
        </w:trPr>
        <w:tc>
          <w:tcPr>
            <w:tcW w:w="7248" w:type="dxa"/>
            <w:shd w:val="clear" w:color="auto" w:fill="ACB9CA" w:themeFill="text2" w:themeFillTint="66"/>
          </w:tcPr>
          <w:p w14:paraId="1F74B6CC" w14:textId="77777777" w:rsidR="00B23424" w:rsidRPr="00175D8B" w:rsidRDefault="00B23424" w:rsidP="00B23424">
            <w:pPr>
              <w:spacing w:before="120" w:after="0"/>
              <w:rPr>
                <w:rFonts w:eastAsia="Aptos" w:cs="Aptos"/>
                <w:color w:val="000000" w:themeColor="text1"/>
                <w:sz w:val="20"/>
                <w:szCs w:val="20"/>
              </w:rPr>
            </w:pPr>
            <w:r w:rsidRPr="00175D8B">
              <w:rPr>
                <w:rFonts w:eastAsia="Aptos" w:cs="Aptos"/>
                <w:b/>
                <w:bCs/>
                <w:color w:val="000000" w:themeColor="text1"/>
                <w:sz w:val="20"/>
                <w:szCs w:val="20"/>
              </w:rPr>
              <w:t>Conservation Areas</w:t>
            </w:r>
          </w:p>
        </w:tc>
        <w:tc>
          <w:tcPr>
            <w:tcW w:w="18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CB9CA" w:themeFill="text2" w:themeFillTint="66"/>
            <w:tcMar>
              <w:top w:w="0" w:type="dxa"/>
              <w:left w:w="100" w:type="dxa"/>
              <w:bottom w:w="0" w:type="dxa"/>
              <w:right w:w="100" w:type="dxa"/>
            </w:tcMar>
          </w:tcPr>
          <w:p w14:paraId="5B958574" w14:textId="77777777" w:rsidR="00B23424" w:rsidRPr="00175D8B" w:rsidRDefault="00B23424" w:rsidP="002550A6">
            <w:pPr>
              <w:spacing w:before="120" w:after="0" w:line="278" w:lineRule="auto"/>
              <w:jc w:val="center"/>
              <w:rPr>
                <w:rFonts w:eastAsia="Aptos" w:cs="Aptos"/>
                <w:b/>
                <w:bCs/>
                <w:color w:val="000000" w:themeColor="text1"/>
                <w:sz w:val="20"/>
                <w:szCs w:val="20"/>
              </w:rPr>
            </w:pPr>
            <w:r w:rsidRPr="00175D8B">
              <w:rPr>
                <w:rFonts w:eastAsia="Aptos" w:cs="Aptos"/>
                <w:b/>
                <w:bCs/>
                <w:color w:val="000000" w:themeColor="text1"/>
                <w:sz w:val="20"/>
                <w:szCs w:val="20"/>
              </w:rPr>
              <w:t>Number</w:t>
            </w:r>
          </w:p>
        </w:tc>
      </w:tr>
      <w:tr w:rsidR="00B23424" w:rsidRPr="00175D8B" w14:paraId="021838F3" w14:textId="77777777" w:rsidTr="00DF417A">
        <w:trPr>
          <w:jc w:val="center"/>
        </w:trPr>
        <w:tc>
          <w:tcPr>
            <w:tcW w:w="7248" w:type="dxa"/>
            <w:shd w:val="clear" w:color="auto" w:fill="F2F2F2" w:themeFill="background1" w:themeFillShade="F2"/>
          </w:tcPr>
          <w:p w14:paraId="77E27239" w14:textId="77777777" w:rsidR="00B23424" w:rsidRPr="00175D8B" w:rsidRDefault="00B23424" w:rsidP="00B23424">
            <w:pPr>
              <w:spacing w:before="120" w:after="200"/>
              <w:rPr>
                <w:rFonts w:eastAsia="Aptos" w:cs="Aptos"/>
                <w:color w:val="000000" w:themeColor="text1"/>
                <w:sz w:val="20"/>
                <w:szCs w:val="20"/>
              </w:rPr>
            </w:pPr>
            <w:r w:rsidRPr="00175D8B">
              <w:rPr>
                <w:rFonts w:eastAsia="Aptos" w:cs="Aptos"/>
                <w:color w:val="000000" w:themeColor="text1"/>
                <w:sz w:val="20"/>
                <w:szCs w:val="20"/>
                <w:lang w:val="tr-TR"/>
              </w:rPr>
              <w:t>Urban Conservation Area</w:t>
            </w:r>
          </w:p>
        </w:tc>
        <w:tc>
          <w:tcPr>
            <w:tcW w:w="18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100" w:type="dxa"/>
              <w:bottom w:w="0" w:type="dxa"/>
              <w:right w:w="100" w:type="dxa"/>
            </w:tcMar>
          </w:tcPr>
          <w:p w14:paraId="4544F92E" w14:textId="77777777" w:rsidR="00B23424" w:rsidRPr="00175D8B" w:rsidRDefault="00B23424" w:rsidP="00B23424">
            <w:pPr>
              <w:spacing w:before="120" w:after="200" w:line="278" w:lineRule="auto"/>
              <w:ind w:left="560"/>
              <w:rPr>
                <w:rFonts w:eastAsia="Aptos" w:cs="Aptos"/>
                <w:color w:val="000000" w:themeColor="text1"/>
                <w:sz w:val="20"/>
                <w:szCs w:val="20"/>
              </w:rPr>
            </w:pPr>
            <w:r w:rsidRPr="00175D8B">
              <w:rPr>
                <w:rFonts w:eastAsia="Aptos" w:cs="Aptos"/>
                <w:color w:val="000000" w:themeColor="text1"/>
                <w:sz w:val="20"/>
                <w:szCs w:val="20"/>
              </w:rPr>
              <w:t>3</w:t>
            </w:r>
          </w:p>
        </w:tc>
      </w:tr>
      <w:tr w:rsidR="00B23424" w:rsidRPr="00175D8B" w14:paraId="4F9A0AF5" w14:textId="77777777" w:rsidTr="00DF417A">
        <w:trPr>
          <w:jc w:val="center"/>
        </w:trPr>
        <w:tc>
          <w:tcPr>
            <w:tcW w:w="7248" w:type="dxa"/>
            <w:shd w:val="clear" w:color="auto" w:fill="F2F2F2" w:themeFill="background1" w:themeFillShade="F2"/>
          </w:tcPr>
          <w:p w14:paraId="764D7094" w14:textId="77777777" w:rsidR="00B23424" w:rsidRPr="00175D8B" w:rsidRDefault="00B23424" w:rsidP="00B23424">
            <w:pPr>
              <w:spacing w:before="120" w:after="200"/>
              <w:rPr>
                <w:rFonts w:eastAsia="Aptos" w:cs="Aptos"/>
                <w:color w:val="000000" w:themeColor="text1"/>
                <w:sz w:val="20"/>
                <w:szCs w:val="20"/>
              </w:rPr>
            </w:pPr>
            <w:r w:rsidRPr="00175D8B">
              <w:rPr>
                <w:rFonts w:eastAsia="Aptos" w:cs="Aptos"/>
                <w:color w:val="000000" w:themeColor="text1"/>
                <w:sz w:val="20"/>
                <w:szCs w:val="20"/>
                <w:lang w:val="tr-TR"/>
              </w:rPr>
              <w:t>Archeological Site</w:t>
            </w:r>
          </w:p>
        </w:tc>
        <w:tc>
          <w:tcPr>
            <w:tcW w:w="1824" w:type="dxa"/>
            <w:tcBorders>
              <w:top w:val="nil"/>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100" w:type="dxa"/>
              <w:bottom w:w="0" w:type="dxa"/>
              <w:right w:w="100" w:type="dxa"/>
            </w:tcMar>
          </w:tcPr>
          <w:p w14:paraId="13E4E7B7" w14:textId="77777777" w:rsidR="00B23424" w:rsidRPr="00175D8B" w:rsidRDefault="00B23424" w:rsidP="00B23424">
            <w:pPr>
              <w:spacing w:before="120" w:after="200" w:line="278" w:lineRule="auto"/>
              <w:ind w:left="560"/>
              <w:rPr>
                <w:rFonts w:eastAsia="Aptos" w:cs="Aptos"/>
                <w:color w:val="000000" w:themeColor="text1"/>
                <w:sz w:val="20"/>
                <w:szCs w:val="20"/>
              </w:rPr>
            </w:pPr>
            <w:r w:rsidRPr="00175D8B">
              <w:rPr>
                <w:rFonts w:eastAsia="Aptos" w:cs="Aptos"/>
                <w:color w:val="000000" w:themeColor="text1"/>
                <w:sz w:val="20"/>
                <w:szCs w:val="20"/>
              </w:rPr>
              <w:t>59</w:t>
            </w:r>
          </w:p>
        </w:tc>
      </w:tr>
      <w:tr w:rsidR="00B23424" w:rsidRPr="00175D8B" w14:paraId="40ADDA63" w14:textId="77777777" w:rsidTr="00DF417A">
        <w:trPr>
          <w:jc w:val="center"/>
        </w:trPr>
        <w:tc>
          <w:tcPr>
            <w:tcW w:w="7248" w:type="dxa"/>
            <w:shd w:val="clear" w:color="auto" w:fill="F2F2F2" w:themeFill="background1" w:themeFillShade="F2"/>
          </w:tcPr>
          <w:p w14:paraId="63A32AAD" w14:textId="77777777" w:rsidR="00B23424" w:rsidRPr="00175D8B" w:rsidRDefault="00B23424" w:rsidP="00B23424">
            <w:pPr>
              <w:spacing w:before="120" w:after="200" w:line="278" w:lineRule="auto"/>
              <w:rPr>
                <w:rFonts w:eastAsia="Aptos" w:cs="Aptos"/>
                <w:color w:val="000000" w:themeColor="text1"/>
                <w:sz w:val="20"/>
                <w:szCs w:val="20"/>
              </w:rPr>
            </w:pPr>
            <w:r w:rsidRPr="00175D8B">
              <w:rPr>
                <w:rFonts w:eastAsia="Aptos" w:cs="Aptos"/>
                <w:color w:val="000000" w:themeColor="text1"/>
                <w:sz w:val="20"/>
                <w:szCs w:val="20"/>
              </w:rPr>
              <w:t xml:space="preserve">Natural </w:t>
            </w:r>
            <w:r w:rsidRPr="00175D8B">
              <w:rPr>
                <w:rFonts w:eastAsia="Aptos" w:cs="Aptos"/>
                <w:color w:val="000000" w:themeColor="text1"/>
                <w:sz w:val="20"/>
                <w:szCs w:val="20"/>
                <w:lang w:val="tr-TR"/>
              </w:rPr>
              <w:t>Conservation Area</w:t>
            </w:r>
          </w:p>
        </w:tc>
        <w:tc>
          <w:tcPr>
            <w:tcW w:w="1824" w:type="dxa"/>
            <w:tcBorders>
              <w:top w:val="nil"/>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100" w:type="dxa"/>
              <w:bottom w:w="0" w:type="dxa"/>
              <w:right w:w="100" w:type="dxa"/>
            </w:tcMar>
          </w:tcPr>
          <w:p w14:paraId="05A9083E" w14:textId="77777777" w:rsidR="00B23424" w:rsidRPr="00175D8B" w:rsidRDefault="00B23424" w:rsidP="00B23424">
            <w:pPr>
              <w:spacing w:before="120" w:after="200" w:line="278" w:lineRule="auto"/>
              <w:ind w:left="560"/>
              <w:rPr>
                <w:rFonts w:eastAsia="Aptos" w:cs="Aptos"/>
                <w:color w:val="000000" w:themeColor="text1"/>
                <w:sz w:val="20"/>
                <w:szCs w:val="20"/>
              </w:rPr>
            </w:pPr>
            <w:r w:rsidRPr="00175D8B">
              <w:rPr>
                <w:rFonts w:eastAsia="Aptos" w:cs="Aptos"/>
                <w:color w:val="000000" w:themeColor="text1"/>
                <w:sz w:val="20"/>
                <w:szCs w:val="20"/>
              </w:rPr>
              <w:t>5</w:t>
            </w:r>
          </w:p>
        </w:tc>
      </w:tr>
      <w:tr w:rsidR="00B23424" w:rsidRPr="00175D8B" w14:paraId="080E2A2D" w14:textId="77777777" w:rsidTr="00DF417A">
        <w:trPr>
          <w:jc w:val="center"/>
        </w:trPr>
        <w:tc>
          <w:tcPr>
            <w:tcW w:w="7248" w:type="dxa"/>
            <w:shd w:val="clear" w:color="auto" w:fill="F2F2F2" w:themeFill="background1" w:themeFillShade="F2"/>
          </w:tcPr>
          <w:p w14:paraId="689FD3B7" w14:textId="77777777" w:rsidR="00B23424" w:rsidRPr="00175D8B" w:rsidRDefault="00B23424" w:rsidP="00B23424">
            <w:pPr>
              <w:spacing w:before="120" w:after="200" w:line="278" w:lineRule="auto"/>
              <w:rPr>
                <w:rFonts w:eastAsia="Aptos" w:cs="Aptos"/>
                <w:color w:val="000000" w:themeColor="text1"/>
                <w:sz w:val="20"/>
                <w:szCs w:val="20"/>
              </w:rPr>
            </w:pPr>
            <w:r w:rsidRPr="00175D8B">
              <w:rPr>
                <w:rFonts w:eastAsia="Aptos" w:cs="Aptos"/>
                <w:color w:val="000000" w:themeColor="text1"/>
                <w:sz w:val="20"/>
                <w:szCs w:val="20"/>
              </w:rPr>
              <w:t xml:space="preserve">Mixed </w:t>
            </w:r>
            <w:r w:rsidRPr="00175D8B">
              <w:rPr>
                <w:rFonts w:eastAsia="Aptos" w:cs="Aptos"/>
                <w:color w:val="000000" w:themeColor="text1"/>
                <w:sz w:val="20"/>
                <w:szCs w:val="20"/>
                <w:lang w:val="tr-TR"/>
              </w:rPr>
              <w:t>Conservation Area</w:t>
            </w:r>
          </w:p>
        </w:tc>
        <w:tc>
          <w:tcPr>
            <w:tcW w:w="1824" w:type="dxa"/>
            <w:tcBorders>
              <w:top w:val="nil"/>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100" w:type="dxa"/>
              <w:bottom w:w="0" w:type="dxa"/>
              <w:right w:w="100" w:type="dxa"/>
            </w:tcMar>
          </w:tcPr>
          <w:p w14:paraId="568A05D2" w14:textId="77777777" w:rsidR="00B23424" w:rsidRPr="00175D8B" w:rsidRDefault="00B23424" w:rsidP="00B23424">
            <w:pPr>
              <w:spacing w:before="120" w:after="200" w:line="278" w:lineRule="auto"/>
              <w:ind w:left="560"/>
              <w:rPr>
                <w:rFonts w:eastAsia="Aptos" w:cs="Aptos"/>
                <w:color w:val="000000" w:themeColor="text1"/>
                <w:sz w:val="20"/>
                <w:szCs w:val="20"/>
              </w:rPr>
            </w:pPr>
            <w:r w:rsidRPr="00175D8B">
              <w:rPr>
                <w:rFonts w:eastAsia="Aptos" w:cs="Aptos"/>
                <w:color w:val="000000" w:themeColor="text1"/>
                <w:sz w:val="20"/>
                <w:szCs w:val="20"/>
              </w:rPr>
              <w:t>-</w:t>
            </w:r>
          </w:p>
        </w:tc>
      </w:tr>
      <w:tr w:rsidR="00B23424" w:rsidRPr="00175D8B" w14:paraId="401E264E" w14:textId="77777777" w:rsidTr="00DF417A">
        <w:trPr>
          <w:jc w:val="center"/>
        </w:trPr>
        <w:tc>
          <w:tcPr>
            <w:tcW w:w="7248" w:type="dxa"/>
            <w:shd w:val="clear" w:color="auto" w:fill="F2F2F2" w:themeFill="background1" w:themeFillShade="F2"/>
          </w:tcPr>
          <w:p w14:paraId="2274AE81" w14:textId="77777777" w:rsidR="00B23424" w:rsidRPr="00175D8B" w:rsidRDefault="00B23424" w:rsidP="00B23424">
            <w:pPr>
              <w:spacing w:before="120" w:after="200" w:line="278" w:lineRule="auto"/>
              <w:rPr>
                <w:rFonts w:eastAsia="Aptos" w:cs="Aptos"/>
                <w:b/>
                <w:bCs/>
                <w:color w:val="000000" w:themeColor="text1"/>
                <w:sz w:val="20"/>
                <w:szCs w:val="20"/>
              </w:rPr>
            </w:pPr>
            <w:r w:rsidRPr="00175D8B">
              <w:rPr>
                <w:rFonts w:eastAsia="Aptos" w:cs="Aptos"/>
                <w:b/>
                <w:bCs/>
                <w:color w:val="000000" w:themeColor="text1"/>
                <w:sz w:val="20"/>
                <w:szCs w:val="20"/>
              </w:rPr>
              <w:t>Total</w:t>
            </w:r>
          </w:p>
        </w:tc>
        <w:tc>
          <w:tcPr>
            <w:tcW w:w="1824" w:type="dxa"/>
            <w:tcBorders>
              <w:top w:val="nil"/>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0" w:type="dxa"/>
              <w:left w:w="100" w:type="dxa"/>
              <w:bottom w:w="0" w:type="dxa"/>
              <w:right w:w="100" w:type="dxa"/>
            </w:tcMar>
          </w:tcPr>
          <w:p w14:paraId="71576081" w14:textId="77777777" w:rsidR="00B23424" w:rsidRPr="00175D8B" w:rsidRDefault="00B23424" w:rsidP="00B23424">
            <w:pPr>
              <w:spacing w:before="120" w:after="200" w:line="278" w:lineRule="auto"/>
              <w:ind w:left="560"/>
              <w:rPr>
                <w:rFonts w:eastAsia="Aptos" w:cs="Aptos"/>
                <w:b/>
                <w:bCs/>
                <w:color w:val="000000" w:themeColor="text1"/>
                <w:sz w:val="20"/>
                <w:szCs w:val="20"/>
              </w:rPr>
            </w:pPr>
            <w:r w:rsidRPr="00175D8B">
              <w:rPr>
                <w:rFonts w:eastAsia="Aptos" w:cs="Aptos"/>
                <w:b/>
                <w:bCs/>
                <w:color w:val="000000" w:themeColor="text1"/>
                <w:sz w:val="20"/>
                <w:szCs w:val="20"/>
              </w:rPr>
              <w:t>67</w:t>
            </w:r>
          </w:p>
        </w:tc>
      </w:tr>
    </w:tbl>
    <w:p w14:paraId="5FB05879" w14:textId="77777777" w:rsidR="00B23424" w:rsidRPr="00175D8B" w:rsidRDefault="00B23424" w:rsidP="00B23424">
      <w:pPr>
        <w:spacing w:before="120" w:after="200" w:line="278" w:lineRule="auto"/>
        <w:ind w:left="360"/>
        <w:contextualSpacing/>
        <w:jc w:val="center"/>
        <w:rPr>
          <w:rFonts w:eastAsia="Aptos" w:cs="Aptos"/>
          <w:i/>
          <w:color w:val="000000" w:themeColor="text1"/>
          <w:sz w:val="18"/>
          <w:szCs w:val="18"/>
        </w:rPr>
      </w:pPr>
      <w:r w:rsidRPr="00175D8B">
        <w:rPr>
          <w:rFonts w:eastAsia="Aptos" w:cs="Aptos"/>
          <w:b/>
          <w:bCs/>
          <w:i/>
          <w:iCs/>
          <w:color w:val="000000" w:themeColor="text1"/>
          <w:sz w:val="18"/>
          <w:szCs w:val="18"/>
        </w:rPr>
        <w:t xml:space="preserve">Source: </w:t>
      </w:r>
      <w:r w:rsidRPr="00175D8B">
        <w:rPr>
          <w:rFonts w:eastAsia="Aptos" w:cs="Aptos"/>
          <w:i/>
          <w:iCs/>
          <w:color w:val="000000" w:themeColor="text1"/>
          <w:sz w:val="18"/>
          <w:szCs w:val="18"/>
        </w:rPr>
        <w:t>Ministry of Culture and Tourism, General Directorate of Cultural Heritage and Museums</w:t>
      </w:r>
    </w:p>
    <w:p w14:paraId="5BF4DAD4" w14:textId="7D99DA97" w:rsidR="00B23424" w:rsidRPr="00175D8B" w:rsidRDefault="00B23424" w:rsidP="00B23424">
      <w:pPr>
        <w:pStyle w:val="ListeParagraf"/>
        <w:spacing w:after="288"/>
        <w:ind w:left="0"/>
        <w:rPr>
          <w:color w:val="000000"/>
        </w:rPr>
      </w:pPr>
      <w:r w:rsidRPr="00175D8B">
        <w:rPr>
          <w:color w:val="000000"/>
        </w:rPr>
        <w:t xml:space="preserve">Urban conservation areas are zones that reflect the unique urban fabric through their historical, cultural, and architectural characteristics, hold significance in terms of settlement history, and contain immovable cultural assets that require protection. These areas are registered by the Cultural and Natural Heritage Preservation Boards and are planned in line with conservation-oriented zoning plans. The identification, planning, and management of urban conservation areas are important for preserving cultural heritage for future generations, maintaining urban identity, and ensuring sustainable urban development.  </w:t>
      </w:r>
    </w:p>
    <w:p w14:paraId="241CDD56" w14:textId="68D137F2" w:rsidR="00BB769D" w:rsidRPr="00175D8B" w:rsidRDefault="00B23424" w:rsidP="00BB769D">
      <w:bookmarkStart w:id="229" w:name="_heading=h.kou2gahxcuhc" w:colFirst="0" w:colLast="0"/>
      <w:bookmarkEnd w:id="229"/>
      <w:r w:rsidRPr="00175D8B">
        <w:lastRenderedPageBreak/>
        <w:t>Since the sub-projects will be implemented in urban areas, the main cultural heritage elements have been evaluated mainly in this direction. According to the data of the Ministry of Culture and Tourism</w:t>
      </w:r>
      <w:r w:rsidRPr="00175D8B">
        <w:rPr>
          <w:rStyle w:val="DipnotBavurusu"/>
        </w:rPr>
        <w:footnoteReference w:id="21"/>
      </w:r>
      <w:r w:rsidRPr="00175D8B">
        <w:t xml:space="preserve">, there </w:t>
      </w:r>
      <w:r w:rsidR="00A36866" w:rsidRPr="00175D8B">
        <w:t xml:space="preserve">is </w:t>
      </w:r>
      <w:r w:rsidRPr="00175D8B">
        <w:t xml:space="preserve">a total of </w:t>
      </w:r>
      <w:r w:rsidR="00A36866" w:rsidRPr="00175D8B">
        <w:t>three</w:t>
      </w:r>
      <w:r w:rsidRPr="00175D8B">
        <w:t xml:space="preserve"> urban conservation areas throughout the province. </w:t>
      </w:r>
    </w:p>
    <w:p w14:paraId="0263FA8C" w14:textId="644F80A3" w:rsidR="00BB769D" w:rsidRPr="00175D8B" w:rsidRDefault="00B23424" w:rsidP="00BB769D">
      <w:r w:rsidRPr="00175D8B">
        <w:t>Below are the important urban conservation areas in Sakarya province</w:t>
      </w:r>
      <w:r w:rsidR="00BB769D" w:rsidRPr="00175D8B">
        <w:rPr>
          <w:vertAlign w:val="superscript"/>
        </w:rPr>
        <w:footnoteReference w:id="22"/>
      </w:r>
      <w:r w:rsidR="00BB769D" w:rsidRPr="00175D8B">
        <w:t>:</w:t>
      </w:r>
    </w:p>
    <w:p w14:paraId="24556276" w14:textId="77777777" w:rsidR="00432EF4" w:rsidRPr="00175D8B" w:rsidRDefault="00432EF4">
      <w:pPr>
        <w:numPr>
          <w:ilvl w:val="0"/>
          <w:numId w:val="44"/>
        </w:numPr>
      </w:pPr>
      <w:r w:rsidRPr="00175D8B">
        <w:rPr>
          <w:b/>
        </w:rPr>
        <w:t>Adapazarı Uzunçarşı Urban Protected Area:</w:t>
      </w:r>
      <w:r w:rsidRPr="00175D8B">
        <w:t xml:space="preserve"> Located in the city center of Adapazarı, Uzunçarşı bears the traces of the commercial life that has developed since the end of the 19th century. This bazaar, which consists of shops located on the main street extending in the north-south direction, is one of the rare examples of the urban trade texture of the Ottoman period that has survived to the present day. The bazaar is an important urban protected area in terms of both keeping the traditional artisan culture alive and preserving the historical urban identity of Adapazarı.</w:t>
      </w:r>
    </w:p>
    <w:p w14:paraId="7AAEFF09" w14:textId="77777777" w:rsidR="00432EF4" w:rsidRPr="00175D8B" w:rsidRDefault="00432EF4">
      <w:pPr>
        <w:numPr>
          <w:ilvl w:val="0"/>
          <w:numId w:val="44"/>
        </w:numPr>
      </w:pPr>
      <w:r w:rsidRPr="00175D8B">
        <w:rPr>
          <w:b/>
        </w:rPr>
        <w:t xml:space="preserve">Taraklı Urban Protected Area - 1: </w:t>
      </w:r>
      <w:r w:rsidRPr="00175D8B">
        <w:t>Located in the district center of Taraklı, this protected area contains the traditional housing texture and street layout from the Ottoman period. Two or three-storey houses, in which wood and stone materials are used together, constitute original examples of Ottoman civil architecture with their projecting facades and bay windows. This area is an important cultural landscape representing the rural-urban transition character of Sakarya with its residential texture reflecting the traditional lifestyle and its preserved settlement plan.</w:t>
      </w:r>
    </w:p>
    <w:p w14:paraId="267B08FD" w14:textId="77777777" w:rsidR="00432EF4" w:rsidRPr="00175D8B" w:rsidRDefault="00432EF4">
      <w:pPr>
        <w:numPr>
          <w:ilvl w:val="0"/>
          <w:numId w:val="44"/>
        </w:numPr>
      </w:pPr>
      <w:r w:rsidRPr="00175D8B">
        <w:rPr>
          <w:b/>
          <w:bCs/>
        </w:rPr>
        <w:t>Taraklı Urban Protected Area - 2:</w:t>
      </w:r>
      <w:r w:rsidRPr="00175D8B">
        <w:t xml:space="preserve"> The protected area in Taraklı covers the traditional settlement texture developed around religious buildings and public spaces. Structures such as the Yunus Pasha (Kurşunlu) Mosque, historical baths, inns and fountains, and the surrounding Ottoman-era houses reveal the socio-cultural life and architectural diversity of the region. This area, which constitutes the historical identity of Taraklı, has a strategic importance in terms of preserving cultural continuity.</w:t>
      </w:r>
    </w:p>
    <w:p w14:paraId="59148A2E" w14:textId="77777777" w:rsidR="00432EF4" w:rsidRPr="00175D8B" w:rsidRDefault="00432EF4" w:rsidP="00432EF4"/>
    <w:p w14:paraId="090D58EF" w14:textId="5F1962CE" w:rsidR="00432EF4" w:rsidRPr="00175D8B" w:rsidRDefault="00432EF4" w:rsidP="00432EF4">
      <w:pPr>
        <w:pStyle w:val="ResimYazs"/>
        <w:keepNext/>
        <w:jc w:val="center"/>
      </w:pPr>
      <w:bookmarkStart w:id="230" w:name="_Toc209168070"/>
      <w:bookmarkStart w:id="231" w:name="_Toc209709605"/>
      <w:r w:rsidRPr="00175D8B">
        <w:rPr>
          <w:b/>
        </w:rPr>
        <w:lastRenderedPageBreak/>
        <w:t xml:space="preserve"> </w:t>
      </w:r>
      <w:bookmarkEnd w:id="230"/>
      <w:bookmarkEnd w:id="231"/>
    </w:p>
    <w:p w14:paraId="27E7B863" w14:textId="3C914829" w:rsidR="0088415E" w:rsidRPr="00175D8B" w:rsidRDefault="0088415E" w:rsidP="006C58C5">
      <w:pPr>
        <w:pStyle w:val="ResimYazs"/>
        <w:keepNext/>
        <w:jc w:val="center"/>
      </w:pPr>
      <w:bookmarkStart w:id="232" w:name="_Toc221191324"/>
      <w:r w:rsidRPr="006C58C5">
        <w:rPr>
          <w:b/>
          <w:bCs/>
        </w:rPr>
        <w:t xml:space="preserve">Figure </w:t>
      </w:r>
      <w:r w:rsidRPr="006C58C5">
        <w:rPr>
          <w:b/>
          <w:bCs/>
        </w:rPr>
        <w:fldChar w:fldCharType="begin"/>
      </w:r>
      <w:r w:rsidRPr="006C58C5">
        <w:rPr>
          <w:b/>
          <w:bCs/>
        </w:rPr>
        <w:instrText xml:space="preserve"> SEQ Figure \* ARABIC </w:instrText>
      </w:r>
      <w:r w:rsidRPr="006C58C5">
        <w:rPr>
          <w:b/>
          <w:bCs/>
        </w:rPr>
        <w:fldChar w:fldCharType="separate"/>
      </w:r>
      <w:r w:rsidR="00811FB5" w:rsidRPr="00175D8B">
        <w:rPr>
          <w:b/>
          <w:bCs/>
          <w:noProof/>
        </w:rPr>
        <w:t>16</w:t>
      </w:r>
      <w:r w:rsidRPr="006C58C5">
        <w:rPr>
          <w:b/>
          <w:bCs/>
        </w:rPr>
        <w:fldChar w:fldCharType="end"/>
      </w:r>
      <w:r w:rsidRPr="006C58C5">
        <w:rPr>
          <w:b/>
          <w:bCs/>
        </w:rPr>
        <w:t>:</w:t>
      </w:r>
      <w:r w:rsidRPr="00175D8B">
        <w:t xml:space="preserve"> </w:t>
      </w:r>
      <w:r w:rsidRPr="00175D8B">
        <w:rPr>
          <w:iCs w:val="0"/>
          <w:color w:val="000000"/>
          <w:shd w:val="clear" w:color="auto" w:fill="FFFFFF" w:themeFill="background1"/>
        </w:rPr>
        <w:t>Sakarya Protected Areas and Registered Areas</w:t>
      </w:r>
      <w:bookmarkEnd w:id="232"/>
    </w:p>
    <w:p w14:paraId="60197076" w14:textId="4EAD1A18" w:rsidR="00432EF4" w:rsidRPr="00175D8B" w:rsidRDefault="000C0A1B" w:rsidP="00432EF4">
      <w:pPr>
        <w:spacing w:line="480" w:lineRule="auto"/>
        <w:jc w:val="center"/>
        <w:rPr>
          <w:sz w:val="18"/>
          <w:szCs w:val="18"/>
        </w:rPr>
      </w:pPr>
      <w:r w:rsidRPr="00175D8B">
        <w:rPr>
          <w:noProof/>
          <w:sz w:val="18"/>
          <w:szCs w:val="18"/>
        </w:rPr>
        <w:drawing>
          <wp:inline distT="0" distB="0" distL="0" distR="0" wp14:anchorId="224BD073" wp14:editId="52A5EFA8">
            <wp:extent cx="4320000" cy="4140000"/>
            <wp:effectExtent l="19050" t="19050" r="23495" b="13335"/>
            <wp:docPr id="59620720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000" cy="4140000"/>
                    </a:xfrm>
                    <a:prstGeom prst="rect">
                      <a:avLst/>
                    </a:prstGeom>
                    <a:noFill/>
                    <a:ln>
                      <a:solidFill>
                        <a:srgbClr val="767171"/>
                      </a:solidFill>
                    </a:ln>
                  </pic:spPr>
                </pic:pic>
              </a:graphicData>
            </a:graphic>
          </wp:inline>
        </w:drawing>
      </w:r>
    </w:p>
    <w:p w14:paraId="0FB67198" w14:textId="2F71D4CD" w:rsidR="00432EF4" w:rsidRPr="00175D8B" w:rsidRDefault="00432EF4" w:rsidP="00363F14">
      <w:pPr>
        <w:pStyle w:val="ListeParagraf"/>
        <w:spacing w:line="480" w:lineRule="auto"/>
        <w:ind w:left="360"/>
        <w:jc w:val="center"/>
        <w:rPr>
          <w:i/>
          <w:sz w:val="18"/>
          <w:szCs w:val="18"/>
        </w:rPr>
      </w:pPr>
      <w:r w:rsidRPr="00175D8B">
        <w:rPr>
          <w:b/>
          <w:i/>
          <w:sz w:val="18"/>
          <w:szCs w:val="18"/>
        </w:rPr>
        <w:t>Source:</w:t>
      </w:r>
      <w:r w:rsidRPr="00175D8B">
        <w:rPr>
          <w:i/>
          <w:sz w:val="18"/>
          <w:szCs w:val="18"/>
        </w:rPr>
        <w:t xml:space="preserve"> Sakarya Metropolitan Municipality, 2025.</w:t>
      </w:r>
    </w:p>
    <w:p w14:paraId="5D215DAE" w14:textId="1BEF0987" w:rsidR="00D80A2F" w:rsidRPr="00175D8B" w:rsidRDefault="00363F14" w:rsidP="002550A6">
      <w:pPr>
        <w:pStyle w:val="Balk3"/>
        <w:numPr>
          <w:ilvl w:val="2"/>
          <w:numId w:val="153"/>
        </w:numPr>
        <w:ind w:left="1560"/>
      </w:pPr>
      <w:bookmarkStart w:id="233" w:name="_Toc212541877"/>
      <w:bookmarkStart w:id="234" w:name="_Toc212542388"/>
      <w:bookmarkStart w:id="235" w:name="_Toc220672793"/>
      <w:r w:rsidRPr="00175D8B">
        <w:t>Health Status in Sakarya Province</w:t>
      </w:r>
      <w:bookmarkEnd w:id="233"/>
      <w:bookmarkEnd w:id="234"/>
      <w:bookmarkEnd w:id="235"/>
      <w:r w:rsidRPr="00175D8B">
        <w:t xml:space="preserve"> </w:t>
      </w:r>
    </w:p>
    <w:p w14:paraId="5CA4836A" w14:textId="2D682C56" w:rsidR="00363F14" w:rsidRPr="00175D8B" w:rsidRDefault="00363F14" w:rsidP="00363F14">
      <w:r w:rsidRPr="00175D8B">
        <w:t>During the 2020-2023 period, the number of hospitals in Sakarya increased from 18 to 19, while the total bed capacity rose from 2,265 to 2,447. The rate of qualified beds increased slightly from 92.1% to 92.6% during this period. The number of intensive care beds decreased from 520 to 440, and the number of intensive care beds per 10,000 people decreased from 5.0 to 4. The number of family medicine units increased from 314 to 332, and in parallel with this, the population per unit decreased from 3,321 to 3,308. These indicators reveal that the health infrastructure in the province has been strengthened in terms of both capacity and accessibility over the past four years.</w:t>
      </w:r>
      <w:r w:rsidR="00B1794C" w:rsidRPr="00175D8B">
        <w:rPr>
          <w:rStyle w:val="DipnotBavurusu"/>
        </w:rPr>
        <w:footnoteReference w:id="23"/>
      </w:r>
    </w:p>
    <w:p w14:paraId="29A5C588" w14:textId="75FD7013" w:rsidR="003D063A" w:rsidRPr="00175D8B" w:rsidRDefault="00363F14" w:rsidP="00363F14">
      <w:r w:rsidRPr="00175D8B">
        <w:t>By reviewing the Health Statistics Yearbooks</w:t>
      </w:r>
      <w:r w:rsidR="001C407F">
        <w:t xml:space="preserve"> (2023)</w:t>
      </w:r>
      <w:r w:rsidRPr="00175D8B">
        <w:t xml:space="preserve"> published by the Ministry of Health for Sakarya Province, the following annual data for Sakarya province have been obtained.</w:t>
      </w:r>
    </w:p>
    <w:p w14:paraId="4599D916" w14:textId="43652185" w:rsidR="0088415E" w:rsidRPr="00175D8B" w:rsidRDefault="0088415E" w:rsidP="006C58C5">
      <w:pPr>
        <w:pStyle w:val="ResimYazs"/>
        <w:keepNext/>
        <w:jc w:val="center"/>
      </w:pPr>
      <w:bookmarkStart w:id="236" w:name="_Ref216103917"/>
      <w:bookmarkStart w:id="237" w:name="_Toc216344436"/>
      <w:r w:rsidRPr="006C58C5">
        <w:rPr>
          <w:b/>
          <w:bCs/>
        </w:rPr>
        <w:lastRenderedPageBreak/>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19</w:t>
      </w:r>
      <w:r w:rsidRPr="006C58C5">
        <w:rPr>
          <w:b/>
          <w:bCs/>
        </w:rPr>
        <w:fldChar w:fldCharType="end"/>
      </w:r>
      <w:bookmarkEnd w:id="236"/>
      <w:r w:rsidRPr="006C58C5">
        <w:rPr>
          <w:b/>
          <w:bCs/>
        </w:rPr>
        <w:t>:</w:t>
      </w:r>
      <w:r w:rsidRPr="00175D8B">
        <w:t xml:space="preserve"> </w:t>
      </w:r>
      <w:r w:rsidRPr="00175D8B">
        <w:rPr>
          <w:rFonts w:eastAsia="Aptos" w:cs="Aptos"/>
          <w:color w:val="000000"/>
          <w:szCs w:val="20"/>
        </w:rPr>
        <w:t>Institutions and Infrastructures Providing Health Services</w:t>
      </w:r>
      <w:bookmarkEnd w:id="237"/>
    </w:p>
    <w:tbl>
      <w:tblPr>
        <w:tblStyle w:val="TabloKlavuzu"/>
        <w:tblW w:w="9072" w:type="dxa"/>
        <w:jc w:val="center"/>
        <w:tblLook w:val="04A0" w:firstRow="1" w:lastRow="0" w:firstColumn="1" w:lastColumn="0" w:noHBand="0" w:noVBand="1"/>
      </w:tblPr>
      <w:tblGrid>
        <w:gridCol w:w="627"/>
        <w:gridCol w:w="985"/>
        <w:gridCol w:w="897"/>
        <w:gridCol w:w="843"/>
        <w:gridCol w:w="977"/>
        <w:gridCol w:w="973"/>
        <w:gridCol w:w="909"/>
        <w:gridCol w:w="897"/>
        <w:gridCol w:w="912"/>
        <w:gridCol w:w="1052"/>
      </w:tblGrid>
      <w:tr w:rsidR="00363F14" w:rsidRPr="00175D8B" w14:paraId="2E35541D" w14:textId="77777777" w:rsidTr="006C58C5">
        <w:trPr>
          <w:trHeight w:val="2573"/>
          <w:tblHeader/>
          <w:jc w:val="center"/>
        </w:trPr>
        <w:tc>
          <w:tcPr>
            <w:tcW w:w="627" w:type="dxa"/>
            <w:shd w:val="clear" w:color="auto" w:fill="ABB7C1"/>
          </w:tcPr>
          <w:p w14:paraId="6EA522A0" w14:textId="77777777" w:rsidR="00363F14" w:rsidRPr="00175D8B" w:rsidRDefault="00363F14" w:rsidP="00363F14">
            <w:pPr>
              <w:spacing w:before="120" w:after="0" w:line="276" w:lineRule="auto"/>
              <w:rPr>
                <w:rFonts w:eastAsia="Aptos" w:cs="Aptos"/>
                <w:b/>
                <w:bCs/>
                <w:color w:val="000000" w:themeColor="text1"/>
                <w:sz w:val="20"/>
                <w:szCs w:val="20"/>
              </w:rPr>
            </w:pPr>
            <w:r w:rsidRPr="00175D8B">
              <w:rPr>
                <w:rFonts w:eastAsia="Aptos" w:cs="Aptos"/>
                <w:b/>
                <w:bCs/>
                <w:color w:val="000000" w:themeColor="text1"/>
                <w:sz w:val="20"/>
                <w:szCs w:val="20"/>
              </w:rPr>
              <w:t>Year</w:t>
            </w:r>
          </w:p>
        </w:tc>
        <w:tc>
          <w:tcPr>
            <w:tcW w:w="985" w:type="dxa"/>
            <w:shd w:val="clear" w:color="auto" w:fill="ABB7C1"/>
          </w:tcPr>
          <w:p w14:paraId="502E4378" w14:textId="77777777" w:rsidR="00363F14" w:rsidRPr="00175D8B" w:rsidRDefault="00363F14" w:rsidP="00363F14">
            <w:pPr>
              <w:spacing w:before="120" w:after="0" w:line="276" w:lineRule="auto"/>
              <w:rPr>
                <w:rFonts w:eastAsia="Aptos" w:cs="Aptos"/>
                <w:b/>
                <w:bCs/>
                <w:color w:val="000000" w:themeColor="text1"/>
                <w:sz w:val="20"/>
                <w:szCs w:val="20"/>
              </w:rPr>
            </w:pPr>
            <w:r w:rsidRPr="00175D8B">
              <w:rPr>
                <w:rFonts w:eastAsia="Aptos" w:cs="Aptos"/>
                <w:b/>
                <w:bCs/>
                <w:color w:val="000000" w:themeColor="text1"/>
                <w:sz w:val="20"/>
                <w:szCs w:val="20"/>
              </w:rPr>
              <w:t>Number of Hospitals</w:t>
            </w:r>
          </w:p>
        </w:tc>
        <w:tc>
          <w:tcPr>
            <w:tcW w:w="897" w:type="dxa"/>
            <w:shd w:val="clear" w:color="auto" w:fill="ABB7C1"/>
          </w:tcPr>
          <w:p w14:paraId="19DF37AD" w14:textId="77777777" w:rsidR="00363F14" w:rsidRPr="00175D8B" w:rsidRDefault="00363F14" w:rsidP="00363F14">
            <w:pPr>
              <w:spacing w:before="120" w:after="0" w:line="276" w:lineRule="auto"/>
              <w:rPr>
                <w:rFonts w:eastAsia="Aptos" w:cs="Aptos"/>
                <w:b/>
                <w:bCs/>
                <w:color w:val="000000" w:themeColor="text1"/>
                <w:sz w:val="20"/>
                <w:szCs w:val="20"/>
              </w:rPr>
            </w:pPr>
            <w:r w:rsidRPr="00175D8B">
              <w:rPr>
                <w:rFonts w:eastAsia="Aptos" w:cs="Aptos"/>
                <w:b/>
                <w:bCs/>
                <w:color w:val="000000" w:themeColor="text1"/>
                <w:sz w:val="20"/>
                <w:szCs w:val="20"/>
              </w:rPr>
              <w:t>Number of Beds</w:t>
            </w:r>
          </w:p>
        </w:tc>
        <w:tc>
          <w:tcPr>
            <w:tcW w:w="843" w:type="dxa"/>
            <w:shd w:val="clear" w:color="auto" w:fill="ABB7C1"/>
          </w:tcPr>
          <w:p w14:paraId="23679C99" w14:textId="77777777" w:rsidR="00363F14" w:rsidRPr="00175D8B" w:rsidRDefault="00363F14" w:rsidP="00363F14">
            <w:pPr>
              <w:spacing w:before="120" w:after="0"/>
              <w:jc w:val="left"/>
              <w:rPr>
                <w:rFonts w:eastAsia="Aptos" w:cs="Aptos"/>
                <w:color w:val="000000" w:themeColor="text1"/>
                <w:sz w:val="20"/>
                <w:szCs w:val="20"/>
                <w:lang w:val="tr-TR"/>
              </w:rPr>
            </w:pPr>
            <w:r w:rsidRPr="00175D8B">
              <w:rPr>
                <w:rFonts w:eastAsia="Aptos" w:cs="Aptos"/>
                <w:b/>
                <w:bCs/>
                <w:color w:val="000000" w:themeColor="text1"/>
                <w:sz w:val="18"/>
                <w:szCs w:val="18"/>
              </w:rPr>
              <w:t>Number of Beds per 10,000 People</w:t>
            </w:r>
          </w:p>
        </w:tc>
        <w:tc>
          <w:tcPr>
            <w:tcW w:w="977" w:type="dxa"/>
            <w:shd w:val="clear" w:color="auto" w:fill="ABB7C1"/>
          </w:tcPr>
          <w:p w14:paraId="58EF6EA0" w14:textId="77777777" w:rsidR="00363F14" w:rsidRPr="00175D8B" w:rsidRDefault="00363F14" w:rsidP="00363F14">
            <w:pPr>
              <w:spacing w:before="120" w:after="0" w:line="276" w:lineRule="auto"/>
              <w:rPr>
                <w:rFonts w:eastAsia="Aptos" w:cs="Aptos"/>
                <w:b/>
                <w:bCs/>
                <w:color w:val="000000" w:themeColor="text1"/>
                <w:sz w:val="20"/>
                <w:szCs w:val="20"/>
              </w:rPr>
            </w:pPr>
            <w:r w:rsidRPr="00175D8B">
              <w:rPr>
                <w:rFonts w:eastAsia="Aptos" w:cs="Aptos"/>
                <w:b/>
                <w:bCs/>
                <w:color w:val="000000" w:themeColor="text1"/>
                <w:sz w:val="20"/>
                <w:szCs w:val="20"/>
              </w:rPr>
              <w:t>Number of Qualified Beds</w:t>
            </w:r>
          </w:p>
        </w:tc>
        <w:tc>
          <w:tcPr>
            <w:tcW w:w="973" w:type="dxa"/>
            <w:shd w:val="clear" w:color="auto" w:fill="ABB7C1"/>
          </w:tcPr>
          <w:p w14:paraId="7473D02E" w14:textId="77777777" w:rsidR="00363F14" w:rsidRPr="00175D8B" w:rsidRDefault="00363F14" w:rsidP="00363F14">
            <w:pPr>
              <w:spacing w:before="120" w:after="0" w:line="276" w:lineRule="auto"/>
              <w:rPr>
                <w:rFonts w:eastAsia="Aptos" w:cs="Aptos"/>
                <w:b/>
                <w:bCs/>
                <w:color w:val="000000" w:themeColor="text1"/>
                <w:sz w:val="20"/>
                <w:szCs w:val="20"/>
              </w:rPr>
            </w:pPr>
            <w:r w:rsidRPr="00175D8B">
              <w:rPr>
                <w:rFonts w:eastAsia="Aptos" w:cs="Aptos"/>
                <w:b/>
                <w:bCs/>
                <w:color w:val="000000" w:themeColor="text1"/>
                <w:sz w:val="20"/>
                <w:szCs w:val="20"/>
              </w:rPr>
              <w:t>Number of Intensive Care Beds</w:t>
            </w:r>
          </w:p>
        </w:tc>
        <w:tc>
          <w:tcPr>
            <w:tcW w:w="909" w:type="dxa"/>
            <w:shd w:val="clear" w:color="auto" w:fill="ABB7C1"/>
          </w:tcPr>
          <w:p w14:paraId="1A066FAC" w14:textId="77777777" w:rsidR="00363F14" w:rsidRPr="00175D8B" w:rsidRDefault="00363F14" w:rsidP="00363F14">
            <w:pPr>
              <w:spacing w:before="120" w:after="0"/>
              <w:jc w:val="left"/>
              <w:rPr>
                <w:rFonts w:eastAsia="Aptos" w:cs="Aptos"/>
                <w:color w:val="000000" w:themeColor="text1"/>
                <w:sz w:val="20"/>
                <w:szCs w:val="20"/>
                <w:lang w:val="tr-TR"/>
              </w:rPr>
            </w:pPr>
            <w:r w:rsidRPr="00175D8B">
              <w:rPr>
                <w:rFonts w:eastAsia="Aptos" w:cs="Aptos"/>
                <w:b/>
                <w:bCs/>
                <w:color w:val="000000" w:themeColor="text1"/>
                <w:sz w:val="18"/>
                <w:szCs w:val="18"/>
              </w:rPr>
              <w:t>Qualified Bed Ratio*</w:t>
            </w:r>
          </w:p>
        </w:tc>
        <w:tc>
          <w:tcPr>
            <w:tcW w:w="897" w:type="dxa"/>
            <w:shd w:val="clear" w:color="auto" w:fill="ABB7C1"/>
          </w:tcPr>
          <w:p w14:paraId="03F6CFD0" w14:textId="77777777" w:rsidR="00363F14" w:rsidRPr="00175D8B" w:rsidRDefault="00363F14" w:rsidP="00363F14">
            <w:pPr>
              <w:spacing w:before="120" w:after="0"/>
              <w:jc w:val="left"/>
              <w:rPr>
                <w:rFonts w:eastAsia="Aptos" w:cs="Aptos"/>
                <w:color w:val="000000" w:themeColor="text1"/>
                <w:sz w:val="20"/>
                <w:szCs w:val="20"/>
                <w:lang w:val="tr-TR"/>
              </w:rPr>
            </w:pPr>
            <w:r w:rsidRPr="00175D8B">
              <w:rPr>
                <w:rFonts w:eastAsia="Aptos" w:cs="Aptos"/>
                <w:b/>
                <w:bCs/>
                <w:color w:val="000000" w:themeColor="text1"/>
                <w:sz w:val="18"/>
                <w:szCs w:val="18"/>
              </w:rPr>
              <w:t>Number of Intensive Care Beds per 10,000 People</w:t>
            </w:r>
          </w:p>
        </w:tc>
        <w:tc>
          <w:tcPr>
            <w:tcW w:w="912" w:type="dxa"/>
            <w:shd w:val="clear" w:color="auto" w:fill="ABB7C1"/>
          </w:tcPr>
          <w:p w14:paraId="2E8F0620" w14:textId="77777777" w:rsidR="00363F14" w:rsidRPr="00175D8B" w:rsidRDefault="00363F14" w:rsidP="00363F14">
            <w:pPr>
              <w:spacing w:before="120" w:after="0"/>
              <w:jc w:val="left"/>
              <w:rPr>
                <w:rFonts w:eastAsia="Aptos" w:cs="Aptos"/>
                <w:color w:val="000000" w:themeColor="text1"/>
                <w:sz w:val="20"/>
                <w:szCs w:val="20"/>
                <w:lang w:val="tr-TR"/>
              </w:rPr>
            </w:pPr>
            <w:r w:rsidRPr="00175D8B">
              <w:rPr>
                <w:rFonts w:eastAsia="Aptos" w:cs="Aptos"/>
                <w:b/>
                <w:bCs/>
                <w:color w:val="000000" w:themeColor="text1"/>
                <w:sz w:val="18"/>
                <w:szCs w:val="18"/>
              </w:rPr>
              <w:t>Number of Family Health Center</w:t>
            </w:r>
          </w:p>
        </w:tc>
        <w:tc>
          <w:tcPr>
            <w:tcW w:w="1052" w:type="dxa"/>
            <w:shd w:val="clear" w:color="auto" w:fill="ABB7C1"/>
          </w:tcPr>
          <w:p w14:paraId="3FEACFDE" w14:textId="77777777" w:rsidR="00363F14" w:rsidRPr="00175D8B" w:rsidRDefault="00363F14" w:rsidP="00363F14">
            <w:pPr>
              <w:spacing w:before="120" w:after="0"/>
              <w:jc w:val="left"/>
              <w:rPr>
                <w:rFonts w:eastAsia="Aptos" w:cs="Aptos"/>
                <w:color w:val="000000" w:themeColor="text1"/>
                <w:sz w:val="20"/>
                <w:szCs w:val="20"/>
                <w:lang w:val="tr-TR"/>
              </w:rPr>
            </w:pPr>
            <w:r w:rsidRPr="00175D8B">
              <w:rPr>
                <w:rFonts w:eastAsia="Aptos" w:cs="Aptos"/>
                <w:b/>
                <w:bCs/>
                <w:color w:val="000000" w:themeColor="text1"/>
                <w:sz w:val="18"/>
                <w:szCs w:val="18"/>
              </w:rPr>
              <w:t>Number of Family Health Center per Population</w:t>
            </w:r>
          </w:p>
        </w:tc>
      </w:tr>
      <w:tr w:rsidR="00363F14" w:rsidRPr="00175D8B" w14:paraId="7658EF85" w14:textId="77777777" w:rsidTr="006C58C5">
        <w:trPr>
          <w:trHeight w:val="300"/>
          <w:jc w:val="center"/>
        </w:trPr>
        <w:tc>
          <w:tcPr>
            <w:tcW w:w="627" w:type="dxa"/>
            <w:shd w:val="clear" w:color="auto" w:fill="F2F2F2" w:themeFill="background1" w:themeFillShade="F2"/>
          </w:tcPr>
          <w:p w14:paraId="4EE8958E"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2023</w:t>
            </w:r>
          </w:p>
        </w:tc>
        <w:tc>
          <w:tcPr>
            <w:tcW w:w="985" w:type="dxa"/>
            <w:shd w:val="clear" w:color="auto" w:fill="F2F2F2" w:themeFill="background1" w:themeFillShade="F2"/>
          </w:tcPr>
          <w:p w14:paraId="4BBE4B31"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19</w:t>
            </w:r>
          </w:p>
        </w:tc>
        <w:tc>
          <w:tcPr>
            <w:tcW w:w="897" w:type="dxa"/>
            <w:shd w:val="clear" w:color="auto" w:fill="F2F2F2" w:themeFill="background1" w:themeFillShade="F2"/>
          </w:tcPr>
          <w:p w14:paraId="5E577223" w14:textId="5700CB7C"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2</w:t>
            </w:r>
            <w:r w:rsidR="005B7929" w:rsidRPr="00175D8B">
              <w:rPr>
                <w:rFonts w:eastAsia="Aptos" w:cs="Aptos"/>
                <w:color w:val="000000" w:themeColor="text1"/>
                <w:sz w:val="20"/>
                <w:szCs w:val="20"/>
              </w:rPr>
              <w:t>,</w:t>
            </w:r>
            <w:r w:rsidRPr="00175D8B">
              <w:rPr>
                <w:rFonts w:eastAsia="Aptos" w:cs="Aptos"/>
                <w:color w:val="000000" w:themeColor="text1"/>
                <w:sz w:val="20"/>
                <w:szCs w:val="20"/>
              </w:rPr>
              <w:t>447</w:t>
            </w:r>
          </w:p>
        </w:tc>
        <w:tc>
          <w:tcPr>
            <w:tcW w:w="843" w:type="dxa"/>
            <w:shd w:val="clear" w:color="auto" w:fill="F2F2F2" w:themeFill="background1" w:themeFillShade="F2"/>
          </w:tcPr>
          <w:p w14:paraId="5BC292A9" w14:textId="548B4975"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22</w:t>
            </w:r>
            <w:r w:rsidR="005B7929" w:rsidRPr="00175D8B">
              <w:rPr>
                <w:rFonts w:eastAsia="Aptos" w:cs="Aptos"/>
                <w:color w:val="000000" w:themeColor="text1"/>
                <w:sz w:val="20"/>
                <w:szCs w:val="20"/>
              </w:rPr>
              <w:t>.</w:t>
            </w:r>
            <w:r w:rsidRPr="00175D8B">
              <w:rPr>
                <w:rFonts w:eastAsia="Aptos" w:cs="Aptos"/>
                <w:color w:val="000000" w:themeColor="text1"/>
                <w:sz w:val="20"/>
                <w:szCs w:val="20"/>
              </w:rPr>
              <w:t>3</w:t>
            </w:r>
          </w:p>
        </w:tc>
        <w:tc>
          <w:tcPr>
            <w:tcW w:w="977" w:type="dxa"/>
            <w:shd w:val="clear" w:color="auto" w:fill="F2F2F2" w:themeFill="background1" w:themeFillShade="F2"/>
          </w:tcPr>
          <w:p w14:paraId="52815774" w14:textId="7E8DFF8B"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1</w:t>
            </w:r>
            <w:r w:rsidR="005B7929" w:rsidRPr="00175D8B">
              <w:rPr>
                <w:rFonts w:eastAsia="Aptos" w:cs="Aptos"/>
                <w:color w:val="000000" w:themeColor="text1"/>
                <w:sz w:val="20"/>
                <w:szCs w:val="20"/>
              </w:rPr>
              <w:t>,</w:t>
            </w:r>
            <w:r w:rsidRPr="00175D8B">
              <w:rPr>
                <w:rFonts w:eastAsia="Aptos" w:cs="Aptos"/>
                <w:color w:val="000000" w:themeColor="text1"/>
                <w:sz w:val="20"/>
                <w:szCs w:val="20"/>
              </w:rPr>
              <w:t>895</w:t>
            </w:r>
          </w:p>
        </w:tc>
        <w:tc>
          <w:tcPr>
            <w:tcW w:w="973" w:type="dxa"/>
            <w:shd w:val="clear" w:color="auto" w:fill="F2F2F2" w:themeFill="background1" w:themeFillShade="F2"/>
          </w:tcPr>
          <w:p w14:paraId="4704D2DC"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440</w:t>
            </w:r>
          </w:p>
        </w:tc>
        <w:tc>
          <w:tcPr>
            <w:tcW w:w="909" w:type="dxa"/>
            <w:shd w:val="clear" w:color="auto" w:fill="F2F2F2" w:themeFill="background1" w:themeFillShade="F2"/>
          </w:tcPr>
          <w:p w14:paraId="1F1A13F8" w14:textId="289162DF"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92</w:t>
            </w:r>
            <w:r w:rsidR="00001A90" w:rsidRPr="00175D8B">
              <w:rPr>
                <w:rFonts w:eastAsia="Aptos" w:cs="Aptos"/>
                <w:color w:val="000000" w:themeColor="text1"/>
                <w:sz w:val="20"/>
                <w:szCs w:val="20"/>
              </w:rPr>
              <w:t>.</w:t>
            </w:r>
            <w:r w:rsidRPr="00175D8B">
              <w:rPr>
                <w:rFonts w:eastAsia="Aptos" w:cs="Aptos"/>
                <w:color w:val="000000" w:themeColor="text1"/>
                <w:sz w:val="20"/>
                <w:szCs w:val="20"/>
              </w:rPr>
              <w:t>6</w:t>
            </w:r>
          </w:p>
        </w:tc>
        <w:tc>
          <w:tcPr>
            <w:tcW w:w="897" w:type="dxa"/>
            <w:shd w:val="clear" w:color="auto" w:fill="F2F2F2" w:themeFill="background1" w:themeFillShade="F2"/>
          </w:tcPr>
          <w:p w14:paraId="467CE6F6"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4</w:t>
            </w:r>
          </w:p>
        </w:tc>
        <w:tc>
          <w:tcPr>
            <w:tcW w:w="912" w:type="dxa"/>
            <w:shd w:val="clear" w:color="auto" w:fill="F2F2F2" w:themeFill="background1" w:themeFillShade="F2"/>
          </w:tcPr>
          <w:p w14:paraId="40B54B5A"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332</w:t>
            </w:r>
          </w:p>
        </w:tc>
        <w:tc>
          <w:tcPr>
            <w:tcW w:w="1052" w:type="dxa"/>
            <w:shd w:val="clear" w:color="auto" w:fill="F2F2F2" w:themeFill="background1" w:themeFillShade="F2"/>
          </w:tcPr>
          <w:p w14:paraId="06188953" w14:textId="6C8AC3B9"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3</w:t>
            </w:r>
            <w:r w:rsidR="00001A90" w:rsidRPr="00175D8B">
              <w:rPr>
                <w:rFonts w:eastAsia="Aptos" w:cs="Aptos"/>
                <w:color w:val="000000" w:themeColor="text1"/>
                <w:sz w:val="20"/>
                <w:szCs w:val="20"/>
              </w:rPr>
              <w:t>,</w:t>
            </w:r>
            <w:r w:rsidRPr="00175D8B">
              <w:rPr>
                <w:rFonts w:eastAsia="Aptos" w:cs="Aptos"/>
                <w:color w:val="000000" w:themeColor="text1"/>
                <w:sz w:val="20"/>
                <w:szCs w:val="20"/>
              </w:rPr>
              <w:t>308</w:t>
            </w:r>
          </w:p>
        </w:tc>
      </w:tr>
      <w:tr w:rsidR="00363F14" w:rsidRPr="00175D8B" w14:paraId="325827C3" w14:textId="77777777" w:rsidTr="006C58C5">
        <w:trPr>
          <w:trHeight w:val="360"/>
          <w:jc w:val="center"/>
        </w:trPr>
        <w:tc>
          <w:tcPr>
            <w:tcW w:w="627" w:type="dxa"/>
            <w:shd w:val="clear" w:color="auto" w:fill="F2F2F2" w:themeFill="background1" w:themeFillShade="F2"/>
          </w:tcPr>
          <w:p w14:paraId="4CE9AE43"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2022</w:t>
            </w:r>
          </w:p>
        </w:tc>
        <w:tc>
          <w:tcPr>
            <w:tcW w:w="985" w:type="dxa"/>
            <w:shd w:val="clear" w:color="auto" w:fill="F2F2F2" w:themeFill="background1" w:themeFillShade="F2"/>
          </w:tcPr>
          <w:p w14:paraId="3BCF1E60"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18</w:t>
            </w:r>
          </w:p>
        </w:tc>
        <w:tc>
          <w:tcPr>
            <w:tcW w:w="897" w:type="dxa"/>
            <w:shd w:val="clear" w:color="auto" w:fill="F2F2F2" w:themeFill="background1" w:themeFillShade="F2"/>
          </w:tcPr>
          <w:p w14:paraId="13CD2125" w14:textId="228391AF"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2</w:t>
            </w:r>
            <w:r w:rsidR="005B7929" w:rsidRPr="00175D8B">
              <w:rPr>
                <w:rFonts w:eastAsia="Aptos" w:cs="Aptos"/>
                <w:color w:val="000000" w:themeColor="text1"/>
                <w:sz w:val="20"/>
                <w:szCs w:val="20"/>
              </w:rPr>
              <w:t>,</w:t>
            </w:r>
            <w:r w:rsidRPr="00175D8B">
              <w:rPr>
                <w:rFonts w:eastAsia="Aptos" w:cs="Aptos"/>
                <w:color w:val="000000" w:themeColor="text1"/>
                <w:sz w:val="20"/>
                <w:szCs w:val="20"/>
              </w:rPr>
              <w:t>392</w:t>
            </w:r>
          </w:p>
        </w:tc>
        <w:tc>
          <w:tcPr>
            <w:tcW w:w="843" w:type="dxa"/>
            <w:shd w:val="clear" w:color="auto" w:fill="F2F2F2" w:themeFill="background1" w:themeFillShade="F2"/>
          </w:tcPr>
          <w:p w14:paraId="3F7D3ADE" w14:textId="2C78BB9F"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22</w:t>
            </w:r>
            <w:r w:rsidR="005B7929" w:rsidRPr="00175D8B">
              <w:rPr>
                <w:rFonts w:eastAsia="Aptos" w:cs="Aptos"/>
                <w:color w:val="000000" w:themeColor="text1"/>
                <w:sz w:val="20"/>
                <w:szCs w:val="20"/>
              </w:rPr>
              <w:t>.</w:t>
            </w:r>
            <w:r w:rsidRPr="00175D8B">
              <w:rPr>
                <w:rFonts w:eastAsia="Aptos" w:cs="Aptos"/>
                <w:color w:val="000000" w:themeColor="text1"/>
                <w:sz w:val="20"/>
                <w:szCs w:val="20"/>
              </w:rPr>
              <w:t>1</w:t>
            </w:r>
          </w:p>
        </w:tc>
        <w:tc>
          <w:tcPr>
            <w:tcW w:w="977" w:type="dxa"/>
            <w:shd w:val="clear" w:color="auto" w:fill="F2F2F2" w:themeFill="background1" w:themeFillShade="F2"/>
          </w:tcPr>
          <w:p w14:paraId="424839DB" w14:textId="2EC27C75"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1</w:t>
            </w:r>
            <w:r w:rsidR="005B7929" w:rsidRPr="00175D8B">
              <w:rPr>
                <w:rFonts w:eastAsia="Aptos" w:cs="Aptos"/>
                <w:color w:val="000000" w:themeColor="text1"/>
                <w:sz w:val="20"/>
                <w:szCs w:val="20"/>
              </w:rPr>
              <w:t>,</w:t>
            </w:r>
            <w:r w:rsidRPr="00175D8B">
              <w:rPr>
                <w:rFonts w:eastAsia="Aptos" w:cs="Aptos"/>
                <w:color w:val="000000" w:themeColor="text1"/>
                <w:sz w:val="20"/>
                <w:szCs w:val="20"/>
              </w:rPr>
              <w:t>865</w:t>
            </w:r>
          </w:p>
        </w:tc>
        <w:tc>
          <w:tcPr>
            <w:tcW w:w="973" w:type="dxa"/>
            <w:shd w:val="clear" w:color="auto" w:fill="F2F2F2" w:themeFill="background1" w:themeFillShade="F2"/>
          </w:tcPr>
          <w:p w14:paraId="67E04CEA"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406</w:t>
            </w:r>
          </w:p>
        </w:tc>
        <w:tc>
          <w:tcPr>
            <w:tcW w:w="909" w:type="dxa"/>
            <w:shd w:val="clear" w:color="auto" w:fill="F2F2F2" w:themeFill="background1" w:themeFillShade="F2"/>
          </w:tcPr>
          <w:p w14:paraId="22F39C5A"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94</w:t>
            </w:r>
          </w:p>
        </w:tc>
        <w:tc>
          <w:tcPr>
            <w:tcW w:w="897" w:type="dxa"/>
            <w:shd w:val="clear" w:color="auto" w:fill="F2F2F2" w:themeFill="background1" w:themeFillShade="F2"/>
          </w:tcPr>
          <w:p w14:paraId="76C1FF62" w14:textId="762D6918"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3</w:t>
            </w:r>
            <w:r w:rsidR="00001A90" w:rsidRPr="00175D8B">
              <w:rPr>
                <w:rFonts w:eastAsia="Aptos" w:cs="Aptos"/>
                <w:color w:val="000000" w:themeColor="text1"/>
                <w:sz w:val="20"/>
                <w:szCs w:val="20"/>
              </w:rPr>
              <w:t>.</w:t>
            </w:r>
            <w:r w:rsidRPr="00175D8B">
              <w:rPr>
                <w:rFonts w:eastAsia="Aptos" w:cs="Aptos"/>
                <w:color w:val="000000" w:themeColor="text1"/>
                <w:sz w:val="20"/>
                <w:szCs w:val="20"/>
              </w:rPr>
              <w:t>8</w:t>
            </w:r>
          </w:p>
        </w:tc>
        <w:tc>
          <w:tcPr>
            <w:tcW w:w="912" w:type="dxa"/>
            <w:shd w:val="clear" w:color="auto" w:fill="F2F2F2" w:themeFill="background1" w:themeFillShade="F2"/>
          </w:tcPr>
          <w:p w14:paraId="0B6F58E0"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330</w:t>
            </w:r>
          </w:p>
        </w:tc>
        <w:tc>
          <w:tcPr>
            <w:tcW w:w="1052" w:type="dxa"/>
            <w:shd w:val="clear" w:color="auto" w:fill="F2F2F2" w:themeFill="background1" w:themeFillShade="F2"/>
          </w:tcPr>
          <w:p w14:paraId="49B15008" w14:textId="4725C0B1"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3</w:t>
            </w:r>
            <w:r w:rsidR="00001A90" w:rsidRPr="00175D8B">
              <w:rPr>
                <w:rFonts w:eastAsia="Aptos" w:cs="Aptos"/>
                <w:color w:val="000000" w:themeColor="text1"/>
                <w:sz w:val="20"/>
                <w:szCs w:val="20"/>
              </w:rPr>
              <w:t>,</w:t>
            </w:r>
            <w:r w:rsidRPr="00175D8B">
              <w:rPr>
                <w:rFonts w:eastAsia="Aptos" w:cs="Aptos"/>
                <w:color w:val="000000" w:themeColor="text1"/>
                <w:sz w:val="20"/>
                <w:szCs w:val="20"/>
              </w:rPr>
              <w:t>273</w:t>
            </w:r>
          </w:p>
        </w:tc>
      </w:tr>
      <w:tr w:rsidR="00363F14" w:rsidRPr="00175D8B" w14:paraId="3BE1F9DF" w14:textId="77777777" w:rsidTr="006C58C5">
        <w:trPr>
          <w:jc w:val="center"/>
        </w:trPr>
        <w:tc>
          <w:tcPr>
            <w:tcW w:w="627" w:type="dxa"/>
            <w:shd w:val="clear" w:color="auto" w:fill="F2F2F2" w:themeFill="background1" w:themeFillShade="F2"/>
          </w:tcPr>
          <w:p w14:paraId="7AFA2A0B"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2021</w:t>
            </w:r>
          </w:p>
        </w:tc>
        <w:tc>
          <w:tcPr>
            <w:tcW w:w="985" w:type="dxa"/>
            <w:shd w:val="clear" w:color="auto" w:fill="F2F2F2" w:themeFill="background1" w:themeFillShade="F2"/>
          </w:tcPr>
          <w:p w14:paraId="6A2BEFC4"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18</w:t>
            </w:r>
          </w:p>
        </w:tc>
        <w:tc>
          <w:tcPr>
            <w:tcW w:w="897" w:type="dxa"/>
            <w:shd w:val="clear" w:color="auto" w:fill="F2F2F2" w:themeFill="background1" w:themeFillShade="F2"/>
          </w:tcPr>
          <w:p w14:paraId="329A1123" w14:textId="0E5E33A0"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2</w:t>
            </w:r>
            <w:r w:rsidR="005B7929" w:rsidRPr="00175D8B">
              <w:rPr>
                <w:rFonts w:eastAsia="Aptos" w:cs="Aptos"/>
                <w:color w:val="000000" w:themeColor="text1"/>
                <w:sz w:val="20"/>
                <w:szCs w:val="20"/>
              </w:rPr>
              <w:t>,</w:t>
            </w:r>
            <w:r w:rsidRPr="00175D8B">
              <w:rPr>
                <w:rFonts w:eastAsia="Aptos" w:cs="Aptos"/>
                <w:color w:val="000000" w:themeColor="text1"/>
                <w:sz w:val="20"/>
                <w:szCs w:val="20"/>
              </w:rPr>
              <w:t>338</w:t>
            </w:r>
          </w:p>
        </w:tc>
        <w:tc>
          <w:tcPr>
            <w:tcW w:w="843" w:type="dxa"/>
            <w:shd w:val="clear" w:color="auto" w:fill="F2F2F2" w:themeFill="background1" w:themeFillShade="F2"/>
          </w:tcPr>
          <w:p w14:paraId="5B904ADF"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22</w:t>
            </w:r>
          </w:p>
        </w:tc>
        <w:tc>
          <w:tcPr>
            <w:tcW w:w="977" w:type="dxa"/>
            <w:shd w:val="clear" w:color="auto" w:fill="F2F2F2" w:themeFill="background1" w:themeFillShade="F2"/>
          </w:tcPr>
          <w:p w14:paraId="49954113" w14:textId="4EEF3520"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1</w:t>
            </w:r>
            <w:r w:rsidR="005B7929" w:rsidRPr="00175D8B">
              <w:rPr>
                <w:rFonts w:eastAsia="Aptos" w:cs="Aptos"/>
                <w:color w:val="000000" w:themeColor="text1"/>
                <w:sz w:val="20"/>
                <w:szCs w:val="20"/>
              </w:rPr>
              <w:t>,</w:t>
            </w:r>
            <w:r w:rsidRPr="00175D8B">
              <w:rPr>
                <w:rFonts w:eastAsia="Aptos" w:cs="Aptos"/>
                <w:color w:val="000000" w:themeColor="text1"/>
                <w:sz w:val="20"/>
                <w:szCs w:val="20"/>
              </w:rPr>
              <w:t>815</w:t>
            </w:r>
          </w:p>
        </w:tc>
        <w:tc>
          <w:tcPr>
            <w:tcW w:w="973" w:type="dxa"/>
            <w:shd w:val="clear" w:color="auto" w:fill="F2F2F2" w:themeFill="background1" w:themeFillShade="F2"/>
          </w:tcPr>
          <w:p w14:paraId="7DEE5D9A"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446</w:t>
            </w:r>
          </w:p>
        </w:tc>
        <w:tc>
          <w:tcPr>
            <w:tcW w:w="909" w:type="dxa"/>
            <w:shd w:val="clear" w:color="auto" w:fill="F2F2F2" w:themeFill="background1" w:themeFillShade="F2"/>
          </w:tcPr>
          <w:p w14:paraId="3C89C5C5" w14:textId="49D5E8B6"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95</w:t>
            </w:r>
            <w:r w:rsidR="00001A90" w:rsidRPr="00175D8B">
              <w:rPr>
                <w:rFonts w:eastAsia="Aptos" w:cs="Aptos"/>
                <w:color w:val="000000" w:themeColor="text1"/>
                <w:sz w:val="20"/>
                <w:szCs w:val="20"/>
              </w:rPr>
              <w:t>.</w:t>
            </w:r>
            <w:r w:rsidRPr="00175D8B">
              <w:rPr>
                <w:rFonts w:eastAsia="Aptos" w:cs="Aptos"/>
                <w:color w:val="000000" w:themeColor="text1"/>
                <w:sz w:val="20"/>
                <w:szCs w:val="20"/>
              </w:rPr>
              <w:t>9</w:t>
            </w:r>
          </w:p>
        </w:tc>
        <w:tc>
          <w:tcPr>
            <w:tcW w:w="897" w:type="dxa"/>
            <w:shd w:val="clear" w:color="auto" w:fill="F2F2F2" w:themeFill="background1" w:themeFillShade="F2"/>
          </w:tcPr>
          <w:p w14:paraId="0C74F4E8" w14:textId="2E4D7106"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4</w:t>
            </w:r>
            <w:r w:rsidR="00001A90" w:rsidRPr="00175D8B">
              <w:rPr>
                <w:rFonts w:eastAsia="Aptos" w:cs="Aptos"/>
                <w:color w:val="000000" w:themeColor="text1"/>
                <w:sz w:val="20"/>
                <w:szCs w:val="20"/>
              </w:rPr>
              <w:t>.</w:t>
            </w:r>
            <w:r w:rsidRPr="00175D8B">
              <w:rPr>
                <w:rFonts w:eastAsia="Aptos" w:cs="Aptos"/>
                <w:color w:val="000000" w:themeColor="text1"/>
                <w:sz w:val="20"/>
                <w:szCs w:val="20"/>
              </w:rPr>
              <w:t>2</w:t>
            </w:r>
          </w:p>
        </w:tc>
        <w:tc>
          <w:tcPr>
            <w:tcW w:w="912" w:type="dxa"/>
            <w:shd w:val="clear" w:color="auto" w:fill="F2F2F2" w:themeFill="background1" w:themeFillShade="F2"/>
          </w:tcPr>
          <w:p w14:paraId="7DE40FB1"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317</w:t>
            </w:r>
          </w:p>
        </w:tc>
        <w:tc>
          <w:tcPr>
            <w:tcW w:w="1052" w:type="dxa"/>
            <w:shd w:val="clear" w:color="auto" w:fill="F2F2F2" w:themeFill="background1" w:themeFillShade="F2"/>
          </w:tcPr>
          <w:p w14:paraId="313AE7F9" w14:textId="6BF5C406"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3</w:t>
            </w:r>
            <w:r w:rsidR="00001A90" w:rsidRPr="00175D8B">
              <w:rPr>
                <w:rFonts w:eastAsia="Aptos" w:cs="Aptos"/>
                <w:color w:val="000000" w:themeColor="text1"/>
                <w:sz w:val="20"/>
                <w:szCs w:val="20"/>
              </w:rPr>
              <w:t>,</w:t>
            </w:r>
            <w:r w:rsidRPr="00175D8B">
              <w:rPr>
                <w:rFonts w:eastAsia="Aptos" w:cs="Aptos"/>
                <w:color w:val="000000" w:themeColor="text1"/>
                <w:sz w:val="20"/>
                <w:szCs w:val="20"/>
              </w:rPr>
              <w:t>347</w:t>
            </w:r>
          </w:p>
        </w:tc>
      </w:tr>
      <w:tr w:rsidR="00363F14" w:rsidRPr="00175D8B" w14:paraId="4665E8E0" w14:textId="77777777" w:rsidTr="006C58C5">
        <w:trPr>
          <w:jc w:val="center"/>
        </w:trPr>
        <w:tc>
          <w:tcPr>
            <w:tcW w:w="627" w:type="dxa"/>
            <w:shd w:val="clear" w:color="auto" w:fill="F2F2F2" w:themeFill="background1" w:themeFillShade="F2"/>
          </w:tcPr>
          <w:p w14:paraId="673BC59D"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2020</w:t>
            </w:r>
          </w:p>
        </w:tc>
        <w:tc>
          <w:tcPr>
            <w:tcW w:w="985" w:type="dxa"/>
            <w:shd w:val="clear" w:color="auto" w:fill="F2F2F2" w:themeFill="background1" w:themeFillShade="F2"/>
          </w:tcPr>
          <w:p w14:paraId="7B18FD8F"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18</w:t>
            </w:r>
          </w:p>
        </w:tc>
        <w:tc>
          <w:tcPr>
            <w:tcW w:w="897" w:type="dxa"/>
            <w:shd w:val="clear" w:color="auto" w:fill="F2F2F2" w:themeFill="background1" w:themeFillShade="F2"/>
          </w:tcPr>
          <w:p w14:paraId="08C45BE0" w14:textId="4E6E1A02"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2</w:t>
            </w:r>
            <w:r w:rsidR="005B7929" w:rsidRPr="00175D8B">
              <w:rPr>
                <w:rFonts w:eastAsia="Aptos" w:cs="Aptos"/>
                <w:color w:val="000000" w:themeColor="text1"/>
                <w:sz w:val="20"/>
                <w:szCs w:val="20"/>
              </w:rPr>
              <w:t>,</w:t>
            </w:r>
            <w:r w:rsidRPr="00175D8B">
              <w:rPr>
                <w:rFonts w:eastAsia="Aptos" w:cs="Aptos"/>
                <w:color w:val="000000" w:themeColor="text1"/>
                <w:sz w:val="20"/>
                <w:szCs w:val="20"/>
              </w:rPr>
              <w:t>265</w:t>
            </w:r>
          </w:p>
        </w:tc>
        <w:tc>
          <w:tcPr>
            <w:tcW w:w="843" w:type="dxa"/>
            <w:shd w:val="clear" w:color="auto" w:fill="F2F2F2" w:themeFill="background1" w:themeFillShade="F2"/>
          </w:tcPr>
          <w:p w14:paraId="70055CD7" w14:textId="70E89411"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21</w:t>
            </w:r>
            <w:r w:rsidR="005B7929" w:rsidRPr="00175D8B">
              <w:rPr>
                <w:rFonts w:eastAsia="Aptos" w:cs="Aptos"/>
                <w:color w:val="000000" w:themeColor="text1"/>
                <w:sz w:val="20"/>
                <w:szCs w:val="20"/>
              </w:rPr>
              <w:t>.</w:t>
            </w:r>
            <w:r w:rsidRPr="00175D8B">
              <w:rPr>
                <w:rFonts w:eastAsia="Aptos" w:cs="Aptos"/>
                <w:color w:val="000000" w:themeColor="text1"/>
                <w:sz w:val="20"/>
                <w:szCs w:val="20"/>
              </w:rPr>
              <w:t>7</w:t>
            </w:r>
          </w:p>
        </w:tc>
        <w:tc>
          <w:tcPr>
            <w:tcW w:w="977" w:type="dxa"/>
            <w:shd w:val="clear" w:color="auto" w:fill="F2F2F2" w:themeFill="background1" w:themeFillShade="F2"/>
          </w:tcPr>
          <w:p w14:paraId="18C7945A" w14:textId="25854C1C"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1</w:t>
            </w:r>
            <w:r w:rsidR="005B7929" w:rsidRPr="00175D8B">
              <w:rPr>
                <w:rFonts w:eastAsia="Aptos" w:cs="Aptos"/>
                <w:color w:val="000000" w:themeColor="text1"/>
                <w:sz w:val="20"/>
                <w:szCs w:val="20"/>
              </w:rPr>
              <w:t>,</w:t>
            </w:r>
            <w:r w:rsidRPr="00175D8B">
              <w:rPr>
                <w:rFonts w:eastAsia="Aptos" w:cs="Aptos"/>
                <w:color w:val="000000" w:themeColor="text1"/>
                <w:sz w:val="20"/>
                <w:szCs w:val="20"/>
              </w:rPr>
              <w:t>605</w:t>
            </w:r>
          </w:p>
        </w:tc>
        <w:tc>
          <w:tcPr>
            <w:tcW w:w="973" w:type="dxa"/>
            <w:shd w:val="clear" w:color="auto" w:fill="F2F2F2" w:themeFill="background1" w:themeFillShade="F2"/>
          </w:tcPr>
          <w:p w14:paraId="3B92F811"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520</w:t>
            </w:r>
          </w:p>
        </w:tc>
        <w:tc>
          <w:tcPr>
            <w:tcW w:w="909" w:type="dxa"/>
            <w:shd w:val="clear" w:color="auto" w:fill="F2F2F2" w:themeFill="background1" w:themeFillShade="F2"/>
          </w:tcPr>
          <w:p w14:paraId="104386EF" w14:textId="05C5926F"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92</w:t>
            </w:r>
            <w:r w:rsidR="00001A90" w:rsidRPr="00175D8B">
              <w:rPr>
                <w:rFonts w:eastAsia="Aptos" w:cs="Aptos"/>
                <w:color w:val="000000" w:themeColor="text1"/>
                <w:sz w:val="20"/>
                <w:szCs w:val="20"/>
              </w:rPr>
              <w:t>.</w:t>
            </w:r>
            <w:r w:rsidRPr="00175D8B">
              <w:rPr>
                <w:rFonts w:eastAsia="Aptos" w:cs="Aptos"/>
                <w:color w:val="000000" w:themeColor="text1"/>
                <w:sz w:val="20"/>
                <w:szCs w:val="20"/>
              </w:rPr>
              <w:t>1</w:t>
            </w:r>
          </w:p>
        </w:tc>
        <w:tc>
          <w:tcPr>
            <w:tcW w:w="897" w:type="dxa"/>
            <w:shd w:val="clear" w:color="auto" w:fill="F2F2F2" w:themeFill="background1" w:themeFillShade="F2"/>
          </w:tcPr>
          <w:p w14:paraId="099C41BD" w14:textId="078F7203"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5</w:t>
            </w:r>
            <w:r w:rsidR="00001A90" w:rsidRPr="00175D8B">
              <w:rPr>
                <w:rFonts w:eastAsia="Aptos" w:cs="Aptos"/>
                <w:color w:val="000000" w:themeColor="text1"/>
                <w:sz w:val="20"/>
                <w:szCs w:val="20"/>
              </w:rPr>
              <w:t>.</w:t>
            </w:r>
            <w:r w:rsidRPr="00175D8B">
              <w:rPr>
                <w:rFonts w:eastAsia="Aptos" w:cs="Aptos"/>
                <w:color w:val="000000" w:themeColor="text1"/>
                <w:sz w:val="20"/>
                <w:szCs w:val="20"/>
              </w:rPr>
              <w:t>0</w:t>
            </w:r>
          </w:p>
        </w:tc>
        <w:tc>
          <w:tcPr>
            <w:tcW w:w="912" w:type="dxa"/>
            <w:shd w:val="clear" w:color="auto" w:fill="F2F2F2" w:themeFill="background1" w:themeFillShade="F2"/>
          </w:tcPr>
          <w:p w14:paraId="4A92AB01" w14:textId="77777777"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314</w:t>
            </w:r>
          </w:p>
        </w:tc>
        <w:tc>
          <w:tcPr>
            <w:tcW w:w="1052" w:type="dxa"/>
            <w:shd w:val="clear" w:color="auto" w:fill="F2F2F2" w:themeFill="background1" w:themeFillShade="F2"/>
          </w:tcPr>
          <w:p w14:paraId="77B719CE" w14:textId="25158DB8" w:rsidR="00363F14" w:rsidRPr="00175D8B" w:rsidRDefault="00363F14" w:rsidP="00363F14">
            <w:pPr>
              <w:spacing w:before="120" w:after="0" w:line="480" w:lineRule="auto"/>
              <w:jc w:val="center"/>
              <w:rPr>
                <w:rFonts w:eastAsia="Aptos" w:cs="Aptos"/>
                <w:color w:val="000000" w:themeColor="text1"/>
                <w:sz w:val="20"/>
                <w:szCs w:val="20"/>
              </w:rPr>
            </w:pPr>
            <w:r w:rsidRPr="00175D8B">
              <w:rPr>
                <w:rFonts w:eastAsia="Aptos" w:cs="Aptos"/>
                <w:color w:val="000000" w:themeColor="text1"/>
                <w:sz w:val="20"/>
                <w:szCs w:val="20"/>
              </w:rPr>
              <w:t>3</w:t>
            </w:r>
            <w:r w:rsidR="00001A90" w:rsidRPr="00175D8B">
              <w:rPr>
                <w:rFonts w:eastAsia="Aptos" w:cs="Aptos"/>
                <w:color w:val="000000" w:themeColor="text1"/>
                <w:sz w:val="20"/>
                <w:szCs w:val="20"/>
              </w:rPr>
              <w:t>,</w:t>
            </w:r>
            <w:r w:rsidR="0019717B" w:rsidRPr="00175D8B">
              <w:rPr>
                <w:rFonts w:eastAsia="Aptos" w:cs="Aptos"/>
                <w:color w:val="000000" w:themeColor="text1"/>
                <w:sz w:val="20"/>
                <w:szCs w:val="20"/>
              </w:rPr>
              <w:t>0</w:t>
            </w:r>
            <w:r w:rsidRPr="00175D8B">
              <w:rPr>
                <w:rFonts w:eastAsia="Aptos" w:cs="Aptos"/>
                <w:color w:val="000000" w:themeColor="text1"/>
                <w:sz w:val="20"/>
                <w:szCs w:val="20"/>
              </w:rPr>
              <w:t>321</w:t>
            </w:r>
          </w:p>
        </w:tc>
      </w:tr>
    </w:tbl>
    <w:p w14:paraId="4EA3A8B9" w14:textId="77777777" w:rsidR="00363F14" w:rsidRPr="00175D8B" w:rsidRDefault="00363F14" w:rsidP="00363F14">
      <w:pPr>
        <w:spacing w:before="120" w:after="0" w:line="278" w:lineRule="auto"/>
        <w:ind w:left="-708" w:firstLine="708"/>
        <w:rPr>
          <w:rFonts w:eastAsia="Aptos" w:cs="Aptos"/>
          <w:b/>
          <w:bCs/>
          <w:color w:val="000000" w:themeColor="text1"/>
          <w:sz w:val="18"/>
          <w:szCs w:val="18"/>
        </w:rPr>
      </w:pPr>
      <w:r w:rsidRPr="00175D8B">
        <w:rPr>
          <w:rFonts w:eastAsia="Aptos" w:cs="Aptos"/>
          <w:i/>
          <w:iCs/>
          <w:color w:val="000000" w:themeColor="text1"/>
          <w:sz w:val="18"/>
          <w:szCs w:val="18"/>
        </w:rPr>
        <w:t>*Intensive care beds are not included.</w:t>
      </w:r>
    </w:p>
    <w:p w14:paraId="75C28D45" w14:textId="27568405" w:rsidR="00F74D52" w:rsidRPr="00175D8B" w:rsidRDefault="00363F14" w:rsidP="00363F14">
      <w:pPr>
        <w:spacing w:before="120" w:after="0" w:line="278" w:lineRule="auto"/>
        <w:jc w:val="center"/>
        <w:rPr>
          <w:rFonts w:eastAsia="Aptos" w:cs="Aptos"/>
          <w:i/>
          <w:iCs/>
          <w:color w:val="000000" w:themeColor="text1"/>
          <w:sz w:val="8"/>
          <w:szCs w:val="8"/>
        </w:rPr>
      </w:pPr>
      <w:r w:rsidRPr="00175D8B">
        <w:rPr>
          <w:rFonts w:eastAsia="Aptos" w:cs="Aptos"/>
          <w:i/>
          <w:iCs/>
          <w:color w:val="000000" w:themeColor="text1"/>
          <w:sz w:val="18"/>
          <w:szCs w:val="18"/>
        </w:rPr>
        <w:t xml:space="preserve"> </w:t>
      </w:r>
      <w:r w:rsidRPr="00175D8B">
        <w:rPr>
          <w:rFonts w:eastAsia="Aptos" w:cs="Aptos"/>
          <w:b/>
          <w:bCs/>
          <w:i/>
          <w:iCs/>
          <w:color w:val="000000" w:themeColor="text1"/>
          <w:sz w:val="18"/>
          <w:szCs w:val="18"/>
        </w:rPr>
        <w:t xml:space="preserve">Source: </w:t>
      </w:r>
      <w:r w:rsidRPr="00175D8B">
        <w:rPr>
          <w:rFonts w:eastAsia="Aptos" w:cs="Aptos"/>
          <w:i/>
          <w:iCs/>
          <w:color w:val="000000" w:themeColor="text1"/>
          <w:sz w:val="18"/>
          <w:szCs w:val="18"/>
        </w:rPr>
        <w:t xml:space="preserve">Republic of Türkiye Ministry of Health, 2023. Health Statistics Yearbook. </w:t>
      </w:r>
    </w:p>
    <w:p w14:paraId="135CD525" w14:textId="77777777" w:rsidR="00645AA4" w:rsidRPr="00175D8B" w:rsidRDefault="00645AA4" w:rsidP="00F74D52">
      <w:pPr>
        <w:spacing w:after="0"/>
        <w:jc w:val="center"/>
        <w:rPr>
          <w:i/>
          <w:sz w:val="8"/>
          <w:szCs w:val="18"/>
        </w:rPr>
      </w:pPr>
    </w:p>
    <w:p w14:paraId="2B1D887A" w14:textId="28044259" w:rsidR="006953E5" w:rsidRPr="00175D8B" w:rsidRDefault="00363F14" w:rsidP="006953E5">
      <w:bookmarkStart w:id="238" w:name="_Toc209707256"/>
      <w:r w:rsidRPr="00175D8B">
        <w:t>During the 2020-2023 period, there was a significant increase in the number of applications for health services in Sakarya. The number of primary care applications increased from 3.38 million to 5.64 million, and the number of secondary and tertiary applications increased from 4.27 million to 7.47 million. Accordingly, the number of physician applications per capita increased from 7.3 to 12. Applications to dentists doubled during the same period, from 305 thousand to 725 thousand, while the number of applications per capita increased from 0.29 to 0.66 (</w:t>
      </w:r>
      <w:r w:rsidRPr="00D8459F">
        <w:rPr>
          <w:highlight w:val="yellow"/>
        </w:rPr>
        <w:t xml:space="preserve">see </w:t>
      </w:r>
      <w:r w:rsidR="003F3C62">
        <w:rPr>
          <w:highlight w:val="yellow"/>
        </w:rPr>
        <w:t>Table 20</w:t>
      </w:r>
      <w:r w:rsidRPr="00D8459F">
        <w:rPr>
          <w:highlight w:val="yellow"/>
        </w:rPr>
        <w:t xml:space="preserve">). </w:t>
      </w:r>
      <w:bookmarkEnd w:id="238"/>
    </w:p>
    <w:p w14:paraId="5BAC3F82" w14:textId="107D7B7C" w:rsidR="006953E5" w:rsidRPr="00175D8B" w:rsidRDefault="006953E5" w:rsidP="006C58C5">
      <w:pPr>
        <w:pStyle w:val="ResimYazs"/>
        <w:keepNext/>
        <w:jc w:val="center"/>
      </w:pPr>
      <w:bookmarkStart w:id="239" w:name="_Ref214636067"/>
      <w:bookmarkStart w:id="240" w:name="_Toc216344437"/>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20</w:t>
      </w:r>
      <w:r w:rsidRPr="006C58C5">
        <w:rPr>
          <w:b/>
          <w:bCs/>
        </w:rPr>
        <w:fldChar w:fldCharType="end"/>
      </w:r>
      <w:bookmarkEnd w:id="239"/>
      <w:r w:rsidRPr="006C58C5">
        <w:rPr>
          <w:b/>
          <w:bCs/>
        </w:rPr>
        <w:t>:</w:t>
      </w:r>
      <w:r w:rsidRPr="00175D8B">
        <w:t xml:space="preserve"> </w:t>
      </w:r>
      <w:r w:rsidRPr="00175D8B">
        <w:rPr>
          <w:rFonts w:eastAsia="Aptos" w:cs="Aptos"/>
          <w:color w:val="000000"/>
          <w:szCs w:val="20"/>
        </w:rPr>
        <w:t>Healthcare Usage 1</w:t>
      </w:r>
      <w:bookmarkEnd w:id="24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245"/>
        <w:gridCol w:w="2044"/>
        <w:gridCol w:w="1337"/>
        <w:gridCol w:w="1595"/>
        <w:gridCol w:w="2176"/>
      </w:tblGrid>
      <w:tr w:rsidR="00363F14" w:rsidRPr="00175D8B" w14:paraId="30D7590E" w14:textId="77777777" w:rsidTr="00DF417A">
        <w:trPr>
          <w:trHeight w:val="1080"/>
          <w:tblHeader/>
          <w:jc w:val="center"/>
        </w:trPr>
        <w:tc>
          <w:tcPr>
            <w:tcW w:w="675" w:type="dxa"/>
            <w:shd w:val="clear" w:color="auto" w:fill="ABB7C1"/>
          </w:tcPr>
          <w:p w14:paraId="40E07AFF" w14:textId="77777777" w:rsidR="00363F14" w:rsidRPr="00175D8B" w:rsidRDefault="00363F14" w:rsidP="00363F14">
            <w:pPr>
              <w:spacing w:before="120" w:after="0" w:line="276" w:lineRule="auto"/>
              <w:jc w:val="left"/>
              <w:rPr>
                <w:rFonts w:eastAsia="Aptos" w:cs="Aptos"/>
                <w:b/>
                <w:color w:val="000000" w:themeColor="text1"/>
                <w:sz w:val="20"/>
                <w:szCs w:val="20"/>
              </w:rPr>
            </w:pPr>
            <w:r w:rsidRPr="00175D8B">
              <w:rPr>
                <w:rFonts w:eastAsia="Aptos" w:cs="Aptos"/>
                <w:b/>
                <w:color w:val="000000" w:themeColor="text1"/>
                <w:sz w:val="20"/>
                <w:szCs w:val="20"/>
              </w:rPr>
              <w:t>Year</w:t>
            </w:r>
          </w:p>
        </w:tc>
        <w:tc>
          <w:tcPr>
            <w:tcW w:w="1245" w:type="dxa"/>
            <w:shd w:val="clear" w:color="auto" w:fill="ABB7C1"/>
          </w:tcPr>
          <w:p w14:paraId="7EDB4EB1" w14:textId="77777777" w:rsidR="00363F14" w:rsidRPr="00175D8B" w:rsidRDefault="00363F14" w:rsidP="00363F14">
            <w:pPr>
              <w:spacing w:before="120" w:after="0" w:line="276" w:lineRule="auto"/>
              <w:jc w:val="left"/>
              <w:rPr>
                <w:rFonts w:eastAsia="Aptos" w:cs="Aptos"/>
                <w:b/>
                <w:color w:val="000000" w:themeColor="text1"/>
                <w:sz w:val="20"/>
                <w:szCs w:val="20"/>
              </w:rPr>
            </w:pPr>
            <w:r w:rsidRPr="00175D8B">
              <w:rPr>
                <w:rFonts w:eastAsia="Aptos" w:cs="Aptos"/>
                <w:b/>
                <w:color w:val="000000" w:themeColor="text1"/>
                <w:sz w:val="20"/>
                <w:szCs w:val="20"/>
              </w:rPr>
              <w:t>Number of Primary Care Referrals</w:t>
            </w:r>
          </w:p>
        </w:tc>
        <w:tc>
          <w:tcPr>
            <w:tcW w:w="2044" w:type="dxa"/>
            <w:shd w:val="clear" w:color="auto" w:fill="ABB7C1"/>
          </w:tcPr>
          <w:p w14:paraId="3E66D622" w14:textId="77777777" w:rsidR="00363F14" w:rsidRPr="00175D8B" w:rsidRDefault="00363F14" w:rsidP="00363F14">
            <w:pPr>
              <w:spacing w:before="120" w:after="0" w:line="276" w:lineRule="auto"/>
              <w:jc w:val="left"/>
              <w:rPr>
                <w:rFonts w:eastAsia="Aptos" w:cs="Aptos"/>
                <w:b/>
                <w:color w:val="000000" w:themeColor="text1"/>
                <w:sz w:val="20"/>
                <w:szCs w:val="20"/>
              </w:rPr>
            </w:pPr>
            <w:r w:rsidRPr="00175D8B">
              <w:rPr>
                <w:rFonts w:eastAsia="Aptos" w:cs="Aptos"/>
                <w:b/>
                <w:color w:val="000000" w:themeColor="text1"/>
                <w:sz w:val="20"/>
                <w:szCs w:val="20"/>
              </w:rPr>
              <w:t>Number of Second and Third Step Redirects</w:t>
            </w:r>
          </w:p>
        </w:tc>
        <w:tc>
          <w:tcPr>
            <w:tcW w:w="1337" w:type="dxa"/>
            <w:shd w:val="clear" w:color="auto" w:fill="ABB7C1"/>
          </w:tcPr>
          <w:p w14:paraId="0A31BDAE" w14:textId="77777777" w:rsidR="00363F14" w:rsidRPr="00175D8B" w:rsidRDefault="00363F14" w:rsidP="00363F14">
            <w:pPr>
              <w:spacing w:before="120" w:after="0"/>
              <w:jc w:val="center"/>
              <w:rPr>
                <w:rFonts w:eastAsia="Aptos" w:cs="Aptos"/>
                <w:color w:val="000000" w:themeColor="text1"/>
                <w:sz w:val="20"/>
                <w:szCs w:val="20"/>
                <w:lang w:val="tr-TR"/>
              </w:rPr>
            </w:pPr>
            <w:r w:rsidRPr="00175D8B">
              <w:rPr>
                <w:rFonts w:eastAsia="Aptos" w:cs="Aptos"/>
                <w:b/>
                <w:bCs/>
                <w:color w:val="000000" w:themeColor="text1"/>
                <w:sz w:val="18"/>
                <w:szCs w:val="18"/>
              </w:rPr>
              <w:t>Number of Physician Referrals per Person</w:t>
            </w:r>
          </w:p>
        </w:tc>
        <w:tc>
          <w:tcPr>
            <w:tcW w:w="1595" w:type="dxa"/>
            <w:shd w:val="clear" w:color="auto" w:fill="ABB7C1"/>
          </w:tcPr>
          <w:p w14:paraId="31468232" w14:textId="77777777" w:rsidR="00363F14" w:rsidRPr="00175D8B" w:rsidRDefault="00363F14" w:rsidP="00363F14">
            <w:pPr>
              <w:spacing w:before="120" w:after="0"/>
              <w:jc w:val="center"/>
              <w:rPr>
                <w:rFonts w:eastAsia="Aptos" w:cs="Aptos"/>
                <w:color w:val="000000" w:themeColor="text1"/>
                <w:sz w:val="20"/>
                <w:szCs w:val="20"/>
                <w:lang w:val="tr-TR"/>
              </w:rPr>
            </w:pPr>
            <w:r w:rsidRPr="00175D8B">
              <w:rPr>
                <w:rFonts w:eastAsia="Aptos" w:cs="Aptos"/>
                <w:b/>
                <w:bCs/>
                <w:color w:val="000000" w:themeColor="text1"/>
                <w:sz w:val="18"/>
                <w:szCs w:val="18"/>
              </w:rPr>
              <w:t>Number of Visits to Dentist</w:t>
            </w:r>
          </w:p>
        </w:tc>
        <w:tc>
          <w:tcPr>
            <w:tcW w:w="2176" w:type="dxa"/>
            <w:shd w:val="clear" w:color="auto" w:fill="ABB7C1"/>
          </w:tcPr>
          <w:p w14:paraId="78FD84AA" w14:textId="77777777" w:rsidR="00363F14" w:rsidRPr="00175D8B" w:rsidRDefault="00363F14" w:rsidP="00363F14">
            <w:pPr>
              <w:spacing w:before="120" w:after="0" w:line="276" w:lineRule="auto"/>
              <w:jc w:val="left"/>
              <w:rPr>
                <w:rFonts w:eastAsia="Aptos" w:cs="Aptos"/>
                <w:b/>
                <w:color w:val="000000" w:themeColor="text1"/>
                <w:sz w:val="20"/>
                <w:szCs w:val="20"/>
              </w:rPr>
            </w:pPr>
            <w:r w:rsidRPr="00175D8B">
              <w:rPr>
                <w:rFonts w:eastAsia="Aptos" w:cs="Aptos"/>
                <w:b/>
                <w:color w:val="000000" w:themeColor="text1"/>
                <w:sz w:val="20"/>
                <w:szCs w:val="20"/>
              </w:rPr>
              <w:t>Number of Dentist Visits Per Person</w:t>
            </w:r>
          </w:p>
        </w:tc>
      </w:tr>
      <w:tr w:rsidR="00363F14" w:rsidRPr="00175D8B" w14:paraId="6975A70A" w14:textId="77777777" w:rsidTr="00DF417A">
        <w:trPr>
          <w:trHeight w:val="397"/>
          <w:jc w:val="center"/>
        </w:trPr>
        <w:tc>
          <w:tcPr>
            <w:tcW w:w="675" w:type="dxa"/>
            <w:shd w:val="clear" w:color="auto" w:fill="F2F2F2" w:themeFill="background1" w:themeFillShade="F2"/>
            <w:vAlign w:val="center"/>
          </w:tcPr>
          <w:p w14:paraId="50804C1F" w14:textId="77777777"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2023</w:t>
            </w:r>
          </w:p>
        </w:tc>
        <w:tc>
          <w:tcPr>
            <w:tcW w:w="1245" w:type="dxa"/>
            <w:shd w:val="clear" w:color="auto" w:fill="F2F2F2" w:themeFill="background1" w:themeFillShade="F2"/>
            <w:vAlign w:val="center"/>
          </w:tcPr>
          <w:p w14:paraId="64F51986" w14:textId="4D3FBA88"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5</w:t>
            </w:r>
            <w:r w:rsidR="002657EF" w:rsidRPr="00175D8B">
              <w:rPr>
                <w:rFonts w:eastAsia="Aptos" w:cs="Aptos"/>
                <w:color w:val="000000" w:themeColor="text1"/>
                <w:sz w:val="20"/>
                <w:szCs w:val="20"/>
              </w:rPr>
              <w:t>,</w:t>
            </w:r>
            <w:r w:rsidRPr="00175D8B">
              <w:rPr>
                <w:rFonts w:eastAsia="Aptos" w:cs="Aptos"/>
                <w:color w:val="000000" w:themeColor="text1"/>
                <w:sz w:val="20"/>
                <w:szCs w:val="20"/>
              </w:rPr>
              <w:t>645</w:t>
            </w:r>
            <w:r w:rsidR="002657EF" w:rsidRPr="00175D8B">
              <w:rPr>
                <w:rFonts w:eastAsia="Aptos" w:cs="Aptos"/>
                <w:color w:val="000000" w:themeColor="text1"/>
                <w:sz w:val="20"/>
                <w:szCs w:val="20"/>
              </w:rPr>
              <w:t>,</w:t>
            </w:r>
            <w:r w:rsidRPr="00175D8B">
              <w:rPr>
                <w:rFonts w:eastAsia="Aptos" w:cs="Aptos"/>
                <w:color w:val="000000" w:themeColor="text1"/>
                <w:sz w:val="20"/>
                <w:szCs w:val="20"/>
              </w:rPr>
              <w:t>648</w:t>
            </w:r>
          </w:p>
        </w:tc>
        <w:tc>
          <w:tcPr>
            <w:tcW w:w="2044" w:type="dxa"/>
            <w:shd w:val="clear" w:color="auto" w:fill="F2F2F2" w:themeFill="background1" w:themeFillShade="F2"/>
            <w:vAlign w:val="center"/>
          </w:tcPr>
          <w:p w14:paraId="29E128D6" w14:textId="60FA7C64"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7</w:t>
            </w:r>
            <w:r w:rsidR="002657EF" w:rsidRPr="00175D8B">
              <w:rPr>
                <w:rFonts w:eastAsia="Aptos" w:cs="Aptos"/>
                <w:color w:val="000000" w:themeColor="text1"/>
                <w:sz w:val="20"/>
                <w:szCs w:val="20"/>
              </w:rPr>
              <w:t>,</w:t>
            </w:r>
            <w:r w:rsidRPr="00175D8B">
              <w:rPr>
                <w:rFonts w:eastAsia="Aptos" w:cs="Aptos"/>
                <w:color w:val="000000" w:themeColor="text1"/>
                <w:sz w:val="20"/>
                <w:szCs w:val="20"/>
              </w:rPr>
              <w:t>478</w:t>
            </w:r>
            <w:r w:rsidR="002657EF" w:rsidRPr="00175D8B">
              <w:rPr>
                <w:rFonts w:eastAsia="Aptos" w:cs="Aptos"/>
                <w:color w:val="000000" w:themeColor="text1"/>
                <w:sz w:val="20"/>
                <w:szCs w:val="20"/>
              </w:rPr>
              <w:t>,</w:t>
            </w:r>
            <w:r w:rsidRPr="00175D8B">
              <w:rPr>
                <w:rFonts w:eastAsia="Aptos" w:cs="Aptos"/>
                <w:color w:val="000000" w:themeColor="text1"/>
                <w:sz w:val="20"/>
                <w:szCs w:val="20"/>
              </w:rPr>
              <w:t>346</w:t>
            </w:r>
          </w:p>
        </w:tc>
        <w:tc>
          <w:tcPr>
            <w:tcW w:w="1337" w:type="dxa"/>
            <w:shd w:val="clear" w:color="auto" w:fill="F2F2F2" w:themeFill="background1" w:themeFillShade="F2"/>
            <w:vAlign w:val="center"/>
          </w:tcPr>
          <w:p w14:paraId="3DE85696" w14:textId="77777777"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12</w:t>
            </w:r>
          </w:p>
        </w:tc>
        <w:tc>
          <w:tcPr>
            <w:tcW w:w="1595" w:type="dxa"/>
            <w:shd w:val="clear" w:color="auto" w:fill="F2F2F2" w:themeFill="background1" w:themeFillShade="F2"/>
            <w:vAlign w:val="center"/>
          </w:tcPr>
          <w:p w14:paraId="154E7EDA" w14:textId="0482E5FE"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725</w:t>
            </w:r>
            <w:r w:rsidR="002657EF" w:rsidRPr="00175D8B">
              <w:rPr>
                <w:rFonts w:eastAsia="Aptos" w:cs="Aptos"/>
                <w:color w:val="000000" w:themeColor="text1"/>
                <w:sz w:val="20"/>
                <w:szCs w:val="20"/>
              </w:rPr>
              <w:t>,</w:t>
            </w:r>
            <w:r w:rsidRPr="00175D8B">
              <w:rPr>
                <w:rFonts w:eastAsia="Aptos" w:cs="Aptos"/>
                <w:color w:val="000000" w:themeColor="text1"/>
                <w:sz w:val="20"/>
                <w:szCs w:val="20"/>
              </w:rPr>
              <w:t>133</w:t>
            </w:r>
          </w:p>
        </w:tc>
        <w:tc>
          <w:tcPr>
            <w:tcW w:w="2176" w:type="dxa"/>
            <w:shd w:val="clear" w:color="auto" w:fill="F2F2F2" w:themeFill="background1" w:themeFillShade="F2"/>
            <w:vAlign w:val="center"/>
          </w:tcPr>
          <w:p w14:paraId="7F653A2C" w14:textId="2CBDF6B3"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0</w:t>
            </w:r>
            <w:r w:rsidR="002657EF" w:rsidRPr="00175D8B">
              <w:rPr>
                <w:rFonts w:eastAsia="Aptos" w:cs="Aptos"/>
                <w:color w:val="000000" w:themeColor="text1"/>
                <w:sz w:val="20"/>
                <w:szCs w:val="20"/>
              </w:rPr>
              <w:t>.</w:t>
            </w:r>
            <w:r w:rsidRPr="00175D8B">
              <w:rPr>
                <w:rFonts w:eastAsia="Aptos" w:cs="Aptos"/>
                <w:color w:val="000000" w:themeColor="text1"/>
                <w:sz w:val="20"/>
                <w:szCs w:val="20"/>
              </w:rPr>
              <w:t>66</w:t>
            </w:r>
          </w:p>
        </w:tc>
      </w:tr>
      <w:tr w:rsidR="00363F14" w:rsidRPr="00175D8B" w14:paraId="429E54BA" w14:textId="77777777" w:rsidTr="00DF417A">
        <w:trPr>
          <w:trHeight w:val="397"/>
          <w:jc w:val="center"/>
        </w:trPr>
        <w:tc>
          <w:tcPr>
            <w:tcW w:w="675" w:type="dxa"/>
            <w:shd w:val="clear" w:color="auto" w:fill="F2F2F2" w:themeFill="background1" w:themeFillShade="F2"/>
            <w:vAlign w:val="center"/>
          </w:tcPr>
          <w:p w14:paraId="61960A9D" w14:textId="77777777"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2022</w:t>
            </w:r>
          </w:p>
        </w:tc>
        <w:tc>
          <w:tcPr>
            <w:tcW w:w="1245" w:type="dxa"/>
            <w:shd w:val="clear" w:color="auto" w:fill="F2F2F2" w:themeFill="background1" w:themeFillShade="F2"/>
            <w:vAlign w:val="center"/>
          </w:tcPr>
          <w:p w14:paraId="54221D06" w14:textId="431238C8"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4</w:t>
            </w:r>
            <w:r w:rsidR="002657EF" w:rsidRPr="00175D8B">
              <w:rPr>
                <w:rFonts w:eastAsia="Aptos" w:cs="Aptos"/>
                <w:color w:val="000000" w:themeColor="text1"/>
                <w:sz w:val="20"/>
                <w:szCs w:val="20"/>
              </w:rPr>
              <w:t>,</w:t>
            </w:r>
            <w:r w:rsidRPr="00175D8B">
              <w:rPr>
                <w:rFonts w:eastAsia="Aptos" w:cs="Aptos"/>
                <w:color w:val="000000" w:themeColor="text1"/>
                <w:sz w:val="20"/>
                <w:szCs w:val="20"/>
              </w:rPr>
              <w:t>439</w:t>
            </w:r>
            <w:r w:rsidR="002657EF" w:rsidRPr="00175D8B">
              <w:rPr>
                <w:rFonts w:eastAsia="Aptos" w:cs="Aptos"/>
                <w:color w:val="000000" w:themeColor="text1"/>
                <w:sz w:val="20"/>
                <w:szCs w:val="20"/>
              </w:rPr>
              <w:t>,</w:t>
            </w:r>
            <w:r w:rsidRPr="00175D8B">
              <w:rPr>
                <w:rFonts w:eastAsia="Aptos" w:cs="Aptos"/>
                <w:color w:val="000000" w:themeColor="text1"/>
                <w:sz w:val="20"/>
                <w:szCs w:val="20"/>
              </w:rPr>
              <w:t>013</w:t>
            </w:r>
          </w:p>
        </w:tc>
        <w:tc>
          <w:tcPr>
            <w:tcW w:w="2044" w:type="dxa"/>
            <w:shd w:val="clear" w:color="auto" w:fill="F2F2F2" w:themeFill="background1" w:themeFillShade="F2"/>
            <w:vAlign w:val="center"/>
          </w:tcPr>
          <w:p w14:paraId="3BC04FEA" w14:textId="39383F0B"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6</w:t>
            </w:r>
            <w:r w:rsidR="002657EF" w:rsidRPr="00175D8B">
              <w:rPr>
                <w:rFonts w:eastAsia="Aptos" w:cs="Aptos"/>
                <w:color w:val="000000" w:themeColor="text1"/>
                <w:sz w:val="20"/>
                <w:szCs w:val="20"/>
              </w:rPr>
              <w:t>,</w:t>
            </w:r>
            <w:r w:rsidRPr="00175D8B">
              <w:rPr>
                <w:rFonts w:eastAsia="Aptos" w:cs="Aptos"/>
                <w:color w:val="000000" w:themeColor="text1"/>
                <w:sz w:val="20"/>
                <w:szCs w:val="20"/>
              </w:rPr>
              <w:t>509</w:t>
            </w:r>
            <w:r w:rsidR="002657EF" w:rsidRPr="00175D8B">
              <w:rPr>
                <w:rFonts w:eastAsia="Aptos" w:cs="Aptos"/>
                <w:color w:val="000000" w:themeColor="text1"/>
                <w:sz w:val="20"/>
                <w:szCs w:val="20"/>
              </w:rPr>
              <w:t>,</w:t>
            </w:r>
            <w:r w:rsidRPr="00175D8B">
              <w:rPr>
                <w:rFonts w:eastAsia="Aptos" w:cs="Aptos"/>
                <w:color w:val="000000" w:themeColor="text1"/>
                <w:sz w:val="20"/>
                <w:szCs w:val="20"/>
              </w:rPr>
              <w:t>186</w:t>
            </w:r>
          </w:p>
        </w:tc>
        <w:tc>
          <w:tcPr>
            <w:tcW w:w="1337" w:type="dxa"/>
            <w:shd w:val="clear" w:color="auto" w:fill="F2F2F2" w:themeFill="background1" w:themeFillShade="F2"/>
            <w:vAlign w:val="center"/>
          </w:tcPr>
          <w:p w14:paraId="5BC68A97" w14:textId="3DD75653"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10</w:t>
            </w:r>
            <w:r w:rsidR="002657EF" w:rsidRPr="00175D8B">
              <w:rPr>
                <w:rFonts w:eastAsia="Aptos" w:cs="Aptos"/>
                <w:color w:val="000000" w:themeColor="text1"/>
                <w:sz w:val="20"/>
                <w:szCs w:val="20"/>
              </w:rPr>
              <w:t>.</w:t>
            </w:r>
            <w:r w:rsidRPr="00175D8B">
              <w:rPr>
                <w:rFonts w:eastAsia="Aptos" w:cs="Aptos"/>
                <w:color w:val="000000" w:themeColor="text1"/>
                <w:sz w:val="20"/>
                <w:szCs w:val="20"/>
              </w:rPr>
              <w:t>1</w:t>
            </w:r>
          </w:p>
        </w:tc>
        <w:tc>
          <w:tcPr>
            <w:tcW w:w="1595" w:type="dxa"/>
            <w:shd w:val="clear" w:color="auto" w:fill="F2F2F2" w:themeFill="background1" w:themeFillShade="F2"/>
            <w:vAlign w:val="center"/>
          </w:tcPr>
          <w:p w14:paraId="6ABFA0BD" w14:textId="09177304"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595</w:t>
            </w:r>
            <w:r w:rsidR="002657EF" w:rsidRPr="00175D8B">
              <w:rPr>
                <w:rFonts w:eastAsia="Aptos" w:cs="Aptos"/>
                <w:color w:val="000000" w:themeColor="text1"/>
                <w:sz w:val="20"/>
                <w:szCs w:val="20"/>
              </w:rPr>
              <w:t>,</w:t>
            </w:r>
            <w:r w:rsidRPr="00175D8B">
              <w:rPr>
                <w:rFonts w:eastAsia="Aptos" w:cs="Aptos"/>
                <w:color w:val="000000" w:themeColor="text1"/>
                <w:sz w:val="20"/>
                <w:szCs w:val="20"/>
              </w:rPr>
              <w:t>294</w:t>
            </w:r>
          </w:p>
        </w:tc>
        <w:tc>
          <w:tcPr>
            <w:tcW w:w="2176" w:type="dxa"/>
            <w:shd w:val="clear" w:color="auto" w:fill="F2F2F2" w:themeFill="background1" w:themeFillShade="F2"/>
            <w:vAlign w:val="center"/>
          </w:tcPr>
          <w:p w14:paraId="5486635A" w14:textId="63A41128"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0</w:t>
            </w:r>
            <w:r w:rsidR="002657EF" w:rsidRPr="00175D8B">
              <w:rPr>
                <w:rFonts w:eastAsia="Aptos" w:cs="Aptos"/>
                <w:color w:val="000000" w:themeColor="text1"/>
                <w:sz w:val="20"/>
                <w:szCs w:val="20"/>
              </w:rPr>
              <w:t>.</w:t>
            </w:r>
            <w:r w:rsidRPr="00175D8B">
              <w:rPr>
                <w:rFonts w:eastAsia="Aptos" w:cs="Aptos"/>
                <w:color w:val="000000" w:themeColor="text1"/>
                <w:sz w:val="20"/>
                <w:szCs w:val="20"/>
              </w:rPr>
              <w:t>55</w:t>
            </w:r>
          </w:p>
        </w:tc>
      </w:tr>
      <w:tr w:rsidR="00363F14" w:rsidRPr="00175D8B" w14:paraId="06406915" w14:textId="77777777" w:rsidTr="00DF417A">
        <w:trPr>
          <w:trHeight w:val="397"/>
          <w:jc w:val="center"/>
        </w:trPr>
        <w:tc>
          <w:tcPr>
            <w:tcW w:w="675" w:type="dxa"/>
            <w:shd w:val="clear" w:color="auto" w:fill="F2F2F2" w:themeFill="background1" w:themeFillShade="F2"/>
            <w:vAlign w:val="center"/>
          </w:tcPr>
          <w:p w14:paraId="4F254607" w14:textId="77777777"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2021</w:t>
            </w:r>
          </w:p>
        </w:tc>
        <w:tc>
          <w:tcPr>
            <w:tcW w:w="1245" w:type="dxa"/>
            <w:shd w:val="clear" w:color="auto" w:fill="F2F2F2" w:themeFill="background1" w:themeFillShade="F2"/>
            <w:vAlign w:val="center"/>
          </w:tcPr>
          <w:p w14:paraId="63FC47F1" w14:textId="48C39AC9"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3</w:t>
            </w:r>
            <w:r w:rsidR="002657EF" w:rsidRPr="00175D8B">
              <w:rPr>
                <w:rFonts w:eastAsia="Aptos" w:cs="Aptos"/>
                <w:color w:val="000000" w:themeColor="text1"/>
                <w:sz w:val="20"/>
                <w:szCs w:val="20"/>
              </w:rPr>
              <w:t>,</w:t>
            </w:r>
            <w:r w:rsidRPr="00175D8B">
              <w:rPr>
                <w:rFonts w:eastAsia="Aptos" w:cs="Aptos"/>
                <w:color w:val="000000" w:themeColor="text1"/>
                <w:sz w:val="20"/>
                <w:szCs w:val="20"/>
              </w:rPr>
              <w:t>203</w:t>
            </w:r>
            <w:r w:rsidR="002657EF" w:rsidRPr="00175D8B">
              <w:rPr>
                <w:rFonts w:eastAsia="Aptos" w:cs="Aptos"/>
                <w:color w:val="000000" w:themeColor="text1"/>
                <w:sz w:val="20"/>
                <w:szCs w:val="20"/>
              </w:rPr>
              <w:t>,</w:t>
            </w:r>
            <w:r w:rsidRPr="00175D8B">
              <w:rPr>
                <w:rFonts w:eastAsia="Aptos" w:cs="Aptos"/>
                <w:color w:val="000000" w:themeColor="text1"/>
                <w:sz w:val="20"/>
                <w:szCs w:val="20"/>
              </w:rPr>
              <w:t>023</w:t>
            </w:r>
          </w:p>
        </w:tc>
        <w:tc>
          <w:tcPr>
            <w:tcW w:w="2044" w:type="dxa"/>
            <w:shd w:val="clear" w:color="auto" w:fill="F2F2F2" w:themeFill="background1" w:themeFillShade="F2"/>
            <w:vAlign w:val="center"/>
          </w:tcPr>
          <w:p w14:paraId="6060DABD" w14:textId="4CCE3559"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5</w:t>
            </w:r>
            <w:r w:rsidR="002657EF" w:rsidRPr="00175D8B">
              <w:rPr>
                <w:rFonts w:eastAsia="Aptos" w:cs="Aptos"/>
                <w:color w:val="000000" w:themeColor="text1"/>
                <w:sz w:val="20"/>
                <w:szCs w:val="20"/>
              </w:rPr>
              <w:t>,</w:t>
            </w:r>
            <w:r w:rsidRPr="00175D8B">
              <w:rPr>
                <w:rFonts w:eastAsia="Aptos" w:cs="Aptos"/>
                <w:color w:val="000000" w:themeColor="text1"/>
                <w:sz w:val="20"/>
                <w:szCs w:val="20"/>
              </w:rPr>
              <w:t>352</w:t>
            </w:r>
            <w:r w:rsidR="002657EF" w:rsidRPr="00175D8B">
              <w:rPr>
                <w:rFonts w:eastAsia="Aptos" w:cs="Aptos"/>
                <w:color w:val="000000" w:themeColor="text1"/>
                <w:sz w:val="20"/>
                <w:szCs w:val="20"/>
              </w:rPr>
              <w:t>,</w:t>
            </w:r>
            <w:r w:rsidRPr="00175D8B">
              <w:rPr>
                <w:rFonts w:eastAsia="Aptos" w:cs="Aptos"/>
                <w:color w:val="000000" w:themeColor="text1"/>
                <w:sz w:val="20"/>
                <w:szCs w:val="20"/>
              </w:rPr>
              <w:t>162</w:t>
            </w:r>
          </w:p>
        </w:tc>
        <w:tc>
          <w:tcPr>
            <w:tcW w:w="1337" w:type="dxa"/>
            <w:shd w:val="clear" w:color="auto" w:fill="F2F2F2" w:themeFill="background1" w:themeFillShade="F2"/>
            <w:vAlign w:val="center"/>
          </w:tcPr>
          <w:p w14:paraId="7EB47DF7" w14:textId="1DE184CE"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8</w:t>
            </w:r>
            <w:r w:rsidR="002657EF" w:rsidRPr="00175D8B">
              <w:rPr>
                <w:rFonts w:eastAsia="Aptos" w:cs="Aptos"/>
                <w:color w:val="000000" w:themeColor="text1"/>
                <w:sz w:val="20"/>
                <w:szCs w:val="20"/>
              </w:rPr>
              <w:t>.</w:t>
            </w:r>
            <w:r w:rsidRPr="00175D8B">
              <w:rPr>
                <w:rFonts w:eastAsia="Aptos" w:cs="Aptos"/>
                <w:color w:val="000000" w:themeColor="text1"/>
                <w:sz w:val="20"/>
                <w:szCs w:val="20"/>
              </w:rPr>
              <w:t>1</w:t>
            </w:r>
          </w:p>
        </w:tc>
        <w:tc>
          <w:tcPr>
            <w:tcW w:w="1595" w:type="dxa"/>
            <w:shd w:val="clear" w:color="auto" w:fill="F2F2F2" w:themeFill="background1" w:themeFillShade="F2"/>
            <w:vAlign w:val="center"/>
          </w:tcPr>
          <w:p w14:paraId="6D516FDA" w14:textId="6FB094C5"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361</w:t>
            </w:r>
            <w:r w:rsidR="002657EF" w:rsidRPr="00175D8B">
              <w:rPr>
                <w:rFonts w:eastAsia="Aptos" w:cs="Aptos"/>
                <w:color w:val="000000" w:themeColor="text1"/>
                <w:sz w:val="20"/>
                <w:szCs w:val="20"/>
              </w:rPr>
              <w:t>,</w:t>
            </w:r>
            <w:r w:rsidRPr="00175D8B">
              <w:rPr>
                <w:rFonts w:eastAsia="Aptos" w:cs="Aptos"/>
                <w:color w:val="000000" w:themeColor="text1"/>
                <w:sz w:val="20"/>
                <w:szCs w:val="20"/>
              </w:rPr>
              <w:t>504</w:t>
            </w:r>
          </w:p>
        </w:tc>
        <w:tc>
          <w:tcPr>
            <w:tcW w:w="2176" w:type="dxa"/>
            <w:shd w:val="clear" w:color="auto" w:fill="F2F2F2" w:themeFill="background1" w:themeFillShade="F2"/>
            <w:vAlign w:val="center"/>
          </w:tcPr>
          <w:p w14:paraId="683CF99A" w14:textId="644843C6"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0</w:t>
            </w:r>
            <w:r w:rsidR="002657EF" w:rsidRPr="00175D8B">
              <w:rPr>
                <w:rFonts w:eastAsia="Aptos" w:cs="Aptos"/>
                <w:color w:val="000000" w:themeColor="text1"/>
                <w:sz w:val="20"/>
                <w:szCs w:val="20"/>
              </w:rPr>
              <w:t>.</w:t>
            </w:r>
            <w:r w:rsidRPr="00175D8B">
              <w:rPr>
                <w:rFonts w:eastAsia="Aptos" w:cs="Aptos"/>
                <w:color w:val="000000" w:themeColor="text1"/>
                <w:sz w:val="20"/>
                <w:szCs w:val="20"/>
              </w:rPr>
              <w:t>34</w:t>
            </w:r>
          </w:p>
        </w:tc>
      </w:tr>
      <w:tr w:rsidR="00363F14" w:rsidRPr="00175D8B" w14:paraId="78F9E3CD" w14:textId="77777777" w:rsidTr="00DF417A">
        <w:trPr>
          <w:trHeight w:val="397"/>
          <w:jc w:val="center"/>
        </w:trPr>
        <w:tc>
          <w:tcPr>
            <w:tcW w:w="675" w:type="dxa"/>
            <w:shd w:val="clear" w:color="auto" w:fill="F2F2F2" w:themeFill="background1" w:themeFillShade="F2"/>
            <w:vAlign w:val="center"/>
          </w:tcPr>
          <w:p w14:paraId="700BFFD3" w14:textId="77777777"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lastRenderedPageBreak/>
              <w:t>2020</w:t>
            </w:r>
          </w:p>
        </w:tc>
        <w:tc>
          <w:tcPr>
            <w:tcW w:w="1245" w:type="dxa"/>
            <w:shd w:val="clear" w:color="auto" w:fill="F2F2F2" w:themeFill="background1" w:themeFillShade="F2"/>
            <w:vAlign w:val="center"/>
          </w:tcPr>
          <w:p w14:paraId="17624082" w14:textId="5E09B22A"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3</w:t>
            </w:r>
            <w:r w:rsidR="002657EF" w:rsidRPr="00175D8B">
              <w:rPr>
                <w:rFonts w:eastAsia="Aptos" w:cs="Aptos"/>
                <w:color w:val="000000" w:themeColor="text1"/>
                <w:sz w:val="20"/>
                <w:szCs w:val="20"/>
              </w:rPr>
              <w:t>,</w:t>
            </w:r>
            <w:r w:rsidRPr="00175D8B">
              <w:rPr>
                <w:rFonts w:eastAsia="Aptos" w:cs="Aptos"/>
                <w:color w:val="000000" w:themeColor="text1"/>
                <w:sz w:val="20"/>
                <w:szCs w:val="20"/>
              </w:rPr>
              <w:t>389</w:t>
            </w:r>
            <w:r w:rsidR="002657EF" w:rsidRPr="00175D8B">
              <w:rPr>
                <w:rFonts w:eastAsia="Aptos" w:cs="Aptos"/>
                <w:color w:val="000000" w:themeColor="text1"/>
                <w:sz w:val="20"/>
                <w:szCs w:val="20"/>
              </w:rPr>
              <w:t>,</w:t>
            </w:r>
            <w:r w:rsidRPr="00175D8B">
              <w:rPr>
                <w:rFonts w:eastAsia="Aptos" w:cs="Aptos"/>
                <w:color w:val="000000" w:themeColor="text1"/>
                <w:sz w:val="20"/>
                <w:szCs w:val="20"/>
              </w:rPr>
              <w:t>235</w:t>
            </w:r>
          </w:p>
        </w:tc>
        <w:tc>
          <w:tcPr>
            <w:tcW w:w="2044" w:type="dxa"/>
            <w:shd w:val="clear" w:color="auto" w:fill="F2F2F2" w:themeFill="background1" w:themeFillShade="F2"/>
            <w:vAlign w:val="center"/>
          </w:tcPr>
          <w:p w14:paraId="2F5182A2" w14:textId="192FCE37"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4</w:t>
            </w:r>
            <w:r w:rsidR="002657EF" w:rsidRPr="00175D8B">
              <w:rPr>
                <w:rFonts w:eastAsia="Aptos" w:cs="Aptos"/>
                <w:color w:val="000000" w:themeColor="text1"/>
                <w:sz w:val="20"/>
                <w:szCs w:val="20"/>
              </w:rPr>
              <w:t>,</w:t>
            </w:r>
            <w:r w:rsidRPr="00175D8B">
              <w:rPr>
                <w:rFonts w:eastAsia="Aptos" w:cs="Aptos"/>
                <w:color w:val="000000" w:themeColor="text1"/>
                <w:sz w:val="20"/>
                <w:szCs w:val="20"/>
              </w:rPr>
              <w:t>277</w:t>
            </w:r>
            <w:r w:rsidR="002657EF" w:rsidRPr="00175D8B">
              <w:rPr>
                <w:rFonts w:eastAsia="Aptos" w:cs="Aptos"/>
                <w:color w:val="000000" w:themeColor="text1"/>
                <w:sz w:val="20"/>
                <w:szCs w:val="20"/>
              </w:rPr>
              <w:t>,</w:t>
            </w:r>
            <w:r w:rsidRPr="00175D8B">
              <w:rPr>
                <w:rFonts w:eastAsia="Aptos" w:cs="Aptos"/>
                <w:color w:val="000000" w:themeColor="text1"/>
                <w:sz w:val="20"/>
                <w:szCs w:val="20"/>
              </w:rPr>
              <w:t>120</w:t>
            </w:r>
          </w:p>
        </w:tc>
        <w:tc>
          <w:tcPr>
            <w:tcW w:w="1337" w:type="dxa"/>
            <w:shd w:val="clear" w:color="auto" w:fill="F2F2F2" w:themeFill="background1" w:themeFillShade="F2"/>
            <w:vAlign w:val="center"/>
          </w:tcPr>
          <w:p w14:paraId="650D5EA9" w14:textId="5A06DB3C"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7</w:t>
            </w:r>
            <w:r w:rsidR="002657EF" w:rsidRPr="00175D8B">
              <w:rPr>
                <w:rFonts w:eastAsia="Aptos" w:cs="Aptos"/>
                <w:color w:val="000000" w:themeColor="text1"/>
                <w:sz w:val="20"/>
                <w:szCs w:val="20"/>
              </w:rPr>
              <w:t>.</w:t>
            </w:r>
            <w:r w:rsidRPr="00175D8B">
              <w:rPr>
                <w:rFonts w:eastAsia="Aptos" w:cs="Aptos"/>
                <w:color w:val="000000" w:themeColor="text1"/>
                <w:sz w:val="20"/>
                <w:szCs w:val="20"/>
              </w:rPr>
              <w:t>3</w:t>
            </w:r>
          </w:p>
        </w:tc>
        <w:tc>
          <w:tcPr>
            <w:tcW w:w="1595" w:type="dxa"/>
            <w:shd w:val="clear" w:color="auto" w:fill="F2F2F2" w:themeFill="background1" w:themeFillShade="F2"/>
            <w:vAlign w:val="center"/>
          </w:tcPr>
          <w:p w14:paraId="4CF5631E" w14:textId="54158308"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305</w:t>
            </w:r>
            <w:r w:rsidR="002657EF" w:rsidRPr="00175D8B">
              <w:rPr>
                <w:rFonts w:eastAsia="Aptos" w:cs="Aptos"/>
                <w:color w:val="000000" w:themeColor="text1"/>
                <w:sz w:val="20"/>
                <w:szCs w:val="20"/>
              </w:rPr>
              <w:t>,</w:t>
            </w:r>
            <w:r w:rsidRPr="00175D8B">
              <w:rPr>
                <w:rFonts w:eastAsia="Aptos" w:cs="Aptos"/>
                <w:color w:val="000000" w:themeColor="text1"/>
                <w:sz w:val="20"/>
                <w:szCs w:val="20"/>
              </w:rPr>
              <w:t>839</w:t>
            </w:r>
          </w:p>
        </w:tc>
        <w:tc>
          <w:tcPr>
            <w:tcW w:w="2176" w:type="dxa"/>
            <w:shd w:val="clear" w:color="auto" w:fill="F2F2F2" w:themeFill="background1" w:themeFillShade="F2"/>
            <w:vAlign w:val="center"/>
          </w:tcPr>
          <w:p w14:paraId="7CE85B0C" w14:textId="5850BBDF" w:rsidR="00363F14" w:rsidRPr="00175D8B" w:rsidRDefault="00363F14" w:rsidP="00363F14">
            <w:pPr>
              <w:spacing w:before="120" w:after="0" w:line="480" w:lineRule="auto"/>
              <w:rPr>
                <w:rFonts w:eastAsia="Aptos" w:cs="Aptos"/>
                <w:color w:val="000000" w:themeColor="text1"/>
                <w:sz w:val="20"/>
                <w:szCs w:val="20"/>
              </w:rPr>
            </w:pPr>
            <w:r w:rsidRPr="00175D8B">
              <w:rPr>
                <w:rFonts w:eastAsia="Aptos" w:cs="Aptos"/>
                <w:color w:val="000000" w:themeColor="text1"/>
                <w:sz w:val="20"/>
                <w:szCs w:val="20"/>
              </w:rPr>
              <w:t>0</w:t>
            </w:r>
            <w:r w:rsidR="002657EF" w:rsidRPr="00175D8B">
              <w:rPr>
                <w:rFonts w:eastAsia="Aptos" w:cs="Aptos"/>
                <w:color w:val="000000" w:themeColor="text1"/>
                <w:sz w:val="20"/>
                <w:szCs w:val="20"/>
              </w:rPr>
              <w:t>.</w:t>
            </w:r>
            <w:r w:rsidRPr="00175D8B">
              <w:rPr>
                <w:rFonts w:eastAsia="Aptos" w:cs="Aptos"/>
                <w:color w:val="000000" w:themeColor="text1"/>
                <w:sz w:val="20"/>
                <w:szCs w:val="20"/>
              </w:rPr>
              <w:t>29</w:t>
            </w:r>
          </w:p>
        </w:tc>
      </w:tr>
    </w:tbl>
    <w:p w14:paraId="4D23CA62" w14:textId="1756653D" w:rsidR="00363F14" w:rsidRPr="00175D8B" w:rsidRDefault="00363F14" w:rsidP="003D063A">
      <w:pPr>
        <w:spacing w:before="120" w:after="160" w:line="278" w:lineRule="auto"/>
        <w:rPr>
          <w:rFonts w:eastAsia="Aptos" w:cs="Aptos"/>
          <w:color w:val="000000" w:themeColor="text1"/>
          <w:sz w:val="18"/>
          <w:szCs w:val="18"/>
        </w:rPr>
      </w:pPr>
      <w:r w:rsidRPr="00175D8B">
        <w:rPr>
          <w:rFonts w:eastAsia="Aptos" w:cs="Aptos"/>
          <w:b/>
          <w:bCs/>
          <w:i/>
          <w:iCs/>
          <w:color w:val="000000" w:themeColor="text1"/>
          <w:sz w:val="18"/>
          <w:szCs w:val="18"/>
        </w:rPr>
        <w:t xml:space="preserve">Source: </w:t>
      </w:r>
      <w:r w:rsidRPr="00175D8B">
        <w:rPr>
          <w:rFonts w:eastAsia="Aptos" w:cs="Aptos"/>
          <w:i/>
          <w:iCs/>
          <w:color w:val="000000" w:themeColor="text1"/>
          <w:sz w:val="18"/>
          <w:szCs w:val="18"/>
        </w:rPr>
        <w:t>Republic of Türkiye Ministry of Health, 2023. Health Statistics Yearbook.</w:t>
      </w:r>
    </w:p>
    <w:p w14:paraId="7905DB9C" w14:textId="77777777" w:rsidR="003D7B6F" w:rsidRPr="00175D8B" w:rsidRDefault="003D7B6F" w:rsidP="00F74D52">
      <w:pPr>
        <w:spacing w:after="0"/>
        <w:jc w:val="center"/>
        <w:rPr>
          <w:i/>
          <w:color w:val="0E2841"/>
          <w:sz w:val="8"/>
          <w:szCs w:val="18"/>
        </w:rPr>
      </w:pPr>
    </w:p>
    <w:p w14:paraId="789340F0" w14:textId="5DFD6756" w:rsidR="00363F14" w:rsidRPr="00175D8B" w:rsidRDefault="00363F14" w:rsidP="006C58C5">
      <w:pPr>
        <w:rPr>
          <w:rFonts w:eastAsia="Aptos" w:cs="Aptos"/>
          <w:i/>
          <w:iCs/>
          <w:color w:val="000000" w:themeColor="text1"/>
          <w:sz w:val="20"/>
          <w:szCs w:val="20"/>
        </w:rPr>
      </w:pPr>
      <w:bookmarkStart w:id="241" w:name="_heading=h.3q2xic6m75yn" w:colFirst="0" w:colLast="0"/>
      <w:bookmarkEnd w:id="241"/>
      <w:r w:rsidRPr="00175D8B">
        <w:t xml:space="preserve">As shown in </w:t>
      </w:r>
      <w:r w:rsidR="00A62E69" w:rsidRPr="00A62E69">
        <w:fldChar w:fldCharType="begin"/>
      </w:r>
      <w:r w:rsidR="00A62E69" w:rsidRPr="00A62E69">
        <w:instrText xml:space="preserve"> REF _Ref214636067 \h  \* MERGEFORMAT </w:instrText>
      </w:r>
      <w:r w:rsidR="00A62E69" w:rsidRPr="00A62E69">
        <w:fldChar w:fldCharType="separate"/>
      </w:r>
      <w:r w:rsidR="00A62E69" w:rsidRPr="00A62E69">
        <w:t xml:space="preserve">Table </w:t>
      </w:r>
      <w:r w:rsidR="00A62E69" w:rsidRPr="00A62E69">
        <w:rPr>
          <w:noProof/>
        </w:rPr>
        <w:t>20</w:t>
      </w:r>
      <w:r w:rsidR="00A62E69" w:rsidRPr="00A62E69">
        <w:fldChar w:fldCharType="end"/>
      </w:r>
      <w:r w:rsidRPr="00A62E69">
        <w:t>,</w:t>
      </w:r>
      <w:r w:rsidRPr="00175D8B">
        <w:t xml:space="preserve"> during the 2020-2023 period, the number of inpatients in Sakarya increased from 102,233 to 141,452 while the total number of hospitalized days rose from 497 thousand to 560 thousand. The number of surgeries increased from 39,768 to 55,096 in the same period, indicating the intensity of healthcare services. The bed occupancy rate increased from 55% in 2020 to 62.8% in 2023, and the average length of stay decreased from 4.4 days to 4 days. The bed turnover rate increased from 45.1 to 57.8 and the bed turnover range decreased from 3.7 days to 2.3 days.</w:t>
      </w:r>
    </w:p>
    <w:p w14:paraId="5EF3DD0C" w14:textId="55CFA295" w:rsidR="00F143A7" w:rsidRPr="00175D8B" w:rsidRDefault="00F143A7" w:rsidP="006C58C5">
      <w:pPr>
        <w:pStyle w:val="ResimYazs"/>
        <w:keepNext/>
        <w:jc w:val="center"/>
      </w:pPr>
      <w:bookmarkStart w:id="242" w:name="_Toc216344438"/>
      <w:r w:rsidRPr="00684C6E">
        <w:rPr>
          <w:b/>
          <w:bCs/>
        </w:rPr>
        <w:t xml:space="preserve">Table </w:t>
      </w:r>
      <w:r w:rsidRPr="00684C6E">
        <w:rPr>
          <w:b/>
          <w:bCs/>
        </w:rPr>
        <w:fldChar w:fldCharType="begin"/>
      </w:r>
      <w:r w:rsidRPr="00684C6E">
        <w:rPr>
          <w:b/>
          <w:bCs/>
        </w:rPr>
        <w:instrText xml:space="preserve"> SEQ Table \* ARABIC </w:instrText>
      </w:r>
      <w:r w:rsidRPr="00684C6E">
        <w:rPr>
          <w:b/>
          <w:bCs/>
        </w:rPr>
        <w:fldChar w:fldCharType="separate"/>
      </w:r>
      <w:r w:rsidR="00FE5FDE" w:rsidRPr="00684C6E">
        <w:rPr>
          <w:b/>
          <w:bCs/>
          <w:noProof/>
        </w:rPr>
        <w:t>21</w:t>
      </w:r>
      <w:r w:rsidRPr="00684C6E">
        <w:rPr>
          <w:b/>
          <w:bCs/>
        </w:rPr>
        <w:fldChar w:fldCharType="end"/>
      </w:r>
      <w:r w:rsidRPr="00684C6E">
        <w:rPr>
          <w:b/>
          <w:bCs/>
        </w:rPr>
        <w:t>:</w:t>
      </w:r>
      <w:r w:rsidRPr="00175D8B">
        <w:t xml:space="preserve"> </w:t>
      </w:r>
      <w:r w:rsidRPr="00175D8B">
        <w:rPr>
          <w:rFonts w:eastAsia="Aptos" w:cs="Aptos"/>
          <w:color w:val="000000"/>
          <w:szCs w:val="20"/>
        </w:rPr>
        <w:t>Healthcare Utilization 2</w:t>
      </w:r>
      <w:bookmarkEnd w:id="242"/>
    </w:p>
    <w:tbl>
      <w:tblPr>
        <w:tblStyle w:val="TabloKlavuzu"/>
        <w:tblW w:w="9072" w:type="dxa"/>
        <w:jc w:val="right"/>
        <w:tblLook w:val="04A0" w:firstRow="1" w:lastRow="0" w:firstColumn="1" w:lastColumn="0" w:noHBand="0" w:noVBand="1"/>
      </w:tblPr>
      <w:tblGrid>
        <w:gridCol w:w="754"/>
        <w:gridCol w:w="1054"/>
        <w:gridCol w:w="1359"/>
        <w:gridCol w:w="1138"/>
        <w:gridCol w:w="1118"/>
        <w:gridCol w:w="1183"/>
        <w:gridCol w:w="962"/>
        <w:gridCol w:w="1504"/>
      </w:tblGrid>
      <w:tr w:rsidR="00363F14" w:rsidRPr="00175D8B" w14:paraId="1060BCD4" w14:textId="77777777" w:rsidTr="006C58C5">
        <w:trPr>
          <w:trHeight w:val="397"/>
          <w:tblHeader/>
          <w:jc w:val="right"/>
        </w:trPr>
        <w:tc>
          <w:tcPr>
            <w:tcW w:w="754" w:type="dxa"/>
            <w:shd w:val="clear" w:color="auto" w:fill="ABB7C1"/>
            <w:vAlign w:val="center"/>
          </w:tcPr>
          <w:p w14:paraId="442F41E1" w14:textId="77777777" w:rsidR="00363F14" w:rsidRPr="00175D8B" w:rsidRDefault="00363F14" w:rsidP="00363F14">
            <w:pPr>
              <w:spacing w:before="120" w:afterLines="120" w:after="288" w:line="240" w:lineRule="auto"/>
              <w:jc w:val="left"/>
              <w:rPr>
                <w:rFonts w:eastAsia="Aptos" w:cs="Aptos"/>
                <w:b/>
                <w:bCs/>
                <w:color w:val="000000" w:themeColor="text1"/>
                <w:sz w:val="20"/>
                <w:szCs w:val="18"/>
              </w:rPr>
            </w:pPr>
            <w:r w:rsidRPr="00175D8B">
              <w:rPr>
                <w:rFonts w:eastAsia="Aptos" w:cs="Aptos"/>
                <w:b/>
                <w:bCs/>
                <w:color w:val="000000" w:themeColor="text1"/>
                <w:sz w:val="20"/>
                <w:szCs w:val="18"/>
              </w:rPr>
              <w:t>Year</w:t>
            </w:r>
          </w:p>
        </w:tc>
        <w:tc>
          <w:tcPr>
            <w:tcW w:w="1054" w:type="dxa"/>
            <w:shd w:val="clear" w:color="auto" w:fill="ABB7C1"/>
            <w:vAlign w:val="center"/>
          </w:tcPr>
          <w:p w14:paraId="63FF36F8" w14:textId="77777777" w:rsidR="00363F14" w:rsidRPr="00175D8B" w:rsidRDefault="00363F14" w:rsidP="00363F14">
            <w:pPr>
              <w:spacing w:before="120" w:afterLines="120" w:after="288" w:line="240" w:lineRule="auto"/>
              <w:jc w:val="left"/>
              <w:rPr>
                <w:rFonts w:eastAsia="Aptos" w:cs="Aptos"/>
                <w:b/>
                <w:bCs/>
                <w:color w:val="000000" w:themeColor="text1"/>
                <w:sz w:val="20"/>
                <w:szCs w:val="18"/>
              </w:rPr>
            </w:pPr>
            <w:r w:rsidRPr="00175D8B">
              <w:rPr>
                <w:rFonts w:eastAsia="Aptos" w:cs="Aptos"/>
                <w:b/>
                <w:bCs/>
                <w:color w:val="000000" w:themeColor="text1"/>
                <w:sz w:val="20"/>
                <w:szCs w:val="18"/>
              </w:rPr>
              <w:t>Number of Inpatients</w:t>
            </w:r>
          </w:p>
        </w:tc>
        <w:tc>
          <w:tcPr>
            <w:tcW w:w="1359" w:type="dxa"/>
            <w:shd w:val="clear" w:color="auto" w:fill="ABB7C1"/>
            <w:vAlign w:val="center"/>
          </w:tcPr>
          <w:p w14:paraId="50ECA6F4" w14:textId="77777777" w:rsidR="00363F14" w:rsidRPr="00175D8B" w:rsidRDefault="00363F14" w:rsidP="00363F14">
            <w:pPr>
              <w:spacing w:before="120" w:afterLines="120" w:after="288" w:line="240" w:lineRule="auto"/>
              <w:jc w:val="left"/>
              <w:rPr>
                <w:rFonts w:eastAsia="Aptos" w:cs="Aptos"/>
                <w:b/>
                <w:bCs/>
                <w:color w:val="000000" w:themeColor="text1"/>
                <w:sz w:val="20"/>
                <w:szCs w:val="18"/>
              </w:rPr>
            </w:pPr>
            <w:r w:rsidRPr="00175D8B">
              <w:rPr>
                <w:rFonts w:eastAsia="Aptos" w:cs="Aptos"/>
                <w:b/>
                <w:bCs/>
                <w:color w:val="000000" w:themeColor="text1"/>
                <w:sz w:val="20"/>
                <w:szCs w:val="18"/>
              </w:rPr>
              <w:t>Number of Hospitalized Days</w:t>
            </w:r>
          </w:p>
        </w:tc>
        <w:tc>
          <w:tcPr>
            <w:tcW w:w="1138" w:type="dxa"/>
            <w:shd w:val="clear" w:color="auto" w:fill="ABB7C1"/>
            <w:vAlign w:val="center"/>
          </w:tcPr>
          <w:p w14:paraId="21CDB6D5" w14:textId="77777777" w:rsidR="00363F14" w:rsidRPr="00175D8B" w:rsidRDefault="00363F14" w:rsidP="00363F14">
            <w:pPr>
              <w:spacing w:before="120" w:afterLines="120" w:after="288" w:line="240" w:lineRule="auto"/>
              <w:jc w:val="left"/>
              <w:rPr>
                <w:rFonts w:eastAsia="Aptos" w:cs="Aptos"/>
                <w:b/>
                <w:bCs/>
                <w:color w:val="000000" w:themeColor="text1"/>
                <w:sz w:val="20"/>
                <w:szCs w:val="18"/>
              </w:rPr>
            </w:pPr>
            <w:r w:rsidRPr="00175D8B">
              <w:rPr>
                <w:rFonts w:eastAsia="Aptos" w:cs="Aptos"/>
                <w:b/>
                <w:bCs/>
                <w:color w:val="000000" w:themeColor="text1"/>
                <w:sz w:val="20"/>
                <w:szCs w:val="18"/>
              </w:rPr>
              <w:t>Number of Surgeries</w:t>
            </w:r>
          </w:p>
        </w:tc>
        <w:tc>
          <w:tcPr>
            <w:tcW w:w="1118" w:type="dxa"/>
            <w:shd w:val="clear" w:color="auto" w:fill="ABB7C1"/>
            <w:vAlign w:val="center"/>
          </w:tcPr>
          <w:p w14:paraId="6BEBDB33" w14:textId="77777777" w:rsidR="00363F14" w:rsidRPr="00175D8B" w:rsidRDefault="00363F14" w:rsidP="00363F14">
            <w:pPr>
              <w:spacing w:before="120" w:afterLines="120" w:after="288" w:line="240" w:lineRule="auto"/>
              <w:jc w:val="left"/>
              <w:rPr>
                <w:rFonts w:eastAsia="Aptos" w:cs="Aptos"/>
                <w:b/>
                <w:bCs/>
                <w:color w:val="000000" w:themeColor="text1"/>
                <w:sz w:val="20"/>
                <w:szCs w:val="18"/>
              </w:rPr>
            </w:pPr>
            <w:r w:rsidRPr="00175D8B">
              <w:rPr>
                <w:rFonts w:eastAsia="Aptos" w:cs="Aptos"/>
                <w:b/>
                <w:bCs/>
                <w:color w:val="000000" w:themeColor="text1"/>
                <w:sz w:val="20"/>
                <w:szCs w:val="18"/>
              </w:rPr>
              <w:t>Bed Occupancy Rate</w:t>
            </w:r>
          </w:p>
        </w:tc>
        <w:tc>
          <w:tcPr>
            <w:tcW w:w="1183" w:type="dxa"/>
            <w:shd w:val="clear" w:color="auto" w:fill="ABB7C1"/>
            <w:vAlign w:val="center"/>
          </w:tcPr>
          <w:p w14:paraId="52451ADA" w14:textId="77777777" w:rsidR="00363F14" w:rsidRPr="00175D8B" w:rsidRDefault="00363F14" w:rsidP="00363F14">
            <w:pPr>
              <w:spacing w:before="120" w:afterLines="120" w:after="288" w:line="240" w:lineRule="auto"/>
              <w:jc w:val="left"/>
              <w:rPr>
                <w:rFonts w:eastAsia="Aptos" w:cs="Aptos"/>
                <w:b/>
                <w:bCs/>
                <w:color w:val="000000" w:themeColor="text1"/>
                <w:sz w:val="20"/>
                <w:szCs w:val="18"/>
              </w:rPr>
            </w:pPr>
            <w:r w:rsidRPr="00175D8B">
              <w:rPr>
                <w:rFonts w:eastAsia="Aptos" w:cs="Aptos"/>
                <w:b/>
                <w:bCs/>
                <w:color w:val="000000" w:themeColor="text1"/>
                <w:sz w:val="20"/>
                <w:szCs w:val="18"/>
              </w:rPr>
              <w:t>Average Days of Stay</w:t>
            </w:r>
          </w:p>
        </w:tc>
        <w:tc>
          <w:tcPr>
            <w:tcW w:w="962" w:type="dxa"/>
            <w:shd w:val="clear" w:color="auto" w:fill="ABB7C1"/>
            <w:vAlign w:val="center"/>
          </w:tcPr>
          <w:p w14:paraId="4024099E" w14:textId="77777777" w:rsidR="00363F14" w:rsidRPr="00175D8B" w:rsidRDefault="00363F14" w:rsidP="00363F14">
            <w:pPr>
              <w:spacing w:before="120" w:afterLines="120" w:after="288" w:line="240" w:lineRule="auto"/>
              <w:jc w:val="left"/>
              <w:rPr>
                <w:rFonts w:eastAsia="Aptos" w:cs="Aptos"/>
                <w:b/>
                <w:bCs/>
                <w:color w:val="000000" w:themeColor="text1"/>
                <w:sz w:val="20"/>
                <w:szCs w:val="18"/>
              </w:rPr>
            </w:pPr>
            <w:r w:rsidRPr="00175D8B">
              <w:rPr>
                <w:rFonts w:eastAsia="Aptos" w:cs="Aptos"/>
                <w:b/>
                <w:bCs/>
                <w:color w:val="000000" w:themeColor="text1"/>
                <w:sz w:val="20"/>
                <w:szCs w:val="18"/>
              </w:rPr>
              <w:t>Bed Turnover</w:t>
            </w:r>
          </w:p>
        </w:tc>
        <w:tc>
          <w:tcPr>
            <w:tcW w:w="1504" w:type="dxa"/>
            <w:shd w:val="clear" w:color="auto" w:fill="ABB7C1"/>
            <w:vAlign w:val="center"/>
          </w:tcPr>
          <w:p w14:paraId="4191C5DE" w14:textId="77777777" w:rsidR="00363F14" w:rsidRPr="00175D8B" w:rsidRDefault="00363F14" w:rsidP="00363F14">
            <w:pPr>
              <w:spacing w:before="120" w:afterLines="120" w:after="288" w:line="240" w:lineRule="auto"/>
              <w:jc w:val="left"/>
              <w:rPr>
                <w:rFonts w:eastAsia="Aptos" w:cs="Aptos"/>
                <w:b/>
                <w:bCs/>
                <w:color w:val="000000" w:themeColor="text1"/>
                <w:sz w:val="20"/>
                <w:szCs w:val="18"/>
              </w:rPr>
            </w:pPr>
            <w:r w:rsidRPr="00175D8B">
              <w:rPr>
                <w:rFonts w:eastAsia="Aptos" w:cs="Aptos"/>
                <w:b/>
                <w:bCs/>
                <w:color w:val="000000" w:themeColor="text1"/>
                <w:sz w:val="20"/>
                <w:szCs w:val="18"/>
              </w:rPr>
              <w:t>Bed Speed Range</w:t>
            </w:r>
          </w:p>
        </w:tc>
      </w:tr>
      <w:tr w:rsidR="00363F14" w:rsidRPr="00175D8B" w14:paraId="081A40B5" w14:textId="77777777" w:rsidTr="006C58C5">
        <w:trPr>
          <w:trHeight w:val="588"/>
          <w:jc w:val="right"/>
        </w:trPr>
        <w:tc>
          <w:tcPr>
            <w:tcW w:w="754" w:type="dxa"/>
            <w:shd w:val="clear" w:color="auto" w:fill="F2F2F2" w:themeFill="background1" w:themeFillShade="F2"/>
            <w:vAlign w:val="center"/>
          </w:tcPr>
          <w:p w14:paraId="6A38C90F" w14:textId="77777777"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2023</w:t>
            </w:r>
          </w:p>
        </w:tc>
        <w:tc>
          <w:tcPr>
            <w:tcW w:w="1054" w:type="dxa"/>
            <w:shd w:val="clear" w:color="auto" w:fill="F2F2F2" w:themeFill="background1" w:themeFillShade="F2"/>
            <w:vAlign w:val="center"/>
          </w:tcPr>
          <w:p w14:paraId="1F863F8F" w14:textId="3ADA4739"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141</w:t>
            </w:r>
            <w:r w:rsidR="002657EF" w:rsidRPr="00175D8B">
              <w:rPr>
                <w:rFonts w:eastAsia="Aptos" w:cs="Aptos"/>
                <w:color w:val="000000" w:themeColor="text1"/>
                <w:sz w:val="20"/>
                <w:szCs w:val="20"/>
              </w:rPr>
              <w:t>,</w:t>
            </w:r>
            <w:r w:rsidRPr="00175D8B">
              <w:rPr>
                <w:rFonts w:eastAsia="Aptos" w:cs="Aptos"/>
                <w:color w:val="000000" w:themeColor="text1"/>
                <w:sz w:val="20"/>
                <w:szCs w:val="20"/>
              </w:rPr>
              <w:t>452</w:t>
            </w:r>
          </w:p>
        </w:tc>
        <w:tc>
          <w:tcPr>
            <w:tcW w:w="1359" w:type="dxa"/>
            <w:shd w:val="clear" w:color="auto" w:fill="F2F2F2" w:themeFill="background1" w:themeFillShade="F2"/>
            <w:vAlign w:val="center"/>
          </w:tcPr>
          <w:p w14:paraId="7C411521" w14:textId="62EB214F"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560</w:t>
            </w:r>
            <w:r w:rsidR="002657EF" w:rsidRPr="00175D8B">
              <w:rPr>
                <w:rFonts w:eastAsia="Aptos" w:cs="Aptos"/>
                <w:color w:val="000000" w:themeColor="text1"/>
                <w:sz w:val="20"/>
                <w:szCs w:val="20"/>
              </w:rPr>
              <w:t>,</w:t>
            </w:r>
            <w:r w:rsidRPr="00175D8B">
              <w:rPr>
                <w:rFonts w:eastAsia="Aptos" w:cs="Aptos"/>
                <w:color w:val="000000" w:themeColor="text1"/>
                <w:sz w:val="20"/>
                <w:szCs w:val="20"/>
              </w:rPr>
              <w:t>900</w:t>
            </w:r>
          </w:p>
        </w:tc>
        <w:tc>
          <w:tcPr>
            <w:tcW w:w="1138" w:type="dxa"/>
            <w:shd w:val="clear" w:color="auto" w:fill="F2F2F2" w:themeFill="background1" w:themeFillShade="F2"/>
            <w:vAlign w:val="center"/>
          </w:tcPr>
          <w:p w14:paraId="67D49E6D" w14:textId="7169B81A"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55</w:t>
            </w:r>
            <w:r w:rsidR="002657EF" w:rsidRPr="00175D8B">
              <w:rPr>
                <w:rFonts w:eastAsia="Aptos" w:cs="Aptos"/>
                <w:color w:val="000000" w:themeColor="text1"/>
                <w:sz w:val="20"/>
                <w:szCs w:val="20"/>
              </w:rPr>
              <w:t>,</w:t>
            </w:r>
            <w:r w:rsidRPr="00175D8B">
              <w:rPr>
                <w:rFonts w:eastAsia="Aptos" w:cs="Aptos"/>
                <w:color w:val="000000" w:themeColor="text1"/>
                <w:sz w:val="20"/>
                <w:szCs w:val="20"/>
              </w:rPr>
              <w:t>096</w:t>
            </w:r>
          </w:p>
        </w:tc>
        <w:tc>
          <w:tcPr>
            <w:tcW w:w="1118" w:type="dxa"/>
            <w:shd w:val="clear" w:color="auto" w:fill="F2F2F2" w:themeFill="background1" w:themeFillShade="F2"/>
            <w:vAlign w:val="center"/>
          </w:tcPr>
          <w:p w14:paraId="62CEBD26" w14:textId="7FC8A691"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62</w:t>
            </w:r>
            <w:r w:rsidR="002657EF" w:rsidRPr="00175D8B">
              <w:rPr>
                <w:rFonts w:eastAsia="Aptos" w:cs="Aptos"/>
                <w:color w:val="000000" w:themeColor="text1"/>
                <w:sz w:val="20"/>
                <w:szCs w:val="20"/>
              </w:rPr>
              <w:t>.</w:t>
            </w:r>
            <w:r w:rsidRPr="00175D8B">
              <w:rPr>
                <w:rFonts w:eastAsia="Aptos" w:cs="Aptos"/>
                <w:color w:val="000000" w:themeColor="text1"/>
                <w:sz w:val="20"/>
                <w:szCs w:val="20"/>
              </w:rPr>
              <w:t>8</w:t>
            </w:r>
          </w:p>
        </w:tc>
        <w:tc>
          <w:tcPr>
            <w:tcW w:w="1183" w:type="dxa"/>
            <w:shd w:val="clear" w:color="auto" w:fill="F2F2F2" w:themeFill="background1" w:themeFillShade="F2"/>
            <w:vAlign w:val="center"/>
          </w:tcPr>
          <w:p w14:paraId="303B36D1" w14:textId="77777777"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4</w:t>
            </w:r>
          </w:p>
        </w:tc>
        <w:tc>
          <w:tcPr>
            <w:tcW w:w="962" w:type="dxa"/>
            <w:shd w:val="clear" w:color="auto" w:fill="F2F2F2" w:themeFill="background1" w:themeFillShade="F2"/>
            <w:vAlign w:val="center"/>
          </w:tcPr>
          <w:p w14:paraId="6AB2CBDC" w14:textId="4FAB02E2"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57</w:t>
            </w:r>
            <w:r w:rsidR="002657EF" w:rsidRPr="00175D8B">
              <w:rPr>
                <w:rFonts w:eastAsia="Aptos" w:cs="Aptos"/>
                <w:color w:val="000000" w:themeColor="text1"/>
                <w:sz w:val="20"/>
                <w:szCs w:val="20"/>
              </w:rPr>
              <w:t>.</w:t>
            </w:r>
            <w:r w:rsidRPr="00175D8B">
              <w:rPr>
                <w:rFonts w:eastAsia="Aptos" w:cs="Aptos"/>
                <w:color w:val="000000" w:themeColor="text1"/>
                <w:sz w:val="20"/>
                <w:szCs w:val="20"/>
              </w:rPr>
              <w:t>8</w:t>
            </w:r>
          </w:p>
        </w:tc>
        <w:tc>
          <w:tcPr>
            <w:tcW w:w="1504" w:type="dxa"/>
            <w:shd w:val="clear" w:color="auto" w:fill="F2F2F2" w:themeFill="background1" w:themeFillShade="F2"/>
            <w:vAlign w:val="center"/>
          </w:tcPr>
          <w:p w14:paraId="6843B240" w14:textId="6E9A7BD4"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2</w:t>
            </w:r>
            <w:r w:rsidR="002657EF" w:rsidRPr="00175D8B">
              <w:rPr>
                <w:rFonts w:eastAsia="Aptos" w:cs="Aptos"/>
                <w:color w:val="000000" w:themeColor="text1"/>
                <w:sz w:val="20"/>
                <w:szCs w:val="20"/>
              </w:rPr>
              <w:t>.</w:t>
            </w:r>
            <w:r w:rsidRPr="00175D8B">
              <w:rPr>
                <w:rFonts w:eastAsia="Aptos" w:cs="Aptos"/>
                <w:color w:val="000000" w:themeColor="text1"/>
                <w:sz w:val="20"/>
                <w:szCs w:val="20"/>
              </w:rPr>
              <w:t>3</w:t>
            </w:r>
          </w:p>
        </w:tc>
      </w:tr>
      <w:tr w:rsidR="00363F14" w:rsidRPr="00175D8B" w14:paraId="094ACD97" w14:textId="77777777" w:rsidTr="006C58C5">
        <w:trPr>
          <w:trHeight w:val="554"/>
          <w:jc w:val="right"/>
        </w:trPr>
        <w:tc>
          <w:tcPr>
            <w:tcW w:w="754" w:type="dxa"/>
            <w:shd w:val="clear" w:color="auto" w:fill="F2F2F2" w:themeFill="background1" w:themeFillShade="F2"/>
            <w:vAlign w:val="center"/>
          </w:tcPr>
          <w:p w14:paraId="7231121A" w14:textId="77777777"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2022</w:t>
            </w:r>
          </w:p>
        </w:tc>
        <w:tc>
          <w:tcPr>
            <w:tcW w:w="1054" w:type="dxa"/>
            <w:shd w:val="clear" w:color="auto" w:fill="F2F2F2" w:themeFill="background1" w:themeFillShade="F2"/>
            <w:vAlign w:val="center"/>
          </w:tcPr>
          <w:p w14:paraId="5F90720B" w14:textId="378D6B27"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126</w:t>
            </w:r>
            <w:r w:rsidR="002657EF" w:rsidRPr="00175D8B">
              <w:rPr>
                <w:rFonts w:eastAsia="Aptos" w:cs="Aptos"/>
                <w:color w:val="000000" w:themeColor="text1"/>
                <w:sz w:val="20"/>
                <w:szCs w:val="20"/>
              </w:rPr>
              <w:t>,</w:t>
            </w:r>
            <w:r w:rsidRPr="00175D8B">
              <w:rPr>
                <w:rFonts w:eastAsia="Aptos" w:cs="Aptos"/>
                <w:color w:val="000000" w:themeColor="text1"/>
                <w:sz w:val="20"/>
                <w:szCs w:val="20"/>
              </w:rPr>
              <w:t>582</w:t>
            </w:r>
          </w:p>
        </w:tc>
        <w:tc>
          <w:tcPr>
            <w:tcW w:w="1359" w:type="dxa"/>
            <w:shd w:val="clear" w:color="auto" w:fill="F2F2F2" w:themeFill="background1" w:themeFillShade="F2"/>
            <w:vAlign w:val="center"/>
          </w:tcPr>
          <w:p w14:paraId="437400EA" w14:textId="475489D0"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512</w:t>
            </w:r>
            <w:r w:rsidR="002657EF" w:rsidRPr="00175D8B">
              <w:rPr>
                <w:rFonts w:eastAsia="Aptos" w:cs="Aptos"/>
                <w:color w:val="000000" w:themeColor="text1"/>
                <w:sz w:val="20"/>
                <w:szCs w:val="20"/>
              </w:rPr>
              <w:t>,</w:t>
            </w:r>
            <w:r w:rsidRPr="00175D8B">
              <w:rPr>
                <w:rFonts w:eastAsia="Aptos" w:cs="Aptos"/>
                <w:color w:val="000000" w:themeColor="text1"/>
                <w:sz w:val="20"/>
                <w:szCs w:val="20"/>
              </w:rPr>
              <w:t>924</w:t>
            </w:r>
          </w:p>
        </w:tc>
        <w:tc>
          <w:tcPr>
            <w:tcW w:w="1138" w:type="dxa"/>
            <w:shd w:val="clear" w:color="auto" w:fill="F2F2F2" w:themeFill="background1" w:themeFillShade="F2"/>
            <w:vAlign w:val="center"/>
          </w:tcPr>
          <w:p w14:paraId="5453E095" w14:textId="1137D7D1"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50</w:t>
            </w:r>
            <w:r w:rsidR="002657EF" w:rsidRPr="00175D8B">
              <w:rPr>
                <w:rFonts w:eastAsia="Aptos" w:cs="Aptos"/>
                <w:color w:val="000000" w:themeColor="text1"/>
                <w:sz w:val="20"/>
                <w:szCs w:val="20"/>
              </w:rPr>
              <w:t>,</w:t>
            </w:r>
            <w:r w:rsidRPr="00175D8B">
              <w:rPr>
                <w:rFonts w:eastAsia="Aptos" w:cs="Aptos"/>
                <w:color w:val="000000" w:themeColor="text1"/>
                <w:sz w:val="20"/>
                <w:szCs w:val="20"/>
              </w:rPr>
              <w:t>449</w:t>
            </w:r>
          </w:p>
        </w:tc>
        <w:tc>
          <w:tcPr>
            <w:tcW w:w="1118" w:type="dxa"/>
            <w:shd w:val="clear" w:color="auto" w:fill="F2F2F2" w:themeFill="background1" w:themeFillShade="F2"/>
            <w:vAlign w:val="center"/>
          </w:tcPr>
          <w:p w14:paraId="30DB8A39" w14:textId="265F2BF1"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58</w:t>
            </w:r>
            <w:r w:rsidR="002657EF" w:rsidRPr="00175D8B">
              <w:rPr>
                <w:rFonts w:eastAsia="Aptos" w:cs="Aptos"/>
                <w:color w:val="000000" w:themeColor="text1"/>
                <w:sz w:val="20"/>
                <w:szCs w:val="20"/>
              </w:rPr>
              <w:t>.</w:t>
            </w:r>
            <w:r w:rsidRPr="00175D8B">
              <w:rPr>
                <w:rFonts w:eastAsia="Aptos" w:cs="Aptos"/>
                <w:color w:val="000000" w:themeColor="text1"/>
                <w:sz w:val="20"/>
                <w:szCs w:val="20"/>
              </w:rPr>
              <w:t>7</w:t>
            </w:r>
          </w:p>
        </w:tc>
        <w:tc>
          <w:tcPr>
            <w:tcW w:w="1183" w:type="dxa"/>
            <w:shd w:val="clear" w:color="auto" w:fill="F2F2F2" w:themeFill="background1" w:themeFillShade="F2"/>
            <w:vAlign w:val="center"/>
          </w:tcPr>
          <w:p w14:paraId="71527B3B" w14:textId="2C258D2D"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4</w:t>
            </w:r>
            <w:r w:rsidR="002657EF" w:rsidRPr="00175D8B">
              <w:rPr>
                <w:rFonts w:eastAsia="Aptos" w:cs="Aptos"/>
                <w:color w:val="000000" w:themeColor="text1"/>
                <w:sz w:val="20"/>
                <w:szCs w:val="20"/>
              </w:rPr>
              <w:t>.</w:t>
            </w:r>
            <w:r w:rsidRPr="00175D8B">
              <w:rPr>
                <w:rFonts w:eastAsia="Aptos" w:cs="Aptos"/>
                <w:color w:val="000000" w:themeColor="text1"/>
                <w:sz w:val="20"/>
                <w:szCs w:val="20"/>
              </w:rPr>
              <w:t>1</w:t>
            </w:r>
          </w:p>
        </w:tc>
        <w:tc>
          <w:tcPr>
            <w:tcW w:w="962" w:type="dxa"/>
            <w:shd w:val="clear" w:color="auto" w:fill="F2F2F2" w:themeFill="background1" w:themeFillShade="F2"/>
            <w:vAlign w:val="center"/>
          </w:tcPr>
          <w:p w14:paraId="044E6E10" w14:textId="37A5BBE8"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52</w:t>
            </w:r>
            <w:r w:rsidR="002657EF" w:rsidRPr="00175D8B">
              <w:rPr>
                <w:rFonts w:eastAsia="Aptos" w:cs="Aptos"/>
                <w:color w:val="000000" w:themeColor="text1"/>
                <w:sz w:val="20"/>
                <w:szCs w:val="20"/>
              </w:rPr>
              <w:t>.</w:t>
            </w:r>
            <w:r w:rsidRPr="00175D8B">
              <w:rPr>
                <w:rFonts w:eastAsia="Aptos" w:cs="Aptos"/>
                <w:color w:val="000000" w:themeColor="text1"/>
                <w:sz w:val="20"/>
                <w:szCs w:val="20"/>
              </w:rPr>
              <w:t>9</w:t>
            </w:r>
          </w:p>
        </w:tc>
        <w:tc>
          <w:tcPr>
            <w:tcW w:w="1504" w:type="dxa"/>
            <w:shd w:val="clear" w:color="auto" w:fill="F2F2F2" w:themeFill="background1" w:themeFillShade="F2"/>
            <w:vAlign w:val="center"/>
          </w:tcPr>
          <w:p w14:paraId="4FE11761" w14:textId="6C2694D6"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2</w:t>
            </w:r>
            <w:r w:rsidR="002657EF" w:rsidRPr="00175D8B">
              <w:rPr>
                <w:rFonts w:eastAsia="Aptos" w:cs="Aptos"/>
                <w:color w:val="000000" w:themeColor="text1"/>
                <w:sz w:val="20"/>
                <w:szCs w:val="20"/>
              </w:rPr>
              <w:t>.</w:t>
            </w:r>
            <w:r w:rsidRPr="00175D8B">
              <w:rPr>
                <w:rFonts w:eastAsia="Aptos" w:cs="Aptos"/>
                <w:color w:val="000000" w:themeColor="text1"/>
                <w:sz w:val="20"/>
                <w:szCs w:val="20"/>
              </w:rPr>
              <w:t>8</w:t>
            </w:r>
          </w:p>
        </w:tc>
      </w:tr>
      <w:tr w:rsidR="00363F14" w:rsidRPr="00175D8B" w14:paraId="450F5ADA" w14:textId="77777777" w:rsidTr="006C58C5">
        <w:trPr>
          <w:trHeight w:val="397"/>
          <w:jc w:val="right"/>
        </w:trPr>
        <w:tc>
          <w:tcPr>
            <w:tcW w:w="754" w:type="dxa"/>
            <w:shd w:val="clear" w:color="auto" w:fill="F2F2F2" w:themeFill="background1" w:themeFillShade="F2"/>
            <w:vAlign w:val="center"/>
          </w:tcPr>
          <w:p w14:paraId="15BDDC2B" w14:textId="77777777"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2021</w:t>
            </w:r>
          </w:p>
        </w:tc>
        <w:tc>
          <w:tcPr>
            <w:tcW w:w="1054" w:type="dxa"/>
            <w:shd w:val="clear" w:color="auto" w:fill="F2F2F2" w:themeFill="background1" w:themeFillShade="F2"/>
            <w:vAlign w:val="center"/>
          </w:tcPr>
          <w:p w14:paraId="2FB42DF2" w14:textId="1F28C29E"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110</w:t>
            </w:r>
            <w:r w:rsidR="002657EF" w:rsidRPr="00175D8B">
              <w:rPr>
                <w:rFonts w:eastAsia="Aptos" w:cs="Aptos"/>
                <w:color w:val="000000" w:themeColor="text1"/>
                <w:sz w:val="20"/>
                <w:szCs w:val="20"/>
              </w:rPr>
              <w:t>,</w:t>
            </w:r>
            <w:r w:rsidRPr="00175D8B">
              <w:rPr>
                <w:rFonts w:eastAsia="Aptos" w:cs="Aptos"/>
                <w:color w:val="000000" w:themeColor="text1"/>
                <w:sz w:val="20"/>
                <w:szCs w:val="20"/>
              </w:rPr>
              <w:t>388</w:t>
            </w:r>
          </w:p>
        </w:tc>
        <w:tc>
          <w:tcPr>
            <w:tcW w:w="1359" w:type="dxa"/>
            <w:shd w:val="clear" w:color="auto" w:fill="F2F2F2" w:themeFill="background1" w:themeFillShade="F2"/>
            <w:vAlign w:val="center"/>
          </w:tcPr>
          <w:p w14:paraId="2E536BF7" w14:textId="79BED806"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497</w:t>
            </w:r>
            <w:r w:rsidR="002657EF" w:rsidRPr="00175D8B">
              <w:rPr>
                <w:rFonts w:eastAsia="Aptos" w:cs="Aptos"/>
                <w:color w:val="000000" w:themeColor="text1"/>
                <w:sz w:val="20"/>
                <w:szCs w:val="20"/>
              </w:rPr>
              <w:t>,</w:t>
            </w:r>
            <w:r w:rsidRPr="00175D8B">
              <w:rPr>
                <w:rFonts w:eastAsia="Aptos" w:cs="Aptos"/>
                <w:color w:val="000000" w:themeColor="text1"/>
                <w:sz w:val="20"/>
                <w:szCs w:val="20"/>
              </w:rPr>
              <w:t>104</w:t>
            </w:r>
          </w:p>
        </w:tc>
        <w:tc>
          <w:tcPr>
            <w:tcW w:w="1138" w:type="dxa"/>
            <w:shd w:val="clear" w:color="auto" w:fill="F2F2F2" w:themeFill="background1" w:themeFillShade="F2"/>
            <w:vAlign w:val="center"/>
          </w:tcPr>
          <w:p w14:paraId="5161AE68" w14:textId="297259F7"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46</w:t>
            </w:r>
            <w:r w:rsidR="002657EF" w:rsidRPr="00175D8B">
              <w:rPr>
                <w:rFonts w:eastAsia="Aptos" w:cs="Aptos"/>
                <w:color w:val="000000" w:themeColor="text1"/>
                <w:sz w:val="20"/>
                <w:szCs w:val="20"/>
              </w:rPr>
              <w:t>,</w:t>
            </w:r>
            <w:r w:rsidRPr="00175D8B">
              <w:rPr>
                <w:rFonts w:eastAsia="Aptos" w:cs="Aptos"/>
                <w:color w:val="000000" w:themeColor="text1"/>
                <w:sz w:val="20"/>
                <w:szCs w:val="20"/>
              </w:rPr>
              <w:t>205</w:t>
            </w:r>
          </w:p>
        </w:tc>
        <w:tc>
          <w:tcPr>
            <w:tcW w:w="1118" w:type="dxa"/>
            <w:shd w:val="clear" w:color="auto" w:fill="F2F2F2" w:themeFill="background1" w:themeFillShade="F2"/>
            <w:vAlign w:val="center"/>
          </w:tcPr>
          <w:p w14:paraId="2B6CB728" w14:textId="77777777"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58</w:t>
            </w:r>
          </w:p>
        </w:tc>
        <w:tc>
          <w:tcPr>
            <w:tcW w:w="1183" w:type="dxa"/>
            <w:shd w:val="clear" w:color="auto" w:fill="F2F2F2" w:themeFill="background1" w:themeFillShade="F2"/>
            <w:vAlign w:val="center"/>
          </w:tcPr>
          <w:p w14:paraId="04BB382D" w14:textId="22F20EE8"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4</w:t>
            </w:r>
            <w:r w:rsidR="002657EF" w:rsidRPr="00175D8B">
              <w:rPr>
                <w:rFonts w:eastAsia="Aptos" w:cs="Aptos"/>
                <w:color w:val="000000" w:themeColor="text1"/>
                <w:sz w:val="20"/>
                <w:szCs w:val="20"/>
              </w:rPr>
              <w:t>.</w:t>
            </w:r>
            <w:r w:rsidRPr="00175D8B">
              <w:rPr>
                <w:rFonts w:eastAsia="Aptos" w:cs="Aptos"/>
                <w:color w:val="000000" w:themeColor="text1"/>
                <w:sz w:val="20"/>
                <w:szCs w:val="20"/>
              </w:rPr>
              <w:t>5</w:t>
            </w:r>
          </w:p>
        </w:tc>
        <w:tc>
          <w:tcPr>
            <w:tcW w:w="962" w:type="dxa"/>
            <w:shd w:val="clear" w:color="auto" w:fill="F2F2F2" w:themeFill="background1" w:themeFillShade="F2"/>
            <w:vAlign w:val="center"/>
          </w:tcPr>
          <w:p w14:paraId="1D66C422" w14:textId="3B329A45"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47</w:t>
            </w:r>
            <w:r w:rsidR="002657EF" w:rsidRPr="00175D8B">
              <w:rPr>
                <w:rFonts w:eastAsia="Aptos" w:cs="Aptos"/>
                <w:color w:val="000000" w:themeColor="text1"/>
                <w:sz w:val="20"/>
                <w:szCs w:val="20"/>
              </w:rPr>
              <w:t>.</w:t>
            </w:r>
            <w:r w:rsidRPr="00175D8B">
              <w:rPr>
                <w:rFonts w:eastAsia="Aptos" w:cs="Aptos"/>
                <w:color w:val="000000" w:themeColor="text1"/>
                <w:sz w:val="20"/>
                <w:szCs w:val="20"/>
              </w:rPr>
              <w:t>2</w:t>
            </w:r>
          </w:p>
        </w:tc>
        <w:tc>
          <w:tcPr>
            <w:tcW w:w="1504" w:type="dxa"/>
            <w:shd w:val="clear" w:color="auto" w:fill="F2F2F2" w:themeFill="background1" w:themeFillShade="F2"/>
            <w:vAlign w:val="center"/>
          </w:tcPr>
          <w:p w14:paraId="0A7EFF28" w14:textId="1F55278E"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3</w:t>
            </w:r>
            <w:r w:rsidR="002657EF" w:rsidRPr="00175D8B">
              <w:rPr>
                <w:rFonts w:eastAsia="Aptos" w:cs="Aptos"/>
                <w:color w:val="000000" w:themeColor="text1"/>
                <w:sz w:val="20"/>
                <w:szCs w:val="20"/>
              </w:rPr>
              <w:t>.</w:t>
            </w:r>
            <w:r w:rsidRPr="00175D8B">
              <w:rPr>
                <w:rFonts w:eastAsia="Aptos" w:cs="Aptos"/>
                <w:color w:val="000000" w:themeColor="text1"/>
                <w:sz w:val="20"/>
                <w:szCs w:val="20"/>
              </w:rPr>
              <w:t>2</w:t>
            </w:r>
          </w:p>
        </w:tc>
      </w:tr>
      <w:tr w:rsidR="00363F14" w:rsidRPr="00175D8B" w14:paraId="4A8E5361" w14:textId="77777777" w:rsidTr="006C58C5">
        <w:trPr>
          <w:trHeight w:val="397"/>
          <w:jc w:val="right"/>
        </w:trPr>
        <w:tc>
          <w:tcPr>
            <w:tcW w:w="754" w:type="dxa"/>
            <w:shd w:val="clear" w:color="auto" w:fill="F2F2F2" w:themeFill="background1" w:themeFillShade="F2"/>
            <w:vAlign w:val="center"/>
          </w:tcPr>
          <w:p w14:paraId="791D354F" w14:textId="77777777"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2020</w:t>
            </w:r>
          </w:p>
        </w:tc>
        <w:tc>
          <w:tcPr>
            <w:tcW w:w="1054" w:type="dxa"/>
            <w:shd w:val="clear" w:color="auto" w:fill="F2F2F2" w:themeFill="background1" w:themeFillShade="F2"/>
            <w:vAlign w:val="center"/>
          </w:tcPr>
          <w:p w14:paraId="709308EA" w14:textId="20DB27F0"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102</w:t>
            </w:r>
            <w:r w:rsidR="002657EF" w:rsidRPr="00175D8B">
              <w:rPr>
                <w:rFonts w:eastAsia="Aptos" w:cs="Aptos"/>
                <w:color w:val="000000" w:themeColor="text1"/>
                <w:sz w:val="20"/>
                <w:szCs w:val="20"/>
              </w:rPr>
              <w:t>,</w:t>
            </w:r>
            <w:r w:rsidRPr="00175D8B">
              <w:rPr>
                <w:rFonts w:eastAsia="Aptos" w:cs="Aptos"/>
                <w:color w:val="000000" w:themeColor="text1"/>
                <w:sz w:val="20"/>
                <w:szCs w:val="20"/>
              </w:rPr>
              <w:t>233</w:t>
            </w:r>
          </w:p>
        </w:tc>
        <w:tc>
          <w:tcPr>
            <w:tcW w:w="1359" w:type="dxa"/>
            <w:shd w:val="clear" w:color="auto" w:fill="F2F2F2" w:themeFill="background1" w:themeFillShade="F2"/>
            <w:vAlign w:val="center"/>
          </w:tcPr>
          <w:p w14:paraId="53C9E487" w14:textId="1297E241"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497</w:t>
            </w:r>
            <w:r w:rsidR="002657EF" w:rsidRPr="00175D8B">
              <w:rPr>
                <w:rFonts w:eastAsia="Aptos" w:cs="Aptos"/>
                <w:color w:val="000000" w:themeColor="text1"/>
                <w:sz w:val="20"/>
                <w:szCs w:val="20"/>
              </w:rPr>
              <w:t>,</w:t>
            </w:r>
            <w:r w:rsidRPr="00175D8B">
              <w:rPr>
                <w:rFonts w:eastAsia="Aptos" w:cs="Aptos"/>
                <w:color w:val="000000" w:themeColor="text1"/>
                <w:sz w:val="20"/>
                <w:szCs w:val="20"/>
              </w:rPr>
              <w:t>104</w:t>
            </w:r>
          </w:p>
        </w:tc>
        <w:tc>
          <w:tcPr>
            <w:tcW w:w="1138" w:type="dxa"/>
            <w:shd w:val="clear" w:color="auto" w:fill="F2F2F2" w:themeFill="background1" w:themeFillShade="F2"/>
            <w:vAlign w:val="center"/>
          </w:tcPr>
          <w:p w14:paraId="03510210" w14:textId="67CF96B3"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39</w:t>
            </w:r>
            <w:r w:rsidR="002657EF" w:rsidRPr="00175D8B">
              <w:rPr>
                <w:rFonts w:eastAsia="Aptos" w:cs="Aptos"/>
                <w:color w:val="000000" w:themeColor="text1"/>
                <w:sz w:val="20"/>
                <w:szCs w:val="20"/>
              </w:rPr>
              <w:t>,</w:t>
            </w:r>
            <w:r w:rsidRPr="00175D8B">
              <w:rPr>
                <w:rFonts w:eastAsia="Aptos" w:cs="Aptos"/>
                <w:color w:val="000000" w:themeColor="text1"/>
                <w:sz w:val="20"/>
                <w:szCs w:val="20"/>
              </w:rPr>
              <w:t>768</w:t>
            </w:r>
          </w:p>
        </w:tc>
        <w:tc>
          <w:tcPr>
            <w:tcW w:w="1118" w:type="dxa"/>
            <w:shd w:val="clear" w:color="auto" w:fill="F2F2F2" w:themeFill="background1" w:themeFillShade="F2"/>
            <w:vAlign w:val="center"/>
          </w:tcPr>
          <w:p w14:paraId="55C8CC52" w14:textId="77777777"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55</w:t>
            </w:r>
          </w:p>
        </w:tc>
        <w:tc>
          <w:tcPr>
            <w:tcW w:w="1183" w:type="dxa"/>
            <w:shd w:val="clear" w:color="auto" w:fill="F2F2F2" w:themeFill="background1" w:themeFillShade="F2"/>
            <w:vAlign w:val="center"/>
          </w:tcPr>
          <w:p w14:paraId="13533B96" w14:textId="21D54EFC"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4</w:t>
            </w:r>
            <w:r w:rsidR="002657EF" w:rsidRPr="00175D8B">
              <w:rPr>
                <w:rFonts w:eastAsia="Aptos" w:cs="Aptos"/>
                <w:color w:val="000000" w:themeColor="text1"/>
                <w:sz w:val="20"/>
                <w:szCs w:val="20"/>
              </w:rPr>
              <w:t>.</w:t>
            </w:r>
            <w:r w:rsidRPr="00175D8B">
              <w:rPr>
                <w:rFonts w:eastAsia="Aptos" w:cs="Aptos"/>
                <w:color w:val="000000" w:themeColor="text1"/>
                <w:sz w:val="20"/>
                <w:szCs w:val="20"/>
              </w:rPr>
              <w:t>4</w:t>
            </w:r>
          </w:p>
        </w:tc>
        <w:tc>
          <w:tcPr>
            <w:tcW w:w="962" w:type="dxa"/>
            <w:shd w:val="clear" w:color="auto" w:fill="F2F2F2" w:themeFill="background1" w:themeFillShade="F2"/>
            <w:vAlign w:val="center"/>
          </w:tcPr>
          <w:p w14:paraId="7B21B325" w14:textId="0F43D9FD"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45</w:t>
            </w:r>
            <w:r w:rsidR="002657EF" w:rsidRPr="00175D8B">
              <w:rPr>
                <w:rFonts w:eastAsia="Aptos" w:cs="Aptos"/>
                <w:color w:val="000000" w:themeColor="text1"/>
                <w:sz w:val="20"/>
                <w:szCs w:val="20"/>
              </w:rPr>
              <w:t>.</w:t>
            </w:r>
            <w:r w:rsidRPr="00175D8B">
              <w:rPr>
                <w:rFonts w:eastAsia="Aptos" w:cs="Aptos"/>
                <w:color w:val="000000" w:themeColor="text1"/>
                <w:sz w:val="20"/>
                <w:szCs w:val="20"/>
              </w:rPr>
              <w:t>1</w:t>
            </w:r>
          </w:p>
        </w:tc>
        <w:tc>
          <w:tcPr>
            <w:tcW w:w="1504" w:type="dxa"/>
            <w:shd w:val="clear" w:color="auto" w:fill="F2F2F2" w:themeFill="background1" w:themeFillShade="F2"/>
            <w:vAlign w:val="center"/>
          </w:tcPr>
          <w:p w14:paraId="56E2817C" w14:textId="390E7A7B" w:rsidR="00363F14" w:rsidRPr="00175D8B" w:rsidRDefault="00363F14" w:rsidP="00363F14">
            <w:pPr>
              <w:spacing w:before="120" w:afterLines="120" w:after="288" w:line="240" w:lineRule="auto"/>
              <w:jc w:val="center"/>
              <w:rPr>
                <w:rFonts w:eastAsia="Aptos" w:cs="Aptos"/>
                <w:color w:val="000000" w:themeColor="text1"/>
                <w:sz w:val="20"/>
                <w:szCs w:val="18"/>
              </w:rPr>
            </w:pPr>
            <w:r w:rsidRPr="00175D8B">
              <w:rPr>
                <w:rFonts w:eastAsia="Aptos" w:cs="Aptos"/>
                <w:color w:val="000000" w:themeColor="text1"/>
                <w:sz w:val="20"/>
                <w:szCs w:val="20"/>
              </w:rPr>
              <w:t>3</w:t>
            </w:r>
            <w:r w:rsidR="002657EF" w:rsidRPr="00175D8B">
              <w:rPr>
                <w:rFonts w:eastAsia="Aptos" w:cs="Aptos"/>
                <w:color w:val="000000" w:themeColor="text1"/>
                <w:sz w:val="20"/>
                <w:szCs w:val="20"/>
              </w:rPr>
              <w:t>.</w:t>
            </w:r>
            <w:r w:rsidRPr="00175D8B">
              <w:rPr>
                <w:rFonts w:eastAsia="Aptos" w:cs="Aptos"/>
                <w:color w:val="000000" w:themeColor="text1"/>
                <w:sz w:val="20"/>
                <w:szCs w:val="20"/>
              </w:rPr>
              <w:t>7</w:t>
            </w:r>
          </w:p>
        </w:tc>
      </w:tr>
    </w:tbl>
    <w:p w14:paraId="0E73162D" w14:textId="1020A355" w:rsidR="00363F14" w:rsidRPr="00175D8B" w:rsidRDefault="00363F14" w:rsidP="006C58C5">
      <w:pPr>
        <w:spacing w:before="120" w:after="160" w:line="278" w:lineRule="auto"/>
        <w:jc w:val="center"/>
        <w:rPr>
          <w:rFonts w:eastAsia="Aptos" w:cs="Aptos"/>
          <w:i/>
          <w:iCs/>
          <w:color w:val="000000" w:themeColor="text1"/>
          <w:sz w:val="20"/>
          <w:szCs w:val="20"/>
        </w:rPr>
      </w:pPr>
      <w:r w:rsidRPr="00175D8B">
        <w:rPr>
          <w:rFonts w:eastAsia="Aptos" w:cs="Aptos"/>
          <w:b/>
          <w:bCs/>
          <w:i/>
          <w:iCs/>
          <w:color w:val="000000" w:themeColor="text1"/>
          <w:sz w:val="18"/>
          <w:szCs w:val="18"/>
        </w:rPr>
        <w:t xml:space="preserve">Source: </w:t>
      </w:r>
      <w:r w:rsidRPr="00175D8B">
        <w:rPr>
          <w:rFonts w:eastAsia="Aptos" w:cs="Aptos"/>
          <w:i/>
          <w:iCs/>
          <w:color w:val="000000" w:themeColor="text1"/>
          <w:sz w:val="18"/>
          <w:szCs w:val="18"/>
        </w:rPr>
        <w:t>Republic of Türkiye Ministry of Health, 2023. Annals of Health Statistics.</w:t>
      </w:r>
      <w:bookmarkStart w:id="243" w:name="_heading=h.gl1b0t2xjngl" w:colFirst="0" w:colLast="0"/>
      <w:bookmarkEnd w:id="243"/>
    </w:p>
    <w:p w14:paraId="6ACA3E32" w14:textId="65ED2E01" w:rsidR="00F143A7" w:rsidRPr="00175D8B" w:rsidRDefault="00F143A7" w:rsidP="006C58C5">
      <w:pPr>
        <w:pStyle w:val="ResimYazs"/>
        <w:keepNext/>
        <w:jc w:val="center"/>
      </w:pPr>
      <w:bookmarkStart w:id="244" w:name="_Toc216344439"/>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22</w:t>
      </w:r>
      <w:r w:rsidRPr="006C58C5">
        <w:rPr>
          <w:b/>
          <w:bCs/>
        </w:rPr>
        <w:fldChar w:fldCharType="end"/>
      </w:r>
      <w:r w:rsidRPr="006C58C5">
        <w:rPr>
          <w:b/>
          <w:bCs/>
        </w:rPr>
        <w:t>:</w:t>
      </w:r>
      <w:r w:rsidRPr="00175D8B">
        <w:t xml:space="preserve"> </w:t>
      </w:r>
      <w:r w:rsidRPr="00175D8B">
        <w:rPr>
          <w:rFonts w:eastAsia="Aptos" w:cs="Aptos"/>
          <w:color w:val="000000"/>
          <w:szCs w:val="20"/>
        </w:rPr>
        <w:t>Human Resources in Health</w:t>
      </w:r>
      <w:bookmarkEnd w:id="244"/>
    </w:p>
    <w:tbl>
      <w:tblPr>
        <w:tblStyle w:val="TabloKlavuzu"/>
        <w:tblW w:w="9552" w:type="dxa"/>
        <w:jc w:val="center"/>
        <w:tblLook w:val="04A0" w:firstRow="1" w:lastRow="0" w:firstColumn="1" w:lastColumn="0" w:noHBand="0" w:noVBand="1"/>
      </w:tblPr>
      <w:tblGrid>
        <w:gridCol w:w="622"/>
        <w:gridCol w:w="996"/>
        <w:gridCol w:w="1193"/>
        <w:gridCol w:w="988"/>
        <w:gridCol w:w="1068"/>
        <w:gridCol w:w="892"/>
        <w:gridCol w:w="1141"/>
        <w:gridCol w:w="705"/>
        <w:gridCol w:w="906"/>
        <w:gridCol w:w="1041"/>
      </w:tblGrid>
      <w:tr w:rsidR="00363F14" w:rsidRPr="00175D8B" w14:paraId="67B9616D" w14:textId="77777777" w:rsidTr="006C58C5">
        <w:trPr>
          <w:trHeight w:val="433"/>
          <w:tblHeader/>
          <w:jc w:val="center"/>
        </w:trPr>
        <w:tc>
          <w:tcPr>
            <w:tcW w:w="622" w:type="dxa"/>
            <w:shd w:val="clear" w:color="auto" w:fill="ABB7C1"/>
            <w:vAlign w:val="center"/>
          </w:tcPr>
          <w:p w14:paraId="7026634F" w14:textId="77777777" w:rsidR="00363F14" w:rsidRPr="00175D8B" w:rsidRDefault="00363F14" w:rsidP="00363F14">
            <w:pPr>
              <w:spacing w:before="120" w:afterLines="120" w:after="288" w:line="240" w:lineRule="auto"/>
              <w:jc w:val="center"/>
              <w:rPr>
                <w:rFonts w:eastAsia="Aptos" w:cs="Aptos"/>
                <w:b/>
                <w:bCs/>
                <w:color w:val="000000" w:themeColor="text1"/>
                <w:sz w:val="20"/>
                <w:szCs w:val="20"/>
              </w:rPr>
            </w:pPr>
            <w:r w:rsidRPr="00175D8B">
              <w:rPr>
                <w:rFonts w:eastAsia="Aptos" w:cs="Aptos"/>
                <w:b/>
                <w:bCs/>
                <w:color w:val="000000" w:themeColor="text1"/>
                <w:sz w:val="20"/>
                <w:szCs w:val="20"/>
              </w:rPr>
              <w:t>Year</w:t>
            </w:r>
          </w:p>
        </w:tc>
        <w:tc>
          <w:tcPr>
            <w:tcW w:w="996" w:type="dxa"/>
            <w:shd w:val="clear" w:color="auto" w:fill="ABB7C1"/>
            <w:vAlign w:val="center"/>
          </w:tcPr>
          <w:p w14:paraId="0BBCB8ED" w14:textId="77777777" w:rsidR="00363F14" w:rsidRPr="00175D8B" w:rsidRDefault="00363F14" w:rsidP="00363F14">
            <w:pPr>
              <w:spacing w:before="120" w:afterLines="120" w:after="288" w:line="240" w:lineRule="auto"/>
              <w:jc w:val="center"/>
              <w:rPr>
                <w:rFonts w:eastAsia="Aptos" w:cs="Aptos"/>
                <w:b/>
                <w:bCs/>
                <w:color w:val="000000" w:themeColor="text1"/>
                <w:sz w:val="20"/>
                <w:szCs w:val="20"/>
              </w:rPr>
            </w:pPr>
            <w:r w:rsidRPr="00175D8B">
              <w:rPr>
                <w:rFonts w:eastAsia="Aptos" w:cs="Aptos"/>
                <w:b/>
                <w:bCs/>
                <w:color w:val="000000" w:themeColor="text1"/>
                <w:sz w:val="20"/>
                <w:szCs w:val="20"/>
              </w:rPr>
              <w:t>Specialist Physician</w:t>
            </w:r>
          </w:p>
        </w:tc>
        <w:tc>
          <w:tcPr>
            <w:tcW w:w="1193" w:type="dxa"/>
            <w:shd w:val="clear" w:color="auto" w:fill="ABB7C1"/>
            <w:vAlign w:val="center"/>
          </w:tcPr>
          <w:p w14:paraId="620F0CE0" w14:textId="77777777" w:rsidR="00363F14" w:rsidRPr="00175D8B" w:rsidRDefault="00363F14" w:rsidP="00363F14">
            <w:pPr>
              <w:spacing w:before="120" w:afterLines="120" w:after="288" w:line="240" w:lineRule="auto"/>
              <w:jc w:val="center"/>
              <w:rPr>
                <w:rFonts w:eastAsia="Aptos" w:cs="Aptos"/>
                <w:b/>
                <w:bCs/>
                <w:color w:val="000000" w:themeColor="text1"/>
                <w:sz w:val="20"/>
                <w:szCs w:val="20"/>
              </w:rPr>
            </w:pPr>
            <w:r w:rsidRPr="00175D8B">
              <w:rPr>
                <w:rFonts w:eastAsia="Aptos" w:cs="Aptos"/>
                <w:b/>
                <w:bCs/>
                <w:color w:val="000000" w:themeColor="text1"/>
                <w:sz w:val="20"/>
                <w:szCs w:val="20"/>
              </w:rPr>
              <w:t>General Practitioner</w:t>
            </w:r>
          </w:p>
        </w:tc>
        <w:tc>
          <w:tcPr>
            <w:tcW w:w="988" w:type="dxa"/>
            <w:shd w:val="clear" w:color="auto" w:fill="ABB7C1"/>
            <w:vAlign w:val="center"/>
          </w:tcPr>
          <w:p w14:paraId="766DD0BA" w14:textId="77777777" w:rsidR="00363F14" w:rsidRPr="00175D8B" w:rsidRDefault="00363F14" w:rsidP="00363F14">
            <w:pPr>
              <w:spacing w:before="120" w:afterLines="120" w:after="288" w:line="240" w:lineRule="auto"/>
              <w:jc w:val="center"/>
              <w:rPr>
                <w:rFonts w:eastAsia="Aptos" w:cs="Aptos"/>
                <w:b/>
                <w:bCs/>
                <w:color w:val="000000" w:themeColor="text1"/>
                <w:sz w:val="20"/>
                <w:szCs w:val="20"/>
              </w:rPr>
            </w:pPr>
            <w:r w:rsidRPr="00175D8B">
              <w:rPr>
                <w:rFonts w:eastAsia="Aptos" w:cs="Aptos"/>
                <w:b/>
                <w:bCs/>
                <w:color w:val="000000" w:themeColor="text1"/>
                <w:sz w:val="20"/>
                <w:szCs w:val="20"/>
              </w:rPr>
              <w:t>Assistant Physician</w:t>
            </w:r>
          </w:p>
        </w:tc>
        <w:tc>
          <w:tcPr>
            <w:tcW w:w="1068" w:type="dxa"/>
            <w:shd w:val="clear" w:color="auto" w:fill="ABB7C1"/>
            <w:vAlign w:val="center"/>
          </w:tcPr>
          <w:p w14:paraId="6DED6A3A" w14:textId="77777777" w:rsidR="00363F14" w:rsidRPr="00175D8B" w:rsidRDefault="00363F14" w:rsidP="00363F14">
            <w:pPr>
              <w:spacing w:before="120" w:afterLines="120" w:after="288" w:line="240" w:lineRule="auto"/>
              <w:jc w:val="center"/>
              <w:rPr>
                <w:rFonts w:eastAsia="Aptos" w:cs="Aptos"/>
                <w:b/>
                <w:bCs/>
                <w:color w:val="000000" w:themeColor="text1"/>
                <w:sz w:val="20"/>
                <w:szCs w:val="20"/>
              </w:rPr>
            </w:pPr>
            <w:r w:rsidRPr="00175D8B">
              <w:rPr>
                <w:rFonts w:eastAsia="Aptos" w:cs="Aptos"/>
                <w:b/>
                <w:bCs/>
                <w:color w:val="000000" w:themeColor="text1"/>
                <w:sz w:val="20"/>
                <w:szCs w:val="20"/>
              </w:rPr>
              <w:t>Total Physicians</w:t>
            </w:r>
          </w:p>
        </w:tc>
        <w:tc>
          <w:tcPr>
            <w:tcW w:w="892" w:type="dxa"/>
            <w:shd w:val="clear" w:color="auto" w:fill="ABB7C1"/>
            <w:vAlign w:val="center"/>
          </w:tcPr>
          <w:p w14:paraId="48111A3F" w14:textId="77777777" w:rsidR="00363F14" w:rsidRPr="00175D8B" w:rsidRDefault="00363F14" w:rsidP="00363F14">
            <w:pPr>
              <w:spacing w:before="120" w:afterLines="120" w:after="288" w:line="240" w:lineRule="auto"/>
              <w:jc w:val="center"/>
              <w:rPr>
                <w:rFonts w:eastAsia="Aptos" w:cs="Aptos"/>
                <w:b/>
                <w:bCs/>
                <w:color w:val="000000" w:themeColor="text1"/>
                <w:sz w:val="20"/>
                <w:szCs w:val="20"/>
              </w:rPr>
            </w:pPr>
            <w:r w:rsidRPr="00175D8B">
              <w:rPr>
                <w:rFonts w:eastAsia="Aptos" w:cs="Aptos"/>
                <w:b/>
                <w:bCs/>
                <w:color w:val="000000" w:themeColor="text1"/>
                <w:sz w:val="20"/>
                <w:szCs w:val="20"/>
              </w:rPr>
              <w:t>Total Dentists</w:t>
            </w:r>
          </w:p>
        </w:tc>
        <w:tc>
          <w:tcPr>
            <w:tcW w:w="1141" w:type="dxa"/>
            <w:shd w:val="clear" w:color="auto" w:fill="ABB7C1"/>
            <w:vAlign w:val="center"/>
          </w:tcPr>
          <w:p w14:paraId="5328C15F" w14:textId="77777777" w:rsidR="00363F14" w:rsidRPr="00175D8B" w:rsidRDefault="00363F14" w:rsidP="00363F14">
            <w:pPr>
              <w:spacing w:before="120" w:afterLines="120" w:after="288" w:line="240" w:lineRule="auto"/>
              <w:jc w:val="center"/>
              <w:rPr>
                <w:rFonts w:eastAsia="Aptos" w:cs="Aptos"/>
                <w:b/>
                <w:bCs/>
                <w:color w:val="000000" w:themeColor="text1"/>
                <w:sz w:val="20"/>
                <w:szCs w:val="20"/>
              </w:rPr>
            </w:pPr>
            <w:r w:rsidRPr="00175D8B">
              <w:rPr>
                <w:rFonts w:eastAsia="Aptos" w:cs="Aptos"/>
                <w:b/>
                <w:bCs/>
                <w:color w:val="000000" w:themeColor="text1"/>
                <w:sz w:val="20"/>
                <w:szCs w:val="20"/>
              </w:rPr>
              <w:t>Pharmacist</w:t>
            </w:r>
          </w:p>
        </w:tc>
        <w:tc>
          <w:tcPr>
            <w:tcW w:w="705" w:type="dxa"/>
            <w:shd w:val="clear" w:color="auto" w:fill="ABB7C1"/>
            <w:vAlign w:val="center"/>
          </w:tcPr>
          <w:p w14:paraId="5D8F3539" w14:textId="77777777" w:rsidR="00363F14" w:rsidRPr="00175D8B" w:rsidRDefault="00363F14" w:rsidP="00363F14">
            <w:pPr>
              <w:spacing w:before="120" w:afterLines="120" w:after="288" w:line="240" w:lineRule="auto"/>
              <w:jc w:val="center"/>
              <w:rPr>
                <w:rFonts w:eastAsia="Aptos" w:cs="Aptos"/>
                <w:b/>
                <w:bCs/>
                <w:color w:val="000000" w:themeColor="text1"/>
                <w:sz w:val="20"/>
                <w:szCs w:val="20"/>
              </w:rPr>
            </w:pPr>
            <w:r w:rsidRPr="00175D8B">
              <w:rPr>
                <w:rFonts w:eastAsia="Aptos" w:cs="Aptos"/>
                <w:b/>
                <w:bCs/>
                <w:color w:val="000000" w:themeColor="text1"/>
                <w:sz w:val="20"/>
                <w:szCs w:val="20"/>
              </w:rPr>
              <w:t>Nurse</w:t>
            </w:r>
          </w:p>
        </w:tc>
        <w:tc>
          <w:tcPr>
            <w:tcW w:w="906" w:type="dxa"/>
            <w:shd w:val="clear" w:color="auto" w:fill="ABB7C1"/>
            <w:vAlign w:val="center"/>
          </w:tcPr>
          <w:p w14:paraId="59F9B222" w14:textId="77777777" w:rsidR="00363F14" w:rsidRPr="00175D8B" w:rsidRDefault="00363F14" w:rsidP="00363F14">
            <w:pPr>
              <w:spacing w:before="120" w:afterLines="120" w:after="288" w:line="240" w:lineRule="auto"/>
              <w:jc w:val="center"/>
              <w:rPr>
                <w:rFonts w:eastAsia="Aptos" w:cs="Aptos"/>
                <w:b/>
                <w:bCs/>
                <w:color w:val="000000" w:themeColor="text1"/>
                <w:sz w:val="20"/>
                <w:szCs w:val="20"/>
              </w:rPr>
            </w:pPr>
            <w:r w:rsidRPr="00175D8B">
              <w:rPr>
                <w:rFonts w:eastAsia="Aptos" w:cs="Aptos"/>
                <w:b/>
                <w:bCs/>
                <w:color w:val="000000" w:themeColor="text1"/>
                <w:sz w:val="20"/>
                <w:szCs w:val="20"/>
              </w:rPr>
              <w:t>Midwife</w:t>
            </w:r>
          </w:p>
        </w:tc>
        <w:tc>
          <w:tcPr>
            <w:tcW w:w="1041" w:type="dxa"/>
            <w:shd w:val="clear" w:color="auto" w:fill="ABB7C1"/>
            <w:vAlign w:val="center"/>
          </w:tcPr>
          <w:p w14:paraId="5B33A7CE" w14:textId="77777777" w:rsidR="00363F14" w:rsidRPr="00175D8B" w:rsidRDefault="00363F14" w:rsidP="00363F14">
            <w:pPr>
              <w:spacing w:before="120" w:afterLines="120" w:after="288" w:line="240" w:lineRule="auto"/>
              <w:jc w:val="center"/>
              <w:rPr>
                <w:rFonts w:eastAsia="Aptos" w:cs="Aptos"/>
                <w:b/>
                <w:bCs/>
                <w:color w:val="000000" w:themeColor="text1"/>
                <w:sz w:val="20"/>
                <w:szCs w:val="20"/>
              </w:rPr>
            </w:pPr>
            <w:r w:rsidRPr="00175D8B">
              <w:rPr>
                <w:rFonts w:eastAsia="Aptos" w:cs="Aptos"/>
                <w:b/>
                <w:bCs/>
                <w:color w:val="000000" w:themeColor="text1"/>
                <w:sz w:val="20"/>
                <w:szCs w:val="20"/>
              </w:rPr>
              <w:t>Other Health Personnel</w:t>
            </w:r>
          </w:p>
        </w:tc>
      </w:tr>
      <w:tr w:rsidR="00363F14" w:rsidRPr="00175D8B" w14:paraId="5854911D" w14:textId="77777777" w:rsidTr="006C58C5">
        <w:trPr>
          <w:trHeight w:val="616"/>
          <w:jc w:val="center"/>
        </w:trPr>
        <w:tc>
          <w:tcPr>
            <w:tcW w:w="622" w:type="dxa"/>
            <w:shd w:val="clear" w:color="auto" w:fill="F2F2F2" w:themeFill="background1" w:themeFillShade="F2"/>
          </w:tcPr>
          <w:p w14:paraId="4DDB7966"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2023</w:t>
            </w:r>
          </w:p>
        </w:tc>
        <w:tc>
          <w:tcPr>
            <w:tcW w:w="996" w:type="dxa"/>
            <w:shd w:val="clear" w:color="auto" w:fill="F2F2F2" w:themeFill="background1" w:themeFillShade="F2"/>
          </w:tcPr>
          <w:p w14:paraId="77CD1FFC" w14:textId="050707F4"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1</w:t>
            </w:r>
            <w:r w:rsidR="001F07CC" w:rsidRPr="00175D8B">
              <w:rPr>
                <w:rFonts w:eastAsia="Aptos" w:cs="Aptos"/>
                <w:color w:val="000000" w:themeColor="text1"/>
                <w:sz w:val="20"/>
                <w:szCs w:val="20"/>
              </w:rPr>
              <w:t>,</w:t>
            </w:r>
            <w:r w:rsidRPr="00175D8B">
              <w:rPr>
                <w:rFonts w:eastAsia="Aptos" w:cs="Aptos"/>
                <w:color w:val="000000" w:themeColor="text1"/>
                <w:sz w:val="20"/>
                <w:szCs w:val="20"/>
              </w:rPr>
              <w:t>004</w:t>
            </w:r>
          </w:p>
        </w:tc>
        <w:tc>
          <w:tcPr>
            <w:tcW w:w="1193" w:type="dxa"/>
            <w:shd w:val="clear" w:color="auto" w:fill="F2F2F2" w:themeFill="background1" w:themeFillShade="F2"/>
          </w:tcPr>
          <w:p w14:paraId="1350EFE6"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722</w:t>
            </w:r>
          </w:p>
        </w:tc>
        <w:tc>
          <w:tcPr>
            <w:tcW w:w="988" w:type="dxa"/>
            <w:shd w:val="clear" w:color="auto" w:fill="F2F2F2" w:themeFill="background1" w:themeFillShade="F2"/>
          </w:tcPr>
          <w:p w14:paraId="23100D05"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461</w:t>
            </w:r>
          </w:p>
        </w:tc>
        <w:tc>
          <w:tcPr>
            <w:tcW w:w="1068" w:type="dxa"/>
            <w:shd w:val="clear" w:color="auto" w:fill="F2F2F2" w:themeFill="background1" w:themeFillShade="F2"/>
          </w:tcPr>
          <w:p w14:paraId="39D030B7" w14:textId="79C8CF6A"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2</w:t>
            </w:r>
            <w:r w:rsidR="001F07CC" w:rsidRPr="00175D8B">
              <w:rPr>
                <w:rFonts w:eastAsia="Aptos" w:cs="Aptos"/>
                <w:color w:val="000000" w:themeColor="text1"/>
                <w:sz w:val="20"/>
                <w:szCs w:val="20"/>
              </w:rPr>
              <w:t>,</w:t>
            </w:r>
            <w:r w:rsidRPr="00175D8B">
              <w:rPr>
                <w:rFonts w:eastAsia="Aptos" w:cs="Aptos"/>
                <w:color w:val="000000" w:themeColor="text1"/>
                <w:sz w:val="20"/>
                <w:szCs w:val="20"/>
              </w:rPr>
              <w:t>187</w:t>
            </w:r>
          </w:p>
        </w:tc>
        <w:tc>
          <w:tcPr>
            <w:tcW w:w="892" w:type="dxa"/>
            <w:shd w:val="clear" w:color="auto" w:fill="F2F2F2" w:themeFill="background1" w:themeFillShade="F2"/>
          </w:tcPr>
          <w:p w14:paraId="02E9A34B"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496</w:t>
            </w:r>
          </w:p>
        </w:tc>
        <w:tc>
          <w:tcPr>
            <w:tcW w:w="1141" w:type="dxa"/>
            <w:shd w:val="clear" w:color="auto" w:fill="F2F2F2" w:themeFill="background1" w:themeFillShade="F2"/>
          </w:tcPr>
          <w:p w14:paraId="582A1A4F"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503</w:t>
            </w:r>
          </w:p>
        </w:tc>
        <w:tc>
          <w:tcPr>
            <w:tcW w:w="705" w:type="dxa"/>
            <w:shd w:val="clear" w:color="auto" w:fill="F2F2F2" w:themeFill="background1" w:themeFillShade="F2"/>
          </w:tcPr>
          <w:p w14:paraId="62402D07" w14:textId="27CA030E"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2</w:t>
            </w:r>
            <w:r w:rsidR="001F07CC" w:rsidRPr="00175D8B">
              <w:rPr>
                <w:rFonts w:eastAsia="Aptos" w:cs="Aptos"/>
                <w:color w:val="000000" w:themeColor="text1"/>
                <w:sz w:val="20"/>
                <w:szCs w:val="20"/>
              </w:rPr>
              <w:t>,</w:t>
            </w:r>
            <w:r w:rsidRPr="00175D8B">
              <w:rPr>
                <w:rFonts w:eastAsia="Aptos" w:cs="Aptos"/>
                <w:color w:val="000000" w:themeColor="text1"/>
                <w:sz w:val="20"/>
                <w:szCs w:val="20"/>
              </w:rPr>
              <w:t>682</w:t>
            </w:r>
          </w:p>
        </w:tc>
        <w:tc>
          <w:tcPr>
            <w:tcW w:w="906" w:type="dxa"/>
            <w:shd w:val="clear" w:color="auto" w:fill="F2F2F2" w:themeFill="background1" w:themeFillShade="F2"/>
          </w:tcPr>
          <w:p w14:paraId="530C5EB4"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851</w:t>
            </w:r>
          </w:p>
        </w:tc>
        <w:tc>
          <w:tcPr>
            <w:tcW w:w="1041" w:type="dxa"/>
            <w:shd w:val="clear" w:color="auto" w:fill="F2F2F2" w:themeFill="background1" w:themeFillShade="F2"/>
          </w:tcPr>
          <w:p w14:paraId="1C99EE38" w14:textId="0BE3F925"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2</w:t>
            </w:r>
            <w:r w:rsidR="001F07CC" w:rsidRPr="00175D8B">
              <w:rPr>
                <w:rFonts w:eastAsia="Aptos" w:cs="Aptos"/>
                <w:color w:val="000000" w:themeColor="text1"/>
                <w:sz w:val="20"/>
                <w:szCs w:val="20"/>
              </w:rPr>
              <w:t>,</w:t>
            </w:r>
            <w:r w:rsidRPr="00175D8B">
              <w:rPr>
                <w:rFonts w:eastAsia="Aptos" w:cs="Aptos"/>
                <w:color w:val="000000" w:themeColor="text1"/>
                <w:sz w:val="20"/>
                <w:szCs w:val="20"/>
              </w:rPr>
              <w:t>773</w:t>
            </w:r>
          </w:p>
        </w:tc>
      </w:tr>
      <w:tr w:rsidR="00363F14" w:rsidRPr="00175D8B" w14:paraId="7A8A82F7" w14:textId="77777777" w:rsidTr="006C58C5">
        <w:trPr>
          <w:trHeight w:val="412"/>
          <w:jc w:val="center"/>
        </w:trPr>
        <w:tc>
          <w:tcPr>
            <w:tcW w:w="622" w:type="dxa"/>
            <w:shd w:val="clear" w:color="auto" w:fill="F2F2F2" w:themeFill="background1" w:themeFillShade="F2"/>
          </w:tcPr>
          <w:p w14:paraId="3F4FFD45"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2022</w:t>
            </w:r>
          </w:p>
        </w:tc>
        <w:tc>
          <w:tcPr>
            <w:tcW w:w="996" w:type="dxa"/>
            <w:shd w:val="clear" w:color="auto" w:fill="F2F2F2" w:themeFill="background1" w:themeFillShade="F2"/>
          </w:tcPr>
          <w:p w14:paraId="7AB423F1"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937</w:t>
            </w:r>
          </w:p>
        </w:tc>
        <w:tc>
          <w:tcPr>
            <w:tcW w:w="1193" w:type="dxa"/>
            <w:shd w:val="clear" w:color="auto" w:fill="F2F2F2" w:themeFill="background1" w:themeFillShade="F2"/>
          </w:tcPr>
          <w:p w14:paraId="6BD3D99F"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667</w:t>
            </w:r>
          </w:p>
        </w:tc>
        <w:tc>
          <w:tcPr>
            <w:tcW w:w="988" w:type="dxa"/>
            <w:shd w:val="clear" w:color="auto" w:fill="F2F2F2" w:themeFill="background1" w:themeFillShade="F2"/>
          </w:tcPr>
          <w:p w14:paraId="39509961"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352</w:t>
            </w:r>
          </w:p>
        </w:tc>
        <w:tc>
          <w:tcPr>
            <w:tcW w:w="1068" w:type="dxa"/>
            <w:shd w:val="clear" w:color="auto" w:fill="F2F2F2" w:themeFill="background1" w:themeFillShade="F2"/>
          </w:tcPr>
          <w:p w14:paraId="6418F860" w14:textId="43D9B7BD"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1</w:t>
            </w:r>
            <w:r w:rsidR="001F07CC" w:rsidRPr="00175D8B">
              <w:rPr>
                <w:rFonts w:eastAsia="Aptos" w:cs="Aptos"/>
                <w:color w:val="000000" w:themeColor="text1"/>
                <w:sz w:val="20"/>
                <w:szCs w:val="20"/>
              </w:rPr>
              <w:t>,</w:t>
            </w:r>
            <w:r w:rsidRPr="00175D8B">
              <w:rPr>
                <w:rFonts w:eastAsia="Aptos" w:cs="Aptos"/>
                <w:color w:val="000000" w:themeColor="text1"/>
                <w:sz w:val="20"/>
                <w:szCs w:val="20"/>
              </w:rPr>
              <w:t>956</w:t>
            </w:r>
          </w:p>
        </w:tc>
        <w:tc>
          <w:tcPr>
            <w:tcW w:w="892" w:type="dxa"/>
            <w:shd w:val="clear" w:color="auto" w:fill="F2F2F2" w:themeFill="background1" w:themeFillShade="F2"/>
          </w:tcPr>
          <w:p w14:paraId="2CFD686C"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451</w:t>
            </w:r>
          </w:p>
        </w:tc>
        <w:tc>
          <w:tcPr>
            <w:tcW w:w="1141" w:type="dxa"/>
            <w:shd w:val="clear" w:color="auto" w:fill="F2F2F2" w:themeFill="background1" w:themeFillShade="F2"/>
          </w:tcPr>
          <w:p w14:paraId="109BC025"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444</w:t>
            </w:r>
          </w:p>
        </w:tc>
        <w:tc>
          <w:tcPr>
            <w:tcW w:w="705" w:type="dxa"/>
            <w:shd w:val="clear" w:color="auto" w:fill="F2F2F2" w:themeFill="background1" w:themeFillShade="F2"/>
          </w:tcPr>
          <w:p w14:paraId="4226F4CD" w14:textId="126AA973"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2</w:t>
            </w:r>
            <w:r w:rsidR="001F07CC" w:rsidRPr="00175D8B">
              <w:rPr>
                <w:rFonts w:eastAsia="Aptos" w:cs="Aptos"/>
                <w:color w:val="000000" w:themeColor="text1"/>
                <w:sz w:val="20"/>
                <w:szCs w:val="20"/>
              </w:rPr>
              <w:t>,</w:t>
            </w:r>
            <w:r w:rsidRPr="00175D8B">
              <w:rPr>
                <w:rFonts w:eastAsia="Aptos" w:cs="Aptos"/>
                <w:color w:val="000000" w:themeColor="text1"/>
                <w:sz w:val="20"/>
                <w:szCs w:val="20"/>
              </w:rPr>
              <w:t>608</w:t>
            </w:r>
          </w:p>
        </w:tc>
        <w:tc>
          <w:tcPr>
            <w:tcW w:w="906" w:type="dxa"/>
            <w:shd w:val="clear" w:color="auto" w:fill="F2F2F2" w:themeFill="background1" w:themeFillShade="F2"/>
          </w:tcPr>
          <w:p w14:paraId="6B8A4080"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801</w:t>
            </w:r>
          </w:p>
        </w:tc>
        <w:tc>
          <w:tcPr>
            <w:tcW w:w="1041" w:type="dxa"/>
            <w:shd w:val="clear" w:color="auto" w:fill="F2F2F2" w:themeFill="background1" w:themeFillShade="F2"/>
          </w:tcPr>
          <w:p w14:paraId="31D95B26" w14:textId="20F367D0"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2</w:t>
            </w:r>
            <w:r w:rsidR="001F07CC" w:rsidRPr="00175D8B">
              <w:rPr>
                <w:rFonts w:eastAsia="Aptos" w:cs="Aptos"/>
                <w:color w:val="000000" w:themeColor="text1"/>
                <w:sz w:val="20"/>
                <w:szCs w:val="20"/>
              </w:rPr>
              <w:t>,</w:t>
            </w:r>
            <w:r w:rsidRPr="00175D8B">
              <w:rPr>
                <w:rFonts w:eastAsia="Aptos" w:cs="Aptos"/>
                <w:color w:val="000000" w:themeColor="text1"/>
                <w:sz w:val="20"/>
                <w:szCs w:val="20"/>
              </w:rPr>
              <w:t>294</w:t>
            </w:r>
          </w:p>
        </w:tc>
      </w:tr>
      <w:tr w:rsidR="00363F14" w:rsidRPr="00175D8B" w14:paraId="404554E5" w14:textId="77777777" w:rsidTr="006C58C5">
        <w:trPr>
          <w:trHeight w:val="546"/>
          <w:jc w:val="center"/>
        </w:trPr>
        <w:tc>
          <w:tcPr>
            <w:tcW w:w="622" w:type="dxa"/>
            <w:shd w:val="clear" w:color="auto" w:fill="F2F2F2" w:themeFill="background1" w:themeFillShade="F2"/>
          </w:tcPr>
          <w:p w14:paraId="2ECF267B"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lastRenderedPageBreak/>
              <w:t>2021</w:t>
            </w:r>
          </w:p>
        </w:tc>
        <w:tc>
          <w:tcPr>
            <w:tcW w:w="996" w:type="dxa"/>
            <w:shd w:val="clear" w:color="auto" w:fill="F2F2F2" w:themeFill="background1" w:themeFillShade="F2"/>
          </w:tcPr>
          <w:p w14:paraId="5C041420"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857</w:t>
            </w:r>
          </w:p>
        </w:tc>
        <w:tc>
          <w:tcPr>
            <w:tcW w:w="1193" w:type="dxa"/>
            <w:shd w:val="clear" w:color="auto" w:fill="F2F2F2" w:themeFill="background1" w:themeFillShade="F2"/>
          </w:tcPr>
          <w:p w14:paraId="2384E87E"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657</w:t>
            </w:r>
          </w:p>
        </w:tc>
        <w:tc>
          <w:tcPr>
            <w:tcW w:w="988" w:type="dxa"/>
            <w:shd w:val="clear" w:color="auto" w:fill="F2F2F2" w:themeFill="background1" w:themeFillShade="F2"/>
          </w:tcPr>
          <w:p w14:paraId="3CD7ED96"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247</w:t>
            </w:r>
          </w:p>
        </w:tc>
        <w:tc>
          <w:tcPr>
            <w:tcW w:w="1068" w:type="dxa"/>
            <w:shd w:val="clear" w:color="auto" w:fill="F2F2F2" w:themeFill="background1" w:themeFillShade="F2"/>
          </w:tcPr>
          <w:p w14:paraId="42C255BB" w14:textId="34E25188"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1</w:t>
            </w:r>
            <w:r w:rsidR="001F07CC" w:rsidRPr="00175D8B">
              <w:rPr>
                <w:rFonts w:eastAsia="Aptos" w:cs="Aptos"/>
                <w:color w:val="000000" w:themeColor="text1"/>
                <w:sz w:val="20"/>
                <w:szCs w:val="20"/>
              </w:rPr>
              <w:t>,</w:t>
            </w:r>
            <w:r w:rsidRPr="00175D8B">
              <w:rPr>
                <w:rFonts w:eastAsia="Aptos" w:cs="Aptos"/>
                <w:color w:val="000000" w:themeColor="text1"/>
                <w:sz w:val="20"/>
                <w:szCs w:val="20"/>
              </w:rPr>
              <w:t>761</w:t>
            </w:r>
          </w:p>
        </w:tc>
        <w:tc>
          <w:tcPr>
            <w:tcW w:w="892" w:type="dxa"/>
            <w:shd w:val="clear" w:color="auto" w:fill="F2F2F2" w:themeFill="background1" w:themeFillShade="F2"/>
          </w:tcPr>
          <w:p w14:paraId="345FB04A"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440</w:t>
            </w:r>
          </w:p>
        </w:tc>
        <w:tc>
          <w:tcPr>
            <w:tcW w:w="1141" w:type="dxa"/>
            <w:shd w:val="clear" w:color="auto" w:fill="F2F2F2" w:themeFill="background1" w:themeFillShade="F2"/>
          </w:tcPr>
          <w:p w14:paraId="55FADA0D"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397</w:t>
            </w:r>
          </w:p>
        </w:tc>
        <w:tc>
          <w:tcPr>
            <w:tcW w:w="705" w:type="dxa"/>
            <w:shd w:val="clear" w:color="auto" w:fill="F2F2F2" w:themeFill="background1" w:themeFillShade="F2"/>
          </w:tcPr>
          <w:p w14:paraId="138C1664" w14:textId="695EA65F"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2</w:t>
            </w:r>
            <w:r w:rsidR="001F07CC" w:rsidRPr="00175D8B">
              <w:rPr>
                <w:rFonts w:eastAsia="Aptos" w:cs="Aptos"/>
                <w:color w:val="000000" w:themeColor="text1"/>
                <w:sz w:val="20"/>
                <w:szCs w:val="20"/>
              </w:rPr>
              <w:t>,</w:t>
            </w:r>
            <w:r w:rsidRPr="00175D8B">
              <w:rPr>
                <w:rFonts w:eastAsia="Aptos" w:cs="Aptos"/>
                <w:color w:val="000000" w:themeColor="text1"/>
                <w:sz w:val="20"/>
                <w:szCs w:val="20"/>
              </w:rPr>
              <w:t>374</w:t>
            </w:r>
          </w:p>
        </w:tc>
        <w:tc>
          <w:tcPr>
            <w:tcW w:w="906" w:type="dxa"/>
            <w:shd w:val="clear" w:color="auto" w:fill="F2F2F2" w:themeFill="background1" w:themeFillShade="F2"/>
          </w:tcPr>
          <w:p w14:paraId="0043C2DD"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754</w:t>
            </w:r>
          </w:p>
        </w:tc>
        <w:tc>
          <w:tcPr>
            <w:tcW w:w="1041" w:type="dxa"/>
            <w:shd w:val="clear" w:color="auto" w:fill="F2F2F2" w:themeFill="background1" w:themeFillShade="F2"/>
          </w:tcPr>
          <w:p w14:paraId="4297452B" w14:textId="6F216DCA"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2</w:t>
            </w:r>
            <w:r w:rsidR="001F07CC" w:rsidRPr="00175D8B">
              <w:rPr>
                <w:rFonts w:eastAsia="Aptos" w:cs="Aptos"/>
                <w:color w:val="000000" w:themeColor="text1"/>
                <w:sz w:val="20"/>
                <w:szCs w:val="20"/>
              </w:rPr>
              <w:t>,</w:t>
            </w:r>
            <w:r w:rsidRPr="00175D8B">
              <w:rPr>
                <w:rFonts w:eastAsia="Aptos" w:cs="Aptos"/>
                <w:color w:val="000000" w:themeColor="text1"/>
                <w:sz w:val="20"/>
                <w:szCs w:val="20"/>
              </w:rPr>
              <w:t>084</w:t>
            </w:r>
          </w:p>
        </w:tc>
      </w:tr>
      <w:tr w:rsidR="00363F14" w:rsidRPr="00175D8B" w14:paraId="20E47EDA" w14:textId="77777777" w:rsidTr="006C58C5">
        <w:trPr>
          <w:trHeight w:val="314"/>
          <w:jc w:val="center"/>
        </w:trPr>
        <w:tc>
          <w:tcPr>
            <w:tcW w:w="622" w:type="dxa"/>
            <w:shd w:val="clear" w:color="auto" w:fill="F2F2F2" w:themeFill="background1" w:themeFillShade="F2"/>
          </w:tcPr>
          <w:p w14:paraId="3ED6A7FD"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2020</w:t>
            </w:r>
          </w:p>
        </w:tc>
        <w:tc>
          <w:tcPr>
            <w:tcW w:w="996" w:type="dxa"/>
            <w:shd w:val="clear" w:color="auto" w:fill="F2F2F2" w:themeFill="background1" w:themeFillShade="F2"/>
          </w:tcPr>
          <w:p w14:paraId="4BF763BC"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845</w:t>
            </w:r>
          </w:p>
        </w:tc>
        <w:tc>
          <w:tcPr>
            <w:tcW w:w="1193" w:type="dxa"/>
            <w:shd w:val="clear" w:color="auto" w:fill="F2F2F2" w:themeFill="background1" w:themeFillShade="F2"/>
          </w:tcPr>
          <w:p w14:paraId="6CBA006E"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644</w:t>
            </w:r>
          </w:p>
        </w:tc>
        <w:tc>
          <w:tcPr>
            <w:tcW w:w="988" w:type="dxa"/>
            <w:shd w:val="clear" w:color="auto" w:fill="F2F2F2" w:themeFill="background1" w:themeFillShade="F2"/>
          </w:tcPr>
          <w:p w14:paraId="36AF73B2"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293</w:t>
            </w:r>
          </w:p>
        </w:tc>
        <w:tc>
          <w:tcPr>
            <w:tcW w:w="1068" w:type="dxa"/>
            <w:shd w:val="clear" w:color="auto" w:fill="F2F2F2" w:themeFill="background1" w:themeFillShade="F2"/>
          </w:tcPr>
          <w:p w14:paraId="03F657B3" w14:textId="707DD212"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1</w:t>
            </w:r>
            <w:r w:rsidR="001F07CC" w:rsidRPr="00175D8B">
              <w:rPr>
                <w:rFonts w:eastAsia="Aptos" w:cs="Aptos"/>
                <w:color w:val="000000" w:themeColor="text1"/>
                <w:sz w:val="20"/>
                <w:szCs w:val="20"/>
              </w:rPr>
              <w:t>,</w:t>
            </w:r>
            <w:r w:rsidRPr="00175D8B">
              <w:rPr>
                <w:rFonts w:eastAsia="Aptos" w:cs="Aptos"/>
                <w:color w:val="000000" w:themeColor="text1"/>
                <w:sz w:val="20"/>
                <w:szCs w:val="20"/>
              </w:rPr>
              <w:t>782</w:t>
            </w:r>
          </w:p>
        </w:tc>
        <w:tc>
          <w:tcPr>
            <w:tcW w:w="892" w:type="dxa"/>
            <w:shd w:val="clear" w:color="auto" w:fill="F2F2F2" w:themeFill="background1" w:themeFillShade="F2"/>
          </w:tcPr>
          <w:p w14:paraId="1C8F0DF3"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353</w:t>
            </w:r>
          </w:p>
        </w:tc>
        <w:tc>
          <w:tcPr>
            <w:tcW w:w="1141" w:type="dxa"/>
            <w:shd w:val="clear" w:color="auto" w:fill="F2F2F2" w:themeFill="background1" w:themeFillShade="F2"/>
          </w:tcPr>
          <w:p w14:paraId="3716E54A"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366</w:t>
            </w:r>
          </w:p>
        </w:tc>
        <w:tc>
          <w:tcPr>
            <w:tcW w:w="705" w:type="dxa"/>
            <w:shd w:val="clear" w:color="auto" w:fill="F2F2F2" w:themeFill="background1" w:themeFillShade="F2"/>
          </w:tcPr>
          <w:p w14:paraId="046722B3" w14:textId="25F0E7C3"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2</w:t>
            </w:r>
            <w:r w:rsidR="001F07CC" w:rsidRPr="00175D8B">
              <w:rPr>
                <w:rFonts w:eastAsia="Aptos" w:cs="Aptos"/>
                <w:color w:val="000000" w:themeColor="text1"/>
                <w:sz w:val="20"/>
                <w:szCs w:val="20"/>
              </w:rPr>
              <w:t>,</w:t>
            </w:r>
            <w:r w:rsidRPr="00175D8B">
              <w:rPr>
                <w:rFonts w:eastAsia="Aptos" w:cs="Aptos"/>
                <w:color w:val="000000" w:themeColor="text1"/>
                <w:sz w:val="20"/>
                <w:szCs w:val="20"/>
              </w:rPr>
              <w:t>373</w:t>
            </w:r>
          </w:p>
        </w:tc>
        <w:tc>
          <w:tcPr>
            <w:tcW w:w="906" w:type="dxa"/>
            <w:shd w:val="clear" w:color="auto" w:fill="F2F2F2" w:themeFill="background1" w:themeFillShade="F2"/>
          </w:tcPr>
          <w:p w14:paraId="03AAE634" w14:textId="77777777"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752</w:t>
            </w:r>
          </w:p>
        </w:tc>
        <w:tc>
          <w:tcPr>
            <w:tcW w:w="1041" w:type="dxa"/>
            <w:shd w:val="clear" w:color="auto" w:fill="F2F2F2" w:themeFill="background1" w:themeFillShade="F2"/>
          </w:tcPr>
          <w:p w14:paraId="4E4DFCB5" w14:textId="25F7FAFC" w:rsidR="00363F14" w:rsidRPr="00175D8B" w:rsidRDefault="00363F14" w:rsidP="00363F14">
            <w:pPr>
              <w:spacing w:before="120" w:afterLines="120" w:after="288" w:line="240" w:lineRule="auto"/>
              <w:jc w:val="center"/>
              <w:rPr>
                <w:rFonts w:eastAsia="Aptos" w:cs="Aptos"/>
                <w:color w:val="000000" w:themeColor="text1"/>
                <w:sz w:val="20"/>
                <w:szCs w:val="20"/>
              </w:rPr>
            </w:pPr>
            <w:r w:rsidRPr="00175D8B">
              <w:rPr>
                <w:rFonts w:eastAsia="Aptos" w:cs="Aptos"/>
                <w:color w:val="000000" w:themeColor="text1"/>
                <w:sz w:val="20"/>
                <w:szCs w:val="20"/>
              </w:rPr>
              <w:t>1</w:t>
            </w:r>
            <w:r w:rsidR="001F07CC" w:rsidRPr="00175D8B">
              <w:rPr>
                <w:rFonts w:eastAsia="Aptos" w:cs="Aptos"/>
                <w:color w:val="000000" w:themeColor="text1"/>
                <w:sz w:val="20"/>
                <w:szCs w:val="20"/>
              </w:rPr>
              <w:t>,</w:t>
            </w:r>
            <w:r w:rsidRPr="00175D8B">
              <w:rPr>
                <w:rFonts w:eastAsia="Aptos" w:cs="Aptos"/>
                <w:color w:val="000000" w:themeColor="text1"/>
                <w:sz w:val="20"/>
                <w:szCs w:val="20"/>
              </w:rPr>
              <w:t>963</w:t>
            </w:r>
          </w:p>
        </w:tc>
      </w:tr>
    </w:tbl>
    <w:p w14:paraId="78E33587" w14:textId="77777777" w:rsidR="00363F14" w:rsidRPr="00175D8B" w:rsidRDefault="00363F14" w:rsidP="00363F14">
      <w:pPr>
        <w:spacing w:before="120" w:after="288" w:line="278" w:lineRule="auto"/>
        <w:jc w:val="center"/>
        <w:rPr>
          <w:rFonts w:eastAsia="Aptos" w:cs="Aptos"/>
          <w:i/>
          <w:iCs/>
          <w:color w:val="000000" w:themeColor="text1"/>
          <w:sz w:val="18"/>
          <w:szCs w:val="18"/>
        </w:rPr>
      </w:pPr>
      <w:r w:rsidRPr="00175D8B">
        <w:rPr>
          <w:rFonts w:eastAsia="Aptos" w:cs="Aptos"/>
          <w:b/>
          <w:bCs/>
          <w:i/>
          <w:iCs/>
          <w:color w:val="000000" w:themeColor="text1"/>
          <w:sz w:val="18"/>
          <w:szCs w:val="18"/>
        </w:rPr>
        <w:t>Source:</w:t>
      </w:r>
      <w:r w:rsidRPr="00175D8B">
        <w:rPr>
          <w:rFonts w:eastAsia="Aptos" w:cs="Aptos"/>
          <w:i/>
          <w:iCs/>
          <w:color w:val="000000" w:themeColor="text1"/>
          <w:sz w:val="18"/>
          <w:szCs w:val="18"/>
        </w:rPr>
        <w:t xml:space="preserve"> Republic of Türkiye Ministry of Health, 2023. Annals of Health Statistics.</w:t>
      </w:r>
    </w:p>
    <w:p w14:paraId="637EB3D4" w14:textId="2E675BCD" w:rsidR="004C3C82" w:rsidRPr="00175D8B" w:rsidRDefault="00363F14" w:rsidP="00F143A7">
      <w:pPr>
        <w:rPr>
          <w:rFonts w:eastAsia="Aptos" w:cs="Aptos"/>
          <w:i/>
          <w:color w:val="000000" w:themeColor="text1"/>
          <w:sz w:val="20"/>
          <w:szCs w:val="20"/>
        </w:rPr>
      </w:pPr>
      <w:r w:rsidRPr="00175D8B">
        <w:t>In the 2020-2023 period, there was an increase in the capacity of emergency health services in Sakarya. The number of emergency aid stations increased from 38 to 47 and the number of ambulances increased from 61 to 68. On the other hand, due to population growth, there has not been a significant improvement in the population ratio per station and ambulance, and the values have remained relatively stable over the years. The rate of false reports increased from 6% in 2020 to 7.7% in 2023.</w:t>
      </w:r>
    </w:p>
    <w:p w14:paraId="3873D45F" w14:textId="064CD9AE" w:rsidR="00F143A7" w:rsidRPr="006C58C5" w:rsidRDefault="00F143A7" w:rsidP="006C58C5">
      <w:pPr>
        <w:pStyle w:val="ResimYazs"/>
        <w:keepNext/>
        <w:jc w:val="center"/>
        <w:rPr>
          <w:b/>
          <w:bCs/>
        </w:rPr>
      </w:pPr>
      <w:bookmarkStart w:id="245" w:name="_Toc216344440"/>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23</w:t>
      </w:r>
      <w:r w:rsidRPr="006C58C5">
        <w:rPr>
          <w:b/>
          <w:bCs/>
        </w:rPr>
        <w:fldChar w:fldCharType="end"/>
      </w:r>
      <w:r w:rsidRPr="006C58C5">
        <w:rPr>
          <w:b/>
          <w:bCs/>
        </w:rPr>
        <w:t xml:space="preserve">: </w:t>
      </w:r>
      <w:r w:rsidRPr="00175D8B">
        <w:rPr>
          <w:rFonts w:eastAsia="Aptos" w:cs="Aptos"/>
          <w:color w:val="000000"/>
          <w:szCs w:val="20"/>
        </w:rPr>
        <w:t>Emergency Medical Services</w:t>
      </w:r>
      <w:bookmarkEnd w:id="245"/>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
        <w:gridCol w:w="1858"/>
        <w:gridCol w:w="1708"/>
        <w:gridCol w:w="1559"/>
        <w:gridCol w:w="1613"/>
        <w:gridCol w:w="1227"/>
      </w:tblGrid>
      <w:tr w:rsidR="004C3C82" w:rsidRPr="00175D8B" w14:paraId="5ED112F2" w14:textId="77777777" w:rsidTr="00DF417A">
        <w:trPr>
          <w:trHeight w:val="992"/>
          <w:tblHeader/>
          <w:jc w:val="center"/>
        </w:trPr>
        <w:tc>
          <w:tcPr>
            <w:tcW w:w="1107" w:type="dxa"/>
            <w:shd w:val="clear" w:color="auto" w:fill="ABB7C1"/>
          </w:tcPr>
          <w:p w14:paraId="0EC5B96A" w14:textId="77777777" w:rsidR="004C3C82" w:rsidRPr="00175D8B" w:rsidRDefault="004C3C82" w:rsidP="004C3C82">
            <w:pPr>
              <w:spacing w:before="120" w:after="288" w:line="276" w:lineRule="auto"/>
              <w:jc w:val="center"/>
              <w:rPr>
                <w:rFonts w:eastAsia="Aptos" w:cs="Aptos"/>
                <w:b/>
                <w:color w:val="000000" w:themeColor="text1"/>
                <w:sz w:val="20"/>
                <w:szCs w:val="20"/>
              </w:rPr>
            </w:pPr>
            <w:r w:rsidRPr="00175D8B">
              <w:rPr>
                <w:rFonts w:eastAsia="Aptos" w:cs="Aptos"/>
                <w:b/>
                <w:color w:val="000000" w:themeColor="text1"/>
                <w:sz w:val="20"/>
                <w:szCs w:val="20"/>
              </w:rPr>
              <w:t>Year</w:t>
            </w:r>
          </w:p>
        </w:tc>
        <w:tc>
          <w:tcPr>
            <w:tcW w:w="1858" w:type="dxa"/>
            <w:shd w:val="clear" w:color="auto" w:fill="ABB7C1"/>
          </w:tcPr>
          <w:p w14:paraId="5266D27A" w14:textId="77777777" w:rsidR="004C3C82" w:rsidRPr="00175D8B" w:rsidRDefault="004C3C82" w:rsidP="004C3C82">
            <w:pPr>
              <w:spacing w:before="120" w:after="288" w:line="276" w:lineRule="auto"/>
              <w:jc w:val="center"/>
              <w:rPr>
                <w:rFonts w:eastAsia="Aptos" w:cs="Aptos"/>
                <w:b/>
                <w:color w:val="000000" w:themeColor="text1"/>
                <w:sz w:val="20"/>
                <w:szCs w:val="20"/>
              </w:rPr>
            </w:pPr>
            <w:r w:rsidRPr="00175D8B">
              <w:rPr>
                <w:rFonts w:eastAsia="Aptos" w:cs="Aptos"/>
                <w:b/>
                <w:color w:val="000000" w:themeColor="text1"/>
                <w:sz w:val="20"/>
                <w:szCs w:val="20"/>
              </w:rPr>
              <w:t>Number of Emergency Aid Stations</w:t>
            </w:r>
          </w:p>
        </w:tc>
        <w:tc>
          <w:tcPr>
            <w:tcW w:w="1708" w:type="dxa"/>
            <w:shd w:val="clear" w:color="auto" w:fill="ABB7C1"/>
          </w:tcPr>
          <w:p w14:paraId="4DA56A49" w14:textId="77777777" w:rsidR="004C3C82" w:rsidRPr="00175D8B" w:rsidRDefault="004C3C82" w:rsidP="004C3C82">
            <w:pPr>
              <w:spacing w:before="120" w:after="288" w:line="276" w:lineRule="auto"/>
              <w:jc w:val="center"/>
              <w:rPr>
                <w:rFonts w:eastAsia="Aptos" w:cs="Aptos"/>
                <w:b/>
                <w:color w:val="000000" w:themeColor="text1"/>
                <w:sz w:val="20"/>
                <w:szCs w:val="20"/>
              </w:rPr>
            </w:pPr>
            <w:r w:rsidRPr="00175D8B">
              <w:rPr>
                <w:rFonts w:eastAsia="Aptos" w:cs="Aptos"/>
                <w:b/>
                <w:color w:val="000000" w:themeColor="text1"/>
                <w:sz w:val="20"/>
                <w:szCs w:val="20"/>
              </w:rPr>
              <w:t>Population per Emergency Aid Station</w:t>
            </w:r>
          </w:p>
        </w:tc>
        <w:tc>
          <w:tcPr>
            <w:tcW w:w="1559" w:type="dxa"/>
            <w:shd w:val="clear" w:color="auto" w:fill="ABB7C1"/>
          </w:tcPr>
          <w:p w14:paraId="5DEB55CC" w14:textId="77777777" w:rsidR="004C3C82" w:rsidRPr="00175D8B" w:rsidRDefault="004C3C82" w:rsidP="004C3C82">
            <w:pPr>
              <w:spacing w:before="120" w:after="288" w:line="276" w:lineRule="auto"/>
              <w:jc w:val="center"/>
              <w:rPr>
                <w:rFonts w:eastAsia="Aptos" w:cs="Aptos"/>
                <w:b/>
                <w:color w:val="000000" w:themeColor="text1"/>
                <w:sz w:val="20"/>
                <w:szCs w:val="20"/>
              </w:rPr>
            </w:pPr>
            <w:r w:rsidRPr="00175D8B">
              <w:rPr>
                <w:rFonts w:eastAsia="Aptos" w:cs="Aptos"/>
                <w:b/>
                <w:color w:val="000000" w:themeColor="text1"/>
                <w:sz w:val="20"/>
                <w:szCs w:val="20"/>
              </w:rPr>
              <w:t>Number of Emergency Ambulances</w:t>
            </w:r>
          </w:p>
        </w:tc>
        <w:tc>
          <w:tcPr>
            <w:tcW w:w="1613" w:type="dxa"/>
            <w:shd w:val="clear" w:color="auto" w:fill="ABB7C1"/>
          </w:tcPr>
          <w:p w14:paraId="284766CD" w14:textId="77777777" w:rsidR="004C3C82" w:rsidRPr="00175D8B" w:rsidRDefault="004C3C82" w:rsidP="004C3C82">
            <w:pPr>
              <w:spacing w:before="120" w:after="288" w:line="276" w:lineRule="auto"/>
              <w:jc w:val="center"/>
              <w:rPr>
                <w:rFonts w:eastAsia="Aptos" w:cs="Aptos"/>
                <w:b/>
                <w:color w:val="000000" w:themeColor="text1"/>
                <w:sz w:val="20"/>
                <w:szCs w:val="20"/>
              </w:rPr>
            </w:pPr>
            <w:r w:rsidRPr="00175D8B">
              <w:rPr>
                <w:rFonts w:eastAsia="Aptos" w:cs="Aptos"/>
                <w:b/>
                <w:color w:val="000000" w:themeColor="text1"/>
                <w:sz w:val="20"/>
                <w:szCs w:val="20"/>
              </w:rPr>
              <w:t>Population per emergency ambulance</w:t>
            </w:r>
          </w:p>
        </w:tc>
        <w:tc>
          <w:tcPr>
            <w:tcW w:w="1227" w:type="dxa"/>
            <w:shd w:val="clear" w:color="auto" w:fill="ABB7C1"/>
          </w:tcPr>
          <w:p w14:paraId="563F8B55" w14:textId="77777777" w:rsidR="004C3C82" w:rsidRPr="00175D8B" w:rsidRDefault="004C3C82" w:rsidP="004C3C82">
            <w:pPr>
              <w:spacing w:before="120" w:after="288" w:line="276" w:lineRule="auto"/>
              <w:jc w:val="center"/>
              <w:rPr>
                <w:rFonts w:eastAsia="Aptos" w:cs="Aptos"/>
                <w:b/>
                <w:color w:val="000000" w:themeColor="text1"/>
                <w:sz w:val="20"/>
                <w:szCs w:val="20"/>
              </w:rPr>
            </w:pPr>
            <w:r w:rsidRPr="00175D8B">
              <w:rPr>
                <w:rFonts w:eastAsia="Aptos" w:cs="Aptos"/>
                <w:b/>
                <w:color w:val="000000" w:themeColor="text1"/>
                <w:sz w:val="20"/>
                <w:szCs w:val="20"/>
              </w:rPr>
              <w:t>False Report Rate (%)</w:t>
            </w:r>
          </w:p>
        </w:tc>
      </w:tr>
      <w:tr w:rsidR="004C3C82" w:rsidRPr="00175D8B" w14:paraId="40BF3D90" w14:textId="77777777" w:rsidTr="00DF417A">
        <w:trPr>
          <w:trHeight w:val="428"/>
          <w:jc w:val="center"/>
        </w:trPr>
        <w:tc>
          <w:tcPr>
            <w:tcW w:w="1107" w:type="dxa"/>
            <w:shd w:val="clear" w:color="auto" w:fill="F2F2F2"/>
          </w:tcPr>
          <w:p w14:paraId="15D0AA4E" w14:textId="77777777"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 w:val="20"/>
                <w:szCs w:val="20"/>
              </w:rPr>
              <w:t>2023</w:t>
            </w:r>
          </w:p>
        </w:tc>
        <w:tc>
          <w:tcPr>
            <w:tcW w:w="1858" w:type="dxa"/>
            <w:shd w:val="clear" w:color="auto" w:fill="F2F2F2"/>
          </w:tcPr>
          <w:p w14:paraId="01222464" w14:textId="77777777"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 w:val="20"/>
                <w:szCs w:val="20"/>
              </w:rPr>
              <w:t>47</w:t>
            </w:r>
          </w:p>
        </w:tc>
        <w:tc>
          <w:tcPr>
            <w:tcW w:w="1708" w:type="dxa"/>
            <w:shd w:val="clear" w:color="auto" w:fill="F2F2F2"/>
          </w:tcPr>
          <w:p w14:paraId="15DAD0B2" w14:textId="06D96660"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Cs w:val="22"/>
              </w:rPr>
              <w:t>23</w:t>
            </w:r>
            <w:r w:rsidR="00FD1A25" w:rsidRPr="00175D8B">
              <w:rPr>
                <w:rFonts w:eastAsia="Aptos" w:cs="Aptos"/>
                <w:color w:val="000000" w:themeColor="text1"/>
                <w:szCs w:val="22"/>
              </w:rPr>
              <w:t>,</w:t>
            </w:r>
            <w:r w:rsidRPr="00175D8B">
              <w:rPr>
                <w:rFonts w:eastAsia="Aptos" w:cs="Aptos"/>
                <w:color w:val="000000" w:themeColor="text1"/>
                <w:szCs w:val="22"/>
              </w:rPr>
              <w:t>364</w:t>
            </w:r>
          </w:p>
        </w:tc>
        <w:tc>
          <w:tcPr>
            <w:tcW w:w="1559" w:type="dxa"/>
            <w:shd w:val="clear" w:color="auto" w:fill="F2F2F2"/>
          </w:tcPr>
          <w:p w14:paraId="0684F145" w14:textId="77777777"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 w:val="20"/>
                <w:szCs w:val="20"/>
              </w:rPr>
              <w:t>68</w:t>
            </w:r>
          </w:p>
        </w:tc>
        <w:tc>
          <w:tcPr>
            <w:tcW w:w="1613" w:type="dxa"/>
            <w:shd w:val="clear" w:color="auto" w:fill="F2F2F2"/>
          </w:tcPr>
          <w:p w14:paraId="35289050" w14:textId="5D39337C"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Cs w:val="22"/>
              </w:rPr>
              <w:t>16</w:t>
            </w:r>
            <w:r w:rsidR="00FD1A25" w:rsidRPr="00175D8B">
              <w:rPr>
                <w:rFonts w:eastAsia="Aptos" w:cs="Aptos"/>
                <w:color w:val="000000" w:themeColor="text1"/>
                <w:szCs w:val="22"/>
              </w:rPr>
              <w:t>,</w:t>
            </w:r>
            <w:r w:rsidRPr="00175D8B">
              <w:rPr>
                <w:rFonts w:eastAsia="Aptos" w:cs="Aptos"/>
                <w:color w:val="000000" w:themeColor="text1"/>
                <w:szCs w:val="22"/>
              </w:rPr>
              <w:t>149</w:t>
            </w:r>
          </w:p>
        </w:tc>
        <w:tc>
          <w:tcPr>
            <w:tcW w:w="1227" w:type="dxa"/>
            <w:shd w:val="clear" w:color="auto" w:fill="F2F2F2"/>
          </w:tcPr>
          <w:p w14:paraId="70351DA5" w14:textId="7679083E"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Cs w:val="22"/>
              </w:rPr>
              <w:t>7</w:t>
            </w:r>
            <w:r w:rsidR="00FD1A25" w:rsidRPr="00175D8B">
              <w:rPr>
                <w:rFonts w:eastAsia="Aptos" w:cs="Aptos"/>
                <w:color w:val="000000" w:themeColor="text1"/>
                <w:szCs w:val="22"/>
              </w:rPr>
              <w:t>.</w:t>
            </w:r>
            <w:r w:rsidRPr="00175D8B">
              <w:rPr>
                <w:rFonts w:eastAsia="Aptos" w:cs="Aptos"/>
                <w:color w:val="000000" w:themeColor="text1"/>
                <w:szCs w:val="22"/>
              </w:rPr>
              <w:t>7</w:t>
            </w:r>
          </w:p>
        </w:tc>
      </w:tr>
      <w:tr w:rsidR="004C3C82" w:rsidRPr="00175D8B" w14:paraId="4F6867E7" w14:textId="77777777" w:rsidTr="00DF417A">
        <w:trPr>
          <w:trHeight w:val="308"/>
          <w:jc w:val="center"/>
        </w:trPr>
        <w:tc>
          <w:tcPr>
            <w:tcW w:w="1107" w:type="dxa"/>
            <w:shd w:val="clear" w:color="auto" w:fill="F2F2F2"/>
          </w:tcPr>
          <w:p w14:paraId="03A98DDD" w14:textId="77777777"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 w:val="20"/>
                <w:szCs w:val="20"/>
              </w:rPr>
              <w:t>2022</w:t>
            </w:r>
          </w:p>
        </w:tc>
        <w:tc>
          <w:tcPr>
            <w:tcW w:w="1858" w:type="dxa"/>
            <w:shd w:val="clear" w:color="auto" w:fill="F2F2F2"/>
          </w:tcPr>
          <w:p w14:paraId="1AB414E1" w14:textId="77777777"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 w:val="20"/>
                <w:szCs w:val="20"/>
              </w:rPr>
              <w:t>43</w:t>
            </w:r>
          </w:p>
        </w:tc>
        <w:tc>
          <w:tcPr>
            <w:tcW w:w="1708" w:type="dxa"/>
            <w:shd w:val="clear" w:color="auto" w:fill="F2F2F2"/>
          </w:tcPr>
          <w:p w14:paraId="0991BB0E" w14:textId="1C3E1774"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Cs w:val="22"/>
              </w:rPr>
              <w:t>25</w:t>
            </w:r>
            <w:r w:rsidR="00FD1A25" w:rsidRPr="00175D8B">
              <w:rPr>
                <w:rFonts w:eastAsia="Aptos" w:cs="Aptos"/>
                <w:color w:val="000000" w:themeColor="text1"/>
                <w:szCs w:val="22"/>
              </w:rPr>
              <w:t>,</w:t>
            </w:r>
            <w:r w:rsidRPr="00175D8B">
              <w:rPr>
                <w:rFonts w:eastAsia="Aptos" w:cs="Aptos"/>
                <w:color w:val="000000" w:themeColor="text1"/>
                <w:szCs w:val="22"/>
              </w:rPr>
              <w:t>118</w:t>
            </w:r>
          </w:p>
        </w:tc>
        <w:tc>
          <w:tcPr>
            <w:tcW w:w="1559" w:type="dxa"/>
            <w:shd w:val="clear" w:color="auto" w:fill="F2F2F2"/>
          </w:tcPr>
          <w:p w14:paraId="36C1CE38" w14:textId="77777777"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 w:val="20"/>
                <w:szCs w:val="20"/>
              </w:rPr>
              <w:t>62</w:t>
            </w:r>
          </w:p>
        </w:tc>
        <w:tc>
          <w:tcPr>
            <w:tcW w:w="1613" w:type="dxa"/>
            <w:shd w:val="clear" w:color="auto" w:fill="F2F2F2"/>
          </w:tcPr>
          <w:p w14:paraId="441114C8" w14:textId="15168A65"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Cs w:val="22"/>
              </w:rPr>
              <w:t>17</w:t>
            </w:r>
            <w:r w:rsidR="00FD1A25" w:rsidRPr="00175D8B">
              <w:rPr>
                <w:rFonts w:eastAsia="Aptos" w:cs="Aptos"/>
                <w:color w:val="000000" w:themeColor="text1"/>
                <w:szCs w:val="22"/>
              </w:rPr>
              <w:t>,</w:t>
            </w:r>
            <w:r w:rsidRPr="00175D8B">
              <w:rPr>
                <w:rFonts w:eastAsia="Aptos" w:cs="Aptos"/>
                <w:color w:val="000000" w:themeColor="text1"/>
                <w:szCs w:val="22"/>
              </w:rPr>
              <w:t>421</w:t>
            </w:r>
          </w:p>
        </w:tc>
        <w:tc>
          <w:tcPr>
            <w:tcW w:w="1227" w:type="dxa"/>
            <w:shd w:val="clear" w:color="auto" w:fill="F2F2F2"/>
          </w:tcPr>
          <w:p w14:paraId="5E571FB6" w14:textId="1CC80296"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Cs w:val="22"/>
              </w:rPr>
              <w:t>6</w:t>
            </w:r>
            <w:r w:rsidR="00FD1A25" w:rsidRPr="00175D8B">
              <w:rPr>
                <w:rFonts w:eastAsia="Aptos" w:cs="Aptos"/>
                <w:color w:val="000000" w:themeColor="text1"/>
                <w:szCs w:val="22"/>
              </w:rPr>
              <w:t>.</w:t>
            </w:r>
            <w:r w:rsidRPr="00175D8B">
              <w:rPr>
                <w:rFonts w:eastAsia="Aptos" w:cs="Aptos"/>
                <w:color w:val="000000" w:themeColor="text1"/>
                <w:szCs w:val="22"/>
              </w:rPr>
              <w:t>8</w:t>
            </w:r>
          </w:p>
        </w:tc>
      </w:tr>
      <w:tr w:rsidR="004C3C82" w:rsidRPr="00175D8B" w14:paraId="2C3832AB" w14:textId="77777777" w:rsidTr="00DF417A">
        <w:trPr>
          <w:trHeight w:val="316"/>
          <w:jc w:val="center"/>
        </w:trPr>
        <w:tc>
          <w:tcPr>
            <w:tcW w:w="1107" w:type="dxa"/>
            <w:shd w:val="clear" w:color="auto" w:fill="F2F2F2"/>
          </w:tcPr>
          <w:p w14:paraId="7366DA23" w14:textId="77777777"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 w:val="20"/>
                <w:szCs w:val="20"/>
              </w:rPr>
              <w:t>2021</w:t>
            </w:r>
          </w:p>
        </w:tc>
        <w:tc>
          <w:tcPr>
            <w:tcW w:w="1858" w:type="dxa"/>
            <w:shd w:val="clear" w:color="auto" w:fill="F2F2F2"/>
          </w:tcPr>
          <w:p w14:paraId="4BCB6D05" w14:textId="77777777"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 w:val="20"/>
                <w:szCs w:val="20"/>
              </w:rPr>
              <w:t>39</w:t>
            </w:r>
          </w:p>
        </w:tc>
        <w:tc>
          <w:tcPr>
            <w:tcW w:w="1708" w:type="dxa"/>
            <w:shd w:val="clear" w:color="auto" w:fill="F2F2F2"/>
          </w:tcPr>
          <w:p w14:paraId="56223FD7" w14:textId="4017E951"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Cs w:val="22"/>
              </w:rPr>
              <w:t>27</w:t>
            </w:r>
            <w:r w:rsidR="00FD1A25" w:rsidRPr="00175D8B">
              <w:rPr>
                <w:rFonts w:eastAsia="Aptos" w:cs="Aptos"/>
                <w:color w:val="000000" w:themeColor="text1"/>
                <w:szCs w:val="22"/>
              </w:rPr>
              <w:t>,</w:t>
            </w:r>
            <w:r w:rsidRPr="00175D8B">
              <w:rPr>
                <w:rFonts w:eastAsia="Aptos" w:cs="Aptos"/>
                <w:color w:val="000000" w:themeColor="text1"/>
                <w:szCs w:val="22"/>
              </w:rPr>
              <w:t>202</w:t>
            </w:r>
          </w:p>
        </w:tc>
        <w:tc>
          <w:tcPr>
            <w:tcW w:w="1559" w:type="dxa"/>
            <w:shd w:val="clear" w:color="auto" w:fill="F2F2F2"/>
          </w:tcPr>
          <w:p w14:paraId="7AF811F0" w14:textId="77777777"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 w:val="20"/>
                <w:szCs w:val="20"/>
              </w:rPr>
              <w:t>63</w:t>
            </w:r>
          </w:p>
        </w:tc>
        <w:tc>
          <w:tcPr>
            <w:tcW w:w="1613" w:type="dxa"/>
            <w:shd w:val="clear" w:color="auto" w:fill="F2F2F2"/>
          </w:tcPr>
          <w:p w14:paraId="19D5278A" w14:textId="705EA46F"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Cs w:val="22"/>
              </w:rPr>
              <w:t>16</w:t>
            </w:r>
            <w:r w:rsidR="00FD1A25" w:rsidRPr="00175D8B">
              <w:rPr>
                <w:rFonts w:eastAsia="Aptos" w:cs="Aptos"/>
                <w:color w:val="000000" w:themeColor="text1"/>
                <w:szCs w:val="22"/>
              </w:rPr>
              <w:t>,</w:t>
            </w:r>
            <w:r w:rsidRPr="00175D8B">
              <w:rPr>
                <w:rFonts w:eastAsia="Aptos" w:cs="Aptos"/>
                <w:color w:val="000000" w:themeColor="text1"/>
                <w:szCs w:val="22"/>
              </w:rPr>
              <w:t>839</w:t>
            </w:r>
          </w:p>
        </w:tc>
        <w:tc>
          <w:tcPr>
            <w:tcW w:w="1227" w:type="dxa"/>
            <w:shd w:val="clear" w:color="auto" w:fill="F2F2F2"/>
          </w:tcPr>
          <w:p w14:paraId="215A9CA5" w14:textId="79D7389F"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Cs w:val="22"/>
              </w:rPr>
              <w:t>6</w:t>
            </w:r>
            <w:r w:rsidR="00FD1A25" w:rsidRPr="00175D8B">
              <w:rPr>
                <w:rFonts w:eastAsia="Aptos" w:cs="Aptos"/>
                <w:color w:val="000000" w:themeColor="text1"/>
                <w:szCs w:val="22"/>
              </w:rPr>
              <w:t>.</w:t>
            </w:r>
            <w:r w:rsidRPr="00175D8B">
              <w:rPr>
                <w:rFonts w:eastAsia="Aptos" w:cs="Aptos"/>
                <w:color w:val="000000" w:themeColor="text1"/>
                <w:szCs w:val="22"/>
              </w:rPr>
              <w:t>4</w:t>
            </w:r>
          </w:p>
        </w:tc>
      </w:tr>
      <w:tr w:rsidR="004C3C82" w:rsidRPr="00175D8B" w14:paraId="670ED942" w14:textId="77777777" w:rsidTr="00DF417A">
        <w:trPr>
          <w:jc w:val="center"/>
        </w:trPr>
        <w:tc>
          <w:tcPr>
            <w:tcW w:w="1107" w:type="dxa"/>
            <w:shd w:val="clear" w:color="auto" w:fill="F2F2F2"/>
          </w:tcPr>
          <w:p w14:paraId="02FCA3F7" w14:textId="77777777"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 w:val="20"/>
                <w:szCs w:val="20"/>
              </w:rPr>
              <w:t>2020</w:t>
            </w:r>
          </w:p>
        </w:tc>
        <w:tc>
          <w:tcPr>
            <w:tcW w:w="1858" w:type="dxa"/>
            <w:shd w:val="clear" w:color="auto" w:fill="F2F2F2"/>
          </w:tcPr>
          <w:p w14:paraId="312AE60A" w14:textId="77777777"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 w:val="20"/>
                <w:szCs w:val="20"/>
              </w:rPr>
              <w:t>38</w:t>
            </w:r>
          </w:p>
        </w:tc>
        <w:tc>
          <w:tcPr>
            <w:tcW w:w="1708" w:type="dxa"/>
            <w:shd w:val="clear" w:color="auto" w:fill="F2F2F2"/>
          </w:tcPr>
          <w:p w14:paraId="55C7E706" w14:textId="50A4272B"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Cs w:val="22"/>
              </w:rPr>
              <w:t>27</w:t>
            </w:r>
            <w:r w:rsidR="00FD1A25" w:rsidRPr="00175D8B">
              <w:rPr>
                <w:rFonts w:eastAsia="Aptos" w:cs="Aptos"/>
                <w:color w:val="000000" w:themeColor="text1"/>
                <w:szCs w:val="22"/>
              </w:rPr>
              <w:t>,</w:t>
            </w:r>
            <w:r w:rsidRPr="00175D8B">
              <w:rPr>
                <w:rFonts w:eastAsia="Aptos" w:cs="Aptos"/>
                <w:color w:val="000000" w:themeColor="text1"/>
                <w:szCs w:val="22"/>
              </w:rPr>
              <w:t>438</w:t>
            </w:r>
          </w:p>
        </w:tc>
        <w:tc>
          <w:tcPr>
            <w:tcW w:w="1559" w:type="dxa"/>
            <w:shd w:val="clear" w:color="auto" w:fill="F2F2F2"/>
          </w:tcPr>
          <w:p w14:paraId="70F6B668" w14:textId="77777777"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 w:val="20"/>
                <w:szCs w:val="20"/>
              </w:rPr>
              <w:t>61</w:t>
            </w:r>
          </w:p>
        </w:tc>
        <w:tc>
          <w:tcPr>
            <w:tcW w:w="1613" w:type="dxa"/>
            <w:shd w:val="clear" w:color="auto" w:fill="F2F2F2"/>
          </w:tcPr>
          <w:p w14:paraId="43C09CD5" w14:textId="447F7CC1"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Cs w:val="22"/>
              </w:rPr>
              <w:t>17</w:t>
            </w:r>
            <w:r w:rsidR="00FD1A25" w:rsidRPr="00175D8B">
              <w:rPr>
                <w:rFonts w:eastAsia="Aptos" w:cs="Aptos"/>
                <w:color w:val="000000" w:themeColor="text1"/>
                <w:szCs w:val="22"/>
              </w:rPr>
              <w:t>,</w:t>
            </w:r>
            <w:r w:rsidRPr="00175D8B">
              <w:rPr>
                <w:rFonts w:eastAsia="Aptos" w:cs="Aptos"/>
                <w:color w:val="000000" w:themeColor="text1"/>
                <w:szCs w:val="22"/>
              </w:rPr>
              <w:t>093</w:t>
            </w:r>
          </w:p>
        </w:tc>
        <w:tc>
          <w:tcPr>
            <w:tcW w:w="1227" w:type="dxa"/>
            <w:shd w:val="clear" w:color="auto" w:fill="F2F2F2"/>
          </w:tcPr>
          <w:p w14:paraId="4F4D6454" w14:textId="77777777" w:rsidR="004C3C82" w:rsidRPr="00175D8B" w:rsidRDefault="004C3C82" w:rsidP="004C3C82">
            <w:pPr>
              <w:spacing w:before="120" w:after="288" w:line="276" w:lineRule="auto"/>
              <w:jc w:val="center"/>
              <w:rPr>
                <w:rFonts w:eastAsia="Aptos" w:cs="Aptos"/>
                <w:color w:val="000000" w:themeColor="text1"/>
                <w:sz w:val="20"/>
                <w:szCs w:val="20"/>
              </w:rPr>
            </w:pPr>
            <w:r w:rsidRPr="00175D8B">
              <w:rPr>
                <w:rFonts w:eastAsia="Aptos" w:cs="Aptos"/>
                <w:color w:val="000000" w:themeColor="text1"/>
                <w:sz w:val="20"/>
                <w:szCs w:val="20"/>
              </w:rPr>
              <w:t>6</w:t>
            </w:r>
          </w:p>
        </w:tc>
      </w:tr>
    </w:tbl>
    <w:p w14:paraId="702D541C" w14:textId="22DCC266" w:rsidR="004C3C82" w:rsidRPr="00175D8B" w:rsidRDefault="004C3C82" w:rsidP="004C3C82">
      <w:pPr>
        <w:spacing w:before="120" w:after="288" w:line="278" w:lineRule="auto"/>
        <w:jc w:val="center"/>
        <w:rPr>
          <w:rFonts w:eastAsia="Aptos" w:cs="Aptos"/>
          <w:i/>
          <w:iCs/>
          <w:color w:val="000000" w:themeColor="text1"/>
          <w:sz w:val="18"/>
          <w:szCs w:val="18"/>
        </w:rPr>
      </w:pPr>
      <w:r w:rsidRPr="00175D8B">
        <w:rPr>
          <w:rFonts w:eastAsia="Aptos" w:cs="Aptos"/>
          <w:b/>
          <w:bCs/>
          <w:i/>
          <w:iCs/>
          <w:color w:val="000000" w:themeColor="text1"/>
          <w:sz w:val="18"/>
          <w:szCs w:val="18"/>
        </w:rPr>
        <w:t>Source:</w:t>
      </w:r>
      <w:r w:rsidRPr="00175D8B">
        <w:rPr>
          <w:rFonts w:eastAsia="Aptos" w:cs="Aptos"/>
          <w:i/>
          <w:iCs/>
          <w:color w:val="000000" w:themeColor="text1"/>
          <w:sz w:val="18"/>
          <w:szCs w:val="18"/>
        </w:rPr>
        <w:t xml:space="preserve"> Republic of Türkiye Ministry of Health, 2023. Annals of Health Statistics.</w:t>
      </w:r>
    </w:p>
    <w:p w14:paraId="1D6BE56B" w14:textId="0BEC75D9" w:rsidR="006611AA" w:rsidRPr="00175D8B" w:rsidRDefault="0001221D" w:rsidP="002550A6">
      <w:pPr>
        <w:pStyle w:val="Balk3"/>
        <w:numPr>
          <w:ilvl w:val="2"/>
          <w:numId w:val="153"/>
        </w:numPr>
        <w:ind w:left="1843"/>
      </w:pPr>
      <w:bookmarkStart w:id="246" w:name="_heading=h.5ihsp1w24l6z" w:colFirst="0" w:colLast="0"/>
      <w:bookmarkStart w:id="247" w:name="_heading=h.siu6e2eh2qgb" w:colFirst="0" w:colLast="0"/>
      <w:bookmarkStart w:id="248" w:name="_Toc212541878"/>
      <w:bookmarkStart w:id="249" w:name="_Toc212542389"/>
      <w:bookmarkStart w:id="250" w:name="_Toc220672794"/>
      <w:bookmarkEnd w:id="246"/>
      <w:bookmarkEnd w:id="247"/>
      <w:r w:rsidRPr="00175D8B">
        <w:t>Sakarya Province Agriculture and Livestock Status</w:t>
      </w:r>
      <w:bookmarkEnd w:id="248"/>
      <w:bookmarkEnd w:id="249"/>
      <w:bookmarkEnd w:id="250"/>
    </w:p>
    <w:p w14:paraId="3C07840C" w14:textId="7E240496" w:rsidR="0001221D" w:rsidRPr="00175D8B" w:rsidRDefault="0001221D" w:rsidP="00AC5E29">
      <w:pPr>
        <w:spacing w:before="240" w:after="240"/>
      </w:pPr>
      <w:r w:rsidRPr="00175D8B">
        <w:t xml:space="preserve">Sakarya Province is a province with advantages such as being located in the Marmara Region, which is the most socio-economically developed region of Türkiye, and being on the main transportation routes connecting to other regions of Anatolia. Sakarya province has made significant developments in the industrial sector in recent years. The main reasons for these developments </w:t>
      </w:r>
      <w:r w:rsidR="003D588A" w:rsidRPr="00175D8B">
        <w:t>are</w:t>
      </w:r>
      <w:r w:rsidRPr="00175D8B">
        <w:t xml:space="preserve"> </w:t>
      </w:r>
      <w:r w:rsidR="00AD2F87">
        <w:t>t</w:t>
      </w:r>
      <w:r w:rsidRPr="00175D8B">
        <w:t xml:space="preserve">he fact that Sakarya is in a suitable position for investment, ease of access to raw materials and finished product resources, </w:t>
      </w:r>
      <w:r w:rsidRPr="00175D8B">
        <w:lastRenderedPageBreak/>
        <w:t xml:space="preserve">the availability of suitable investment areas, the choice of large holdings as an investment base, and qualified manpower opportunities have made the province an attractive investment center for foreign investors. In recent years, there have been great developments in the province, especially in the automotive, textile and food sectors. There are 13 separate Small Industrial Site areas. In addition, there are </w:t>
      </w:r>
      <w:r w:rsidR="00AD2F87">
        <w:t>Organized Industrial Zones (</w:t>
      </w:r>
      <w:r w:rsidRPr="00175D8B">
        <w:t>OIZs</w:t>
      </w:r>
      <w:r w:rsidR="00AD2F87">
        <w:t>)</w:t>
      </w:r>
      <w:r w:rsidRPr="00175D8B">
        <w:t xml:space="preserve"> in </w:t>
      </w:r>
      <w:r w:rsidR="00814224" w:rsidRPr="00175D8B">
        <w:t>five</w:t>
      </w:r>
      <w:r w:rsidRPr="00175D8B">
        <w:t xml:space="preserve"> different districts: Adapazarı 1st OIZ (161 Hectares), Hendek 2nd OIZ (357 Hectares), Söğütlü 3rd OIZ (254 Hectares), Karasu and Ferizli. In addition to these, the establishment of new OIZs in Kaynarca and Akyazı districts continues. Significant investments have been made in the food sector, especially in the fields of dairy products and poultry. Again, companies that have a say in the production of machinery and equipment, especially related to the processing of dairy products, have started to grow even more. These developments also contributed to the development of animal husbandry. Significant investments have also been made in the textile sector in recent years. One of the most important reasons for this is Sakarya's proximity to the provinces of Istanbul and Bursa, which are important centers of textile. </w:t>
      </w:r>
      <w:r w:rsidR="00C52F93">
        <w:t>Sakarya</w:t>
      </w:r>
      <w:r w:rsidR="00C52F93" w:rsidRPr="00175D8B" w:rsidDel="00C52F93">
        <w:t xml:space="preserve"> </w:t>
      </w:r>
      <w:r w:rsidR="00C52F93">
        <w:t>is</w:t>
      </w:r>
      <w:r w:rsidRPr="00175D8B">
        <w:t xml:space="preserve"> an important investment center of Türkiye with its location suitable for investment in areas such as automotive and sub-industry, textile, food, forestry products, electrical-electronics, building-construction materials, ornamental plants.</w:t>
      </w:r>
    </w:p>
    <w:p w14:paraId="71C52757" w14:textId="49086D5B" w:rsidR="001F7BC7" w:rsidRPr="00175D8B" w:rsidRDefault="0001221D" w:rsidP="0001221D">
      <w:pPr>
        <w:pStyle w:val="ListeParagraf"/>
        <w:spacing w:before="240" w:after="240"/>
        <w:ind w:left="0"/>
      </w:pPr>
      <w:r w:rsidRPr="00175D8B">
        <w:t xml:space="preserve">The share of agriculture and animal husbandry in economic activity branches in Sakarya province ranks second after industry with a rate of 20.5% at current prices. The share of agriculture in the gross product is 22%, above the average of Türkiye (14.5%), the average of the Marmara Region (5.2%) and the provinces of the region, however, the development rate of the agricultural sector is behind the average of Türkiye (67.5%) and the average of the Marmara Region (33.8%). The concentration of industry in the provinces of Istanbul, Bursa and Kocaeli in the Marmara region, in a way, directs Sakarya to an agriculture-centered economic development. 50% of the active population in Sakarya province is engaged in agriculture and animal husbandry, and approximately 95% of those who make up the sector are Small and Medium-Sized Enterprises (especially family businesses), which we describe as SMEs. A significant part of these enterprises </w:t>
      </w:r>
      <w:r w:rsidR="00154274" w:rsidRPr="00175D8B">
        <w:t xml:space="preserve">focus on </w:t>
      </w:r>
      <w:r w:rsidRPr="00175D8B">
        <w:t>large and small cattle breeding. With this potential, Sakarya is the main supplier of Istanbul's red meat needs (57% of the total need on average). Sakarya's proximity to big provinces where the need for meat is high makes agriculture and animal husbandry one of the main sectors in this province, rather than an alternative sector.</w:t>
      </w:r>
    </w:p>
    <w:p w14:paraId="3797C7BC" w14:textId="5BD76191" w:rsidR="0001221D" w:rsidRPr="00175D8B" w:rsidRDefault="0001221D" w:rsidP="0001221D">
      <w:pPr>
        <w:keepNext/>
        <w:spacing w:before="120" w:after="200" w:line="278" w:lineRule="auto"/>
        <w:jc w:val="center"/>
        <w:rPr>
          <w:rFonts w:eastAsia="Aptos" w:cs="Aptos"/>
          <w:color w:val="000000" w:themeColor="text1"/>
          <w:sz w:val="20"/>
          <w:szCs w:val="20"/>
        </w:rPr>
      </w:pPr>
    </w:p>
    <w:p w14:paraId="2A8A38C9" w14:textId="4BEACFFD" w:rsidR="003A0E07" w:rsidRPr="006C58C5" w:rsidRDefault="003A0E07" w:rsidP="006C58C5">
      <w:pPr>
        <w:keepNext/>
        <w:spacing w:before="120" w:after="200" w:line="278" w:lineRule="auto"/>
        <w:jc w:val="center"/>
        <w:rPr>
          <w:rFonts w:eastAsia="Aptos" w:cs="Aptos"/>
          <w:szCs w:val="20"/>
        </w:rPr>
      </w:pPr>
      <w:bookmarkStart w:id="251" w:name="_Toc221191325"/>
      <w:r w:rsidRPr="006C58C5">
        <w:rPr>
          <w:b/>
          <w:bCs/>
          <w:i/>
          <w:iCs/>
        </w:rPr>
        <w:t xml:space="preserve">Figure </w:t>
      </w:r>
      <w:r w:rsidRPr="006C58C5">
        <w:rPr>
          <w:b/>
          <w:bCs/>
          <w:i/>
          <w:iCs/>
        </w:rPr>
        <w:fldChar w:fldCharType="begin"/>
      </w:r>
      <w:r w:rsidRPr="006C58C5">
        <w:rPr>
          <w:b/>
          <w:bCs/>
          <w:i/>
          <w:iCs/>
        </w:rPr>
        <w:instrText xml:space="preserve"> SEQ Figure \* ARABIC </w:instrText>
      </w:r>
      <w:r w:rsidRPr="006C58C5">
        <w:rPr>
          <w:b/>
          <w:bCs/>
          <w:i/>
          <w:iCs/>
        </w:rPr>
        <w:fldChar w:fldCharType="separate"/>
      </w:r>
      <w:r w:rsidR="001C27B5">
        <w:rPr>
          <w:b/>
          <w:bCs/>
          <w:i/>
          <w:iCs/>
          <w:noProof/>
        </w:rPr>
        <w:t>17</w:t>
      </w:r>
      <w:r w:rsidRPr="006C58C5">
        <w:rPr>
          <w:b/>
          <w:bCs/>
          <w:i/>
          <w:iCs/>
        </w:rPr>
        <w:fldChar w:fldCharType="end"/>
      </w:r>
      <w:r w:rsidRPr="006C58C5">
        <w:rPr>
          <w:b/>
          <w:bCs/>
          <w:i/>
          <w:iCs/>
        </w:rPr>
        <w:t>:</w:t>
      </w:r>
      <w:r w:rsidRPr="00175D8B">
        <w:t xml:space="preserve"> </w:t>
      </w:r>
      <w:r w:rsidRPr="00175D8B">
        <w:rPr>
          <w:rFonts w:eastAsia="Aptos" w:cs="Aptos"/>
          <w:i/>
          <w:iCs/>
          <w:color w:val="000000"/>
          <w:sz w:val="20"/>
          <w:szCs w:val="20"/>
        </w:rPr>
        <w:t xml:space="preserve">Türkiye and </w:t>
      </w:r>
      <w:r w:rsidRPr="00175D8B">
        <w:rPr>
          <w:rFonts w:eastAsia="Aptos" w:cs="Aptos"/>
          <w:i/>
          <w:iCs/>
          <w:color w:val="000000" w:themeColor="text1"/>
          <w:sz w:val="20"/>
          <w:szCs w:val="20"/>
        </w:rPr>
        <w:t>Sakarya</w:t>
      </w:r>
      <w:r w:rsidRPr="00175D8B">
        <w:rPr>
          <w:rFonts w:eastAsia="Aptos" w:cs="Aptos"/>
          <w:i/>
          <w:iCs/>
          <w:color w:val="000000"/>
          <w:sz w:val="20"/>
          <w:szCs w:val="20"/>
        </w:rPr>
        <w:t xml:space="preserve"> Employment Rates by Years in the Province</w:t>
      </w:r>
      <w:bookmarkEnd w:id="251"/>
    </w:p>
    <w:p w14:paraId="54D64DEA" w14:textId="77777777" w:rsidR="0001221D" w:rsidRPr="00175D8B" w:rsidRDefault="0001221D" w:rsidP="0001221D">
      <w:pPr>
        <w:spacing w:before="120" w:after="0" w:line="278" w:lineRule="auto"/>
        <w:contextualSpacing/>
        <w:rPr>
          <w:rFonts w:eastAsia="Aptos" w:cs="Aptos"/>
          <w:color w:val="000000" w:themeColor="text1"/>
          <w:szCs w:val="22"/>
        </w:rPr>
      </w:pPr>
      <w:r w:rsidRPr="00175D8B">
        <w:rPr>
          <w:rFonts w:eastAsia="Aptos" w:cs="Aptos"/>
          <w:noProof/>
          <w:color w:val="000000" w:themeColor="text1"/>
          <w:szCs w:val="22"/>
          <w:lang w:val="tr-TR" w:eastAsia="tr-TR"/>
        </w:rPr>
        <w:drawing>
          <wp:inline distT="0" distB="0" distL="0" distR="0" wp14:anchorId="5E4A4F0E" wp14:editId="63C7B090">
            <wp:extent cx="5760000" cy="2480753"/>
            <wp:effectExtent l="0" t="0" r="12700" b="15240"/>
            <wp:docPr id="421007363" name="Grafik 1">
              <a:extLst xmlns:a="http://schemas.openxmlformats.org/drawingml/2006/main">
                <a:ext uri="{FF2B5EF4-FFF2-40B4-BE49-F238E27FC236}">
                  <a16:creationId xmlns:a16="http://schemas.microsoft.com/office/drawing/2014/main" id="{D8F7CA5F-F758-B97C-93E0-1F986C3FD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B4B1EDF" w14:textId="60143793" w:rsidR="00ED7888" w:rsidRPr="00175D8B" w:rsidRDefault="0001221D" w:rsidP="002550A6">
      <w:pPr>
        <w:spacing w:before="120" w:after="288" w:line="278" w:lineRule="auto"/>
        <w:contextualSpacing/>
        <w:jc w:val="center"/>
      </w:pPr>
      <w:r w:rsidRPr="00175D8B">
        <w:rPr>
          <w:rFonts w:eastAsia="Aptos" w:cs="Aptos"/>
          <w:b/>
          <w:color w:val="0D0D0D"/>
          <w:sz w:val="18"/>
          <w:szCs w:val="18"/>
        </w:rPr>
        <w:t xml:space="preserve">Source: </w:t>
      </w:r>
      <w:r w:rsidRPr="00175D8B">
        <w:rPr>
          <w:rFonts w:eastAsia="Aptos" w:cs="Aptos"/>
          <w:color w:val="0D0D0D"/>
          <w:sz w:val="18"/>
          <w:szCs w:val="18"/>
        </w:rPr>
        <w:t>TurkStat, 2022-2024</w:t>
      </w:r>
    </w:p>
    <w:p w14:paraId="4E29CEB1" w14:textId="33182F3D" w:rsidR="0001221D" w:rsidRPr="00175D8B" w:rsidRDefault="0001221D" w:rsidP="003A0E07">
      <w:pPr>
        <w:pStyle w:val="ListeParagraf"/>
        <w:spacing w:after="288"/>
        <w:ind w:left="0"/>
        <w:rPr>
          <w:color w:val="000000" w:themeColor="text1"/>
        </w:rPr>
      </w:pPr>
      <w:r w:rsidRPr="00175D8B">
        <w:t>In Sakarya, 24% of the employees are employed in the industrial sector, 59% in the service sector and 17% in the agricultural sector. According to the 2023 current price data of gross domestic product (GDP) on the basis of provinces; Sakarya ranked 17th with 310 billion 359 million TL. It ranked and had a share of 1.17% in total GDP. While Sakarya had a 2.1% share of the industrial sector in 2023, the share of the industrial sector in the total GDP of the province is 39%.</w:t>
      </w:r>
    </w:p>
    <w:p w14:paraId="6E925C2F" w14:textId="26D93B9A" w:rsidR="003A0E07" w:rsidRPr="001C27B5" w:rsidRDefault="003A0E07" w:rsidP="006C58C5">
      <w:pPr>
        <w:keepNext/>
        <w:spacing w:before="120" w:after="200" w:line="278" w:lineRule="auto"/>
        <w:jc w:val="center"/>
        <w:rPr>
          <w:rFonts w:eastAsia="Aptos" w:cs="Aptos"/>
          <w:i/>
          <w:iCs/>
          <w:color w:val="000000" w:themeColor="text1"/>
          <w:sz w:val="20"/>
          <w:szCs w:val="20"/>
        </w:rPr>
      </w:pPr>
      <w:bookmarkStart w:id="252" w:name="_Toc221191326"/>
      <w:r w:rsidRPr="001C27B5">
        <w:rPr>
          <w:b/>
          <w:bCs/>
          <w:i/>
          <w:iCs/>
        </w:rPr>
        <w:t xml:space="preserve">Figure </w:t>
      </w:r>
      <w:r w:rsidRPr="001C27B5">
        <w:rPr>
          <w:b/>
          <w:bCs/>
          <w:i/>
          <w:iCs/>
        </w:rPr>
        <w:fldChar w:fldCharType="begin"/>
      </w:r>
      <w:r w:rsidRPr="001C27B5">
        <w:rPr>
          <w:b/>
          <w:bCs/>
          <w:i/>
          <w:iCs/>
        </w:rPr>
        <w:instrText xml:space="preserve"> SEQ Figure \* ARABIC </w:instrText>
      </w:r>
      <w:r w:rsidRPr="001C27B5">
        <w:rPr>
          <w:b/>
          <w:bCs/>
          <w:i/>
          <w:iCs/>
        </w:rPr>
        <w:fldChar w:fldCharType="separate"/>
      </w:r>
      <w:r w:rsidR="001C27B5" w:rsidRPr="001C27B5">
        <w:rPr>
          <w:b/>
          <w:bCs/>
          <w:i/>
          <w:iCs/>
        </w:rPr>
        <w:t>18</w:t>
      </w:r>
      <w:r w:rsidRPr="001C27B5">
        <w:rPr>
          <w:b/>
          <w:bCs/>
          <w:i/>
          <w:iCs/>
        </w:rPr>
        <w:fldChar w:fldCharType="end"/>
      </w:r>
      <w:r w:rsidRPr="001C27B5">
        <w:rPr>
          <w:b/>
          <w:bCs/>
          <w:i/>
          <w:iCs/>
        </w:rPr>
        <w:t>:</w:t>
      </w:r>
      <w:r w:rsidRPr="006C58C5">
        <w:rPr>
          <w:sz w:val="20"/>
          <w:szCs w:val="22"/>
        </w:rPr>
        <w:t xml:space="preserve"> </w:t>
      </w:r>
      <w:r w:rsidRPr="001C27B5">
        <w:rPr>
          <w:rFonts w:eastAsia="Aptos" w:cs="Aptos"/>
          <w:i/>
          <w:iCs/>
          <w:color w:val="000000" w:themeColor="text1"/>
          <w:sz w:val="20"/>
          <w:szCs w:val="20"/>
        </w:rPr>
        <w:t xml:space="preserve">Türkiye and </w:t>
      </w:r>
      <w:r w:rsidRPr="00175D8B">
        <w:rPr>
          <w:rFonts w:eastAsia="Aptos" w:cs="Aptos"/>
          <w:i/>
          <w:iCs/>
          <w:color w:val="000000" w:themeColor="text1"/>
          <w:sz w:val="20"/>
          <w:szCs w:val="20"/>
        </w:rPr>
        <w:t>Sakarya</w:t>
      </w:r>
      <w:r w:rsidRPr="001C27B5">
        <w:rPr>
          <w:rFonts w:eastAsia="Aptos" w:cs="Aptos"/>
          <w:i/>
          <w:iCs/>
          <w:color w:val="000000" w:themeColor="text1"/>
          <w:sz w:val="20"/>
          <w:szCs w:val="20"/>
        </w:rPr>
        <w:t xml:space="preserve"> Employment Rates by Years in the Province</w:t>
      </w:r>
      <w:bookmarkEnd w:id="252"/>
    </w:p>
    <w:p w14:paraId="34EB34F1" w14:textId="0C177986" w:rsidR="0001221D" w:rsidRPr="00175D8B" w:rsidRDefault="003A0E07" w:rsidP="0001221D">
      <w:pPr>
        <w:spacing w:before="120" w:after="0" w:line="278" w:lineRule="auto"/>
        <w:contextualSpacing/>
        <w:rPr>
          <w:rFonts w:eastAsia="Aptos" w:cs="Aptos"/>
          <w:b/>
          <w:bCs/>
          <w:color w:val="000000" w:themeColor="text1"/>
          <w:sz w:val="16"/>
          <w:szCs w:val="16"/>
        </w:rPr>
      </w:pPr>
      <w:r w:rsidRPr="00175D8B">
        <w:rPr>
          <w:rFonts w:eastAsia="Aptos" w:cs="Aptos"/>
          <w:noProof/>
          <w:color w:val="000000" w:themeColor="text1"/>
          <w:szCs w:val="22"/>
          <w:lang w:val="tr-TR" w:eastAsia="tr-TR"/>
        </w:rPr>
        <mc:AlternateContent>
          <mc:Choice Requires="wps">
            <w:drawing>
              <wp:anchor distT="0" distB="0" distL="114300" distR="114300" simplePos="0" relativeHeight="251697152" behindDoc="0" locked="0" layoutInCell="1" allowOverlap="1" wp14:anchorId="4396882F" wp14:editId="53E479A0">
                <wp:simplePos x="0" y="0"/>
                <wp:positionH relativeFrom="column">
                  <wp:posOffset>3926205</wp:posOffset>
                </wp:positionH>
                <wp:positionV relativeFrom="paragraph">
                  <wp:posOffset>2299335</wp:posOffset>
                </wp:positionV>
                <wp:extent cx="895350" cy="323850"/>
                <wp:effectExtent l="0" t="0" r="0" b="0"/>
                <wp:wrapNone/>
                <wp:docPr id="686836776" name="Metin Kutusu 5"/>
                <wp:cNvGraphicFramePr/>
                <a:graphic xmlns:a="http://schemas.openxmlformats.org/drawingml/2006/main">
                  <a:graphicData uri="http://schemas.microsoft.com/office/word/2010/wordprocessingShape">
                    <wps:wsp>
                      <wps:cNvSpPr txBox="1"/>
                      <wps:spPr>
                        <a:xfrm>
                          <a:off x="0" y="0"/>
                          <a:ext cx="895350" cy="323850"/>
                        </a:xfrm>
                        <a:prstGeom prst="rect">
                          <a:avLst/>
                        </a:prstGeom>
                        <a:solidFill>
                          <a:sysClr val="window" lastClr="FFFFFF"/>
                        </a:solidFill>
                        <a:ln w="6350">
                          <a:noFill/>
                        </a:ln>
                      </wps:spPr>
                      <wps:txbx>
                        <w:txbxContent>
                          <w:p w14:paraId="0F83BB0B" w14:textId="77777777" w:rsidR="001F6155" w:rsidRPr="004563CE" w:rsidRDefault="001F6155" w:rsidP="0001221D">
                            <w:pPr>
                              <w:pStyle w:val="AralkYok"/>
                              <w:rPr>
                                <w:sz w:val="18"/>
                                <w:szCs w:val="18"/>
                              </w:rPr>
                            </w:pPr>
                            <w:r>
                              <w:rPr>
                                <w:sz w:val="18"/>
                                <w:szCs w:val="18"/>
                              </w:rP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396882F" id="Metin Kutusu 5" o:spid="_x0000_s1033" type="#_x0000_t202" style="position:absolute;left:0;text-align:left;margin-left:309.15pt;margin-top:181.05pt;width:70.5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ZBVwIAAJwEAAAOAAAAZHJzL2Uyb0RvYy54bWysVNtOGzEQfa/Uf7D8XjYXciFig1JQqqoU&#10;kKDi2fF6yUpej2t7s5t+PcfeBCjtU9U8OOOZ8VzOmdnzi67WbKecr8jkfHgy4EwZSUVlnnL+42H9&#10;ac6ZD8IUQpNROd8rzy+WHz+ct3ahRrQlXSjHEMT4RWtzvg3BLrLMy62qhT8hqwyMJblaBFzdU1Y4&#10;0SJ6rbPRYDDNWnKFdSSV99Be9Ua+TPHLUslwW5ZeBaZzjtpCOl06N/HMludi8eSE3VbyUIb4hypq&#10;URkkfQl1JYJgjav+CFVX0pGnMpxIqjMqy0qq1AO6GQ7edXO/FValXgCOty8w+f8XVt7s7hyripxP&#10;59P5eDqbTTkzogZV31WoDPvWhMY3bBKRaq1f4MG9xZPQfaYOjB/1HsoIQFe6Ov6jNQY7MN+/4Ky6&#10;wCSU87PJeAKLhGk8Gs8hI3r2+tg6H74oqlkUcu5AY0JX7K596F2PLjGXJ10V60rrdNn7S+3YToBx&#10;DEpBLWda+ABlztfpd8j22zNtWAsQYl0xiqEYr0+lDYqLvfc9Ril0my6hNjv2v6FiD1gc9SPmrVxX&#10;KP4ame+Ew0yhX+xJuMVRakIuOkicbcn9+ps++oNqWDlrMaM59z8b4RQa+mowBGfD09M41OlyOpmN&#10;cHFvLZu3FtPUlwRQhthIK5MY/YM+iqWj+hHrtIpZYRJGInfOw1G8DP3mYB2lWq2SE8bYinBt7q2M&#10;oSN2kZqH7lE4e+AvgPgbOk6zWLyjsfftUV81gcoqcRxx7lE9wI8VSFNyWNe4Y2/vyev1o7J8BgAA&#10;//8DAFBLAwQUAAYACAAAACEAFv02Q+MAAAALAQAADwAAAGRycy9kb3ducmV2LnhtbEyPwU7DMAyG&#10;70i8Q2QkbiztCt0oTSeEQDCJaqMgcc0a0xYap0qytezpCSc42v70+/vz1aR7dkDrOkMC4lkEDKk2&#10;qqNGwNvrw8USmPOSlOwNoYBvdLAqTk9ymSkz0gseKt+wEEIukwJa74eMc1e3qKWbmQEp3D6M1dKH&#10;0TZcWTmGcN3zeRSlXMuOwodWDnjXYv1V7bWA97F6tJv1+nM7PJXHzbEqn/G+FOL8bLq9AeZx8n8w&#10;/OoHdSiC087sSTnWC0jjZRJQAUk6j4EFYnF1HTY7AZdxEgMvcv6/Q/EDAAD//wMAUEsBAi0AFAAG&#10;AAgAAAAhALaDOJL+AAAA4QEAABMAAAAAAAAAAAAAAAAAAAAAAFtDb250ZW50X1R5cGVzXS54bWxQ&#10;SwECLQAUAAYACAAAACEAOP0h/9YAAACUAQAACwAAAAAAAAAAAAAAAAAvAQAAX3JlbHMvLnJlbHNQ&#10;SwECLQAUAAYACAAAACEAHmiGQVcCAACcBAAADgAAAAAAAAAAAAAAAAAuAgAAZHJzL2Uyb0RvYy54&#10;bWxQSwECLQAUAAYACAAAACEAFv02Q+MAAAALAQAADwAAAAAAAAAAAAAAAACxBAAAZHJzL2Rvd25y&#10;ZXYueG1sUEsFBgAAAAAEAAQA8wAAAMEFAAAAAA==&#10;" fillcolor="window" stroked="f" strokeweight=".5pt">
                <v:textbox>
                  <w:txbxContent>
                    <w:p w14:paraId="0F83BB0B" w14:textId="77777777" w:rsidR="001F6155" w:rsidRPr="004563CE" w:rsidRDefault="001F6155" w:rsidP="0001221D">
                      <w:pPr>
                        <w:pStyle w:val="AralkYok"/>
                        <w:rPr>
                          <w:sz w:val="18"/>
                          <w:szCs w:val="18"/>
                        </w:rPr>
                      </w:pPr>
                      <w:r>
                        <w:rPr>
                          <w:sz w:val="18"/>
                          <w:szCs w:val="18"/>
                        </w:rPr>
                        <w:t>Other</w:t>
                      </w:r>
                    </w:p>
                  </w:txbxContent>
                </v:textbox>
              </v:shape>
            </w:pict>
          </mc:Fallback>
        </mc:AlternateContent>
      </w:r>
      <w:r w:rsidRPr="00175D8B">
        <w:rPr>
          <w:rFonts w:eastAsia="Aptos" w:cs="Aptos"/>
          <w:noProof/>
          <w:color w:val="000000" w:themeColor="text1"/>
          <w:szCs w:val="22"/>
          <w:lang w:val="tr-TR" w:eastAsia="tr-TR"/>
        </w:rPr>
        <mc:AlternateContent>
          <mc:Choice Requires="wps">
            <w:drawing>
              <wp:anchor distT="0" distB="0" distL="114300" distR="114300" simplePos="0" relativeHeight="251695104" behindDoc="0" locked="0" layoutInCell="1" allowOverlap="1" wp14:anchorId="12308F4B" wp14:editId="3DA3E712">
                <wp:simplePos x="0" y="0"/>
                <wp:positionH relativeFrom="column">
                  <wp:posOffset>1233170</wp:posOffset>
                </wp:positionH>
                <wp:positionV relativeFrom="paragraph">
                  <wp:posOffset>2302510</wp:posOffset>
                </wp:positionV>
                <wp:extent cx="895350" cy="254000"/>
                <wp:effectExtent l="0" t="0" r="0" b="0"/>
                <wp:wrapNone/>
                <wp:docPr id="303437785" name="Metin Kutusu 5"/>
                <wp:cNvGraphicFramePr/>
                <a:graphic xmlns:a="http://schemas.openxmlformats.org/drawingml/2006/main">
                  <a:graphicData uri="http://schemas.microsoft.com/office/word/2010/wordprocessingShape">
                    <wps:wsp>
                      <wps:cNvSpPr txBox="1"/>
                      <wps:spPr>
                        <a:xfrm>
                          <a:off x="0" y="0"/>
                          <a:ext cx="895350" cy="254000"/>
                        </a:xfrm>
                        <a:prstGeom prst="rect">
                          <a:avLst/>
                        </a:prstGeom>
                        <a:solidFill>
                          <a:sysClr val="window" lastClr="FFFFFF"/>
                        </a:solidFill>
                        <a:ln w="6350">
                          <a:noFill/>
                        </a:ln>
                      </wps:spPr>
                      <wps:txbx>
                        <w:txbxContent>
                          <w:p w14:paraId="05ABF443" w14:textId="77777777" w:rsidR="001F6155" w:rsidRPr="004563CE" w:rsidRDefault="001F6155" w:rsidP="0001221D">
                            <w:pPr>
                              <w:pStyle w:val="AralkYok"/>
                              <w:rPr>
                                <w:sz w:val="18"/>
                                <w:szCs w:val="18"/>
                              </w:rPr>
                            </w:pPr>
                            <w:r w:rsidRPr="004563CE">
                              <w:rPr>
                                <w:sz w:val="18"/>
                                <w:szCs w:val="18"/>
                              </w:rPr>
                              <w:t>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2308F4B" id="_x0000_s1034" type="#_x0000_t202" style="position:absolute;left:0;text-align:left;margin-left:97.1pt;margin-top:181.3pt;width:70.5pt;height:2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eJWgIAAJwEAAAOAAAAZHJzL2Uyb0RvYy54bWysVE1v2zAMvQ/YfxB0X+18rWlQp8haZBjW&#10;tQXaoWdFlhsDsqhJcuzs1+9JTtqu22lYDgpFUvx4j/T5Rd9otlPO12QKPjrJOVNGUlmbp4J/f1h/&#10;mHPmgzCl0GRUwffK84vl+3fnnV2oMW1Jl8oxBDF+0dmCb0Owiyzzcqsa4U/IKgNjRa4RAVf3lJVO&#10;dIje6Gyc5x+zjlxpHUnlPbRXg5EvU/yqUjLcVpVXgemCo7aQTpfOTTyz5blYPDlht7U8lCH+oYpG&#10;1AZJn0NdiSBY6+o/QjW1dOSpCieSmoyqqpYq9YBuRvmbbu63wqrUC8Dx9hkm///CypvdnWN1WfBJ&#10;PplOTk/nM86MaEDVNxVqw762ofUtm0WkOusXeHBv8ST0n6gH40e9hzIC0Feuif9ojcEOzPfPOKs+&#10;MAnl/Gw2mcEiYRrPpnmeeMheHlvnw2dFDYtCwR1oTOiK3bUPKASuR5eYy5Ouy3Wtdbrs/aV2bCfA&#10;OAalpI4zLXyAsuDr9Is1I8Rvz7RhXcE/xrpiFEMx3uCnDdxj70OPUQr9pk+ozY/9b6jcAxZHw4h5&#10;K9c1ir9G5jvhMFPoF3sSbnFUmpCLDhJnW3I//6aP/qAaVs46zGjB/Y9WOIWGvhgMwdloOo1DnS7T&#10;2ekYF/fasnltMW1zSQBlhI20MonRP+ijWDlqHrFOq5gVJmEkchc8HMXLMGwO1lGq1So5YYytCNfm&#10;3soYOmIXqXnoH4WzB/4CiL+h4zSLxRsaB98B9VUbqKoTxxHnAdUD/FiBxNthXeOOvb4nr5ePyvIX&#10;AAAA//8DAFBLAwQUAAYACAAAACEA9lK/XeEAAAALAQAADwAAAGRycy9kb3ducmV2LnhtbEyPQU+E&#10;MBCF7yb+h2ZMvLlFWIkiZWOMRjeRrKKJ1y6MgNIpabsL7q93POnxvfny5r18NZtB7NH53pKC80UE&#10;Aqm2TU+tgrfX+7NLED5oavRgCRV8o4dVcXyU66yxE73gvgqt4BDymVbQhTBmUvq6Q6P9wo5IfPuw&#10;zujA0rWycXricDPIOIpSaXRP/KHTI952WH9VO6Pgfaoe3Ga9/nweH8vD5lCVT3hXKnV6Mt9cgwg4&#10;hz8YfutzdSi409buqPFiYH21jBlVkKRxCoKJJLlgZ6tgGbEji1z+31D8AAAA//8DAFBLAQItABQA&#10;BgAIAAAAIQC2gziS/gAAAOEBAAATAAAAAAAAAAAAAAAAAAAAAABbQ29udGVudF9UeXBlc10ueG1s&#10;UEsBAi0AFAAGAAgAAAAhADj9If/WAAAAlAEAAAsAAAAAAAAAAAAAAAAALwEAAF9yZWxzLy5yZWxz&#10;UEsBAi0AFAAGAAgAAAAhAAIQx4laAgAAnAQAAA4AAAAAAAAAAAAAAAAALgIAAGRycy9lMm9Eb2Mu&#10;eG1sUEsBAi0AFAAGAAgAAAAhAPZSv13hAAAACwEAAA8AAAAAAAAAAAAAAAAAtAQAAGRycy9kb3du&#10;cmV2LnhtbFBLBQYAAAAABAAEAPMAAADCBQAAAAA=&#10;" fillcolor="window" stroked="f" strokeweight=".5pt">
                <v:textbox>
                  <w:txbxContent>
                    <w:p w14:paraId="05ABF443" w14:textId="77777777" w:rsidR="001F6155" w:rsidRPr="004563CE" w:rsidRDefault="001F6155" w:rsidP="0001221D">
                      <w:pPr>
                        <w:pStyle w:val="AralkYok"/>
                        <w:rPr>
                          <w:sz w:val="18"/>
                          <w:szCs w:val="18"/>
                        </w:rPr>
                      </w:pPr>
                      <w:r w:rsidRPr="004563CE">
                        <w:rPr>
                          <w:sz w:val="18"/>
                          <w:szCs w:val="18"/>
                        </w:rPr>
                        <w:t>Agriculture</w:t>
                      </w:r>
                    </w:p>
                  </w:txbxContent>
                </v:textbox>
              </v:shape>
            </w:pict>
          </mc:Fallback>
        </mc:AlternateContent>
      </w:r>
      <w:r w:rsidRPr="00175D8B">
        <w:rPr>
          <w:rFonts w:eastAsia="Aptos" w:cs="Aptos"/>
          <w:noProof/>
          <w:color w:val="000000" w:themeColor="text1"/>
          <w:szCs w:val="22"/>
          <w:lang w:val="tr-TR" w:eastAsia="tr-TR"/>
        </w:rPr>
        <mc:AlternateContent>
          <mc:Choice Requires="wps">
            <w:drawing>
              <wp:anchor distT="0" distB="0" distL="114300" distR="114300" simplePos="0" relativeHeight="251696128" behindDoc="0" locked="0" layoutInCell="1" allowOverlap="1" wp14:anchorId="3DF004E4" wp14:editId="5F2CF413">
                <wp:simplePos x="0" y="0"/>
                <wp:positionH relativeFrom="column">
                  <wp:posOffset>2566670</wp:posOffset>
                </wp:positionH>
                <wp:positionV relativeFrom="paragraph">
                  <wp:posOffset>2302510</wp:posOffset>
                </wp:positionV>
                <wp:extent cx="895350" cy="254000"/>
                <wp:effectExtent l="0" t="0" r="0" b="0"/>
                <wp:wrapNone/>
                <wp:docPr id="1201453992" name="Metin Kutusu 5"/>
                <wp:cNvGraphicFramePr/>
                <a:graphic xmlns:a="http://schemas.openxmlformats.org/drawingml/2006/main">
                  <a:graphicData uri="http://schemas.microsoft.com/office/word/2010/wordprocessingShape">
                    <wps:wsp>
                      <wps:cNvSpPr txBox="1"/>
                      <wps:spPr>
                        <a:xfrm>
                          <a:off x="0" y="0"/>
                          <a:ext cx="895350" cy="254000"/>
                        </a:xfrm>
                        <a:prstGeom prst="rect">
                          <a:avLst/>
                        </a:prstGeom>
                        <a:solidFill>
                          <a:sysClr val="window" lastClr="FFFFFF"/>
                        </a:solidFill>
                        <a:ln w="6350">
                          <a:noFill/>
                        </a:ln>
                      </wps:spPr>
                      <wps:txbx>
                        <w:txbxContent>
                          <w:p w14:paraId="4B10AFC4" w14:textId="77777777" w:rsidR="001F6155" w:rsidRPr="004563CE" w:rsidRDefault="001F6155" w:rsidP="0001221D">
                            <w:pPr>
                              <w:pStyle w:val="AralkYok"/>
                              <w:rPr>
                                <w:sz w:val="18"/>
                                <w:szCs w:val="18"/>
                              </w:rPr>
                            </w:pPr>
                            <w:r>
                              <w:rPr>
                                <w:sz w:val="18"/>
                                <w:szCs w:val="18"/>
                              </w:rPr>
                              <w:t>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DF004E4" id="_x0000_s1035" type="#_x0000_t202" style="position:absolute;left:0;text-align:left;margin-left:202.1pt;margin-top:181.3pt;width:70.5pt;height:2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7I6WQIAAJ0EAAAOAAAAZHJzL2Uyb0RvYy54bWysVE1vGjEQvVfqf7B8bxYIpAFliSgRVdU0&#10;iUSqnI3XCyt5Pa7tZZf++j57IUnTnqpyMOOZ8Xy8N7NX112t2V45X5HJ+fBswJkykorKbHP+/XH1&#10;4ZIzH4QphCajcn5Qnl/P37+7au1MjWhHulCOIYjxs9bmfBeCnWWZlztVC39GVhkYS3K1CLi6bVY4&#10;0SJ6rbPRYHCRteQK60gq76G96Y18nuKXpZLhviy9CkznHLWFdLp0buKZza/EbOuE3VXyWIb4hypq&#10;URkkfQ51I4Jgjav+CFVX0pGnMpxJqjMqy0qq1AO6GQ7edLPeCatSLwDH22eY/P8LK+/2D45VBbhD&#10;AePJ+XQ64syIGlx9U6Ey7GsTGt+wSYSqtX6GF2uLN6H7RB2enfQeyohAV7o6/qM3BjtAPzwDrbrA&#10;JJSX08n5BBYJ02gyHgwSEdnLY+t8+KyoZlHIuQOPCV6xv/UBhcD15BJzedJVsaq0TpeDX2rH9gKU&#10;Y1IKajnTwgcoc75Kv1gzQvz2TBvW5vwi1hWjGIrxej9t4B5773uMUug2XYJteup/Q8UBsDjqZ8xb&#10;uapQ/C0yPwiHoUK/WJRwj6PUhFx0lDjbkfv5N330B9ewctZiSHPufzTCKTT0xWAKpsPxOE51uown&#10;H0e4uNeWzWuLaeolAZQhVtLKJEb/oE9i6ah+wj4tYlaYhJHInfNwEpehXx3so1SLRXLCHFsRbs3a&#10;yhg6YhepeeyehLNH/gKIv6PTOIvZGxp73x71RROorBLHEece1SP82IHE23Ff45K9vievl6/K/BcA&#10;AAD//wMAUEsDBBQABgAIAAAAIQDJnCka4QAAAAsBAAAPAAAAZHJzL2Rvd25yZXYueG1sTI9BT4NA&#10;EIXvJv6HzZh4s4tIiUGWxhiNNpFU0cTrFkZA2Vmyuy3YX+/0pMd578ub9/LVbAaxR+d7SwouFxEI&#10;pNo2PbUK3t8eLq5B+KCp0YMlVPCDHlbF6Umus8ZO9Ir7KrSCQ8hnWkEXwphJ6esOjfYLOyKx92md&#10;0YFP18rG6YnDzSDjKEql0T3xh06PeNdh/V3tjIKPqXp0m/X662V8Kg+bQ1U+432p1PnZfHsDIuAc&#10;/mA41ufqUHCnrd1R48WgIImSmFEFV2mcgmBimSxZ2R4tVmSRy/8bil8AAAD//wMAUEsBAi0AFAAG&#10;AAgAAAAhALaDOJL+AAAA4QEAABMAAAAAAAAAAAAAAAAAAAAAAFtDb250ZW50X1R5cGVzXS54bWxQ&#10;SwECLQAUAAYACAAAACEAOP0h/9YAAACUAQAACwAAAAAAAAAAAAAAAAAvAQAAX3JlbHMvLnJlbHNQ&#10;SwECLQAUAAYACAAAACEAjNeyOlkCAACdBAAADgAAAAAAAAAAAAAAAAAuAgAAZHJzL2Uyb0RvYy54&#10;bWxQSwECLQAUAAYACAAAACEAyZwpGuEAAAALAQAADwAAAAAAAAAAAAAAAACzBAAAZHJzL2Rvd25y&#10;ZXYueG1sUEsFBgAAAAAEAAQA8wAAAMEFAAAAAA==&#10;" fillcolor="window" stroked="f" strokeweight=".5pt">
                <v:textbox>
                  <w:txbxContent>
                    <w:p w14:paraId="4B10AFC4" w14:textId="77777777" w:rsidR="001F6155" w:rsidRPr="004563CE" w:rsidRDefault="001F6155" w:rsidP="0001221D">
                      <w:pPr>
                        <w:pStyle w:val="AralkYok"/>
                        <w:rPr>
                          <w:sz w:val="18"/>
                          <w:szCs w:val="18"/>
                        </w:rPr>
                      </w:pPr>
                      <w:r>
                        <w:rPr>
                          <w:sz w:val="18"/>
                          <w:szCs w:val="18"/>
                        </w:rPr>
                        <w:t>Industry</w:t>
                      </w:r>
                    </w:p>
                  </w:txbxContent>
                </v:textbox>
              </v:shape>
            </w:pict>
          </mc:Fallback>
        </mc:AlternateContent>
      </w:r>
      <w:r w:rsidRPr="00175D8B">
        <w:rPr>
          <w:rFonts w:eastAsia="Aptos" w:cs="Aptos"/>
          <w:noProof/>
          <w:color w:val="000000" w:themeColor="text1"/>
          <w:szCs w:val="22"/>
          <w:lang w:val="tr-TR" w:eastAsia="tr-TR"/>
        </w:rPr>
        <mc:AlternateContent>
          <mc:Choice Requires="wps">
            <w:drawing>
              <wp:anchor distT="0" distB="0" distL="114300" distR="114300" simplePos="0" relativeHeight="251694080" behindDoc="0" locked="0" layoutInCell="1" allowOverlap="1" wp14:anchorId="545BDFCD" wp14:editId="6F36471A">
                <wp:simplePos x="0" y="0"/>
                <wp:positionH relativeFrom="column">
                  <wp:posOffset>1517650</wp:posOffset>
                </wp:positionH>
                <wp:positionV relativeFrom="paragraph">
                  <wp:posOffset>90170</wp:posOffset>
                </wp:positionV>
                <wp:extent cx="2638425" cy="323850"/>
                <wp:effectExtent l="0" t="0" r="9525" b="0"/>
                <wp:wrapNone/>
                <wp:docPr id="1875879522" name="Metin Kutusu 5"/>
                <wp:cNvGraphicFramePr/>
                <a:graphic xmlns:a="http://schemas.openxmlformats.org/drawingml/2006/main">
                  <a:graphicData uri="http://schemas.microsoft.com/office/word/2010/wordprocessingShape">
                    <wps:wsp>
                      <wps:cNvSpPr txBox="1"/>
                      <wps:spPr>
                        <a:xfrm>
                          <a:off x="0" y="0"/>
                          <a:ext cx="2638425" cy="323850"/>
                        </a:xfrm>
                        <a:prstGeom prst="rect">
                          <a:avLst/>
                        </a:prstGeom>
                        <a:solidFill>
                          <a:sysClr val="window" lastClr="FFFFFF"/>
                        </a:solidFill>
                        <a:ln w="6350">
                          <a:noFill/>
                        </a:ln>
                      </wps:spPr>
                      <wps:txbx>
                        <w:txbxContent>
                          <w:p w14:paraId="44DD0985" w14:textId="77777777" w:rsidR="001F6155" w:rsidRPr="004563CE" w:rsidRDefault="001F6155" w:rsidP="0001221D">
                            <w:pPr>
                              <w:pStyle w:val="AralkYok"/>
                              <w:rPr>
                                <w:b/>
                                <w:bCs/>
                              </w:rPr>
                            </w:pPr>
                            <w:r w:rsidRPr="004563CE">
                              <w:rPr>
                                <w:b/>
                                <w:bCs/>
                              </w:rPr>
                              <w:t>Sakarya Province Sectoral 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45BDFCD" id="_x0000_s1036" type="#_x0000_t202" style="position:absolute;left:0;text-align:left;margin-left:119.5pt;margin-top:7.1pt;width:207.7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vlWwIAAJ8EAAAOAAAAZHJzL2Uyb0RvYy54bWysVE1v2zAMvQ/YfxB0X504SZsGdYqsQ4Zh&#10;XVugHXpWZLkxIIuaJMfOfv2e5KTtup2G5aBQJMWP90hfXPaNZjvlfE2m4OOTEWfKSCpr81Tw7w/r&#10;D3POfBCmFJqMKvheeX65fP/uorMLldOWdKkcQxDjF50t+DYEu8gyL7eqEf6ErDIwVuQaEXB1T1np&#10;RIfojc7y0eg068iV1pFU3kP7aTDyZYpfVUqG26ryKjBdcNQW0unSuYlntrwQiycn7LaWhzLEP1TR&#10;iNog6XOoTyII1rr6j1BNLR15qsKJpCajqqqlSj2gm/HoTTf3W2FV6gXgePsMk/9/YeXN7s6xugR3&#10;87PZ/Ox8luecGdGAq28q1IZ9bUPrWzaLUHXWL/Di3uJN6D9Sj2dHvYcyItBXron/6I3BDtD3z0Cr&#10;PjAJZX46mU/zGWcStkk+mc8SE9nLa+t8+KyoYVEouAORCV+xu/YBlcD16BKTedJ1ua61Tpe9v9KO&#10;7QQ4x6iU1HGmhQ9QFnydfrFohPjtmTasK/jpBLXEKIZivMFPG7jH5ocmoxT6TT/glkqPqg2VewDj&#10;aJgyb+W6RvXXSH0nHMYKWGBVwi2OShOS0UHibEvu59/00R9sw8pZhzEtuP/RCqfQ0ReDOTgfT6dx&#10;rtNlOjvLcXGvLZvXFtM2VwRUxlhKK5MY/YM+ipWj5hEbtYpZYRJGInfBw1G8CsPyYCOlWq2SEybZ&#10;inBt7q2MoSN4kZuH/lE4eyAwgPobOg60WLzhcfAdYF+1gao6kfyC6gF/bEEi7rCxcc1e35PXy3dl&#10;+QsAAP//AwBQSwMEFAAGAAgAAAAhAHzop/fhAAAACQEAAA8AAABkcnMvZG93bnJldi54bWxMj0FL&#10;w0AQhe+C/2EZwZvdGNtSYzZFRNFCQ20UvG6TMYlmZ8Puton99U5PepvHe7z5XrocTScO6HxrScH1&#10;JAKBVNqqpVrB+9vT1QKED5oq3VlCBT/oYZmdn6U6qexAWzwUoRZcQj7RCpoQ+kRKXzZotJ/YHom9&#10;T+uMDixdLSunBy43nYyjaC6Nbok/NLrHhwbL72JvFHwMxbPbrFZfr/1Lftwci3yNj7lSlxfj/R2I&#10;gGP4C8MJn9EhY6ad3VPlRacgvrnlLYGNaQyCA/PZdAZidzpikFkq/y/IfgEAAP//AwBQSwECLQAU&#10;AAYACAAAACEAtoM4kv4AAADhAQAAEwAAAAAAAAAAAAAAAAAAAAAAW0NvbnRlbnRfVHlwZXNdLnht&#10;bFBLAQItABQABgAIAAAAIQA4/SH/1gAAAJQBAAALAAAAAAAAAAAAAAAAAC8BAABfcmVscy8ucmVs&#10;c1BLAQItABQABgAIAAAAIQATrMvlWwIAAJ8EAAAOAAAAAAAAAAAAAAAAAC4CAABkcnMvZTJvRG9j&#10;LnhtbFBLAQItABQABgAIAAAAIQB86Kf34QAAAAkBAAAPAAAAAAAAAAAAAAAAALUEAABkcnMvZG93&#10;bnJldi54bWxQSwUGAAAAAAQABADzAAAAwwUAAAAA&#10;" fillcolor="window" stroked="f" strokeweight=".5pt">
                <v:textbox>
                  <w:txbxContent>
                    <w:p w14:paraId="44DD0985" w14:textId="77777777" w:rsidR="001F6155" w:rsidRPr="004563CE" w:rsidRDefault="001F6155" w:rsidP="0001221D">
                      <w:pPr>
                        <w:pStyle w:val="AralkYok"/>
                        <w:rPr>
                          <w:b/>
                          <w:bCs/>
                        </w:rPr>
                      </w:pPr>
                      <w:r w:rsidRPr="004563CE">
                        <w:rPr>
                          <w:b/>
                          <w:bCs/>
                        </w:rPr>
                        <w:t>Sakarya Province Sectoral Distribution</w:t>
                      </w:r>
                    </w:p>
                  </w:txbxContent>
                </v:textbox>
              </v:shape>
            </w:pict>
          </mc:Fallback>
        </mc:AlternateContent>
      </w:r>
      <w:r w:rsidR="0001221D" w:rsidRPr="00175D8B">
        <w:rPr>
          <w:rFonts w:eastAsia="Aptos" w:cs="Aptos"/>
          <w:noProof/>
          <w:color w:val="000000" w:themeColor="text1"/>
          <w:szCs w:val="22"/>
          <w:lang w:val="tr-TR" w:eastAsia="tr-TR"/>
        </w:rPr>
        <w:drawing>
          <wp:inline distT="0" distB="0" distL="0" distR="0" wp14:anchorId="62E7E986" wp14:editId="75F6B36F">
            <wp:extent cx="5759450" cy="2670372"/>
            <wp:effectExtent l="0" t="0" r="12700" b="15875"/>
            <wp:docPr id="968175809" name="Grafik 1">
              <a:extLst xmlns:a="http://schemas.openxmlformats.org/drawingml/2006/main">
                <a:ext uri="{FF2B5EF4-FFF2-40B4-BE49-F238E27FC236}">
                  <a16:creationId xmlns:a16="http://schemas.microsoft.com/office/drawing/2014/main" id="{62ABB8E4-77DF-7A3A-01B5-3071696E5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15C6047" w14:textId="61F24142" w:rsidR="00AC5E29" w:rsidRPr="00175D8B" w:rsidRDefault="0001221D" w:rsidP="00EC067A">
      <w:pPr>
        <w:spacing w:before="120" w:after="288" w:line="278" w:lineRule="auto"/>
        <w:contextualSpacing/>
        <w:jc w:val="center"/>
        <w:rPr>
          <w:rFonts w:eastAsia="Aptos" w:cs="Aptos"/>
          <w:b/>
          <w:i/>
          <w:color w:val="000000" w:themeColor="text1"/>
          <w:sz w:val="18"/>
          <w:szCs w:val="18"/>
        </w:rPr>
      </w:pPr>
      <w:r w:rsidRPr="00175D8B">
        <w:rPr>
          <w:rFonts w:eastAsia="Aptos" w:cs="Aptos"/>
          <w:b/>
          <w:i/>
          <w:color w:val="000000" w:themeColor="text1"/>
          <w:sz w:val="18"/>
          <w:szCs w:val="18"/>
        </w:rPr>
        <w:t>Source:</w:t>
      </w:r>
      <w:r w:rsidRPr="00175D8B">
        <w:rPr>
          <w:rFonts w:eastAsia="Aptos" w:cs="Aptos"/>
          <w:i/>
          <w:color w:val="000000" w:themeColor="text1"/>
          <w:sz w:val="18"/>
          <w:szCs w:val="18"/>
        </w:rPr>
        <w:t xml:space="preserve"> </w:t>
      </w:r>
      <w:r w:rsidR="00814224" w:rsidRPr="00175D8B">
        <w:rPr>
          <w:rFonts w:eastAsia="Aptos" w:cs="Aptos"/>
          <w:i/>
          <w:color w:val="000000" w:themeColor="text1"/>
          <w:sz w:val="18"/>
          <w:szCs w:val="18"/>
        </w:rPr>
        <w:t>Republic of Türkiye,</w:t>
      </w:r>
      <w:r w:rsidRPr="00175D8B">
        <w:rPr>
          <w:rFonts w:eastAsia="Aptos" w:cs="Aptos"/>
          <w:i/>
          <w:color w:val="000000" w:themeColor="text1"/>
          <w:sz w:val="18"/>
          <w:szCs w:val="18"/>
        </w:rPr>
        <w:t xml:space="preserve"> Sakarya Governorship, Provincial Briefing Report, 2018</w:t>
      </w:r>
    </w:p>
    <w:p w14:paraId="0B91E5FD" w14:textId="2B3A2C85" w:rsidR="004E15CE" w:rsidRPr="00175D8B" w:rsidRDefault="00FD1A25" w:rsidP="002550A6">
      <w:pPr>
        <w:pStyle w:val="Balk3"/>
        <w:numPr>
          <w:ilvl w:val="3"/>
          <w:numId w:val="153"/>
        </w:numPr>
        <w:ind w:left="1843"/>
        <w:rPr>
          <w:i/>
        </w:rPr>
      </w:pPr>
      <w:bookmarkStart w:id="253" w:name="_Toc209708103"/>
      <w:bookmarkStart w:id="254" w:name="_Toc212541879"/>
      <w:bookmarkStart w:id="255" w:name="_Toc212542390"/>
      <w:bookmarkStart w:id="256" w:name="_Toc220672795"/>
      <w:r w:rsidRPr="00175D8B">
        <w:rPr>
          <w:i/>
        </w:rPr>
        <w:lastRenderedPageBreak/>
        <w:t xml:space="preserve">Agriculture and Animal Husbandry Situation </w:t>
      </w:r>
      <w:r w:rsidR="00B12011" w:rsidRPr="00175D8B">
        <w:rPr>
          <w:i/>
        </w:rPr>
        <w:t>in Sakarya Province</w:t>
      </w:r>
      <w:bookmarkEnd w:id="253"/>
      <w:bookmarkEnd w:id="254"/>
      <w:bookmarkEnd w:id="255"/>
      <w:bookmarkEnd w:id="256"/>
    </w:p>
    <w:p w14:paraId="6AD16D61" w14:textId="77777777" w:rsidR="00B12011" w:rsidRPr="00175D8B" w:rsidRDefault="00B12011" w:rsidP="00B12011">
      <w:r w:rsidRPr="00175D8B">
        <w:t xml:space="preserve">Although the relative importance of the agricultural sector in gross domestic product (GDP) in Türkiye has decreased over the years, real production has shown a steady upward trend. While the agricultural sector accounted for 25.8% of national income in 1980, this rate decreased rapidly due to the export-oriented macroeconomic policies implemented in the 1980s, and the contribution of the agricultural sector to GDP was 4.8% in 2022. According to the data of the Turkish Statistical Institute (TurkStat), the share of the agricultural sector (agriculture, livestock, fisheries and forestry) in GDP at current prices according to the chained volume index was 4.8% in 2022. In the same year, the agricultural sector recorded a moderate growth of 0.6%, while its contribution to the 5.4% growth in the economy remained limited. </w:t>
      </w:r>
    </w:p>
    <w:p w14:paraId="7E853214" w14:textId="54881268" w:rsidR="00A2608F" w:rsidRPr="00175D8B" w:rsidRDefault="00B12011" w:rsidP="00B12011">
      <w:r w:rsidRPr="00175D8B">
        <w:t>In the first quarter of 2023, the agricultural sector contracted by 3.8%. This contraction was the sharpest contraction recorded since the third quarter of 2021. However, in the second quarter of 2023, the agricultural sector grew by 1.2% and its share in GDP was 4.4%. Although the share of agriculture in the Turkish economy has decreased over the years, the sector maintains its strategic importance. In 2022, it employed 4.9 million people, accounting for 15.8% of total employment (30.8 million). However, the agricultural sector's share of employment decreased from 17.2% to 15.8% compared to 2021, reflecting a shift from agriculture to services and construction. On the other hand, according to the household labor force statistics published by TurkStat, as of the first quarter of 2023, the labor force working in the agricultural sector (4.7 million) accounted for 14.9% of total employment (31.6 million).</w:t>
      </w:r>
    </w:p>
    <w:p w14:paraId="2E2A6FFA" w14:textId="660830A3" w:rsidR="00C9448D" w:rsidRPr="00175D8B" w:rsidRDefault="00B12011" w:rsidP="002550A6">
      <w:pPr>
        <w:rPr>
          <w:bCs/>
        </w:rPr>
      </w:pPr>
      <w:bookmarkStart w:id="257" w:name="_Toc209708104"/>
      <w:bookmarkStart w:id="258" w:name="_Toc212541880"/>
      <w:bookmarkStart w:id="259" w:name="_Toc212542391"/>
      <w:r w:rsidRPr="00175D8B">
        <w:rPr>
          <w:b/>
          <w:bCs/>
        </w:rPr>
        <w:t>Agricultural Activities</w:t>
      </w:r>
      <w:bookmarkEnd w:id="257"/>
      <w:bookmarkEnd w:id="258"/>
      <w:bookmarkEnd w:id="259"/>
    </w:p>
    <w:p w14:paraId="49F8296C" w14:textId="33FF3E79" w:rsidR="00B12011" w:rsidRPr="00175D8B" w:rsidRDefault="00865A53" w:rsidP="00B12011">
      <w:pPr>
        <w:spacing w:after="288"/>
        <w:rPr>
          <w:color w:val="000000"/>
        </w:rPr>
      </w:pPr>
      <w:r w:rsidRPr="00175D8B">
        <w:rPr>
          <w:color w:val="000000"/>
        </w:rPr>
        <w:t xml:space="preserve">The region provides highly favorable conditions for the cultivation of various types of grains, fruits and vegetables, supported by fertile soils, suitable climatic characteristics, and improvements in agricultural practices. </w:t>
      </w:r>
      <w:r w:rsidR="00B12011" w:rsidRPr="00175D8B">
        <w:rPr>
          <w:color w:val="000000"/>
        </w:rPr>
        <w:t xml:space="preserve">The main agricultural products include wheat, corn, sunflower, potatoes, onions, tomatoes, apples, pears, cherries and hazelnuts. Sakarya's agricultural sector plays an important role in the economic development of the region </w:t>
      </w:r>
      <w:r w:rsidRPr="00175D8B">
        <w:rPr>
          <w:color w:val="000000"/>
        </w:rPr>
        <w:t>because of</w:t>
      </w:r>
      <w:r w:rsidR="00B12011" w:rsidRPr="00175D8B">
        <w:rPr>
          <w:color w:val="000000"/>
        </w:rPr>
        <w:t xml:space="preserve"> its high productivity, use of modern technology and qualified workforce. Farmers in the region produce for both domestic and foreign markets and make significant contributions to Türkiye's food security.</w:t>
      </w:r>
    </w:p>
    <w:p w14:paraId="49093E31" w14:textId="26654D3F" w:rsidR="00ED7888" w:rsidRPr="00175D8B" w:rsidRDefault="00B12011" w:rsidP="00B12011">
      <w:pPr>
        <w:pStyle w:val="ListeParagraf"/>
        <w:spacing w:after="288"/>
        <w:ind w:left="0"/>
        <w:rPr>
          <w:color w:val="000000"/>
        </w:rPr>
      </w:pPr>
      <w:r w:rsidRPr="00175D8B">
        <w:rPr>
          <w:color w:val="000000"/>
        </w:rPr>
        <w:t>45.68% of Sakarya's land consists of arable land, 1.47% pasture, 43.18% forest and heath and 9.67% other land, and 50,304 registered people are engaged in farming activities.</w:t>
      </w:r>
      <w:r w:rsidRPr="00175D8B">
        <w:rPr>
          <w:rStyle w:val="DipnotBavurusu"/>
          <w:color w:val="000000"/>
        </w:rPr>
        <w:footnoteReference w:id="24"/>
      </w:r>
    </w:p>
    <w:p w14:paraId="07B9B14C" w14:textId="77777777" w:rsidR="00ED7888" w:rsidRPr="00175D8B" w:rsidRDefault="00ED7888" w:rsidP="00ED7888">
      <w:pPr>
        <w:pStyle w:val="ListeParagraf"/>
        <w:spacing w:after="288"/>
        <w:ind w:left="0"/>
        <w:rPr>
          <w:color w:val="000000"/>
          <w:sz w:val="16"/>
        </w:rPr>
      </w:pPr>
    </w:p>
    <w:p w14:paraId="094D5C1F" w14:textId="7EB812B0" w:rsidR="003C5DCA" w:rsidRPr="00175D8B" w:rsidRDefault="0066509C" w:rsidP="006C58C5">
      <w:pPr>
        <w:pStyle w:val="ListeParagraf"/>
        <w:spacing w:after="288"/>
        <w:ind w:left="0"/>
      </w:pPr>
      <w:r w:rsidRPr="00175D8B">
        <w:rPr>
          <w:color w:val="000000"/>
        </w:rPr>
        <w:lastRenderedPageBreak/>
        <w:t xml:space="preserve">The distribution of arable land by crop and usage area in 2023 is given in </w:t>
      </w:r>
      <w:r w:rsidR="00A62E69" w:rsidRPr="00A62E69">
        <w:rPr>
          <w:color w:val="000000"/>
        </w:rPr>
        <w:fldChar w:fldCharType="begin"/>
      </w:r>
      <w:r w:rsidR="00A62E69" w:rsidRPr="00A62E69">
        <w:rPr>
          <w:color w:val="000000"/>
        </w:rPr>
        <w:instrText xml:space="preserve"> REF _Ref214636814 \h  \* MERGEFORMAT </w:instrText>
      </w:r>
      <w:r w:rsidR="00A62E69" w:rsidRPr="00A62E69">
        <w:rPr>
          <w:color w:val="000000"/>
        </w:rPr>
      </w:r>
      <w:r w:rsidR="00A62E69" w:rsidRPr="00A62E69">
        <w:rPr>
          <w:color w:val="000000"/>
        </w:rPr>
        <w:fldChar w:fldCharType="separate"/>
      </w:r>
      <w:r w:rsidR="00A62E69" w:rsidRPr="00A62E69">
        <w:t xml:space="preserve">Table </w:t>
      </w:r>
      <w:r w:rsidR="00A62E69" w:rsidRPr="00A62E69">
        <w:rPr>
          <w:noProof/>
        </w:rPr>
        <w:t>24</w:t>
      </w:r>
      <w:r w:rsidR="00A62E69" w:rsidRPr="00A62E69">
        <w:rPr>
          <w:color w:val="000000"/>
        </w:rPr>
        <w:fldChar w:fldCharType="end"/>
      </w:r>
      <w:r w:rsidRPr="00175D8B">
        <w:rPr>
          <w:color w:val="000000"/>
        </w:rPr>
        <w:t>. 38.49% of the arable land is field crops land, 3.6% is vegetable land, 46.48% is fruit land, 0.02% is greenhouse land and 0.49% is ornamental plant land.</w:t>
      </w:r>
      <w:r w:rsidRPr="00175D8B">
        <w:rPr>
          <w:rStyle w:val="DipnotBavurusu"/>
          <w:color w:val="000000"/>
        </w:rPr>
        <w:footnoteReference w:id="25"/>
      </w:r>
    </w:p>
    <w:p w14:paraId="77D3D777" w14:textId="77777777" w:rsidR="003C5DCA" w:rsidRPr="00175D8B" w:rsidRDefault="003C5DCA" w:rsidP="003C5DCA">
      <w:pPr>
        <w:spacing w:before="120" w:after="0" w:line="278" w:lineRule="auto"/>
        <w:contextualSpacing/>
        <w:jc w:val="center"/>
        <w:rPr>
          <w:rFonts w:eastAsia="Aptos" w:cs="Aptos"/>
          <w:i/>
          <w:color w:val="000000"/>
          <w:sz w:val="8"/>
          <w:szCs w:val="22"/>
        </w:rPr>
      </w:pPr>
    </w:p>
    <w:p w14:paraId="055DE8D5" w14:textId="1ABD5A01" w:rsidR="003A0E07" w:rsidRPr="00175D8B" w:rsidRDefault="003A0E07" w:rsidP="006C58C5">
      <w:pPr>
        <w:pStyle w:val="ResimYazs"/>
        <w:keepNext/>
        <w:jc w:val="center"/>
      </w:pPr>
      <w:bookmarkStart w:id="260" w:name="_Ref214636814"/>
      <w:bookmarkStart w:id="261" w:name="_Toc216344441"/>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24</w:t>
      </w:r>
      <w:r w:rsidRPr="006C58C5">
        <w:rPr>
          <w:b/>
          <w:bCs/>
        </w:rPr>
        <w:fldChar w:fldCharType="end"/>
      </w:r>
      <w:bookmarkEnd w:id="260"/>
      <w:r w:rsidRPr="006C58C5">
        <w:rPr>
          <w:b/>
          <w:bCs/>
        </w:rPr>
        <w:t>:</w:t>
      </w:r>
      <w:r w:rsidRPr="00175D8B">
        <w:t xml:space="preserve"> </w:t>
      </w:r>
      <w:r w:rsidRPr="00175D8B">
        <w:rPr>
          <w:rFonts w:eastAsia="Aptos" w:cs="Aptos"/>
          <w:color w:val="000000"/>
          <w:szCs w:val="20"/>
        </w:rPr>
        <w:t>Distribution of Arable Land in Sakarya Province by Product and Usage Area</w:t>
      </w:r>
      <w:bookmarkEnd w:id="261"/>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24"/>
        <w:gridCol w:w="3024"/>
        <w:gridCol w:w="3024"/>
      </w:tblGrid>
      <w:tr w:rsidR="003C5DCA" w:rsidRPr="00175D8B" w14:paraId="4F924A66" w14:textId="77777777" w:rsidTr="00DF417A">
        <w:trPr>
          <w:trHeight w:val="300"/>
          <w:tblHeader/>
          <w:jc w:val="center"/>
        </w:trPr>
        <w:tc>
          <w:tcPr>
            <w:tcW w:w="3024" w:type="dxa"/>
            <w:shd w:val="clear" w:color="auto" w:fill="A1AFBB"/>
          </w:tcPr>
          <w:p w14:paraId="14FDF801" w14:textId="77777777" w:rsidR="003C5DCA" w:rsidRPr="00175D8B" w:rsidRDefault="003C5DCA" w:rsidP="003C5DCA">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Arable Land Distribution</w:t>
            </w:r>
          </w:p>
        </w:tc>
        <w:tc>
          <w:tcPr>
            <w:tcW w:w="3024" w:type="dxa"/>
            <w:shd w:val="clear" w:color="auto" w:fill="A1AFBB"/>
          </w:tcPr>
          <w:p w14:paraId="6E1FF6EF" w14:textId="77777777" w:rsidR="003C5DCA" w:rsidRPr="00175D8B" w:rsidRDefault="003C5DCA" w:rsidP="003C5DCA">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Area (ha)</w:t>
            </w:r>
          </w:p>
        </w:tc>
        <w:tc>
          <w:tcPr>
            <w:tcW w:w="3024" w:type="dxa"/>
            <w:shd w:val="clear" w:color="auto" w:fill="A1AFBB"/>
          </w:tcPr>
          <w:p w14:paraId="5B510DFB" w14:textId="77777777" w:rsidR="003C5DCA" w:rsidRPr="00175D8B" w:rsidRDefault="003C5DCA" w:rsidP="003C5DCA">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Share (%)</w:t>
            </w:r>
          </w:p>
        </w:tc>
      </w:tr>
      <w:tr w:rsidR="003C5DCA" w:rsidRPr="00175D8B" w14:paraId="18E80F7C" w14:textId="77777777" w:rsidTr="00DF417A">
        <w:trPr>
          <w:trHeight w:val="300"/>
          <w:jc w:val="center"/>
        </w:trPr>
        <w:tc>
          <w:tcPr>
            <w:tcW w:w="3024" w:type="dxa"/>
            <w:shd w:val="clear" w:color="auto" w:fill="F2F2F2"/>
          </w:tcPr>
          <w:p w14:paraId="3A3CFA54" w14:textId="77777777"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Field Crops</w:t>
            </w:r>
          </w:p>
        </w:tc>
        <w:tc>
          <w:tcPr>
            <w:tcW w:w="3024" w:type="dxa"/>
            <w:shd w:val="clear" w:color="auto" w:fill="F2F2F2"/>
          </w:tcPr>
          <w:p w14:paraId="505C4919" w14:textId="620C7595"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786</w:t>
            </w:r>
            <w:r w:rsidR="00865A53" w:rsidRPr="00175D8B">
              <w:rPr>
                <w:rFonts w:eastAsia="Aptos" w:cs="Aptos"/>
                <w:color w:val="000000" w:themeColor="text1"/>
                <w:sz w:val="20"/>
                <w:szCs w:val="20"/>
              </w:rPr>
              <w:t>,</w:t>
            </w:r>
            <w:r w:rsidRPr="00175D8B">
              <w:rPr>
                <w:rFonts w:eastAsia="Aptos" w:cs="Aptos"/>
                <w:color w:val="000000" w:themeColor="text1"/>
                <w:sz w:val="20"/>
                <w:szCs w:val="20"/>
              </w:rPr>
              <w:t>594</w:t>
            </w:r>
          </w:p>
        </w:tc>
        <w:tc>
          <w:tcPr>
            <w:tcW w:w="3024" w:type="dxa"/>
            <w:shd w:val="clear" w:color="auto" w:fill="F2F2F2"/>
          </w:tcPr>
          <w:p w14:paraId="7F6D2316" w14:textId="1307B5DD"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%38</w:t>
            </w:r>
            <w:r w:rsidR="00865A53" w:rsidRPr="00175D8B">
              <w:rPr>
                <w:rFonts w:eastAsia="Aptos" w:cs="Aptos"/>
                <w:color w:val="000000" w:themeColor="text1"/>
                <w:sz w:val="20"/>
                <w:szCs w:val="20"/>
              </w:rPr>
              <w:t>.</w:t>
            </w:r>
            <w:r w:rsidRPr="00175D8B">
              <w:rPr>
                <w:rFonts w:eastAsia="Aptos" w:cs="Aptos"/>
                <w:color w:val="000000" w:themeColor="text1"/>
                <w:sz w:val="20"/>
                <w:szCs w:val="20"/>
              </w:rPr>
              <w:t>49</w:t>
            </w:r>
          </w:p>
        </w:tc>
      </w:tr>
      <w:tr w:rsidR="003C5DCA" w:rsidRPr="00175D8B" w14:paraId="409E513D" w14:textId="77777777" w:rsidTr="00DF417A">
        <w:trPr>
          <w:trHeight w:val="300"/>
          <w:jc w:val="center"/>
        </w:trPr>
        <w:tc>
          <w:tcPr>
            <w:tcW w:w="3024" w:type="dxa"/>
            <w:shd w:val="clear" w:color="auto" w:fill="F2F2F2"/>
          </w:tcPr>
          <w:p w14:paraId="19A6D1B4" w14:textId="77777777"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Fruit Field</w:t>
            </w:r>
          </w:p>
        </w:tc>
        <w:tc>
          <w:tcPr>
            <w:tcW w:w="3024" w:type="dxa"/>
            <w:shd w:val="clear" w:color="auto" w:fill="F2F2F2"/>
          </w:tcPr>
          <w:p w14:paraId="2FC7AF13" w14:textId="29D8A5DF"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949</w:t>
            </w:r>
            <w:r w:rsidR="00865A53" w:rsidRPr="00175D8B">
              <w:rPr>
                <w:rFonts w:eastAsia="Aptos" w:cs="Aptos"/>
                <w:color w:val="000000" w:themeColor="text1"/>
                <w:sz w:val="20"/>
                <w:szCs w:val="20"/>
              </w:rPr>
              <w:t>,</w:t>
            </w:r>
            <w:r w:rsidRPr="00175D8B">
              <w:rPr>
                <w:rFonts w:eastAsia="Aptos" w:cs="Aptos"/>
                <w:color w:val="000000" w:themeColor="text1"/>
                <w:sz w:val="20"/>
                <w:szCs w:val="20"/>
              </w:rPr>
              <w:t>833</w:t>
            </w:r>
          </w:p>
        </w:tc>
        <w:tc>
          <w:tcPr>
            <w:tcW w:w="3024" w:type="dxa"/>
            <w:shd w:val="clear" w:color="auto" w:fill="F2F2F2"/>
          </w:tcPr>
          <w:p w14:paraId="1A9426B9" w14:textId="77601388"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%46</w:t>
            </w:r>
            <w:r w:rsidR="00865A53" w:rsidRPr="00175D8B">
              <w:rPr>
                <w:rFonts w:eastAsia="Aptos" w:cs="Aptos"/>
                <w:color w:val="000000" w:themeColor="text1"/>
                <w:sz w:val="20"/>
                <w:szCs w:val="20"/>
              </w:rPr>
              <w:t>.</w:t>
            </w:r>
            <w:r w:rsidRPr="00175D8B">
              <w:rPr>
                <w:rFonts w:eastAsia="Aptos" w:cs="Aptos"/>
                <w:color w:val="000000" w:themeColor="text1"/>
                <w:sz w:val="20"/>
                <w:szCs w:val="20"/>
              </w:rPr>
              <w:t>48</w:t>
            </w:r>
          </w:p>
        </w:tc>
      </w:tr>
      <w:tr w:rsidR="003C5DCA" w:rsidRPr="00175D8B" w14:paraId="6B9BDAA2" w14:textId="77777777" w:rsidTr="00DF417A">
        <w:trPr>
          <w:trHeight w:val="300"/>
          <w:jc w:val="center"/>
        </w:trPr>
        <w:tc>
          <w:tcPr>
            <w:tcW w:w="3024" w:type="dxa"/>
            <w:shd w:val="clear" w:color="auto" w:fill="F2F2F2"/>
          </w:tcPr>
          <w:p w14:paraId="149F5652" w14:textId="77777777"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Vegetable Area</w:t>
            </w:r>
          </w:p>
        </w:tc>
        <w:tc>
          <w:tcPr>
            <w:tcW w:w="3024" w:type="dxa"/>
            <w:shd w:val="clear" w:color="auto" w:fill="F2F2F2"/>
          </w:tcPr>
          <w:p w14:paraId="3FBF545E" w14:textId="3BDA3919"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73</w:t>
            </w:r>
            <w:r w:rsidR="00865A53" w:rsidRPr="00175D8B">
              <w:rPr>
                <w:rFonts w:eastAsia="Aptos" w:cs="Aptos"/>
                <w:color w:val="000000" w:themeColor="text1"/>
                <w:sz w:val="20"/>
                <w:szCs w:val="20"/>
              </w:rPr>
              <w:t>,</w:t>
            </w:r>
            <w:r w:rsidRPr="00175D8B">
              <w:rPr>
                <w:rFonts w:eastAsia="Aptos" w:cs="Aptos"/>
                <w:color w:val="000000" w:themeColor="text1"/>
                <w:sz w:val="20"/>
                <w:szCs w:val="20"/>
              </w:rPr>
              <w:t>633</w:t>
            </w:r>
          </w:p>
        </w:tc>
        <w:tc>
          <w:tcPr>
            <w:tcW w:w="3024" w:type="dxa"/>
            <w:shd w:val="clear" w:color="auto" w:fill="F2F2F2"/>
          </w:tcPr>
          <w:p w14:paraId="2A14660D" w14:textId="3DCD551D"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%3</w:t>
            </w:r>
            <w:r w:rsidR="00865A53" w:rsidRPr="00175D8B">
              <w:rPr>
                <w:rFonts w:eastAsia="Aptos" w:cs="Aptos"/>
                <w:color w:val="000000" w:themeColor="text1"/>
                <w:sz w:val="20"/>
                <w:szCs w:val="20"/>
              </w:rPr>
              <w:t>.</w:t>
            </w:r>
            <w:r w:rsidRPr="00175D8B">
              <w:rPr>
                <w:rFonts w:eastAsia="Aptos" w:cs="Aptos"/>
                <w:color w:val="000000" w:themeColor="text1"/>
                <w:sz w:val="20"/>
                <w:szCs w:val="20"/>
              </w:rPr>
              <w:t>6</w:t>
            </w:r>
          </w:p>
        </w:tc>
      </w:tr>
      <w:tr w:rsidR="003C5DCA" w:rsidRPr="00175D8B" w14:paraId="3E68EF85" w14:textId="77777777" w:rsidTr="00DF417A">
        <w:trPr>
          <w:trHeight w:val="300"/>
          <w:jc w:val="center"/>
        </w:trPr>
        <w:tc>
          <w:tcPr>
            <w:tcW w:w="3024" w:type="dxa"/>
            <w:shd w:val="clear" w:color="auto" w:fill="F2F2F2"/>
          </w:tcPr>
          <w:p w14:paraId="551F77DB" w14:textId="77777777"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Under Cover</w:t>
            </w:r>
          </w:p>
        </w:tc>
        <w:tc>
          <w:tcPr>
            <w:tcW w:w="3024" w:type="dxa"/>
            <w:shd w:val="clear" w:color="auto" w:fill="F2F2F2"/>
          </w:tcPr>
          <w:p w14:paraId="3345E1E7" w14:textId="77777777"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503</w:t>
            </w:r>
          </w:p>
        </w:tc>
        <w:tc>
          <w:tcPr>
            <w:tcW w:w="3024" w:type="dxa"/>
            <w:shd w:val="clear" w:color="auto" w:fill="F2F2F2"/>
          </w:tcPr>
          <w:p w14:paraId="1AF8307D" w14:textId="09471BFF"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%0</w:t>
            </w:r>
            <w:r w:rsidR="00865A53" w:rsidRPr="00175D8B">
              <w:rPr>
                <w:rFonts w:eastAsia="Aptos" w:cs="Aptos"/>
                <w:color w:val="000000" w:themeColor="text1"/>
                <w:sz w:val="20"/>
                <w:szCs w:val="20"/>
              </w:rPr>
              <w:t>.</w:t>
            </w:r>
            <w:r w:rsidRPr="00175D8B">
              <w:rPr>
                <w:rFonts w:eastAsia="Aptos" w:cs="Aptos"/>
                <w:color w:val="000000" w:themeColor="text1"/>
                <w:sz w:val="20"/>
                <w:szCs w:val="20"/>
              </w:rPr>
              <w:t>02</w:t>
            </w:r>
          </w:p>
        </w:tc>
      </w:tr>
      <w:tr w:rsidR="003C5DCA" w:rsidRPr="00175D8B" w14:paraId="1AFA5EF1" w14:textId="77777777" w:rsidTr="00DF417A">
        <w:trPr>
          <w:trHeight w:val="300"/>
          <w:jc w:val="center"/>
        </w:trPr>
        <w:tc>
          <w:tcPr>
            <w:tcW w:w="3024" w:type="dxa"/>
            <w:shd w:val="clear" w:color="auto" w:fill="F2F2F2"/>
          </w:tcPr>
          <w:p w14:paraId="5AB99F6D" w14:textId="77777777"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Ornamental Plants Area</w:t>
            </w:r>
          </w:p>
        </w:tc>
        <w:tc>
          <w:tcPr>
            <w:tcW w:w="3024" w:type="dxa"/>
            <w:shd w:val="clear" w:color="auto" w:fill="F2F2F2"/>
          </w:tcPr>
          <w:p w14:paraId="1E25F7D5" w14:textId="0809ACAE"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10</w:t>
            </w:r>
            <w:r w:rsidR="00865A53" w:rsidRPr="00175D8B">
              <w:rPr>
                <w:rFonts w:eastAsia="Aptos" w:cs="Aptos"/>
                <w:color w:val="000000" w:themeColor="text1"/>
                <w:sz w:val="20"/>
                <w:szCs w:val="20"/>
              </w:rPr>
              <w:t>,</w:t>
            </w:r>
            <w:r w:rsidRPr="00175D8B">
              <w:rPr>
                <w:rFonts w:eastAsia="Aptos" w:cs="Aptos"/>
                <w:color w:val="000000" w:themeColor="text1"/>
                <w:sz w:val="20"/>
                <w:szCs w:val="20"/>
              </w:rPr>
              <w:t>094</w:t>
            </w:r>
          </w:p>
        </w:tc>
        <w:tc>
          <w:tcPr>
            <w:tcW w:w="3024" w:type="dxa"/>
            <w:shd w:val="clear" w:color="auto" w:fill="F2F2F2"/>
          </w:tcPr>
          <w:p w14:paraId="31A17B0D" w14:textId="763234AC"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%0</w:t>
            </w:r>
            <w:r w:rsidR="00865A53" w:rsidRPr="00175D8B">
              <w:rPr>
                <w:rFonts w:eastAsia="Aptos" w:cs="Aptos"/>
                <w:color w:val="000000" w:themeColor="text1"/>
                <w:sz w:val="20"/>
                <w:szCs w:val="20"/>
              </w:rPr>
              <w:t>.</w:t>
            </w:r>
            <w:r w:rsidRPr="00175D8B">
              <w:rPr>
                <w:rFonts w:eastAsia="Aptos" w:cs="Aptos"/>
                <w:color w:val="000000" w:themeColor="text1"/>
                <w:sz w:val="20"/>
                <w:szCs w:val="20"/>
              </w:rPr>
              <w:t>49</w:t>
            </w:r>
          </w:p>
        </w:tc>
      </w:tr>
      <w:tr w:rsidR="003C5DCA" w:rsidRPr="00175D8B" w14:paraId="4488C04E" w14:textId="77777777" w:rsidTr="00DF417A">
        <w:trPr>
          <w:trHeight w:val="300"/>
          <w:jc w:val="center"/>
        </w:trPr>
        <w:tc>
          <w:tcPr>
            <w:tcW w:w="3024" w:type="dxa"/>
            <w:shd w:val="clear" w:color="auto" w:fill="F2F2F2"/>
          </w:tcPr>
          <w:p w14:paraId="12190664" w14:textId="77777777"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Other Lands for Use</w:t>
            </w:r>
          </w:p>
        </w:tc>
        <w:tc>
          <w:tcPr>
            <w:tcW w:w="3024" w:type="dxa"/>
            <w:shd w:val="clear" w:color="auto" w:fill="F2F2F2"/>
          </w:tcPr>
          <w:p w14:paraId="6516DEB3" w14:textId="7F1BA3CA"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222</w:t>
            </w:r>
            <w:r w:rsidR="00865A53" w:rsidRPr="00175D8B">
              <w:rPr>
                <w:rFonts w:eastAsia="Aptos" w:cs="Aptos"/>
                <w:color w:val="000000" w:themeColor="text1"/>
                <w:sz w:val="20"/>
                <w:szCs w:val="20"/>
              </w:rPr>
              <w:t>,</w:t>
            </w:r>
            <w:r w:rsidRPr="00175D8B">
              <w:rPr>
                <w:rFonts w:eastAsia="Aptos" w:cs="Aptos"/>
                <w:color w:val="000000" w:themeColor="text1"/>
                <w:sz w:val="20"/>
                <w:szCs w:val="20"/>
              </w:rPr>
              <w:t>938</w:t>
            </w:r>
          </w:p>
        </w:tc>
        <w:tc>
          <w:tcPr>
            <w:tcW w:w="3024" w:type="dxa"/>
            <w:shd w:val="clear" w:color="auto" w:fill="F2F2F2"/>
          </w:tcPr>
          <w:p w14:paraId="396A77F5" w14:textId="62677F95" w:rsidR="003C5DCA" w:rsidRPr="00175D8B" w:rsidRDefault="003C5DCA" w:rsidP="003C5DCA">
            <w:pPr>
              <w:spacing w:before="120" w:after="288" w:line="278" w:lineRule="auto"/>
              <w:jc w:val="center"/>
              <w:rPr>
                <w:rFonts w:eastAsia="Aptos" w:cs="Aptos"/>
                <w:color w:val="000000" w:themeColor="text1"/>
                <w:sz w:val="20"/>
                <w:szCs w:val="20"/>
              </w:rPr>
            </w:pPr>
            <w:r w:rsidRPr="00175D8B">
              <w:rPr>
                <w:rFonts w:eastAsia="Aptos" w:cs="Aptos"/>
                <w:color w:val="000000" w:themeColor="text1"/>
                <w:sz w:val="20"/>
                <w:szCs w:val="20"/>
              </w:rPr>
              <w:t>%10</w:t>
            </w:r>
            <w:r w:rsidR="00865A53" w:rsidRPr="00175D8B">
              <w:rPr>
                <w:rFonts w:eastAsia="Aptos" w:cs="Aptos"/>
                <w:color w:val="000000" w:themeColor="text1"/>
                <w:sz w:val="20"/>
                <w:szCs w:val="20"/>
              </w:rPr>
              <w:t>.</w:t>
            </w:r>
            <w:r w:rsidRPr="00175D8B">
              <w:rPr>
                <w:rFonts w:eastAsia="Aptos" w:cs="Aptos"/>
                <w:color w:val="000000" w:themeColor="text1"/>
                <w:sz w:val="20"/>
                <w:szCs w:val="20"/>
              </w:rPr>
              <w:t>91</w:t>
            </w:r>
          </w:p>
        </w:tc>
      </w:tr>
      <w:tr w:rsidR="003C5DCA" w:rsidRPr="00175D8B" w14:paraId="48451337" w14:textId="77777777" w:rsidTr="00DF417A">
        <w:trPr>
          <w:trHeight w:val="300"/>
          <w:jc w:val="center"/>
        </w:trPr>
        <w:tc>
          <w:tcPr>
            <w:tcW w:w="3024" w:type="dxa"/>
            <w:shd w:val="clear" w:color="auto" w:fill="F2F2F2"/>
          </w:tcPr>
          <w:p w14:paraId="4D46430E" w14:textId="77777777" w:rsidR="003C5DCA" w:rsidRPr="00175D8B" w:rsidRDefault="003C5DCA" w:rsidP="003C5DCA">
            <w:pPr>
              <w:spacing w:before="120" w:after="288" w:line="278" w:lineRule="auto"/>
              <w:jc w:val="center"/>
              <w:rPr>
                <w:rFonts w:eastAsia="Aptos" w:cs="Aptos"/>
                <w:b/>
                <w:color w:val="000000" w:themeColor="text1"/>
                <w:sz w:val="20"/>
                <w:szCs w:val="20"/>
              </w:rPr>
            </w:pPr>
            <w:r w:rsidRPr="00175D8B">
              <w:rPr>
                <w:rFonts w:eastAsia="Aptos" w:cs="Aptos"/>
                <w:b/>
                <w:color w:val="000000" w:themeColor="text1"/>
                <w:sz w:val="20"/>
                <w:szCs w:val="20"/>
              </w:rPr>
              <w:t>Total</w:t>
            </w:r>
          </w:p>
        </w:tc>
        <w:tc>
          <w:tcPr>
            <w:tcW w:w="3024" w:type="dxa"/>
            <w:shd w:val="clear" w:color="auto" w:fill="F2F2F2"/>
          </w:tcPr>
          <w:p w14:paraId="1B875E4F" w14:textId="37965311" w:rsidR="003C5DCA" w:rsidRPr="00175D8B" w:rsidRDefault="003C5DCA" w:rsidP="003C5DCA">
            <w:pPr>
              <w:spacing w:before="120" w:after="288" w:line="278" w:lineRule="auto"/>
              <w:jc w:val="center"/>
              <w:rPr>
                <w:rFonts w:eastAsia="Aptos" w:cs="Aptos"/>
                <w:b/>
                <w:color w:val="000000" w:themeColor="text1"/>
                <w:sz w:val="20"/>
                <w:szCs w:val="20"/>
              </w:rPr>
            </w:pPr>
            <w:r w:rsidRPr="00175D8B">
              <w:rPr>
                <w:rFonts w:eastAsia="Aptos" w:cs="Aptos"/>
                <w:b/>
                <w:color w:val="000000" w:themeColor="text1"/>
                <w:sz w:val="20"/>
                <w:szCs w:val="20"/>
              </w:rPr>
              <w:t>793</w:t>
            </w:r>
            <w:r w:rsidR="00865A53" w:rsidRPr="00175D8B">
              <w:rPr>
                <w:rFonts w:eastAsia="Aptos" w:cs="Aptos"/>
                <w:b/>
                <w:color w:val="000000" w:themeColor="text1"/>
                <w:sz w:val="20"/>
                <w:szCs w:val="20"/>
              </w:rPr>
              <w:t>,</w:t>
            </w:r>
            <w:r w:rsidRPr="00175D8B">
              <w:rPr>
                <w:rFonts w:eastAsia="Aptos" w:cs="Aptos"/>
                <w:b/>
                <w:color w:val="000000" w:themeColor="text1"/>
                <w:sz w:val="20"/>
                <w:szCs w:val="20"/>
              </w:rPr>
              <w:t>596</w:t>
            </w:r>
          </w:p>
        </w:tc>
        <w:tc>
          <w:tcPr>
            <w:tcW w:w="3024" w:type="dxa"/>
            <w:shd w:val="clear" w:color="auto" w:fill="F2F2F2"/>
          </w:tcPr>
          <w:p w14:paraId="3339B798" w14:textId="77777777" w:rsidR="003C5DCA" w:rsidRPr="00175D8B" w:rsidRDefault="003C5DCA" w:rsidP="003C5DCA">
            <w:pPr>
              <w:spacing w:before="120" w:after="288" w:line="278" w:lineRule="auto"/>
              <w:jc w:val="center"/>
              <w:rPr>
                <w:rFonts w:eastAsia="Aptos" w:cs="Aptos"/>
                <w:b/>
                <w:color w:val="000000" w:themeColor="text1"/>
                <w:sz w:val="20"/>
                <w:szCs w:val="20"/>
              </w:rPr>
            </w:pPr>
            <w:r w:rsidRPr="00175D8B">
              <w:rPr>
                <w:rFonts w:eastAsia="Aptos" w:cs="Aptos"/>
                <w:b/>
                <w:color w:val="000000" w:themeColor="text1"/>
                <w:sz w:val="20"/>
                <w:szCs w:val="20"/>
              </w:rPr>
              <w:t>100</w:t>
            </w:r>
          </w:p>
        </w:tc>
      </w:tr>
    </w:tbl>
    <w:p w14:paraId="1CFF0C62" w14:textId="77777777" w:rsidR="003C5DCA" w:rsidRPr="00175D8B" w:rsidRDefault="003C5DCA" w:rsidP="003C5DCA">
      <w:pPr>
        <w:pBdr>
          <w:top w:val="nil"/>
          <w:left w:val="nil"/>
          <w:bottom w:val="nil"/>
          <w:right w:val="nil"/>
          <w:between w:val="nil"/>
        </w:pBdr>
        <w:shd w:val="clear" w:color="auto" w:fill="FFFFFF"/>
        <w:spacing w:before="120" w:after="288" w:line="278" w:lineRule="auto"/>
        <w:ind w:left="360"/>
        <w:contextualSpacing/>
        <w:jc w:val="center"/>
        <w:rPr>
          <w:rFonts w:eastAsia="Aptos" w:cs="Aptos"/>
          <w:i/>
          <w:color w:val="000000"/>
          <w:sz w:val="8"/>
          <w:szCs w:val="18"/>
        </w:rPr>
      </w:pPr>
      <w:r w:rsidRPr="00175D8B">
        <w:rPr>
          <w:rFonts w:eastAsia="Aptos" w:cs="Aptos"/>
          <w:b/>
          <w:i/>
          <w:color w:val="000000"/>
          <w:sz w:val="18"/>
          <w:szCs w:val="18"/>
        </w:rPr>
        <w:t xml:space="preserve">Source: </w:t>
      </w:r>
      <w:r w:rsidRPr="00175D8B">
        <w:rPr>
          <w:rFonts w:eastAsia="Aptos" w:cs="Aptos"/>
          <w:i/>
          <w:color w:val="000000" w:themeColor="text1"/>
          <w:sz w:val="18"/>
          <w:szCs w:val="18"/>
        </w:rPr>
        <w:t>Sakarya Province Environmental Status Report</w:t>
      </w:r>
      <w:r w:rsidRPr="00175D8B">
        <w:rPr>
          <w:rFonts w:eastAsia="Aptos" w:cs="Aptos"/>
          <w:i/>
          <w:color w:val="000000"/>
          <w:sz w:val="18"/>
          <w:szCs w:val="18"/>
        </w:rPr>
        <w:t>, 2023.</w:t>
      </w:r>
    </w:p>
    <w:p w14:paraId="5D7A2610" w14:textId="4BAA1CDF" w:rsidR="00C9448D" w:rsidRPr="00175D8B" w:rsidRDefault="003C5DCA" w:rsidP="00ED7888">
      <w:pPr>
        <w:pStyle w:val="ListeParagraf"/>
        <w:spacing w:after="288"/>
        <w:ind w:left="0"/>
        <w:rPr>
          <w:color w:val="000000"/>
        </w:rPr>
      </w:pPr>
      <w:r w:rsidRPr="00175D8B">
        <w:rPr>
          <w:color w:val="000000"/>
        </w:rPr>
        <w:t>The agricultural areas in the province consist of fertile alluvial soils under the influence of the Sakarya River. The lands are small and fragmented; It has directed agricultural activities in the province to areas where higher income can be obtained from the unit area. Nitrogen, Phosphorus and Potassium fertilizers are used throughout the province and the amount is 105,244 tons. (Year 2021)</w:t>
      </w:r>
    </w:p>
    <w:p w14:paraId="3D04C553" w14:textId="2641BFCD" w:rsidR="00AC5E29" w:rsidRPr="00175D8B" w:rsidRDefault="00C70A6A" w:rsidP="002550A6">
      <w:bookmarkStart w:id="262" w:name="_Toc209708105"/>
      <w:bookmarkStart w:id="263" w:name="_Toc212541881"/>
      <w:bookmarkStart w:id="264" w:name="_Toc212542392"/>
      <w:r w:rsidRPr="00175D8B">
        <w:rPr>
          <w:b/>
        </w:rPr>
        <w:t>Livestock Activities</w:t>
      </w:r>
      <w:bookmarkEnd w:id="262"/>
      <w:bookmarkEnd w:id="263"/>
      <w:bookmarkEnd w:id="264"/>
    </w:p>
    <w:p w14:paraId="0A23A612" w14:textId="796BF0E0" w:rsidR="00C70A6A" w:rsidRPr="00175D8B" w:rsidRDefault="00C70A6A" w:rsidP="00AC5E29">
      <w:pPr>
        <w:pStyle w:val="ListeParagraf"/>
        <w:keepNext/>
        <w:shd w:val="clear" w:color="auto" w:fill="FFFFFF"/>
        <w:spacing w:after="460"/>
        <w:ind w:left="0"/>
        <w:rPr>
          <w:b/>
        </w:rPr>
      </w:pPr>
      <w:r w:rsidRPr="00175D8B">
        <w:rPr>
          <w:bCs/>
        </w:rPr>
        <w:t xml:space="preserve">Animal husbandry in Sakarya was examined as two sub-sectors. The reason for this is that meat poultry farming has an important place in the Turkish economy as an industrial sector in Sakarya. Red meat farming has an important place in reducing unemployment in rural areas and preventing migration from village to city, as well as increasing the welfare level by realizing the development in the country in a balanced way, and supplying raw materials to other sub-sectors such as meat, milk, leather, cosmetics, medicine, etc. In addition, animal manures are used in plant production to improve the </w:t>
      </w:r>
      <w:r w:rsidRPr="00175D8B">
        <w:rPr>
          <w:bCs/>
        </w:rPr>
        <w:lastRenderedPageBreak/>
        <w:t>physical structure of the soil and increase its fertility. Animal husbandry allows the utilization of the vacant labor force in agricultural enterprises, especially in the winter period when there are no plant production activities. Due to the dependence of crop production on climatic conditions, livestock is an additional source of income for agricultural enterprises.</w:t>
      </w:r>
    </w:p>
    <w:p w14:paraId="2BC38272" w14:textId="30FE553C" w:rsidR="00C70A6A" w:rsidRPr="00175D8B" w:rsidRDefault="00C70A6A" w:rsidP="006C58C5">
      <w:pPr>
        <w:keepNext/>
        <w:shd w:val="clear" w:color="auto" w:fill="FFFFFF"/>
        <w:spacing w:after="460"/>
        <w:rPr>
          <w:rFonts w:eastAsia="Aptos" w:cs="Aptos"/>
          <w:i/>
          <w:iCs/>
          <w:color w:val="000000"/>
          <w:sz w:val="20"/>
          <w:szCs w:val="20"/>
        </w:rPr>
      </w:pPr>
      <w:r w:rsidRPr="00175D8B">
        <w:rPr>
          <w:bCs/>
        </w:rPr>
        <w:t xml:space="preserve">As of 2024, there are 193,600 cattle, 79,313 sheep and goats, and 443 riding animals in the province. Adapazarı (35 thousand 469 heads), Kaynarca (26 thousand 422 heads), Akyazı (25 thousand 245 heads) districts come to the fore in cattle breeding. As of the same date, Geyve (15 thousand 552 heads), Kaynarca (18 thousand 620 heads), Pamukova (8 thousand 765 heads) and Adapazarı (8 thousand 484 heads) are the leading districts in small ruminant breeding. In addition, Geyve (103 units) and Taraklı (64 units) districts come to the fore in mounted animals. Agriculture and livestock data of Sakarya province are given in </w:t>
      </w:r>
      <w:r w:rsidR="00800617" w:rsidRPr="00800617">
        <w:rPr>
          <w:bCs/>
        </w:rPr>
        <w:fldChar w:fldCharType="begin"/>
      </w:r>
      <w:r w:rsidR="00800617" w:rsidRPr="00800617">
        <w:rPr>
          <w:bCs/>
        </w:rPr>
        <w:instrText xml:space="preserve"> REF _Ref214636774 \h  \* MERGEFORMAT </w:instrText>
      </w:r>
      <w:r w:rsidR="00800617" w:rsidRPr="00800617">
        <w:rPr>
          <w:bCs/>
        </w:rPr>
      </w:r>
      <w:r w:rsidR="00800617" w:rsidRPr="00800617">
        <w:rPr>
          <w:bCs/>
        </w:rPr>
        <w:fldChar w:fldCharType="separate"/>
      </w:r>
      <w:r w:rsidR="00800617" w:rsidRPr="00800617">
        <w:rPr>
          <w:bCs/>
        </w:rPr>
        <w:t xml:space="preserve">Table </w:t>
      </w:r>
      <w:r w:rsidR="00800617" w:rsidRPr="00800617">
        <w:rPr>
          <w:bCs/>
          <w:noProof/>
        </w:rPr>
        <w:t>25</w:t>
      </w:r>
      <w:r w:rsidR="00800617" w:rsidRPr="00800617">
        <w:rPr>
          <w:bCs/>
        </w:rPr>
        <w:fldChar w:fldCharType="end"/>
      </w:r>
      <w:r w:rsidRPr="00175D8B">
        <w:rPr>
          <w:bCs/>
        </w:rPr>
        <w:t>.</w:t>
      </w:r>
      <w:r w:rsidRPr="00175D8B">
        <w:rPr>
          <w:rStyle w:val="DipnotBavurusu"/>
          <w:bCs/>
        </w:rPr>
        <w:footnoteReference w:id="26"/>
      </w:r>
    </w:p>
    <w:p w14:paraId="4BEEE1F6" w14:textId="7B4AA926" w:rsidR="00E121DB" w:rsidRPr="006C58C5" w:rsidRDefault="00E121DB" w:rsidP="006C58C5">
      <w:pPr>
        <w:keepNext/>
        <w:spacing w:before="120" w:after="200" w:line="278" w:lineRule="auto"/>
        <w:jc w:val="center"/>
        <w:rPr>
          <w:rFonts w:eastAsia="Aptos" w:cs="Aptos"/>
          <w:i/>
          <w:iCs/>
          <w:color w:val="000000"/>
          <w:sz w:val="20"/>
          <w:szCs w:val="20"/>
        </w:rPr>
      </w:pPr>
      <w:bookmarkStart w:id="265" w:name="_Ref214636774"/>
      <w:bookmarkStart w:id="266" w:name="_Toc216344442"/>
      <w:r w:rsidRPr="006C58C5">
        <w:rPr>
          <w:b/>
          <w:bCs/>
          <w:i/>
          <w:iCs/>
        </w:rPr>
        <w:t xml:space="preserve">Table </w:t>
      </w:r>
      <w:r w:rsidRPr="006C58C5">
        <w:rPr>
          <w:b/>
          <w:bCs/>
          <w:i/>
          <w:iCs/>
        </w:rPr>
        <w:fldChar w:fldCharType="begin"/>
      </w:r>
      <w:r w:rsidRPr="006C58C5">
        <w:rPr>
          <w:b/>
          <w:bCs/>
          <w:i/>
          <w:iCs/>
        </w:rPr>
        <w:instrText xml:space="preserve"> SEQ Table \* ARABIC </w:instrText>
      </w:r>
      <w:r w:rsidRPr="006C58C5">
        <w:rPr>
          <w:b/>
          <w:bCs/>
          <w:i/>
          <w:iCs/>
        </w:rPr>
        <w:fldChar w:fldCharType="separate"/>
      </w:r>
      <w:r w:rsidR="00FE5FDE" w:rsidRPr="00175D8B">
        <w:rPr>
          <w:b/>
          <w:bCs/>
          <w:i/>
          <w:iCs/>
          <w:noProof/>
        </w:rPr>
        <w:t>25</w:t>
      </w:r>
      <w:r w:rsidRPr="006C58C5">
        <w:rPr>
          <w:b/>
          <w:bCs/>
          <w:i/>
          <w:iCs/>
        </w:rPr>
        <w:fldChar w:fldCharType="end"/>
      </w:r>
      <w:bookmarkEnd w:id="265"/>
      <w:r w:rsidRPr="006C58C5">
        <w:rPr>
          <w:b/>
          <w:bCs/>
          <w:i/>
          <w:iCs/>
        </w:rPr>
        <w:t>:</w:t>
      </w:r>
      <w:r w:rsidRPr="00175D8B">
        <w:rPr>
          <w:rFonts w:eastAsia="Aptos" w:cs="Aptos"/>
          <w:b/>
          <w:i/>
          <w:iCs/>
          <w:color w:val="000000" w:themeColor="text1"/>
          <w:sz w:val="20"/>
          <w:szCs w:val="20"/>
        </w:rPr>
        <w:t xml:space="preserve"> </w:t>
      </w:r>
      <w:r w:rsidRPr="00175D8B">
        <w:rPr>
          <w:rFonts w:eastAsia="Aptos" w:cs="Aptos"/>
          <w:i/>
          <w:iCs/>
          <w:color w:val="000000"/>
          <w:sz w:val="20"/>
          <w:szCs w:val="20"/>
        </w:rPr>
        <w:t>Agriculture and Livestock Status of Sakarya Province by Districts</w:t>
      </w:r>
      <w:bookmarkEnd w:id="266"/>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5"/>
        <w:gridCol w:w="2025"/>
        <w:gridCol w:w="2700"/>
        <w:gridCol w:w="1500"/>
        <w:gridCol w:w="1560"/>
      </w:tblGrid>
      <w:tr w:rsidR="00C70A6A" w:rsidRPr="00175D8B" w14:paraId="4C486525" w14:textId="77777777" w:rsidTr="00DF417A">
        <w:trPr>
          <w:trHeight w:val="300"/>
          <w:tblHeader/>
          <w:jc w:val="center"/>
        </w:trPr>
        <w:tc>
          <w:tcPr>
            <w:tcW w:w="1275" w:type="dxa"/>
            <w:shd w:val="clear" w:color="auto" w:fill="ABB7C1"/>
            <w:vAlign w:val="center"/>
          </w:tcPr>
          <w:p w14:paraId="067027AF" w14:textId="77777777" w:rsidR="00C70A6A" w:rsidRPr="00175D8B" w:rsidRDefault="00C70A6A" w:rsidP="00C70A6A">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County</w:t>
            </w:r>
          </w:p>
        </w:tc>
        <w:tc>
          <w:tcPr>
            <w:tcW w:w="2025" w:type="dxa"/>
            <w:shd w:val="clear" w:color="auto" w:fill="ABB7C1"/>
            <w:vAlign w:val="center"/>
          </w:tcPr>
          <w:p w14:paraId="17AF1701" w14:textId="77777777" w:rsidR="00C70A6A" w:rsidRPr="00175D8B" w:rsidRDefault="00C70A6A" w:rsidP="00C70A6A">
            <w:pPr>
              <w:spacing w:before="120" w:after="0" w:line="278" w:lineRule="auto"/>
              <w:rPr>
                <w:rFonts w:eastAsia="Aptos" w:cs="Aptos"/>
                <w:b/>
                <w:color w:val="000000" w:themeColor="text1"/>
                <w:sz w:val="20"/>
                <w:szCs w:val="20"/>
              </w:rPr>
            </w:pPr>
            <w:r w:rsidRPr="00175D8B">
              <w:rPr>
                <w:rFonts w:eastAsia="Aptos" w:cs="Aptos"/>
                <w:b/>
                <w:color w:val="000000" w:themeColor="text1"/>
                <w:sz w:val="20"/>
                <w:szCs w:val="20"/>
              </w:rPr>
              <w:t>Crop Production</w:t>
            </w:r>
          </w:p>
        </w:tc>
        <w:tc>
          <w:tcPr>
            <w:tcW w:w="2700" w:type="dxa"/>
            <w:shd w:val="clear" w:color="auto" w:fill="ABB7C1"/>
            <w:vAlign w:val="center"/>
          </w:tcPr>
          <w:p w14:paraId="33123E35" w14:textId="77777777" w:rsidR="00C70A6A" w:rsidRPr="00175D8B" w:rsidRDefault="00C70A6A" w:rsidP="00C70A6A">
            <w:pPr>
              <w:spacing w:before="120" w:after="0" w:line="278" w:lineRule="auto"/>
              <w:rPr>
                <w:rFonts w:eastAsia="Aptos" w:cs="Aptos"/>
                <w:b/>
                <w:color w:val="000000" w:themeColor="text1"/>
                <w:sz w:val="20"/>
                <w:szCs w:val="20"/>
              </w:rPr>
            </w:pPr>
            <w:r w:rsidRPr="00175D8B">
              <w:rPr>
                <w:rFonts w:eastAsia="Aptos" w:cs="Aptos"/>
                <w:b/>
                <w:color w:val="000000" w:themeColor="text1"/>
                <w:sz w:val="20"/>
                <w:szCs w:val="20"/>
              </w:rPr>
              <w:t>Livestock</w:t>
            </w:r>
          </w:p>
        </w:tc>
        <w:tc>
          <w:tcPr>
            <w:tcW w:w="1500" w:type="dxa"/>
            <w:shd w:val="clear" w:color="auto" w:fill="ABB7C1"/>
            <w:vAlign w:val="center"/>
          </w:tcPr>
          <w:p w14:paraId="5DE93D9C" w14:textId="77777777" w:rsidR="00C70A6A" w:rsidRPr="00175D8B" w:rsidRDefault="00C70A6A" w:rsidP="00C70A6A">
            <w:pPr>
              <w:spacing w:before="120" w:after="0" w:line="278" w:lineRule="auto"/>
              <w:rPr>
                <w:rFonts w:eastAsia="Aptos" w:cs="Aptos"/>
                <w:b/>
                <w:color w:val="000000" w:themeColor="text1"/>
                <w:sz w:val="20"/>
                <w:szCs w:val="20"/>
              </w:rPr>
            </w:pPr>
            <w:r w:rsidRPr="00175D8B">
              <w:rPr>
                <w:rFonts w:eastAsia="Aptos" w:cs="Aptos"/>
                <w:b/>
                <w:color w:val="000000" w:themeColor="text1"/>
                <w:sz w:val="20"/>
                <w:szCs w:val="20"/>
              </w:rPr>
              <w:t>Viticulture</w:t>
            </w:r>
          </w:p>
        </w:tc>
        <w:tc>
          <w:tcPr>
            <w:tcW w:w="1560" w:type="dxa"/>
            <w:shd w:val="clear" w:color="auto" w:fill="ABB7C1"/>
            <w:vAlign w:val="center"/>
          </w:tcPr>
          <w:p w14:paraId="57ED7904" w14:textId="77777777" w:rsidR="00C70A6A" w:rsidRPr="00175D8B" w:rsidRDefault="00C70A6A" w:rsidP="00C70A6A">
            <w:pPr>
              <w:spacing w:before="120" w:after="0" w:line="278" w:lineRule="auto"/>
              <w:rPr>
                <w:rFonts w:eastAsia="Aptos" w:cs="Aptos"/>
                <w:b/>
                <w:color w:val="000000" w:themeColor="text1"/>
                <w:sz w:val="20"/>
                <w:szCs w:val="20"/>
              </w:rPr>
            </w:pPr>
            <w:r w:rsidRPr="00175D8B">
              <w:rPr>
                <w:rFonts w:eastAsia="Aptos" w:cs="Aptos"/>
                <w:b/>
                <w:color w:val="000000" w:themeColor="text1"/>
                <w:sz w:val="20"/>
                <w:szCs w:val="20"/>
              </w:rPr>
              <w:t>Aquaculture</w:t>
            </w:r>
          </w:p>
        </w:tc>
      </w:tr>
      <w:tr w:rsidR="00C70A6A" w:rsidRPr="00175D8B" w14:paraId="3531A115" w14:textId="77777777" w:rsidTr="00DF417A">
        <w:trPr>
          <w:trHeight w:val="300"/>
          <w:jc w:val="center"/>
        </w:trPr>
        <w:tc>
          <w:tcPr>
            <w:tcW w:w="1275" w:type="dxa"/>
            <w:shd w:val="clear" w:color="auto" w:fill="F2F2F2"/>
            <w:vAlign w:val="center"/>
          </w:tcPr>
          <w:p w14:paraId="105D1C5A" w14:textId="77777777" w:rsidR="00C70A6A" w:rsidRPr="00175D8B" w:rsidRDefault="00C70A6A" w:rsidP="00C70A6A">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Adapazarı</w:t>
            </w:r>
          </w:p>
        </w:tc>
        <w:tc>
          <w:tcPr>
            <w:tcW w:w="2025" w:type="dxa"/>
            <w:shd w:val="clear" w:color="auto" w:fill="F2F2F2"/>
            <w:vAlign w:val="center"/>
          </w:tcPr>
          <w:p w14:paraId="5F156F5A" w14:textId="77777777" w:rsidR="00C70A6A" w:rsidRPr="00175D8B" w:rsidRDefault="00C70A6A" w:rsidP="00C70A6A">
            <w:pPr>
              <w:spacing w:before="120" w:after="0" w:line="278" w:lineRule="auto"/>
              <w:jc w:val="left"/>
              <w:rPr>
                <w:rFonts w:eastAsia="Aptos" w:cs="Aptos"/>
                <w:color w:val="000000" w:themeColor="text1"/>
                <w:sz w:val="20"/>
                <w:szCs w:val="20"/>
              </w:rPr>
            </w:pPr>
            <w:r w:rsidRPr="00175D8B">
              <w:rPr>
                <w:rFonts w:eastAsia="Aptos" w:cs="Aptos"/>
                <w:color w:val="000000" w:themeColor="text1"/>
                <w:sz w:val="20"/>
                <w:szCs w:val="20"/>
              </w:rPr>
              <w:t>Grain, Vegetables, Fruits, Forage Crops</w:t>
            </w:r>
          </w:p>
        </w:tc>
        <w:tc>
          <w:tcPr>
            <w:tcW w:w="2700" w:type="dxa"/>
            <w:shd w:val="clear" w:color="auto" w:fill="F2F2F2"/>
            <w:vAlign w:val="center"/>
          </w:tcPr>
          <w:p w14:paraId="545DB48C" w14:textId="77777777" w:rsidR="00C70A6A" w:rsidRPr="00175D8B" w:rsidRDefault="00C70A6A" w:rsidP="00C70A6A">
            <w:pPr>
              <w:spacing w:before="120" w:after="0" w:line="278" w:lineRule="auto"/>
              <w:jc w:val="left"/>
              <w:rPr>
                <w:rFonts w:eastAsia="Aptos" w:cs="Aptos"/>
                <w:color w:val="000000" w:themeColor="text1"/>
                <w:sz w:val="20"/>
                <w:szCs w:val="20"/>
              </w:rPr>
            </w:pPr>
            <w:r w:rsidRPr="00175D8B">
              <w:rPr>
                <w:rFonts w:eastAsia="Aptos" w:cs="Aptos"/>
                <w:color w:val="000000"/>
                <w:sz w:val="20"/>
                <w:szCs w:val="20"/>
              </w:rPr>
              <w:t>Cattle,</w:t>
            </w:r>
            <w:r w:rsidRPr="00175D8B">
              <w:rPr>
                <w:rFonts w:eastAsia="Aptos" w:cs="Aptos"/>
                <w:color w:val="000000" w:themeColor="text1"/>
                <w:sz w:val="20"/>
                <w:szCs w:val="20"/>
              </w:rPr>
              <w:t xml:space="preserve"> Small cattle</w:t>
            </w:r>
          </w:p>
        </w:tc>
        <w:tc>
          <w:tcPr>
            <w:tcW w:w="1500" w:type="dxa"/>
            <w:shd w:val="clear" w:color="auto" w:fill="F2F2F2"/>
            <w:vAlign w:val="center"/>
          </w:tcPr>
          <w:p w14:paraId="29E44B6F" w14:textId="77777777" w:rsidR="00C70A6A" w:rsidRPr="00175D8B" w:rsidRDefault="00C70A6A" w:rsidP="00C70A6A">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560" w:type="dxa"/>
            <w:shd w:val="clear" w:color="auto" w:fill="F2F2F2"/>
            <w:vAlign w:val="center"/>
          </w:tcPr>
          <w:p w14:paraId="362E9C5E" w14:textId="77777777" w:rsidR="00C70A6A" w:rsidRPr="00175D8B" w:rsidRDefault="00C70A6A" w:rsidP="00C70A6A">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No</w:t>
            </w:r>
          </w:p>
        </w:tc>
      </w:tr>
      <w:tr w:rsidR="00C70A6A" w:rsidRPr="00175D8B" w14:paraId="045FBE68" w14:textId="77777777" w:rsidTr="00DF417A">
        <w:trPr>
          <w:trHeight w:val="300"/>
          <w:jc w:val="center"/>
        </w:trPr>
        <w:tc>
          <w:tcPr>
            <w:tcW w:w="1275" w:type="dxa"/>
            <w:shd w:val="clear" w:color="auto" w:fill="F2F2F2"/>
            <w:vAlign w:val="center"/>
          </w:tcPr>
          <w:p w14:paraId="4BFD81CA"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Akyazi</w:t>
            </w:r>
          </w:p>
        </w:tc>
        <w:tc>
          <w:tcPr>
            <w:tcW w:w="2025" w:type="dxa"/>
            <w:shd w:val="clear" w:color="auto" w:fill="F2F2F2"/>
            <w:vAlign w:val="center"/>
          </w:tcPr>
          <w:p w14:paraId="5768F015" w14:textId="77777777" w:rsidR="00C70A6A" w:rsidRPr="00175D8B" w:rsidRDefault="00C70A6A" w:rsidP="00C70A6A">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Grain, Vegetables, Fruits, Forage Crops</w:t>
            </w:r>
          </w:p>
        </w:tc>
        <w:tc>
          <w:tcPr>
            <w:tcW w:w="2700" w:type="dxa"/>
            <w:shd w:val="clear" w:color="auto" w:fill="F2F2F2"/>
            <w:vAlign w:val="center"/>
          </w:tcPr>
          <w:p w14:paraId="6FCF3D54" w14:textId="77777777" w:rsidR="00C70A6A" w:rsidRPr="00175D8B" w:rsidRDefault="00C70A6A" w:rsidP="00C70A6A">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Cattle, Small Cattle</w:t>
            </w:r>
          </w:p>
        </w:tc>
        <w:tc>
          <w:tcPr>
            <w:tcW w:w="1500" w:type="dxa"/>
            <w:shd w:val="clear" w:color="auto" w:fill="F2F2F2"/>
            <w:vAlign w:val="center"/>
          </w:tcPr>
          <w:p w14:paraId="7C70A856"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560" w:type="dxa"/>
            <w:shd w:val="clear" w:color="auto" w:fill="F2F2F2"/>
            <w:vAlign w:val="center"/>
          </w:tcPr>
          <w:p w14:paraId="08F6EFF2"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Fish Farms</w:t>
            </w:r>
          </w:p>
        </w:tc>
      </w:tr>
      <w:tr w:rsidR="00C70A6A" w:rsidRPr="00175D8B" w14:paraId="569AF372" w14:textId="77777777" w:rsidTr="00DF417A">
        <w:trPr>
          <w:trHeight w:val="300"/>
          <w:jc w:val="center"/>
        </w:trPr>
        <w:tc>
          <w:tcPr>
            <w:tcW w:w="1275" w:type="dxa"/>
            <w:shd w:val="clear" w:color="auto" w:fill="F2F2F2"/>
            <w:vAlign w:val="center"/>
          </w:tcPr>
          <w:p w14:paraId="681844B1"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Arifiye</w:t>
            </w:r>
          </w:p>
        </w:tc>
        <w:tc>
          <w:tcPr>
            <w:tcW w:w="2025" w:type="dxa"/>
            <w:shd w:val="clear" w:color="auto" w:fill="F2F2F2"/>
            <w:vAlign w:val="center"/>
          </w:tcPr>
          <w:p w14:paraId="06101AE3" w14:textId="77777777" w:rsidR="00C70A6A" w:rsidRPr="00175D8B" w:rsidRDefault="00C70A6A" w:rsidP="00C70A6A">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Grain, Vegetables, Fruits, Forage Crops</w:t>
            </w:r>
          </w:p>
        </w:tc>
        <w:tc>
          <w:tcPr>
            <w:tcW w:w="2700" w:type="dxa"/>
            <w:shd w:val="clear" w:color="auto" w:fill="F2F2F2"/>
            <w:vAlign w:val="center"/>
          </w:tcPr>
          <w:p w14:paraId="32E42F1D" w14:textId="77777777" w:rsidR="00C70A6A" w:rsidRPr="00175D8B" w:rsidRDefault="00C70A6A" w:rsidP="00C70A6A">
            <w:pPr>
              <w:spacing w:before="120" w:after="0" w:line="276" w:lineRule="auto"/>
              <w:jc w:val="left"/>
              <w:rPr>
                <w:rFonts w:eastAsia="Aptos" w:cs="Aptos"/>
                <w:color w:val="000000"/>
                <w:sz w:val="20"/>
                <w:szCs w:val="20"/>
              </w:rPr>
            </w:pPr>
            <w:r w:rsidRPr="00175D8B">
              <w:rPr>
                <w:rFonts w:eastAsia="Aptos" w:cs="Aptos"/>
                <w:color w:val="000000"/>
                <w:sz w:val="20"/>
                <w:szCs w:val="20"/>
              </w:rPr>
              <w:t>Few Cattle, Few Small Cattle</w:t>
            </w:r>
          </w:p>
        </w:tc>
        <w:tc>
          <w:tcPr>
            <w:tcW w:w="1500" w:type="dxa"/>
            <w:shd w:val="clear" w:color="auto" w:fill="F2F2F2"/>
            <w:vAlign w:val="center"/>
          </w:tcPr>
          <w:p w14:paraId="76F02B4C"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560" w:type="dxa"/>
            <w:shd w:val="clear" w:color="auto" w:fill="F2F2F2"/>
            <w:vAlign w:val="center"/>
          </w:tcPr>
          <w:p w14:paraId="76B9F28D"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No</w:t>
            </w:r>
          </w:p>
        </w:tc>
      </w:tr>
      <w:tr w:rsidR="00C70A6A" w:rsidRPr="00175D8B" w14:paraId="5456C75F" w14:textId="77777777" w:rsidTr="00DF417A">
        <w:trPr>
          <w:trHeight w:val="300"/>
          <w:jc w:val="center"/>
        </w:trPr>
        <w:tc>
          <w:tcPr>
            <w:tcW w:w="1275" w:type="dxa"/>
            <w:shd w:val="clear" w:color="auto" w:fill="F2F2F2"/>
            <w:vAlign w:val="center"/>
          </w:tcPr>
          <w:p w14:paraId="117A4FBB"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Erenler</w:t>
            </w:r>
          </w:p>
        </w:tc>
        <w:tc>
          <w:tcPr>
            <w:tcW w:w="2025" w:type="dxa"/>
            <w:shd w:val="clear" w:color="auto" w:fill="F2F2F2"/>
            <w:vAlign w:val="center"/>
          </w:tcPr>
          <w:p w14:paraId="1C518151" w14:textId="77777777" w:rsidR="00C70A6A" w:rsidRPr="00175D8B" w:rsidRDefault="00C70A6A" w:rsidP="00C70A6A">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Grain, Vegetables, Fruits, Forage Crops</w:t>
            </w:r>
          </w:p>
        </w:tc>
        <w:tc>
          <w:tcPr>
            <w:tcW w:w="2700" w:type="dxa"/>
            <w:shd w:val="clear" w:color="auto" w:fill="F2F2F2"/>
            <w:vAlign w:val="center"/>
          </w:tcPr>
          <w:p w14:paraId="7DDAC5BB" w14:textId="77777777" w:rsidR="00C70A6A" w:rsidRPr="00175D8B" w:rsidRDefault="00C70A6A" w:rsidP="00C70A6A">
            <w:pPr>
              <w:spacing w:before="120" w:after="0" w:line="276" w:lineRule="auto"/>
              <w:jc w:val="left"/>
              <w:rPr>
                <w:rFonts w:eastAsia="Aptos" w:cs="Aptos"/>
                <w:color w:val="000000"/>
                <w:sz w:val="20"/>
                <w:szCs w:val="20"/>
              </w:rPr>
            </w:pPr>
            <w:r w:rsidRPr="00175D8B">
              <w:rPr>
                <w:rFonts w:eastAsia="Aptos" w:cs="Aptos"/>
                <w:color w:val="000000" w:themeColor="text1"/>
                <w:sz w:val="20"/>
                <w:szCs w:val="20"/>
              </w:rPr>
              <w:t>Few Cattle, Few Small Cattle</w:t>
            </w:r>
          </w:p>
        </w:tc>
        <w:tc>
          <w:tcPr>
            <w:tcW w:w="1500" w:type="dxa"/>
            <w:shd w:val="clear" w:color="auto" w:fill="F2F2F2"/>
            <w:vAlign w:val="center"/>
          </w:tcPr>
          <w:p w14:paraId="4CE097CF"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560" w:type="dxa"/>
            <w:shd w:val="clear" w:color="auto" w:fill="F2F2F2"/>
            <w:vAlign w:val="center"/>
          </w:tcPr>
          <w:p w14:paraId="5F2CCA39"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No</w:t>
            </w:r>
          </w:p>
        </w:tc>
      </w:tr>
      <w:tr w:rsidR="00C70A6A" w:rsidRPr="00175D8B" w14:paraId="6A3E6D9D" w14:textId="77777777" w:rsidTr="00DF417A">
        <w:trPr>
          <w:trHeight w:val="300"/>
          <w:jc w:val="center"/>
        </w:trPr>
        <w:tc>
          <w:tcPr>
            <w:tcW w:w="1275" w:type="dxa"/>
            <w:shd w:val="clear" w:color="auto" w:fill="F2F2F2"/>
            <w:vAlign w:val="center"/>
          </w:tcPr>
          <w:p w14:paraId="202B591C"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Ferizli</w:t>
            </w:r>
          </w:p>
        </w:tc>
        <w:tc>
          <w:tcPr>
            <w:tcW w:w="2025" w:type="dxa"/>
            <w:shd w:val="clear" w:color="auto" w:fill="F2F2F2"/>
            <w:vAlign w:val="center"/>
          </w:tcPr>
          <w:p w14:paraId="3A065998" w14:textId="77777777" w:rsidR="00C70A6A" w:rsidRPr="00175D8B" w:rsidRDefault="00C70A6A" w:rsidP="00C70A6A">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Grain, Vegetables, Fruits, Forage Crops</w:t>
            </w:r>
          </w:p>
        </w:tc>
        <w:tc>
          <w:tcPr>
            <w:tcW w:w="2700" w:type="dxa"/>
            <w:shd w:val="clear" w:color="auto" w:fill="F2F2F2"/>
            <w:vAlign w:val="center"/>
          </w:tcPr>
          <w:p w14:paraId="20A7EE91" w14:textId="77777777" w:rsidR="00C70A6A" w:rsidRPr="00175D8B" w:rsidRDefault="00C70A6A" w:rsidP="00C70A6A">
            <w:pPr>
              <w:spacing w:before="120" w:after="0" w:line="276" w:lineRule="auto"/>
              <w:jc w:val="left"/>
              <w:rPr>
                <w:rFonts w:eastAsia="Aptos" w:cs="Aptos"/>
                <w:color w:val="000000"/>
                <w:sz w:val="20"/>
                <w:szCs w:val="20"/>
              </w:rPr>
            </w:pPr>
            <w:r w:rsidRPr="00175D8B">
              <w:rPr>
                <w:rFonts w:eastAsia="Aptos" w:cs="Aptos"/>
                <w:color w:val="000000" w:themeColor="text1"/>
                <w:sz w:val="20"/>
                <w:szCs w:val="20"/>
              </w:rPr>
              <w:t>Few Cattle, Few Small Cattle</w:t>
            </w:r>
          </w:p>
        </w:tc>
        <w:tc>
          <w:tcPr>
            <w:tcW w:w="1500" w:type="dxa"/>
            <w:shd w:val="clear" w:color="auto" w:fill="F2F2F2"/>
            <w:vAlign w:val="center"/>
          </w:tcPr>
          <w:p w14:paraId="6577FC0D"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560" w:type="dxa"/>
            <w:shd w:val="clear" w:color="auto" w:fill="F2F2F2"/>
            <w:vAlign w:val="center"/>
          </w:tcPr>
          <w:p w14:paraId="470D7496"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No</w:t>
            </w:r>
          </w:p>
        </w:tc>
      </w:tr>
      <w:tr w:rsidR="00C70A6A" w:rsidRPr="00175D8B" w14:paraId="53DC22F0" w14:textId="77777777" w:rsidTr="00DF417A">
        <w:trPr>
          <w:trHeight w:val="300"/>
          <w:jc w:val="center"/>
        </w:trPr>
        <w:tc>
          <w:tcPr>
            <w:tcW w:w="1275" w:type="dxa"/>
            <w:shd w:val="clear" w:color="auto" w:fill="F2F2F2"/>
            <w:vAlign w:val="center"/>
          </w:tcPr>
          <w:p w14:paraId="7800190B"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Geyve</w:t>
            </w:r>
          </w:p>
        </w:tc>
        <w:tc>
          <w:tcPr>
            <w:tcW w:w="2025" w:type="dxa"/>
            <w:shd w:val="clear" w:color="auto" w:fill="F2F2F2"/>
            <w:vAlign w:val="center"/>
          </w:tcPr>
          <w:p w14:paraId="36CDA240" w14:textId="77777777" w:rsidR="00C70A6A" w:rsidRPr="00175D8B" w:rsidRDefault="00C70A6A" w:rsidP="00C70A6A">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Grain, Vegetables, Fruits, Forage Crops</w:t>
            </w:r>
          </w:p>
        </w:tc>
        <w:tc>
          <w:tcPr>
            <w:tcW w:w="2700" w:type="dxa"/>
            <w:shd w:val="clear" w:color="auto" w:fill="F2F2F2"/>
            <w:vAlign w:val="center"/>
          </w:tcPr>
          <w:p w14:paraId="09D6306B" w14:textId="77777777" w:rsidR="00C70A6A" w:rsidRPr="00175D8B" w:rsidRDefault="00C70A6A" w:rsidP="00C70A6A">
            <w:pPr>
              <w:spacing w:before="120" w:after="0" w:line="276" w:lineRule="auto"/>
              <w:jc w:val="left"/>
              <w:rPr>
                <w:rFonts w:eastAsia="Aptos" w:cs="Aptos"/>
                <w:color w:val="000000"/>
                <w:sz w:val="20"/>
                <w:szCs w:val="20"/>
              </w:rPr>
            </w:pPr>
            <w:r w:rsidRPr="00175D8B">
              <w:rPr>
                <w:rFonts w:eastAsia="Aptos" w:cs="Aptos"/>
                <w:color w:val="000000"/>
                <w:sz w:val="20"/>
                <w:szCs w:val="20"/>
              </w:rPr>
              <w:t>Cattle, Small Cattle</w:t>
            </w:r>
          </w:p>
        </w:tc>
        <w:tc>
          <w:tcPr>
            <w:tcW w:w="1500" w:type="dxa"/>
            <w:shd w:val="clear" w:color="auto" w:fill="F2F2F2"/>
            <w:vAlign w:val="center"/>
          </w:tcPr>
          <w:p w14:paraId="790C3110" w14:textId="05A83828" w:rsidR="00C70A6A" w:rsidRPr="00175D8B" w:rsidRDefault="00865A53"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Exist</w:t>
            </w:r>
          </w:p>
        </w:tc>
        <w:tc>
          <w:tcPr>
            <w:tcW w:w="1560" w:type="dxa"/>
            <w:shd w:val="clear" w:color="auto" w:fill="F2F2F2"/>
            <w:vAlign w:val="center"/>
          </w:tcPr>
          <w:p w14:paraId="63C33BDB"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No</w:t>
            </w:r>
          </w:p>
        </w:tc>
      </w:tr>
      <w:tr w:rsidR="00C70A6A" w:rsidRPr="00175D8B" w14:paraId="5C8FC177" w14:textId="77777777" w:rsidTr="00DF417A">
        <w:trPr>
          <w:trHeight w:val="300"/>
          <w:jc w:val="center"/>
        </w:trPr>
        <w:tc>
          <w:tcPr>
            <w:tcW w:w="1275" w:type="dxa"/>
            <w:shd w:val="clear" w:color="auto" w:fill="F2F2F2"/>
            <w:vAlign w:val="center"/>
          </w:tcPr>
          <w:p w14:paraId="3F353DFC"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Hendek</w:t>
            </w:r>
          </w:p>
        </w:tc>
        <w:tc>
          <w:tcPr>
            <w:tcW w:w="2025" w:type="dxa"/>
            <w:shd w:val="clear" w:color="auto" w:fill="F2F2F2"/>
            <w:vAlign w:val="center"/>
          </w:tcPr>
          <w:p w14:paraId="7897BC7E" w14:textId="77777777" w:rsidR="00C70A6A" w:rsidRPr="00175D8B" w:rsidRDefault="00C70A6A" w:rsidP="00C70A6A">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Grain, Vegetables, Fruits, Forage Crops</w:t>
            </w:r>
          </w:p>
        </w:tc>
        <w:tc>
          <w:tcPr>
            <w:tcW w:w="2700" w:type="dxa"/>
            <w:shd w:val="clear" w:color="auto" w:fill="F2F2F2"/>
            <w:vAlign w:val="center"/>
          </w:tcPr>
          <w:p w14:paraId="702726B5" w14:textId="77777777" w:rsidR="00C70A6A" w:rsidRPr="00175D8B" w:rsidRDefault="00C70A6A" w:rsidP="00C70A6A">
            <w:pPr>
              <w:spacing w:before="120" w:after="0" w:line="276" w:lineRule="auto"/>
              <w:jc w:val="left"/>
              <w:rPr>
                <w:rFonts w:eastAsia="Aptos" w:cs="Aptos"/>
                <w:color w:val="000000"/>
                <w:sz w:val="20"/>
                <w:szCs w:val="20"/>
              </w:rPr>
            </w:pPr>
            <w:r w:rsidRPr="00175D8B">
              <w:rPr>
                <w:rFonts w:eastAsia="Aptos" w:cs="Aptos"/>
                <w:color w:val="000000"/>
                <w:sz w:val="20"/>
                <w:szCs w:val="20"/>
              </w:rPr>
              <w:t>Cattle, Small Number of Small Cattle</w:t>
            </w:r>
          </w:p>
        </w:tc>
        <w:tc>
          <w:tcPr>
            <w:tcW w:w="1500" w:type="dxa"/>
            <w:shd w:val="clear" w:color="auto" w:fill="F2F2F2"/>
            <w:vAlign w:val="center"/>
          </w:tcPr>
          <w:p w14:paraId="2904CE30"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560" w:type="dxa"/>
            <w:shd w:val="clear" w:color="auto" w:fill="F2F2F2"/>
            <w:vAlign w:val="center"/>
          </w:tcPr>
          <w:p w14:paraId="3866D896"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Fish Farms</w:t>
            </w:r>
          </w:p>
        </w:tc>
      </w:tr>
      <w:tr w:rsidR="00C70A6A" w:rsidRPr="00175D8B" w14:paraId="394B363A" w14:textId="77777777" w:rsidTr="00DF417A">
        <w:trPr>
          <w:trHeight w:val="300"/>
          <w:jc w:val="center"/>
        </w:trPr>
        <w:tc>
          <w:tcPr>
            <w:tcW w:w="1275" w:type="dxa"/>
            <w:shd w:val="clear" w:color="auto" w:fill="F2F2F2"/>
            <w:vAlign w:val="center"/>
          </w:tcPr>
          <w:p w14:paraId="11FDDD4E"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Karapürçek</w:t>
            </w:r>
          </w:p>
        </w:tc>
        <w:tc>
          <w:tcPr>
            <w:tcW w:w="2025" w:type="dxa"/>
            <w:shd w:val="clear" w:color="auto" w:fill="F2F2F2"/>
            <w:vAlign w:val="center"/>
          </w:tcPr>
          <w:p w14:paraId="531FC277" w14:textId="77777777" w:rsidR="00C70A6A" w:rsidRPr="00175D8B" w:rsidRDefault="00C70A6A" w:rsidP="00C70A6A">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Grain, Vegetables, Fruits, Forage Crops</w:t>
            </w:r>
          </w:p>
        </w:tc>
        <w:tc>
          <w:tcPr>
            <w:tcW w:w="2700" w:type="dxa"/>
            <w:shd w:val="clear" w:color="auto" w:fill="F2F2F2"/>
            <w:vAlign w:val="center"/>
          </w:tcPr>
          <w:p w14:paraId="047433DD" w14:textId="77777777" w:rsidR="00C70A6A" w:rsidRPr="00175D8B" w:rsidRDefault="00C70A6A" w:rsidP="00C70A6A">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 xml:space="preserve">Few </w:t>
            </w:r>
            <w:r w:rsidRPr="00175D8B">
              <w:rPr>
                <w:rFonts w:eastAsia="Aptos" w:cs="Aptos"/>
                <w:color w:val="000000"/>
                <w:sz w:val="20"/>
                <w:szCs w:val="20"/>
              </w:rPr>
              <w:t>Cattle, Small Cattle</w:t>
            </w:r>
          </w:p>
        </w:tc>
        <w:tc>
          <w:tcPr>
            <w:tcW w:w="1500" w:type="dxa"/>
            <w:shd w:val="clear" w:color="auto" w:fill="F2F2F2"/>
            <w:vAlign w:val="center"/>
          </w:tcPr>
          <w:p w14:paraId="78F65696"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560" w:type="dxa"/>
            <w:shd w:val="clear" w:color="auto" w:fill="F2F2F2"/>
            <w:vAlign w:val="center"/>
          </w:tcPr>
          <w:p w14:paraId="1D64A644"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Fish Farms</w:t>
            </w:r>
          </w:p>
        </w:tc>
      </w:tr>
      <w:tr w:rsidR="00C70A6A" w:rsidRPr="00175D8B" w14:paraId="69C3AADC" w14:textId="77777777" w:rsidTr="00DF417A">
        <w:trPr>
          <w:trHeight w:val="300"/>
          <w:jc w:val="center"/>
        </w:trPr>
        <w:tc>
          <w:tcPr>
            <w:tcW w:w="1275" w:type="dxa"/>
            <w:shd w:val="clear" w:color="auto" w:fill="F2F2F2"/>
            <w:vAlign w:val="center"/>
          </w:tcPr>
          <w:p w14:paraId="156C1967"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Karasu</w:t>
            </w:r>
          </w:p>
        </w:tc>
        <w:tc>
          <w:tcPr>
            <w:tcW w:w="2025" w:type="dxa"/>
            <w:shd w:val="clear" w:color="auto" w:fill="F2F2F2"/>
            <w:vAlign w:val="center"/>
          </w:tcPr>
          <w:p w14:paraId="6F173F16" w14:textId="77777777" w:rsidR="00C70A6A" w:rsidRPr="00175D8B" w:rsidRDefault="00C70A6A" w:rsidP="00C70A6A">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Grain, Vegetables, Fruits, Forage Crops</w:t>
            </w:r>
          </w:p>
        </w:tc>
        <w:tc>
          <w:tcPr>
            <w:tcW w:w="2700" w:type="dxa"/>
            <w:shd w:val="clear" w:color="auto" w:fill="F2F2F2"/>
            <w:vAlign w:val="center"/>
          </w:tcPr>
          <w:p w14:paraId="69DC1172" w14:textId="77777777" w:rsidR="00C70A6A" w:rsidRPr="00175D8B" w:rsidRDefault="00C70A6A" w:rsidP="00C70A6A">
            <w:pPr>
              <w:spacing w:before="120" w:after="0" w:line="276" w:lineRule="auto"/>
              <w:jc w:val="left"/>
              <w:rPr>
                <w:rFonts w:eastAsia="Aptos" w:cs="Aptos"/>
                <w:color w:val="000000"/>
                <w:sz w:val="20"/>
                <w:szCs w:val="20"/>
              </w:rPr>
            </w:pPr>
            <w:r w:rsidRPr="00175D8B">
              <w:rPr>
                <w:rFonts w:eastAsia="Aptos" w:cs="Aptos"/>
                <w:color w:val="000000"/>
                <w:sz w:val="20"/>
                <w:szCs w:val="20"/>
              </w:rPr>
              <w:t xml:space="preserve">Cattle, </w:t>
            </w:r>
            <w:r w:rsidRPr="00175D8B">
              <w:rPr>
                <w:rFonts w:eastAsia="Aptos" w:cs="Aptos"/>
                <w:color w:val="000000" w:themeColor="text1"/>
                <w:sz w:val="20"/>
                <w:szCs w:val="20"/>
              </w:rPr>
              <w:t xml:space="preserve">Small Number of </w:t>
            </w:r>
            <w:r w:rsidRPr="00175D8B">
              <w:rPr>
                <w:rFonts w:eastAsia="Aptos" w:cs="Aptos"/>
                <w:color w:val="000000"/>
                <w:sz w:val="20"/>
                <w:szCs w:val="20"/>
              </w:rPr>
              <w:t>Small Cattle</w:t>
            </w:r>
          </w:p>
        </w:tc>
        <w:tc>
          <w:tcPr>
            <w:tcW w:w="1500" w:type="dxa"/>
            <w:shd w:val="clear" w:color="auto" w:fill="F2F2F2"/>
            <w:vAlign w:val="center"/>
          </w:tcPr>
          <w:p w14:paraId="3A963654"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560" w:type="dxa"/>
            <w:shd w:val="clear" w:color="auto" w:fill="F2F2F2"/>
            <w:vAlign w:val="center"/>
          </w:tcPr>
          <w:p w14:paraId="2FAF0E48"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No</w:t>
            </w:r>
          </w:p>
        </w:tc>
      </w:tr>
      <w:tr w:rsidR="00C70A6A" w:rsidRPr="00175D8B" w14:paraId="3E2DA2D2" w14:textId="77777777" w:rsidTr="00DF417A">
        <w:trPr>
          <w:trHeight w:val="300"/>
          <w:jc w:val="center"/>
        </w:trPr>
        <w:tc>
          <w:tcPr>
            <w:tcW w:w="1275" w:type="dxa"/>
            <w:shd w:val="clear" w:color="auto" w:fill="F2F2F2"/>
            <w:vAlign w:val="center"/>
          </w:tcPr>
          <w:p w14:paraId="127E976F"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lastRenderedPageBreak/>
              <w:t>Kaynarca</w:t>
            </w:r>
          </w:p>
        </w:tc>
        <w:tc>
          <w:tcPr>
            <w:tcW w:w="2025" w:type="dxa"/>
            <w:shd w:val="clear" w:color="auto" w:fill="F2F2F2"/>
            <w:vAlign w:val="center"/>
          </w:tcPr>
          <w:p w14:paraId="1D844B2D" w14:textId="77777777" w:rsidR="00C70A6A" w:rsidRPr="00175D8B" w:rsidRDefault="00C70A6A" w:rsidP="00C70A6A">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Grain, Vegetables, Fruits, Forage Crops</w:t>
            </w:r>
          </w:p>
        </w:tc>
        <w:tc>
          <w:tcPr>
            <w:tcW w:w="2700" w:type="dxa"/>
            <w:shd w:val="clear" w:color="auto" w:fill="F2F2F2"/>
            <w:vAlign w:val="center"/>
          </w:tcPr>
          <w:p w14:paraId="7744CC9E" w14:textId="77777777" w:rsidR="00C70A6A" w:rsidRPr="00175D8B" w:rsidRDefault="00C70A6A" w:rsidP="00C70A6A">
            <w:pPr>
              <w:spacing w:before="120" w:after="0" w:line="276" w:lineRule="auto"/>
              <w:jc w:val="left"/>
              <w:rPr>
                <w:rFonts w:eastAsia="Aptos" w:cs="Aptos"/>
                <w:color w:val="000000"/>
                <w:sz w:val="20"/>
                <w:szCs w:val="20"/>
              </w:rPr>
            </w:pPr>
            <w:r w:rsidRPr="00175D8B">
              <w:rPr>
                <w:rFonts w:eastAsia="Aptos" w:cs="Aptos"/>
                <w:color w:val="000000"/>
                <w:sz w:val="20"/>
                <w:szCs w:val="20"/>
              </w:rPr>
              <w:t>Cattle, Small Cattle</w:t>
            </w:r>
          </w:p>
        </w:tc>
        <w:tc>
          <w:tcPr>
            <w:tcW w:w="1500" w:type="dxa"/>
            <w:shd w:val="clear" w:color="auto" w:fill="F2F2F2"/>
            <w:vAlign w:val="center"/>
          </w:tcPr>
          <w:p w14:paraId="256AD059"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560" w:type="dxa"/>
            <w:shd w:val="clear" w:color="auto" w:fill="F2F2F2"/>
            <w:vAlign w:val="center"/>
          </w:tcPr>
          <w:p w14:paraId="0DC79F0E"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No</w:t>
            </w:r>
          </w:p>
        </w:tc>
      </w:tr>
      <w:tr w:rsidR="00C70A6A" w:rsidRPr="00175D8B" w14:paraId="1D6EFF4D" w14:textId="77777777" w:rsidTr="00DF417A">
        <w:trPr>
          <w:trHeight w:val="300"/>
          <w:jc w:val="center"/>
        </w:trPr>
        <w:tc>
          <w:tcPr>
            <w:tcW w:w="1275" w:type="dxa"/>
            <w:shd w:val="clear" w:color="auto" w:fill="F2F2F2"/>
            <w:vAlign w:val="center"/>
          </w:tcPr>
          <w:p w14:paraId="77CC17BF"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Kocaali</w:t>
            </w:r>
          </w:p>
        </w:tc>
        <w:tc>
          <w:tcPr>
            <w:tcW w:w="2025" w:type="dxa"/>
            <w:shd w:val="clear" w:color="auto" w:fill="F2F2F2"/>
            <w:vAlign w:val="center"/>
          </w:tcPr>
          <w:p w14:paraId="6BB7E2D6" w14:textId="77777777" w:rsidR="00C70A6A" w:rsidRPr="00175D8B" w:rsidRDefault="00C70A6A" w:rsidP="00C70A6A">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Vegetables, Fruits, Forage Crops</w:t>
            </w:r>
          </w:p>
        </w:tc>
        <w:tc>
          <w:tcPr>
            <w:tcW w:w="2700" w:type="dxa"/>
            <w:shd w:val="clear" w:color="auto" w:fill="F2F2F2"/>
            <w:vAlign w:val="center"/>
          </w:tcPr>
          <w:p w14:paraId="08860DAD" w14:textId="223F79EF" w:rsidR="00C70A6A" w:rsidRPr="00175D8B" w:rsidRDefault="00C70A6A" w:rsidP="00C70A6A">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 xml:space="preserve">Few </w:t>
            </w:r>
            <w:r w:rsidRPr="00175D8B">
              <w:rPr>
                <w:rFonts w:eastAsia="Aptos" w:cs="Aptos"/>
                <w:color w:val="000000"/>
                <w:sz w:val="20"/>
                <w:szCs w:val="20"/>
              </w:rPr>
              <w:t>Cattle</w:t>
            </w:r>
            <w:r w:rsidRPr="00175D8B">
              <w:rPr>
                <w:rFonts w:eastAsia="Aptos" w:cs="Aptos"/>
                <w:color w:val="000000" w:themeColor="text1"/>
                <w:sz w:val="20"/>
                <w:szCs w:val="20"/>
              </w:rPr>
              <w:t xml:space="preserve">, </w:t>
            </w:r>
            <w:r w:rsidR="00865A53" w:rsidRPr="00175D8B">
              <w:rPr>
                <w:rFonts w:eastAsia="Aptos" w:cs="Aptos"/>
                <w:color w:val="000000" w:themeColor="text1"/>
                <w:sz w:val="20"/>
                <w:szCs w:val="20"/>
              </w:rPr>
              <w:t xml:space="preserve">Few </w:t>
            </w:r>
            <w:r w:rsidR="00865A53" w:rsidRPr="00175D8B">
              <w:rPr>
                <w:rFonts w:eastAsia="Aptos" w:cs="Aptos"/>
                <w:color w:val="000000"/>
                <w:sz w:val="20"/>
                <w:szCs w:val="20"/>
              </w:rPr>
              <w:t>Small</w:t>
            </w:r>
            <w:r w:rsidRPr="00175D8B">
              <w:rPr>
                <w:rFonts w:eastAsia="Aptos" w:cs="Aptos"/>
                <w:color w:val="000000"/>
                <w:sz w:val="20"/>
                <w:szCs w:val="20"/>
              </w:rPr>
              <w:t xml:space="preserve"> Cattle</w:t>
            </w:r>
          </w:p>
        </w:tc>
        <w:tc>
          <w:tcPr>
            <w:tcW w:w="1500" w:type="dxa"/>
            <w:shd w:val="clear" w:color="auto" w:fill="F2F2F2"/>
            <w:vAlign w:val="center"/>
          </w:tcPr>
          <w:p w14:paraId="19C768E9"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560" w:type="dxa"/>
            <w:shd w:val="clear" w:color="auto" w:fill="F2F2F2"/>
            <w:vAlign w:val="center"/>
          </w:tcPr>
          <w:p w14:paraId="12107BED"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Fish Farms</w:t>
            </w:r>
          </w:p>
        </w:tc>
      </w:tr>
      <w:tr w:rsidR="00C70A6A" w:rsidRPr="00175D8B" w14:paraId="3E1DAF93" w14:textId="77777777" w:rsidTr="00DF417A">
        <w:trPr>
          <w:trHeight w:val="300"/>
          <w:jc w:val="center"/>
        </w:trPr>
        <w:tc>
          <w:tcPr>
            <w:tcW w:w="1275" w:type="dxa"/>
            <w:shd w:val="clear" w:color="auto" w:fill="F2F2F2"/>
            <w:vAlign w:val="center"/>
          </w:tcPr>
          <w:p w14:paraId="4644FC66"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Pamukova</w:t>
            </w:r>
          </w:p>
        </w:tc>
        <w:tc>
          <w:tcPr>
            <w:tcW w:w="2025" w:type="dxa"/>
            <w:shd w:val="clear" w:color="auto" w:fill="F2F2F2"/>
            <w:vAlign w:val="center"/>
          </w:tcPr>
          <w:p w14:paraId="5F939D36" w14:textId="77777777" w:rsidR="00C70A6A" w:rsidRPr="00175D8B" w:rsidRDefault="00C70A6A" w:rsidP="00C70A6A">
            <w:pPr>
              <w:spacing w:before="120" w:after="0" w:line="276" w:lineRule="auto"/>
              <w:jc w:val="left"/>
              <w:rPr>
                <w:rFonts w:eastAsia="Aptos" w:cs="Aptos"/>
                <w:color w:val="000000"/>
                <w:sz w:val="20"/>
                <w:szCs w:val="20"/>
              </w:rPr>
            </w:pPr>
            <w:r w:rsidRPr="00175D8B">
              <w:rPr>
                <w:rFonts w:eastAsia="Aptos" w:cs="Aptos"/>
                <w:color w:val="000000"/>
                <w:sz w:val="20"/>
                <w:szCs w:val="20"/>
              </w:rPr>
              <w:t>Vegetables, Fruits, Grains, Olives</w:t>
            </w:r>
          </w:p>
        </w:tc>
        <w:tc>
          <w:tcPr>
            <w:tcW w:w="2700" w:type="dxa"/>
            <w:shd w:val="clear" w:color="auto" w:fill="F2F2F2"/>
            <w:vAlign w:val="center"/>
          </w:tcPr>
          <w:p w14:paraId="3D02F762" w14:textId="77777777" w:rsidR="00C70A6A" w:rsidRPr="00175D8B" w:rsidRDefault="00C70A6A" w:rsidP="00C70A6A">
            <w:pPr>
              <w:spacing w:before="120" w:after="0" w:line="276" w:lineRule="auto"/>
              <w:jc w:val="left"/>
              <w:rPr>
                <w:rFonts w:eastAsia="Aptos" w:cs="Aptos"/>
                <w:color w:val="000000"/>
                <w:sz w:val="20"/>
                <w:szCs w:val="20"/>
              </w:rPr>
            </w:pPr>
            <w:r w:rsidRPr="00175D8B">
              <w:rPr>
                <w:rFonts w:eastAsia="Aptos" w:cs="Aptos"/>
                <w:color w:val="000000" w:themeColor="text1"/>
                <w:sz w:val="20"/>
                <w:szCs w:val="20"/>
              </w:rPr>
              <w:t xml:space="preserve">Few </w:t>
            </w:r>
            <w:r w:rsidRPr="00175D8B">
              <w:rPr>
                <w:rFonts w:eastAsia="Aptos" w:cs="Aptos"/>
                <w:color w:val="000000"/>
                <w:sz w:val="20"/>
                <w:szCs w:val="20"/>
              </w:rPr>
              <w:t>Cattle, Small Cattle</w:t>
            </w:r>
          </w:p>
        </w:tc>
        <w:tc>
          <w:tcPr>
            <w:tcW w:w="1500" w:type="dxa"/>
            <w:shd w:val="clear" w:color="auto" w:fill="F2F2F2"/>
            <w:vAlign w:val="center"/>
          </w:tcPr>
          <w:p w14:paraId="35D9517B" w14:textId="783590F9" w:rsidR="00C70A6A" w:rsidRPr="00175D8B" w:rsidRDefault="00865A53"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Exist</w:t>
            </w:r>
          </w:p>
        </w:tc>
        <w:tc>
          <w:tcPr>
            <w:tcW w:w="1560" w:type="dxa"/>
            <w:shd w:val="clear" w:color="auto" w:fill="F2F2F2"/>
            <w:vAlign w:val="center"/>
          </w:tcPr>
          <w:p w14:paraId="6D179E38"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Fish Farms</w:t>
            </w:r>
          </w:p>
        </w:tc>
      </w:tr>
      <w:tr w:rsidR="00C70A6A" w:rsidRPr="00175D8B" w14:paraId="6F419B37" w14:textId="77777777" w:rsidTr="00DF417A">
        <w:trPr>
          <w:trHeight w:val="300"/>
          <w:jc w:val="center"/>
        </w:trPr>
        <w:tc>
          <w:tcPr>
            <w:tcW w:w="1275" w:type="dxa"/>
            <w:shd w:val="clear" w:color="auto" w:fill="F2F2F2"/>
            <w:vAlign w:val="center"/>
          </w:tcPr>
          <w:p w14:paraId="13E55D2B"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Sapanca</w:t>
            </w:r>
          </w:p>
        </w:tc>
        <w:tc>
          <w:tcPr>
            <w:tcW w:w="2025" w:type="dxa"/>
            <w:shd w:val="clear" w:color="auto" w:fill="F2F2F2"/>
            <w:vAlign w:val="center"/>
          </w:tcPr>
          <w:p w14:paraId="6133E807" w14:textId="77777777" w:rsidR="00C70A6A" w:rsidRPr="00175D8B" w:rsidRDefault="00C70A6A" w:rsidP="00C70A6A">
            <w:pPr>
              <w:spacing w:before="120" w:after="0" w:line="276" w:lineRule="auto"/>
              <w:jc w:val="left"/>
              <w:rPr>
                <w:rFonts w:eastAsia="Aptos" w:cs="Aptos"/>
                <w:color w:val="000000"/>
                <w:sz w:val="20"/>
                <w:szCs w:val="20"/>
              </w:rPr>
            </w:pPr>
            <w:r w:rsidRPr="00175D8B">
              <w:rPr>
                <w:rFonts w:eastAsia="Aptos" w:cs="Aptos"/>
                <w:color w:val="000000" w:themeColor="text1"/>
                <w:sz w:val="20"/>
                <w:szCs w:val="20"/>
              </w:rPr>
              <w:t>Vegetables, Fruits, Forage Crops</w:t>
            </w:r>
          </w:p>
        </w:tc>
        <w:tc>
          <w:tcPr>
            <w:tcW w:w="2700" w:type="dxa"/>
            <w:shd w:val="clear" w:color="auto" w:fill="F2F2F2"/>
            <w:vAlign w:val="center"/>
          </w:tcPr>
          <w:p w14:paraId="1F59313B" w14:textId="52BC58EE" w:rsidR="00C70A6A" w:rsidRPr="00175D8B" w:rsidRDefault="00C70A6A" w:rsidP="00C70A6A">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 xml:space="preserve">Few Cattle, </w:t>
            </w:r>
            <w:r w:rsidR="00865A53" w:rsidRPr="00175D8B">
              <w:rPr>
                <w:rFonts w:eastAsia="Aptos" w:cs="Aptos"/>
                <w:color w:val="000000" w:themeColor="text1"/>
                <w:sz w:val="20"/>
                <w:szCs w:val="20"/>
              </w:rPr>
              <w:t xml:space="preserve">Few </w:t>
            </w:r>
            <w:r w:rsidR="00865A53" w:rsidRPr="00175D8B">
              <w:rPr>
                <w:rFonts w:eastAsia="Aptos" w:cs="Aptos"/>
                <w:color w:val="000000"/>
                <w:sz w:val="20"/>
                <w:szCs w:val="20"/>
              </w:rPr>
              <w:t>Small</w:t>
            </w:r>
            <w:r w:rsidRPr="00175D8B">
              <w:rPr>
                <w:rFonts w:eastAsia="Aptos" w:cs="Aptos"/>
                <w:color w:val="000000"/>
                <w:sz w:val="20"/>
                <w:szCs w:val="20"/>
              </w:rPr>
              <w:t xml:space="preserve"> Cattle</w:t>
            </w:r>
          </w:p>
        </w:tc>
        <w:tc>
          <w:tcPr>
            <w:tcW w:w="1500" w:type="dxa"/>
            <w:shd w:val="clear" w:color="auto" w:fill="F2F2F2"/>
            <w:vAlign w:val="center"/>
          </w:tcPr>
          <w:p w14:paraId="3BC2725C"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560" w:type="dxa"/>
            <w:shd w:val="clear" w:color="auto" w:fill="F2F2F2"/>
            <w:vAlign w:val="center"/>
          </w:tcPr>
          <w:p w14:paraId="2DAA09AA"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Fish Farms</w:t>
            </w:r>
          </w:p>
        </w:tc>
      </w:tr>
      <w:tr w:rsidR="00C70A6A" w:rsidRPr="00175D8B" w14:paraId="632B5BF6" w14:textId="77777777" w:rsidTr="00DF417A">
        <w:trPr>
          <w:trHeight w:val="300"/>
          <w:jc w:val="center"/>
        </w:trPr>
        <w:tc>
          <w:tcPr>
            <w:tcW w:w="1275" w:type="dxa"/>
            <w:shd w:val="clear" w:color="auto" w:fill="F2F2F2"/>
            <w:vAlign w:val="center"/>
          </w:tcPr>
          <w:p w14:paraId="42EC92BA"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Serdivan</w:t>
            </w:r>
          </w:p>
        </w:tc>
        <w:tc>
          <w:tcPr>
            <w:tcW w:w="2025" w:type="dxa"/>
            <w:shd w:val="clear" w:color="auto" w:fill="F2F2F2"/>
            <w:vAlign w:val="center"/>
          </w:tcPr>
          <w:p w14:paraId="08C5CC41" w14:textId="77777777" w:rsidR="00C70A6A" w:rsidRPr="00175D8B" w:rsidRDefault="00C70A6A" w:rsidP="00C70A6A">
            <w:pPr>
              <w:spacing w:before="120" w:after="0" w:line="276" w:lineRule="auto"/>
              <w:jc w:val="left"/>
              <w:rPr>
                <w:rFonts w:eastAsia="Aptos" w:cs="Aptos"/>
                <w:color w:val="000000"/>
                <w:sz w:val="20"/>
                <w:szCs w:val="20"/>
              </w:rPr>
            </w:pPr>
            <w:r w:rsidRPr="00175D8B">
              <w:rPr>
                <w:rFonts w:eastAsia="Aptos" w:cs="Aptos"/>
                <w:color w:val="000000" w:themeColor="text1"/>
                <w:sz w:val="20"/>
                <w:szCs w:val="20"/>
              </w:rPr>
              <w:t>Grain, Vegetables, Fruits, Forage Crops</w:t>
            </w:r>
          </w:p>
        </w:tc>
        <w:tc>
          <w:tcPr>
            <w:tcW w:w="2700" w:type="dxa"/>
            <w:shd w:val="clear" w:color="auto" w:fill="F2F2F2"/>
            <w:vAlign w:val="center"/>
          </w:tcPr>
          <w:p w14:paraId="2739958F" w14:textId="5B00FDF2" w:rsidR="00C70A6A" w:rsidRPr="00175D8B" w:rsidRDefault="00C70A6A" w:rsidP="00C70A6A">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 xml:space="preserve">Few </w:t>
            </w:r>
            <w:r w:rsidRPr="00175D8B">
              <w:rPr>
                <w:rFonts w:eastAsia="Aptos" w:cs="Aptos"/>
                <w:color w:val="000000"/>
                <w:sz w:val="20"/>
                <w:szCs w:val="20"/>
              </w:rPr>
              <w:t>Cattle</w:t>
            </w:r>
            <w:r w:rsidRPr="00175D8B">
              <w:rPr>
                <w:rFonts w:eastAsia="Aptos" w:cs="Aptos"/>
                <w:color w:val="000000" w:themeColor="text1"/>
                <w:sz w:val="20"/>
                <w:szCs w:val="20"/>
              </w:rPr>
              <w:t xml:space="preserve">, </w:t>
            </w:r>
            <w:r w:rsidR="00865A53" w:rsidRPr="00175D8B">
              <w:rPr>
                <w:rFonts w:eastAsia="Aptos" w:cs="Aptos"/>
                <w:color w:val="000000" w:themeColor="text1"/>
                <w:sz w:val="20"/>
                <w:szCs w:val="20"/>
              </w:rPr>
              <w:t xml:space="preserve">Few </w:t>
            </w:r>
            <w:r w:rsidR="00865A53" w:rsidRPr="00175D8B">
              <w:rPr>
                <w:rFonts w:eastAsia="Aptos" w:cs="Aptos"/>
                <w:color w:val="000000"/>
                <w:sz w:val="20"/>
                <w:szCs w:val="20"/>
              </w:rPr>
              <w:t>Small</w:t>
            </w:r>
            <w:r w:rsidRPr="00175D8B">
              <w:rPr>
                <w:rFonts w:eastAsia="Aptos" w:cs="Aptos"/>
                <w:color w:val="000000"/>
                <w:sz w:val="20"/>
                <w:szCs w:val="20"/>
              </w:rPr>
              <w:t xml:space="preserve"> Cattle</w:t>
            </w:r>
          </w:p>
        </w:tc>
        <w:tc>
          <w:tcPr>
            <w:tcW w:w="1500" w:type="dxa"/>
            <w:shd w:val="clear" w:color="auto" w:fill="F2F2F2"/>
            <w:vAlign w:val="center"/>
          </w:tcPr>
          <w:p w14:paraId="672B4E69" w14:textId="501B0421" w:rsidR="00C70A6A" w:rsidRPr="00175D8B" w:rsidRDefault="00865A53"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Exist</w:t>
            </w:r>
          </w:p>
        </w:tc>
        <w:tc>
          <w:tcPr>
            <w:tcW w:w="1560" w:type="dxa"/>
            <w:shd w:val="clear" w:color="auto" w:fill="F2F2F2"/>
            <w:vAlign w:val="center"/>
          </w:tcPr>
          <w:p w14:paraId="036C0C95"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No</w:t>
            </w:r>
          </w:p>
        </w:tc>
      </w:tr>
      <w:tr w:rsidR="00C70A6A" w:rsidRPr="00175D8B" w14:paraId="554022A0" w14:textId="77777777" w:rsidTr="00DF417A">
        <w:trPr>
          <w:trHeight w:val="300"/>
          <w:jc w:val="center"/>
        </w:trPr>
        <w:tc>
          <w:tcPr>
            <w:tcW w:w="1275" w:type="dxa"/>
            <w:shd w:val="clear" w:color="auto" w:fill="F2F2F2"/>
            <w:vAlign w:val="center"/>
          </w:tcPr>
          <w:p w14:paraId="1173D02D"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Söğütlü</w:t>
            </w:r>
          </w:p>
        </w:tc>
        <w:tc>
          <w:tcPr>
            <w:tcW w:w="2025" w:type="dxa"/>
            <w:shd w:val="clear" w:color="auto" w:fill="F2F2F2"/>
            <w:vAlign w:val="center"/>
          </w:tcPr>
          <w:p w14:paraId="2305FFBA" w14:textId="77777777" w:rsidR="00C70A6A" w:rsidRPr="00175D8B" w:rsidRDefault="00C70A6A" w:rsidP="00C70A6A">
            <w:pPr>
              <w:spacing w:before="120" w:after="0" w:line="276" w:lineRule="auto"/>
              <w:jc w:val="left"/>
              <w:rPr>
                <w:rFonts w:eastAsia="Aptos" w:cs="Aptos"/>
                <w:color w:val="000000"/>
                <w:sz w:val="20"/>
                <w:szCs w:val="20"/>
              </w:rPr>
            </w:pPr>
            <w:r w:rsidRPr="00175D8B">
              <w:rPr>
                <w:rFonts w:eastAsia="Aptos" w:cs="Aptos"/>
                <w:color w:val="000000" w:themeColor="text1"/>
                <w:sz w:val="20"/>
                <w:szCs w:val="20"/>
              </w:rPr>
              <w:t>Grain, Vegetables, Fruits, Forage Crops</w:t>
            </w:r>
          </w:p>
        </w:tc>
        <w:tc>
          <w:tcPr>
            <w:tcW w:w="2700" w:type="dxa"/>
            <w:shd w:val="clear" w:color="auto" w:fill="F2F2F2"/>
            <w:vAlign w:val="center"/>
          </w:tcPr>
          <w:p w14:paraId="383050F2" w14:textId="6A67DD3C" w:rsidR="00C70A6A" w:rsidRPr="00175D8B" w:rsidRDefault="00C70A6A" w:rsidP="00C70A6A">
            <w:pPr>
              <w:spacing w:before="120" w:after="0" w:line="276" w:lineRule="auto"/>
              <w:jc w:val="left"/>
              <w:rPr>
                <w:rFonts w:eastAsia="Aptos" w:cs="Aptos"/>
                <w:color w:val="000000" w:themeColor="text1"/>
                <w:sz w:val="20"/>
                <w:szCs w:val="20"/>
              </w:rPr>
            </w:pPr>
            <w:r w:rsidRPr="00175D8B">
              <w:rPr>
                <w:rFonts w:eastAsia="Aptos" w:cs="Aptos"/>
                <w:color w:val="000000" w:themeColor="text1"/>
                <w:sz w:val="20"/>
                <w:szCs w:val="20"/>
              </w:rPr>
              <w:t xml:space="preserve">Few </w:t>
            </w:r>
            <w:r w:rsidRPr="00175D8B">
              <w:rPr>
                <w:rFonts w:eastAsia="Aptos" w:cs="Aptos"/>
                <w:color w:val="000000"/>
                <w:sz w:val="20"/>
                <w:szCs w:val="20"/>
              </w:rPr>
              <w:t>Cattle</w:t>
            </w:r>
            <w:r w:rsidRPr="00175D8B">
              <w:rPr>
                <w:rFonts w:eastAsia="Aptos" w:cs="Aptos"/>
                <w:color w:val="000000" w:themeColor="text1"/>
                <w:sz w:val="20"/>
                <w:szCs w:val="20"/>
              </w:rPr>
              <w:t xml:space="preserve">, </w:t>
            </w:r>
            <w:r w:rsidR="00865A53" w:rsidRPr="00175D8B">
              <w:rPr>
                <w:rFonts w:eastAsia="Aptos" w:cs="Aptos"/>
                <w:color w:val="000000" w:themeColor="text1"/>
                <w:sz w:val="20"/>
                <w:szCs w:val="20"/>
              </w:rPr>
              <w:t xml:space="preserve">Few </w:t>
            </w:r>
            <w:r w:rsidR="00865A53" w:rsidRPr="00175D8B">
              <w:rPr>
                <w:rFonts w:eastAsia="Aptos" w:cs="Aptos"/>
                <w:color w:val="000000"/>
                <w:sz w:val="20"/>
                <w:szCs w:val="20"/>
              </w:rPr>
              <w:t>Small</w:t>
            </w:r>
            <w:r w:rsidRPr="00175D8B">
              <w:rPr>
                <w:rFonts w:eastAsia="Aptos" w:cs="Aptos"/>
                <w:color w:val="000000"/>
                <w:sz w:val="20"/>
                <w:szCs w:val="20"/>
              </w:rPr>
              <w:t xml:space="preserve"> Cattle</w:t>
            </w:r>
          </w:p>
        </w:tc>
        <w:tc>
          <w:tcPr>
            <w:tcW w:w="1500" w:type="dxa"/>
            <w:shd w:val="clear" w:color="auto" w:fill="F2F2F2"/>
            <w:vAlign w:val="center"/>
          </w:tcPr>
          <w:p w14:paraId="309E2D9B"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w:t>
            </w:r>
          </w:p>
        </w:tc>
        <w:tc>
          <w:tcPr>
            <w:tcW w:w="1560" w:type="dxa"/>
            <w:shd w:val="clear" w:color="auto" w:fill="F2F2F2"/>
            <w:vAlign w:val="center"/>
          </w:tcPr>
          <w:p w14:paraId="3F48570B"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No</w:t>
            </w:r>
          </w:p>
        </w:tc>
      </w:tr>
      <w:tr w:rsidR="00C70A6A" w:rsidRPr="00175D8B" w14:paraId="0E7F9736" w14:textId="77777777" w:rsidTr="00DF417A">
        <w:trPr>
          <w:trHeight w:val="300"/>
          <w:jc w:val="center"/>
        </w:trPr>
        <w:tc>
          <w:tcPr>
            <w:tcW w:w="1275" w:type="dxa"/>
            <w:shd w:val="clear" w:color="auto" w:fill="F2F2F2"/>
            <w:vAlign w:val="center"/>
          </w:tcPr>
          <w:p w14:paraId="187D47F8"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Taraklı</w:t>
            </w:r>
          </w:p>
        </w:tc>
        <w:tc>
          <w:tcPr>
            <w:tcW w:w="2025" w:type="dxa"/>
            <w:shd w:val="clear" w:color="auto" w:fill="F2F2F2"/>
            <w:vAlign w:val="center"/>
          </w:tcPr>
          <w:p w14:paraId="193EA187" w14:textId="77777777" w:rsidR="00C70A6A" w:rsidRPr="00175D8B" w:rsidRDefault="00C70A6A" w:rsidP="00C70A6A">
            <w:pPr>
              <w:spacing w:before="120" w:after="0" w:line="276" w:lineRule="auto"/>
              <w:jc w:val="left"/>
              <w:rPr>
                <w:rFonts w:eastAsia="Aptos" w:cs="Aptos"/>
                <w:color w:val="000000"/>
                <w:sz w:val="20"/>
                <w:szCs w:val="20"/>
              </w:rPr>
            </w:pPr>
            <w:r w:rsidRPr="00175D8B">
              <w:rPr>
                <w:rFonts w:eastAsia="Aptos" w:cs="Aptos"/>
                <w:color w:val="000000" w:themeColor="text1"/>
                <w:sz w:val="20"/>
                <w:szCs w:val="20"/>
              </w:rPr>
              <w:t>Grain, Vegetables, Fruits, Forage Crops</w:t>
            </w:r>
          </w:p>
        </w:tc>
        <w:tc>
          <w:tcPr>
            <w:tcW w:w="2700" w:type="dxa"/>
            <w:shd w:val="clear" w:color="auto" w:fill="F2F2F2"/>
            <w:vAlign w:val="center"/>
          </w:tcPr>
          <w:p w14:paraId="12C786DF" w14:textId="77777777" w:rsidR="00C70A6A" w:rsidRPr="00175D8B" w:rsidRDefault="00C70A6A" w:rsidP="00C70A6A">
            <w:pPr>
              <w:spacing w:before="120" w:after="0" w:line="276" w:lineRule="auto"/>
              <w:jc w:val="left"/>
              <w:rPr>
                <w:rFonts w:eastAsia="Aptos" w:cs="Aptos"/>
                <w:color w:val="000000"/>
                <w:sz w:val="20"/>
                <w:szCs w:val="20"/>
              </w:rPr>
            </w:pPr>
            <w:r w:rsidRPr="00175D8B">
              <w:rPr>
                <w:rFonts w:eastAsia="Aptos" w:cs="Aptos"/>
                <w:color w:val="000000" w:themeColor="text1"/>
                <w:sz w:val="20"/>
                <w:szCs w:val="20"/>
              </w:rPr>
              <w:t xml:space="preserve">A small number of </w:t>
            </w:r>
            <w:r w:rsidRPr="00175D8B">
              <w:rPr>
                <w:rFonts w:eastAsia="Aptos" w:cs="Aptos"/>
                <w:color w:val="000000"/>
                <w:sz w:val="20"/>
                <w:szCs w:val="20"/>
              </w:rPr>
              <w:t>Cattle</w:t>
            </w:r>
            <w:r w:rsidRPr="00175D8B">
              <w:rPr>
                <w:rFonts w:eastAsia="Aptos" w:cs="Aptos"/>
                <w:color w:val="000000" w:themeColor="text1"/>
                <w:sz w:val="20"/>
                <w:szCs w:val="20"/>
              </w:rPr>
              <w:t xml:space="preserve">, </w:t>
            </w:r>
            <w:r w:rsidRPr="00175D8B">
              <w:rPr>
                <w:rFonts w:eastAsia="Aptos" w:cs="Aptos"/>
                <w:color w:val="000000"/>
                <w:sz w:val="20"/>
                <w:szCs w:val="20"/>
              </w:rPr>
              <w:t>Small Cattle</w:t>
            </w:r>
          </w:p>
        </w:tc>
        <w:tc>
          <w:tcPr>
            <w:tcW w:w="1500" w:type="dxa"/>
            <w:shd w:val="clear" w:color="auto" w:fill="F2F2F2"/>
            <w:vAlign w:val="center"/>
          </w:tcPr>
          <w:p w14:paraId="0B8DCFCA" w14:textId="2D9F2E46" w:rsidR="00C70A6A" w:rsidRPr="00175D8B" w:rsidRDefault="00865A53"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Exist</w:t>
            </w:r>
          </w:p>
        </w:tc>
        <w:tc>
          <w:tcPr>
            <w:tcW w:w="1560" w:type="dxa"/>
            <w:shd w:val="clear" w:color="auto" w:fill="F2F2F2"/>
            <w:vAlign w:val="center"/>
          </w:tcPr>
          <w:p w14:paraId="5A692364" w14:textId="77777777" w:rsidR="00C70A6A" w:rsidRPr="00175D8B" w:rsidRDefault="00C70A6A" w:rsidP="00C70A6A">
            <w:pPr>
              <w:spacing w:before="120" w:after="0" w:line="276" w:lineRule="auto"/>
              <w:jc w:val="center"/>
              <w:rPr>
                <w:rFonts w:eastAsia="Aptos" w:cs="Aptos"/>
                <w:color w:val="000000" w:themeColor="text1"/>
                <w:sz w:val="20"/>
                <w:szCs w:val="20"/>
              </w:rPr>
            </w:pPr>
            <w:r w:rsidRPr="00175D8B">
              <w:rPr>
                <w:rFonts w:eastAsia="Aptos" w:cs="Aptos"/>
                <w:color w:val="000000" w:themeColor="text1"/>
                <w:sz w:val="20"/>
                <w:szCs w:val="20"/>
              </w:rPr>
              <w:t>Fish Farms</w:t>
            </w:r>
          </w:p>
        </w:tc>
      </w:tr>
    </w:tbl>
    <w:p w14:paraId="38687373" w14:textId="4EBF0759" w:rsidR="003D7B6F" w:rsidRPr="00175D8B" w:rsidRDefault="00C70A6A" w:rsidP="00C70A6A">
      <w:pPr>
        <w:pBdr>
          <w:top w:val="nil"/>
          <w:left w:val="nil"/>
          <w:bottom w:val="nil"/>
          <w:right w:val="nil"/>
          <w:between w:val="nil"/>
        </w:pBdr>
        <w:shd w:val="clear" w:color="auto" w:fill="FFFFFF"/>
        <w:spacing w:before="120" w:after="288" w:line="278" w:lineRule="auto"/>
        <w:ind w:left="360"/>
        <w:contextualSpacing/>
        <w:jc w:val="center"/>
        <w:rPr>
          <w:rFonts w:eastAsia="Aptos" w:cs="Aptos"/>
          <w:i/>
          <w:color w:val="000000" w:themeColor="text1"/>
          <w:sz w:val="18"/>
          <w:szCs w:val="18"/>
        </w:rPr>
      </w:pPr>
      <w:r w:rsidRPr="00175D8B">
        <w:rPr>
          <w:rFonts w:eastAsia="Aptos" w:cs="Aptos"/>
          <w:b/>
          <w:i/>
          <w:color w:val="000000" w:themeColor="text1"/>
          <w:sz w:val="18"/>
          <w:szCs w:val="18"/>
        </w:rPr>
        <w:t xml:space="preserve">Source: </w:t>
      </w:r>
      <w:r w:rsidRPr="00175D8B">
        <w:rPr>
          <w:rFonts w:eastAsia="Aptos" w:cs="Aptos"/>
          <w:i/>
          <w:color w:val="000000" w:themeColor="text1"/>
          <w:sz w:val="18"/>
          <w:szCs w:val="18"/>
        </w:rPr>
        <w:t>Sakarya Provincial Directorate of Agriculture and Forestry, Annual Report 2018</w:t>
      </w:r>
      <w:bookmarkStart w:id="267" w:name="_heading=h.rhkwsw3dv0mg" w:colFirst="0" w:colLast="0"/>
      <w:bookmarkEnd w:id="267"/>
    </w:p>
    <w:p w14:paraId="7C111659" w14:textId="6628F642" w:rsidR="00B87BB2" w:rsidRPr="00175D8B" w:rsidRDefault="00F84C91" w:rsidP="002550A6">
      <w:pPr>
        <w:pStyle w:val="Balk3"/>
        <w:numPr>
          <w:ilvl w:val="3"/>
          <w:numId w:val="153"/>
        </w:numPr>
        <w:ind w:left="1985" w:hanging="992"/>
      </w:pPr>
      <w:bookmarkStart w:id="268" w:name="_Toc209708106"/>
      <w:bookmarkStart w:id="269" w:name="_Toc212541882"/>
      <w:bookmarkStart w:id="270" w:name="_Toc212542393"/>
      <w:bookmarkStart w:id="271" w:name="_Toc220672796"/>
      <w:r>
        <w:t xml:space="preserve">Profile of Manufacturing Industry in </w:t>
      </w:r>
      <w:r w:rsidR="00ED7888" w:rsidRPr="00175D8B">
        <w:t>Sakarya</w:t>
      </w:r>
      <w:bookmarkEnd w:id="268"/>
      <w:bookmarkEnd w:id="269"/>
      <w:bookmarkEnd w:id="270"/>
      <w:bookmarkEnd w:id="271"/>
    </w:p>
    <w:p w14:paraId="22A8C43C" w14:textId="6E623BAF" w:rsidR="00ED7888" w:rsidRPr="00175D8B" w:rsidRDefault="004F7AD3" w:rsidP="00B87BB2">
      <w:r w:rsidRPr="00175D8B">
        <w:t xml:space="preserve">The province of Sakarya has become an attractive center for industrial investments due to its geographical location, transportation infrastructure, and natural resources. </w:t>
      </w:r>
      <w:r w:rsidR="00990E43" w:rsidRPr="00175D8B">
        <w:t xml:space="preserve">Sakarya's industrial profile covers a wide range from automotive to metal industry, from food production to construction sector. Especially the automotive industry stands out throughout the province. Sakarya is one of Türkiye's leading automotive production centers and many brands have factories here. In particular, the factories of large domestic companies such as Toyota, Otokar and Türk Traktör are located here. </w:t>
      </w:r>
      <w:r w:rsidR="00910A50" w:rsidRPr="00175D8B">
        <w:t>This situation makes a significant contribution to the region’s economic growth and increases employment opportunities.</w:t>
      </w:r>
      <w:r w:rsidR="00910A50" w:rsidRPr="00175D8B" w:rsidDel="00910A50">
        <w:t xml:space="preserve"> </w:t>
      </w:r>
      <w:r w:rsidR="00990E43" w:rsidRPr="00175D8B">
        <w:t>In addition, infrastructure investments and incentives for the industry make Sakarya even more attractive for industrial investments. It is especially supported by local innovation and R&amp;D activities. Universities and research centers in the city work in collaboration with the industry to develop innovative solutions and technologies, thus increasing the efficiency of production.</w:t>
      </w:r>
    </w:p>
    <w:p w14:paraId="603E8865" w14:textId="36CDCF00" w:rsidR="00ED7888" w:rsidRPr="00175D8B" w:rsidRDefault="00990E43" w:rsidP="00ED7888">
      <w:pPr>
        <w:pStyle w:val="ListeParagraf"/>
        <w:spacing w:after="288"/>
        <w:ind w:left="0"/>
      </w:pPr>
      <w:r w:rsidRPr="00175D8B">
        <w:t xml:space="preserve">Sakarya is one of Türkiye's leading production and export centers. In 2023, the gross domestic product (GDP) per capita was 284,969 TL, and Sakarya was among the top 20 provinces in Türkiye. In the same year, according to the chained volume index, it became the 8th province that contributed the most to Türkiye's economic growth. The automotive sector is the locomotive of Sakarya's industry. In the province, where major manufacturers such as Toyota, Otokar and TürkTraktör operate, a total of 269,284 vehicles were produced in 2023; 75.5% of this production was exported. Automotive exports </w:t>
      </w:r>
      <w:r w:rsidRPr="00175D8B">
        <w:lastRenderedPageBreak/>
        <w:t>alone exceeded 5.7 billion dollars. In addition, the chemical, machinery, metal, defense and steel industries and the developing production infrastructure have made Sakarya an important industrial base on a regional scale. Karasu Port is also in a strategic location in terms of logistics thanks to its high-speed train line and Northern Marmara Motorway connections. Sakarya continues to contribute increasingly to the economy of both the region and the country with its industrial production capacity and foreign trade potential.</w:t>
      </w:r>
      <w:r w:rsidRPr="00175D8B">
        <w:rPr>
          <w:rStyle w:val="DipnotBavurusu"/>
        </w:rPr>
        <w:footnoteReference w:id="27"/>
      </w:r>
    </w:p>
    <w:p w14:paraId="1F79A8CD" w14:textId="77777777" w:rsidR="00ED7888" w:rsidRPr="00175D8B" w:rsidRDefault="00ED7888" w:rsidP="00ED7888">
      <w:pPr>
        <w:pStyle w:val="ListeParagraf"/>
        <w:spacing w:after="288"/>
        <w:ind w:left="0"/>
        <w:rPr>
          <w:color w:val="000000"/>
          <w:sz w:val="16"/>
          <w:szCs w:val="16"/>
        </w:rPr>
      </w:pPr>
    </w:p>
    <w:p w14:paraId="6E00827F" w14:textId="46D0E9D3" w:rsidR="00ED7888" w:rsidRPr="00175D8B" w:rsidRDefault="00990E43" w:rsidP="00ED7888">
      <w:pPr>
        <w:pStyle w:val="ListeParagraf"/>
        <w:spacing w:after="288"/>
        <w:ind w:left="0"/>
      </w:pPr>
      <w:r w:rsidRPr="00175D8B">
        <w:t xml:space="preserve">There </w:t>
      </w:r>
      <w:r w:rsidR="009E4C40" w:rsidRPr="00175D8B">
        <w:t>is</w:t>
      </w:r>
      <w:r w:rsidRPr="00175D8B">
        <w:t xml:space="preserve"> a total of 9 Organized Industrial Zones (OIZs) in Sakarya province. These OIZs; Sakarya 1st OIZ, Sakarya 2nd OIZ, Sakarya 3rd OIZ, Karasu OIZ, Ferizli OIZ, Kaynarca Furniture Specialized OIZ, East Marmara Machinery Manufacturing Specialized OIZ, Sakarya Automotive and Metal Specialized OIZ and Sakarya Söğütlü OIZ. These OIZs ensure that industrial activities are carried out more efficiently in terms of infrastructure, transportation and logistics by gathering them in certain areas. Production activities are mainly concentrated in machinery manufacturing, automotive sub-industry, furniture, metal processing and chemical sectors. This industrial structuring carried out in OIZs increases the production potential of the province based on medium and high technology; it also plays an important role in terms of employment and regional development.</w:t>
      </w:r>
    </w:p>
    <w:p w14:paraId="0D2DFB86" w14:textId="4C0BAD99" w:rsidR="00E121DB" w:rsidRPr="00175D8B" w:rsidRDefault="00E121DB" w:rsidP="006C58C5">
      <w:pPr>
        <w:pStyle w:val="ResimYazs"/>
        <w:keepNext/>
        <w:jc w:val="center"/>
      </w:pPr>
      <w:bookmarkStart w:id="272" w:name="_Toc216344443"/>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26</w:t>
      </w:r>
      <w:r w:rsidRPr="006C58C5">
        <w:rPr>
          <w:b/>
          <w:bCs/>
        </w:rPr>
        <w:fldChar w:fldCharType="end"/>
      </w:r>
      <w:r w:rsidRPr="006C58C5">
        <w:rPr>
          <w:b/>
          <w:bCs/>
        </w:rPr>
        <w:t>:</w:t>
      </w:r>
      <w:r w:rsidRPr="00175D8B">
        <w:t xml:space="preserve"> </w:t>
      </w:r>
      <w:r w:rsidRPr="00175D8B">
        <w:rPr>
          <w:rFonts w:eastAsia="Aptos" w:cs="Aptos"/>
          <w:color w:val="000000"/>
          <w:szCs w:val="20"/>
        </w:rPr>
        <w:t>Organized Industrial Zones in Sakarya Province</w:t>
      </w:r>
      <w:bookmarkEnd w:id="272"/>
    </w:p>
    <w:tbl>
      <w:tblPr>
        <w:tblStyle w:val="TabloKlavuzu"/>
        <w:tblW w:w="9072" w:type="dxa"/>
        <w:jc w:val="center"/>
        <w:tblLayout w:type="fixed"/>
        <w:tblLook w:val="06A0" w:firstRow="1" w:lastRow="0" w:firstColumn="1" w:lastColumn="0" w:noHBand="1" w:noVBand="1"/>
      </w:tblPr>
      <w:tblGrid>
        <w:gridCol w:w="1206"/>
        <w:gridCol w:w="4842"/>
        <w:gridCol w:w="3024"/>
      </w:tblGrid>
      <w:tr w:rsidR="00990E43" w:rsidRPr="00175D8B" w14:paraId="6024ED8E" w14:textId="77777777" w:rsidTr="00DF417A">
        <w:trPr>
          <w:trHeight w:val="266"/>
          <w:tblHeader/>
          <w:jc w:val="center"/>
        </w:trPr>
        <w:tc>
          <w:tcPr>
            <w:tcW w:w="1206" w:type="dxa"/>
            <w:shd w:val="clear" w:color="auto" w:fill="ABB7C1"/>
            <w:vAlign w:val="center"/>
          </w:tcPr>
          <w:p w14:paraId="5ACE1530" w14:textId="77777777" w:rsidR="00990E43" w:rsidRPr="00175D8B" w:rsidRDefault="00990E43" w:rsidP="00990E43">
            <w:pPr>
              <w:spacing w:before="120" w:afterLines="120" w:after="288" w:line="276" w:lineRule="auto"/>
              <w:jc w:val="center"/>
              <w:rPr>
                <w:rFonts w:eastAsia="Tahoma" w:cs="Aptos"/>
                <w:b/>
                <w:bCs/>
                <w:color w:val="000000" w:themeColor="text1"/>
                <w:sz w:val="20"/>
                <w:szCs w:val="20"/>
              </w:rPr>
            </w:pPr>
            <w:r w:rsidRPr="00175D8B">
              <w:rPr>
                <w:rFonts w:eastAsia="Tahoma" w:cs="Aptos"/>
                <w:b/>
                <w:bCs/>
                <w:color w:val="000000" w:themeColor="text1"/>
                <w:sz w:val="20"/>
                <w:szCs w:val="20"/>
              </w:rPr>
              <w:t>No</w:t>
            </w:r>
          </w:p>
        </w:tc>
        <w:tc>
          <w:tcPr>
            <w:tcW w:w="4842" w:type="dxa"/>
            <w:shd w:val="clear" w:color="auto" w:fill="ABB7C1"/>
            <w:vAlign w:val="center"/>
          </w:tcPr>
          <w:p w14:paraId="2F0FCA79" w14:textId="77777777" w:rsidR="00990E43" w:rsidRPr="00175D8B" w:rsidRDefault="00990E43" w:rsidP="00990E43">
            <w:pPr>
              <w:spacing w:before="120" w:afterLines="120" w:after="288" w:line="276" w:lineRule="auto"/>
              <w:jc w:val="center"/>
              <w:rPr>
                <w:rFonts w:eastAsia="Tahoma" w:cs="Aptos"/>
                <w:b/>
                <w:bCs/>
                <w:color w:val="000000" w:themeColor="text1"/>
                <w:sz w:val="20"/>
                <w:szCs w:val="20"/>
              </w:rPr>
            </w:pPr>
            <w:r w:rsidRPr="00175D8B">
              <w:rPr>
                <w:rFonts w:eastAsia="Tahoma" w:cs="Aptos"/>
                <w:b/>
                <w:bCs/>
                <w:color w:val="000000" w:themeColor="text1"/>
                <w:sz w:val="20"/>
                <w:szCs w:val="20"/>
              </w:rPr>
              <w:t>Organized Industrial Zone (OIZ)</w:t>
            </w:r>
          </w:p>
        </w:tc>
        <w:tc>
          <w:tcPr>
            <w:tcW w:w="3024" w:type="dxa"/>
            <w:shd w:val="clear" w:color="auto" w:fill="ABB7C1"/>
            <w:vAlign w:val="center"/>
          </w:tcPr>
          <w:p w14:paraId="0BD75D5A" w14:textId="77777777" w:rsidR="00990E43" w:rsidRPr="00175D8B" w:rsidRDefault="00990E43" w:rsidP="00990E43">
            <w:pPr>
              <w:spacing w:before="120" w:afterLines="120" w:after="288" w:line="276" w:lineRule="auto"/>
              <w:jc w:val="center"/>
              <w:rPr>
                <w:rFonts w:eastAsia="Tahoma" w:cs="Aptos"/>
                <w:b/>
                <w:bCs/>
                <w:color w:val="000000" w:themeColor="text1"/>
                <w:sz w:val="20"/>
                <w:szCs w:val="20"/>
              </w:rPr>
            </w:pPr>
            <w:r w:rsidRPr="00175D8B">
              <w:rPr>
                <w:rFonts w:eastAsia="Tahoma" w:cs="Aptos"/>
                <w:b/>
                <w:bCs/>
                <w:color w:val="000000" w:themeColor="text1"/>
                <w:sz w:val="20"/>
                <w:szCs w:val="20"/>
              </w:rPr>
              <w:t>County</w:t>
            </w:r>
          </w:p>
        </w:tc>
      </w:tr>
      <w:tr w:rsidR="00990E43" w:rsidRPr="00175D8B" w14:paraId="56E2096D" w14:textId="77777777" w:rsidTr="00DF417A">
        <w:trPr>
          <w:trHeight w:val="532"/>
          <w:jc w:val="center"/>
        </w:trPr>
        <w:tc>
          <w:tcPr>
            <w:tcW w:w="1206" w:type="dxa"/>
            <w:shd w:val="clear" w:color="auto" w:fill="F2F2F2" w:themeFill="background1" w:themeFillShade="F2"/>
            <w:vAlign w:val="center"/>
          </w:tcPr>
          <w:p w14:paraId="03BA52B5"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1</w:t>
            </w:r>
          </w:p>
        </w:tc>
        <w:tc>
          <w:tcPr>
            <w:tcW w:w="4842" w:type="dxa"/>
            <w:shd w:val="clear" w:color="auto" w:fill="F2F2F2" w:themeFill="background1" w:themeFillShade="F2"/>
            <w:vAlign w:val="center"/>
          </w:tcPr>
          <w:p w14:paraId="1E038F5F" w14:textId="0565E7CE"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Sakarya 1</w:t>
            </w:r>
            <w:r w:rsidR="00FD269E" w:rsidRPr="00175D8B">
              <w:rPr>
                <w:rFonts w:eastAsia="Tahoma" w:cs="Aptos"/>
                <w:color w:val="000000" w:themeColor="text1"/>
                <w:sz w:val="20"/>
                <w:szCs w:val="20"/>
              </w:rPr>
              <w:t>st</w:t>
            </w:r>
            <w:r w:rsidRPr="00175D8B">
              <w:rPr>
                <w:rFonts w:eastAsia="Tahoma" w:cs="Aptos"/>
                <w:color w:val="000000" w:themeColor="text1"/>
                <w:sz w:val="20"/>
                <w:szCs w:val="20"/>
              </w:rPr>
              <w:t xml:space="preserve"> </w:t>
            </w:r>
            <w:r w:rsidR="00FD269E" w:rsidRPr="00175D8B">
              <w:rPr>
                <w:rFonts w:eastAsia="Tahoma" w:cs="Aptos"/>
                <w:color w:val="000000" w:themeColor="text1"/>
                <w:sz w:val="20"/>
                <w:szCs w:val="20"/>
              </w:rPr>
              <w:t>OIZ</w:t>
            </w:r>
          </w:p>
        </w:tc>
        <w:tc>
          <w:tcPr>
            <w:tcW w:w="3024" w:type="dxa"/>
            <w:shd w:val="clear" w:color="auto" w:fill="F2F2F2" w:themeFill="background1" w:themeFillShade="F2"/>
            <w:vAlign w:val="center"/>
          </w:tcPr>
          <w:p w14:paraId="099FEA09"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Arifiye</w:t>
            </w:r>
          </w:p>
        </w:tc>
      </w:tr>
      <w:tr w:rsidR="00990E43" w:rsidRPr="00175D8B" w14:paraId="4B95766F" w14:textId="77777777" w:rsidTr="00DF417A">
        <w:trPr>
          <w:trHeight w:val="532"/>
          <w:jc w:val="center"/>
        </w:trPr>
        <w:tc>
          <w:tcPr>
            <w:tcW w:w="1206" w:type="dxa"/>
            <w:shd w:val="clear" w:color="auto" w:fill="F2F2F2" w:themeFill="background1" w:themeFillShade="F2"/>
            <w:vAlign w:val="center"/>
          </w:tcPr>
          <w:p w14:paraId="3890703E"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2</w:t>
            </w:r>
          </w:p>
        </w:tc>
        <w:tc>
          <w:tcPr>
            <w:tcW w:w="4842" w:type="dxa"/>
            <w:shd w:val="clear" w:color="auto" w:fill="F2F2F2" w:themeFill="background1" w:themeFillShade="F2"/>
            <w:vAlign w:val="center"/>
          </w:tcPr>
          <w:p w14:paraId="182EC59B" w14:textId="317A7406"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Sakarya 2nd O</w:t>
            </w:r>
            <w:r w:rsidR="00FD269E" w:rsidRPr="00175D8B">
              <w:rPr>
                <w:rFonts w:eastAsia="Tahoma" w:cs="Aptos"/>
                <w:color w:val="000000" w:themeColor="text1"/>
                <w:sz w:val="20"/>
                <w:szCs w:val="20"/>
              </w:rPr>
              <w:t>IZ</w:t>
            </w:r>
          </w:p>
        </w:tc>
        <w:tc>
          <w:tcPr>
            <w:tcW w:w="3024" w:type="dxa"/>
            <w:shd w:val="clear" w:color="auto" w:fill="F2F2F2" w:themeFill="background1" w:themeFillShade="F2"/>
            <w:vAlign w:val="center"/>
          </w:tcPr>
          <w:p w14:paraId="555F7EEF"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Hendek</w:t>
            </w:r>
          </w:p>
        </w:tc>
      </w:tr>
      <w:tr w:rsidR="00990E43" w:rsidRPr="00175D8B" w14:paraId="4E4A76E6" w14:textId="77777777" w:rsidTr="00DF417A">
        <w:trPr>
          <w:trHeight w:val="532"/>
          <w:jc w:val="center"/>
        </w:trPr>
        <w:tc>
          <w:tcPr>
            <w:tcW w:w="1206" w:type="dxa"/>
            <w:shd w:val="clear" w:color="auto" w:fill="F2F2F2" w:themeFill="background1" w:themeFillShade="F2"/>
            <w:vAlign w:val="center"/>
          </w:tcPr>
          <w:p w14:paraId="3FED5179"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3</w:t>
            </w:r>
          </w:p>
        </w:tc>
        <w:tc>
          <w:tcPr>
            <w:tcW w:w="4842" w:type="dxa"/>
            <w:shd w:val="clear" w:color="auto" w:fill="F2F2F2" w:themeFill="background1" w:themeFillShade="F2"/>
            <w:vAlign w:val="center"/>
          </w:tcPr>
          <w:p w14:paraId="0E5B5DEF" w14:textId="41C1C7C5"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Sakarya 3rd O</w:t>
            </w:r>
            <w:r w:rsidR="00FD269E" w:rsidRPr="00175D8B">
              <w:rPr>
                <w:rFonts w:eastAsia="Tahoma" w:cs="Aptos"/>
                <w:color w:val="000000" w:themeColor="text1"/>
                <w:sz w:val="20"/>
                <w:szCs w:val="20"/>
              </w:rPr>
              <w:t>IZ</w:t>
            </w:r>
          </w:p>
        </w:tc>
        <w:tc>
          <w:tcPr>
            <w:tcW w:w="3024" w:type="dxa"/>
            <w:shd w:val="clear" w:color="auto" w:fill="F2F2F2" w:themeFill="background1" w:themeFillShade="F2"/>
            <w:vAlign w:val="center"/>
          </w:tcPr>
          <w:p w14:paraId="622F5E88"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Söğütlü</w:t>
            </w:r>
          </w:p>
        </w:tc>
      </w:tr>
      <w:tr w:rsidR="00990E43" w:rsidRPr="00175D8B" w14:paraId="23212DD9" w14:textId="77777777" w:rsidTr="00DF417A">
        <w:trPr>
          <w:trHeight w:val="532"/>
          <w:jc w:val="center"/>
        </w:trPr>
        <w:tc>
          <w:tcPr>
            <w:tcW w:w="1206" w:type="dxa"/>
            <w:shd w:val="clear" w:color="auto" w:fill="F2F2F2" w:themeFill="background1" w:themeFillShade="F2"/>
            <w:vAlign w:val="center"/>
          </w:tcPr>
          <w:p w14:paraId="19C03A30"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4</w:t>
            </w:r>
          </w:p>
        </w:tc>
        <w:tc>
          <w:tcPr>
            <w:tcW w:w="4842" w:type="dxa"/>
            <w:shd w:val="clear" w:color="auto" w:fill="F2F2F2" w:themeFill="background1" w:themeFillShade="F2"/>
            <w:vAlign w:val="center"/>
          </w:tcPr>
          <w:p w14:paraId="7E84F4BD" w14:textId="4219B63F"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Karasu O</w:t>
            </w:r>
            <w:r w:rsidR="00FD269E" w:rsidRPr="00175D8B">
              <w:rPr>
                <w:rFonts w:eastAsia="Tahoma" w:cs="Aptos"/>
                <w:color w:val="000000" w:themeColor="text1"/>
                <w:sz w:val="20"/>
                <w:szCs w:val="20"/>
              </w:rPr>
              <w:t>IZ</w:t>
            </w:r>
          </w:p>
        </w:tc>
        <w:tc>
          <w:tcPr>
            <w:tcW w:w="3024" w:type="dxa"/>
            <w:shd w:val="clear" w:color="auto" w:fill="F2F2F2" w:themeFill="background1" w:themeFillShade="F2"/>
            <w:vAlign w:val="center"/>
          </w:tcPr>
          <w:p w14:paraId="4DADE46E"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Karasu</w:t>
            </w:r>
          </w:p>
        </w:tc>
      </w:tr>
      <w:tr w:rsidR="00990E43" w:rsidRPr="00175D8B" w14:paraId="644657FC" w14:textId="77777777" w:rsidTr="00DF417A">
        <w:trPr>
          <w:trHeight w:val="532"/>
          <w:jc w:val="center"/>
        </w:trPr>
        <w:tc>
          <w:tcPr>
            <w:tcW w:w="1206" w:type="dxa"/>
            <w:shd w:val="clear" w:color="auto" w:fill="F2F2F2" w:themeFill="background1" w:themeFillShade="F2"/>
            <w:vAlign w:val="center"/>
          </w:tcPr>
          <w:p w14:paraId="4AE8A829"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5</w:t>
            </w:r>
          </w:p>
        </w:tc>
        <w:tc>
          <w:tcPr>
            <w:tcW w:w="4842" w:type="dxa"/>
            <w:shd w:val="clear" w:color="auto" w:fill="F2F2F2" w:themeFill="background1" w:themeFillShade="F2"/>
            <w:vAlign w:val="center"/>
          </w:tcPr>
          <w:p w14:paraId="5A880DED"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Ferizli OIZ</w:t>
            </w:r>
          </w:p>
        </w:tc>
        <w:tc>
          <w:tcPr>
            <w:tcW w:w="3024" w:type="dxa"/>
            <w:shd w:val="clear" w:color="auto" w:fill="F2F2F2" w:themeFill="background1" w:themeFillShade="F2"/>
            <w:vAlign w:val="center"/>
          </w:tcPr>
          <w:p w14:paraId="308B1F8E"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Ferizli</w:t>
            </w:r>
          </w:p>
        </w:tc>
      </w:tr>
      <w:tr w:rsidR="00990E43" w:rsidRPr="00175D8B" w14:paraId="000B5F4F" w14:textId="77777777" w:rsidTr="00DF417A">
        <w:trPr>
          <w:trHeight w:val="532"/>
          <w:jc w:val="center"/>
        </w:trPr>
        <w:tc>
          <w:tcPr>
            <w:tcW w:w="1206" w:type="dxa"/>
            <w:shd w:val="clear" w:color="auto" w:fill="F2F2F2" w:themeFill="background1" w:themeFillShade="F2"/>
            <w:vAlign w:val="center"/>
          </w:tcPr>
          <w:p w14:paraId="79AA50BC"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6</w:t>
            </w:r>
          </w:p>
        </w:tc>
        <w:tc>
          <w:tcPr>
            <w:tcW w:w="4842" w:type="dxa"/>
            <w:shd w:val="clear" w:color="auto" w:fill="F2F2F2" w:themeFill="background1" w:themeFillShade="F2"/>
            <w:vAlign w:val="center"/>
          </w:tcPr>
          <w:p w14:paraId="15E8359C"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Kaynarca Furniture Specialized OIZ</w:t>
            </w:r>
          </w:p>
        </w:tc>
        <w:tc>
          <w:tcPr>
            <w:tcW w:w="3024" w:type="dxa"/>
            <w:shd w:val="clear" w:color="auto" w:fill="F2F2F2" w:themeFill="background1" w:themeFillShade="F2"/>
            <w:vAlign w:val="center"/>
          </w:tcPr>
          <w:p w14:paraId="085D5826"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Kaynarca</w:t>
            </w:r>
          </w:p>
        </w:tc>
      </w:tr>
      <w:tr w:rsidR="00990E43" w:rsidRPr="00175D8B" w14:paraId="7E254DE7" w14:textId="77777777" w:rsidTr="00DF417A">
        <w:trPr>
          <w:trHeight w:val="532"/>
          <w:jc w:val="center"/>
        </w:trPr>
        <w:tc>
          <w:tcPr>
            <w:tcW w:w="1206" w:type="dxa"/>
            <w:shd w:val="clear" w:color="auto" w:fill="F2F2F2" w:themeFill="background1" w:themeFillShade="F2"/>
            <w:vAlign w:val="center"/>
          </w:tcPr>
          <w:p w14:paraId="4F540156"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7</w:t>
            </w:r>
          </w:p>
        </w:tc>
        <w:tc>
          <w:tcPr>
            <w:tcW w:w="4842" w:type="dxa"/>
            <w:shd w:val="clear" w:color="auto" w:fill="F2F2F2" w:themeFill="background1" w:themeFillShade="F2"/>
            <w:vAlign w:val="center"/>
          </w:tcPr>
          <w:p w14:paraId="64C41D74"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East Marmara Machinery Manufacturers Specialized OIZ</w:t>
            </w:r>
          </w:p>
        </w:tc>
        <w:tc>
          <w:tcPr>
            <w:tcW w:w="3024" w:type="dxa"/>
            <w:shd w:val="clear" w:color="auto" w:fill="F2F2F2" w:themeFill="background1" w:themeFillShade="F2"/>
            <w:vAlign w:val="center"/>
          </w:tcPr>
          <w:p w14:paraId="52AAD11E"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Kaynarca</w:t>
            </w:r>
          </w:p>
        </w:tc>
      </w:tr>
      <w:tr w:rsidR="00990E43" w:rsidRPr="00175D8B" w14:paraId="2AB645FB" w14:textId="77777777" w:rsidTr="00DF417A">
        <w:trPr>
          <w:trHeight w:val="532"/>
          <w:jc w:val="center"/>
        </w:trPr>
        <w:tc>
          <w:tcPr>
            <w:tcW w:w="1206" w:type="dxa"/>
            <w:shd w:val="clear" w:color="auto" w:fill="F2F2F2" w:themeFill="background1" w:themeFillShade="F2"/>
            <w:vAlign w:val="center"/>
          </w:tcPr>
          <w:p w14:paraId="782A873B"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lastRenderedPageBreak/>
              <w:t>8</w:t>
            </w:r>
          </w:p>
        </w:tc>
        <w:tc>
          <w:tcPr>
            <w:tcW w:w="4842" w:type="dxa"/>
            <w:shd w:val="clear" w:color="auto" w:fill="F2F2F2" w:themeFill="background1" w:themeFillShade="F2"/>
            <w:vAlign w:val="center"/>
          </w:tcPr>
          <w:p w14:paraId="1292ED6E"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Sakarya Automotive and Metal Specialized OIZ</w:t>
            </w:r>
          </w:p>
        </w:tc>
        <w:tc>
          <w:tcPr>
            <w:tcW w:w="3024" w:type="dxa"/>
            <w:shd w:val="clear" w:color="auto" w:fill="F2F2F2" w:themeFill="background1" w:themeFillShade="F2"/>
            <w:vAlign w:val="center"/>
          </w:tcPr>
          <w:p w14:paraId="29AB4657"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Ferizli</w:t>
            </w:r>
          </w:p>
        </w:tc>
      </w:tr>
      <w:tr w:rsidR="00990E43" w:rsidRPr="00175D8B" w14:paraId="7B10F34F" w14:textId="77777777" w:rsidTr="00DF417A">
        <w:trPr>
          <w:trHeight w:val="533"/>
          <w:jc w:val="center"/>
        </w:trPr>
        <w:tc>
          <w:tcPr>
            <w:tcW w:w="1206" w:type="dxa"/>
            <w:shd w:val="clear" w:color="auto" w:fill="F2F2F2" w:themeFill="background1" w:themeFillShade="F2"/>
            <w:vAlign w:val="center"/>
          </w:tcPr>
          <w:p w14:paraId="2DA787E0"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9</w:t>
            </w:r>
          </w:p>
        </w:tc>
        <w:tc>
          <w:tcPr>
            <w:tcW w:w="4842" w:type="dxa"/>
            <w:shd w:val="clear" w:color="auto" w:fill="F2F2F2" w:themeFill="background1" w:themeFillShade="F2"/>
            <w:vAlign w:val="center"/>
          </w:tcPr>
          <w:p w14:paraId="0F14601D" w14:textId="6F715504"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 xml:space="preserve">Sakarya Söğütlü </w:t>
            </w:r>
            <w:r w:rsidR="00617F28" w:rsidRPr="00175D8B">
              <w:rPr>
                <w:rFonts w:eastAsia="Tahoma" w:cs="Aptos"/>
                <w:color w:val="000000" w:themeColor="text1"/>
                <w:sz w:val="20"/>
                <w:szCs w:val="20"/>
              </w:rPr>
              <w:t>OIZ</w:t>
            </w:r>
          </w:p>
        </w:tc>
        <w:tc>
          <w:tcPr>
            <w:tcW w:w="3024" w:type="dxa"/>
            <w:shd w:val="clear" w:color="auto" w:fill="F2F2F2" w:themeFill="background1" w:themeFillShade="F2"/>
            <w:vAlign w:val="center"/>
          </w:tcPr>
          <w:p w14:paraId="1BB7F3CE" w14:textId="77777777" w:rsidR="00990E43" w:rsidRPr="00175D8B" w:rsidRDefault="00990E43" w:rsidP="00990E43">
            <w:pPr>
              <w:spacing w:before="120" w:afterLines="120" w:after="288" w:line="276" w:lineRule="auto"/>
              <w:jc w:val="center"/>
              <w:rPr>
                <w:rFonts w:eastAsia="Tahoma" w:cs="Aptos"/>
                <w:color w:val="000000" w:themeColor="text1"/>
                <w:sz w:val="20"/>
                <w:szCs w:val="20"/>
              </w:rPr>
            </w:pPr>
            <w:r w:rsidRPr="00175D8B">
              <w:rPr>
                <w:rFonts w:eastAsia="Tahoma" w:cs="Aptos"/>
                <w:color w:val="000000" w:themeColor="text1"/>
                <w:sz w:val="20"/>
                <w:szCs w:val="20"/>
              </w:rPr>
              <w:t>Söğütlü</w:t>
            </w:r>
          </w:p>
        </w:tc>
      </w:tr>
    </w:tbl>
    <w:p w14:paraId="35C04E24" w14:textId="14CBBDC8" w:rsidR="00990E43" w:rsidRPr="00175D8B" w:rsidRDefault="00990E43" w:rsidP="00AC5E29">
      <w:pPr>
        <w:spacing w:before="120" w:after="288" w:line="278" w:lineRule="auto"/>
        <w:jc w:val="center"/>
        <w:rPr>
          <w:rFonts w:eastAsia="Aptos" w:cs="Aptos"/>
          <w:i/>
          <w:color w:val="000000"/>
          <w:sz w:val="18"/>
          <w:szCs w:val="18"/>
        </w:rPr>
      </w:pPr>
      <w:r w:rsidRPr="00175D8B">
        <w:rPr>
          <w:rFonts w:eastAsia="Aptos" w:cs="Aptos"/>
          <w:b/>
          <w:i/>
          <w:color w:val="000000"/>
          <w:sz w:val="18"/>
          <w:szCs w:val="18"/>
        </w:rPr>
        <w:t xml:space="preserve">Source: </w:t>
      </w:r>
      <w:r w:rsidRPr="00175D8B">
        <w:rPr>
          <w:rFonts w:eastAsia="Aptos" w:cs="Aptos"/>
          <w:i/>
          <w:color w:val="000000" w:themeColor="text1"/>
          <w:sz w:val="18"/>
          <w:szCs w:val="18"/>
        </w:rPr>
        <w:t>Sakarya Chamber of Commerce and Industry</w:t>
      </w:r>
    </w:p>
    <w:p w14:paraId="32DA1E4F" w14:textId="74C3A6D2" w:rsidR="00ED7888" w:rsidRPr="00175D8B" w:rsidRDefault="00990E43" w:rsidP="00ED7888">
      <w:pPr>
        <w:spacing w:after="288"/>
        <w:rPr>
          <w:color w:val="000000"/>
        </w:rPr>
      </w:pPr>
      <w:r w:rsidRPr="00175D8B">
        <w:rPr>
          <w:color w:val="000000"/>
        </w:rPr>
        <w:t>When the sectoral distribution of industrial enterprises in Sakarya province is examined; Automotive and Trailer Manufacturing with 22.93% in the first place, Metal Products Manufacturing with 15.27% in the second place, and the main Food Products Manufacturing sectors with 12.73% in the third place.</w:t>
      </w:r>
    </w:p>
    <w:p w14:paraId="74C99915" w14:textId="0AA04FBF" w:rsidR="00ED7888" w:rsidRPr="00175D8B" w:rsidRDefault="00990E43" w:rsidP="00ED7888">
      <w:pPr>
        <w:spacing w:after="288"/>
        <w:rPr>
          <w:color w:val="000000"/>
        </w:rPr>
      </w:pPr>
      <w:r w:rsidRPr="00175D8B">
        <w:rPr>
          <w:color w:val="000000"/>
        </w:rPr>
        <w:t xml:space="preserve">There </w:t>
      </w:r>
      <w:r w:rsidR="00FD269E" w:rsidRPr="00175D8B">
        <w:rPr>
          <w:color w:val="000000"/>
        </w:rPr>
        <w:t xml:space="preserve">is </w:t>
      </w:r>
      <w:r w:rsidRPr="00175D8B">
        <w:rPr>
          <w:color w:val="000000"/>
        </w:rPr>
        <w:t xml:space="preserve">a total of </w:t>
      </w:r>
      <w:r w:rsidR="00FD269E" w:rsidRPr="00175D8B">
        <w:rPr>
          <w:color w:val="000000"/>
        </w:rPr>
        <w:t>nine</w:t>
      </w:r>
      <w:r w:rsidRPr="00175D8B">
        <w:rPr>
          <w:color w:val="000000"/>
        </w:rPr>
        <w:t xml:space="preserve"> Organized Industrial Zones in Sakarya province. The total area of these zones is 2,435.47 hectares, and 633 plots have been allocated. 280 enterprises are in production and employ a total of 31,941 people. In the current situation, the largest OIZ is Sakarya Automotive and Metal Specialized OIZ with 352 hectares, while Sakarya Automotive and Metal Specialized OIZ, which is under construction, will be the largest OIZ in Sakarya with 524 hectares when completed. As stated in the Organized Industrial Zones with the largest area;</w:t>
      </w:r>
    </w:p>
    <w:p w14:paraId="10760CCE" w14:textId="60FF6045" w:rsidR="00990E43" w:rsidRPr="00175D8B" w:rsidRDefault="00990E43" w:rsidP="00ED7888">
      <w:pPr>
        <w:spacing w:after="288"/>
        <w:rPr>
          <w:color w:val="000000"/>
        </w:rPr>
      </w:pPr>
      <w:r w:rsidRPr="00175D8B">
        <w:rPr>
          <w:color w:val="000000"/>
        </w:rPr>
        <w:t>Sakarya 1st OIZ (Hanlı) covers an area of 272 hectares. Established in 1993, this region is home to companies specializing in automotive sub-industry, textile, metal works, machinery manufacturing and production. It makes a significant contribution to the economic growth of the region with its 81 production facilities.</w:t>
      </w:r>
      <w:r w:rsidRPr="00175D8B">
        <w:rPr>
          <w:rStyle w:val="DipnotBavurusu"/>
          <w:color w:val="000000"/>
        </w:rPr>
        <w:footnoteReference w:id="28"/>
      </w:r>
    </w:p>
    <w:p w14:paraId="61392D40" w14:textId="1655B4E5" w:rsidR="00990E43" w:rsidRPr="00175D8B" w:rsidRDefault="00990E43" w:rsidP="00ED7888">
      <w:pPr>
        <w:spacing w:after="288"/>
        <w:rPr>
          <w:color w:val="000000"/>
        </w:rPr>
      </w:pPr>
      <w:r w:rsidRPr="00175D8B">
        <w:rPr>
          <w:color w:val="000000"/>
        </w:rPr>
        <w:t>The largest organized industrial zone of Sakarya province is</w:t>
      </w:r>
      <w:r w:rsidR="00D22448" w:rsidRPr="00175D8B">
        <w:rPr>
          <w:color w:val="000000"/>
        </w:rPr>
        <w:t xml:space="preserve"> the</w:t>
      </w:r>
      <w:r w:rsidRPr="00175D8B">
        <w:rPr>
          <w:color w:val="000000"/>
        </w:rPr>
        <w:t xml:space="preserve"> Sakarya 2nd OIZ (Hendek) and has an area of 352 hectares. </w:t>
      </w:r>
      <w:r w:rsidR="009E4AF5" w:rsidRPr="00175D8B">
        <w:rPr>
          <w:color w:val="000000"/>
        </w:rPr>
        <w:t>The Organized Industrial Zone, which was founded in 1997, stands out as one of the region’s major industrial hubs, characterized by its extensive production capacity spanning the metal, plastics, textile and apparel, wood and wood products, food, electrical equipment manufacturing, and chemical industries.</w:t>
      </w:r>
      <w:r w:rsidR="009E4AF5" w:rsidRPr="00175D8B" w:rsidDel="009E4AF5">
        <w:rPr>
          <w:color w:val="000000"/>
        </w:rPr>
        <w:t xml:space="preserve"> </w:t>
      </w:r>
      <w:r w:rsidRPr="00175D8B">
        <w:rPr>
          <w:rStyle w:val="DipnotBavurusu"/>
          <w:color w:val="000000"/>
        </w:rPr>
        <w:footnoteReference w:id="29"/>
      </w:r>
    </w:p>
    <w:p w14:paraId="67F6317C" w14:textId="44542425" w:rsidR="00990E43" w:rsidRPr="00175D8B" w:rsidRDefault="00990E43" w:rsidP="00990E43">
      <w:pPr>
        <w:spacing w:after="288"/>
        <w:rPr>
          <w:color w:val="000000"/>
        </w:rPr>
      </w:pPr>
      <w:r w:rsidRPr="00175D8B">
        <w:rPr>
          <w:color w:val="000000"/>
        </w:rPr>
        <w:t xml:space="preserve">Sakarya 3rd OIZ (Söğütlü) draws attention with its </w:t>
      </w:r>
      <w:r w:rsidR="009E4AF5" w:rsidRPr="00175D8B">
        <w:rPr>
          <w:color w:val="000000"/>
        </w:rPr>
        <w:t>328-hectare</w:t>
      </w:r>
      <w:r w:rsidRPr="00175D8B">
        <w:rPr>
          <w:color w:val="000000"/>
        </w:rPr>
        <w:t xml:space="preserve"> area. </w:t>
      </w:r>
      <w:r w:rsidR="009E4AF5" w:rsidRPr="00175D8B">
        <w:rPr>
          <w:color w:val="000000"/>
        </w:rPr>
        <w:t>T</w:t>
      </w:r>
      <w:r w:rsidRPr="00175D8B">
        <w:rPr>
          <w:color w:val="000000"/>
        </w:rPr>
        <w:t>his industrial zone</w:t>
      </w:r>
      <w:r w:rsidR="009E4AF5" w:rsidRPr="00175D8B">
        <w:rPr>
          <w:color w:val="000000"/>
        </w:rPr>
        <w:t>, established in 1998,</w:t>
      </w:r>
      <w:r w:rsidRPr="00175D8B">
        <w:rPr>
          <w:color w:val="000000"/>
        </w:rPr>
        <w:t xml:space="preserve"> hosts companies operating in different industrial branches, especially in the food, textile, building </w:t>
      </w:r>
      <w:r w:rsidRPr="00175D8B">
        <w:rPr>
          <w:color w:val="000000"/>
        </w:rPr>
        <w:lastRenderedPageBreak/>
        <w:t>materials, and Iron and Steel sectors. With its 66 facilities, it makes a great contribution to the production capacity of Sakarya province.</w:t>
      </w:r>
    </w:p>
    <w:p w14:paraId="6AD551C3" w14:textId="4DAA90BB" w:rsidR="00990E43" w:rsidRPr="00175D8B" w:rsidRDefault="00990E43" w:rsidP="00990E43">
      <w:pPr>
        <w:spacing w:after="288"/>
        <w:rPr>
          <w:color w:val="000000"/>
        </w:rPr>
      </w:pPr>
      <w:r w:rsidRPr="00175D8B">
        <w:rPr>
          <w:color w:val="000000"/>
        </w:rPr>
        <w:t>Karasu OIZ operates on an area of 44 hectares.</w:t>
      </w:r>
      <w:r w:rsidR="009E4AF5" w:rsidRPr="00175D8B">
        <w:rPr>
          <w:color w:val="000000"/>
        </w:rPr>
        <w:t xml:space="preserve"> This OIZ</w:t>
      </w:r>
      <w:r w:rsidRPr="00175D8B">
        <w:rPr>
          <w:color w:val="000000"/>
        </w:rPr>
        <w:t xml:space="preserve"> </w:t>
      </w:r>
      <w:r w:rsidR="009E4AF5" w:rsidRPr="00175D8B">
        <w:rPr>
          <w:color w:val="000000"/>
        </w:rPr>
        <w:t xml:space="preserve">which was founded in 2007, </w:t>
      </w:r>
      <w:r w:rsidRPr="00175D8B">
        <w:rPr>
          <w:color w:val="000000"/>
        </w:rPr>
        <w:t>hosts companies that produce especially for the metal, plastic-rubber, automotive sub-industry, food and construction materials sectors. Karasu OIZ employs 324 people.</w:t>
      </w:r>
    </w:p>
    <w:p w14:paraId="14AE9F60" w14:textId="7823896F" w:rsidR="00990E43" w:rsidRPr="00175D8B" w:rsidRDefault="00990E43" w:rsidP="00990E43">
      <w:pPr>
        <w:spacing w:after="288"/>
        <w:rPr>
          <w:color w:val="000000"/>
        </w:rPr>
      </w:pPr>
      <w:r w:rsidRPr="00175D8B">
        <w:rPr>
          <w:color w:val="000000"/>
        </w:rPr>
        <w:t xml:space="preserve">Ferizli OIZ has an area of 154.17 hectares. </w:t>
      </w:r>
      <w:r w:rsidR="009E4AF5" w:rsidRPr="00175D8B">
        <w:rPr>
          <w:color w:val="000000"/>
        </w:rPr>
        <w:t>T</w:t>
      </w:r>
      <w:r w:rsidRPr="00175D8B">
        <w:rPr>
          <w:color w:val="000000"/>
        </w:rPr>
        <w:t>his region</w:t>
      </w:r>
      <w:r w:rsidR="009E4AF5" w:rsidRPr="00175D8B">
        <w:rPr>
          <w:color w:val="000000"/>
        </w:rPr>
        <w:t xml:space="preserve">, established in </w:t>
      </w:r>
      <w:r w:rsidR="00BE254A" w:rsidRPr="00175D8B">
        <w:rPr>
          <w:color w:val="000000"/>
        </w:rPr>
        <w:t>2009, offers</w:t>
      </w:r>
      <w:r w:rsidRPr="00175D8B">
        <w:rPr>
          <w:color w:val="000000"/>
        </w:rPr>
        <w:t xml:space="preserve"> production areas for small and medium-sized enterprises. It has become an important center for companies operating in different fields of metal, machinery, wood and forestry products, construction materials industry. It supports industrial diversity with its 35 facilities.</w:t>
      </w:r>
    </w:p>
    <w:p w14:paraId="0A24F155" w14:textId="3DE9617F" w:rsidR="00990E43" w:rsidRPr="00175D8B" w:rsidRDefault="00990E43" w:rsidP="00990E43">
      <w:pPr>
        <w:spacing w:after="288"/>
        <w:rPr>
          <w:color w:val="000000"/>
        </w:rPr>
      </w:pPr>
      <w:r w:rsidRPr="00175D8B">
        <w:rPr>
          <w:color w:val="000000"/>
        </w:rPr>
        <w:t>Kaynarca Furniture Specialized OIZ has an area of 105 hectares. This industrial zone, which was established in 2010, hosts Furniture Production companies. With its 10 facilities, it makes a great contribution to the furniture production capacity of Sakarya province.</w:t>
      </w:r>
    </w:p>
    <w:p w14:paraId="464AF9FC" w14:textId="3D4E2A37" w:rsidR="00990E43" w:rsidRPr="00175D8B" w:rsidRDefault="00990E43" w:rsidP="00990E43">
      <w:pPr>
        <w:spacing w:after="288"/>
        <w:rPr>
          <w:color w:val="000000"/>
        </w:rPr>
      </w:pPr>
      <w:r w:rsidRPr="00175D8B">
        <w:rPr>
          <w:color w:val="000000"/>
        </w:rPr>
        <w:t xml:space="preserve">East Marmara Machinery Manufacturers Specialized OIZ has started to be built on an area of 427 hectares. When the construction phase is completed, it will be the 2nd largest OIZ in Sakarya province. This region, which is under construction, will host companies that produce especially for the machinery sector. </w:t>
      </w:r>
    </w:p>
    <w:p w14:paraId="4565038D" w14:textId="77777777" w:rsidR="00990E43" w:rsidRPr="00175D8B" w:rsidRDefault="00990E43" w:rsidP="00990E43">
      <w:pPr>
        <w:spacing w:after="288"/>
        <w:rPr>
          <w:color w:val="000000"/>
        </w:rPr>
      </w:pPr>
      <w:r w:rsidRPr="00175D8B">
        <w:rPr>
          <w:color w:val="000000"/>
        </w:rPr>
        <w:t xml:space="preserve">Sakarya Automotive and Metal Specialized OIZ has started to be built on an area of 524 hectares. When the construction phase is completed, it will be the largest OIZ in Sakarya province. This region, which is under construction, will host companies that produce especially for the automotive and metal sectors and will make great contributions to the country's economy.  </w:t>
      </w:r>
    </w:p>
    <w:p w14:paraId="41CA9929" w14:textId="045619E4" w:rsidR="00990E43" w:rsidRDefault="00990E43" w:rsidP="00990E43">
      <w:pPr>
        <w:spacing w:after="288"/>
        <w:rPr>
          <w:color w:val="000000"/>
        </w:rPr>
      </w:pPr>
      <w:r w:rsidRPr="00175D8B">
        <w:rPr>
          <w:color w:val="000000"/>
        </w:rPr>
        <w:t>Sakarya Söğütlü OIZ has an area of 229.3 hectares. Expropriation works continue in Sakarya Söğütlü OIZ. It hosts companies that produce for the agricultural sector.</w:t>
      </w:r>
    </w:p>
    <w:p w14:paraId="1B8CCB40" w14:textId="6C1E8D97" w:rsidR="005203E2" w:rsidRDefault="005203E2" w:rsidP="00990E43">
      <w:pPr>
        <w:spacing w:after="288"/>
        <w:rPr>
          <w:color w:val="000000"/>
        </w:rPr>
      </w:pPr>
      <w:r w:rsidRPr="004E3228">
        <w:rPr>
          <w:color w:val="000000"/>
        </w:rPr>
        <w:fldChar w:fldCharType="begin"/>
      </w:r>
      <w:r w:rsidRPr="004E3228">
        <w:rPr>
          <w:color w:val="000000"/>
        </w:rPr>
        <w:instrText xml:space="preserve"> REF _Ref216100639 \h  \* MERGEFORMAT </w:instrText>
      </w:r>
      <w:r w:rsidRPr="004E3228">
        <w:rPr>
          <w:color w:val="000000"/>
        </w:rPr>
      </w:r>
      <w:r w:rsidRPr="004E3228">
        <w:rPr>
          <w:color w:val="000000"/>
        </w:rPr>
        <w:fldChar w:fldCharType="separate"/>
      </w:r>
      <w:r w:rsidRPr="004E3228">
        <w:t xml:space="preserve">Table </w:t>
      </w:r>
      <w:r w:rsidRPr="004E3228">
        <w:rPr>
          <w:noProof/>
        </w:rPr>
        <w:t>27</w:t>
      </w:r>
      <w:r w:rsidRPr="004E3228">
        <w:rPr>
          <w:color w:val="000000"/>
        </w:rPr>
        <w:fldChar w:fldCharType="end"/>
      </w:r>
      <w:r w:rsidRPr="00282DE2">
        <w:rPr>
          <w:color w:val="000000"/>
        </w:rPr>
        <w:t xml:space="preserve"> provides a structured overview of the sectoral distribution of enterprises operating in Sakarya in 2024, classified under NACE Rev. 2. It identifies the number of businesses and their proportional share within the provincial economy, together with Sakarya’s corresponding share at the national level</w:t>
      </w:r>
      <w:r>
        <w:rPr>
          <w:color w:val="000000"/>
        </w:rPr>
        <w:t>.</w:t>
      </w:r>
    </w:p>
    <w:p w14:paraId="550CAA78" w14:textId="2FB28DAC" w:rsidR="00E121DB" w:rsidRPr="00175D8B" w:rsidRDefault="00E121DB" w:rsidP="006C58C5">
      <w:pPr>
        <w:pStyle w:val="ResimYazs"/>
        <w:keepNext/>
        <w:jc w:val="center"/>
      </w:pPr>
      <w:bookmarkStart w:id="273" w:name="_heading=h.fl6m6dx1byjz" w:colFirst="0" w:colLast="0"/>
      <w:bookmarkStart w:id="274" w:name="_Ref216100639"/>
      <w:bookmarkStart w:id="275" w:name="_Toc216344444"/>
      <w:bookmarkEnd w:id="273"/>
      <w:r w:rsidRPr="006C58C5">
        <w:rPr>
          <w:b/>
          <w:bCs/>
        </w:rPr>
        <w:lastRenderedPageBreak/>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27</w:t>
      </w:r>
      <w:r w:rsidRPr="006C58C5">
        <w:rPr>
          <w:b/>
          <w:bCs/>
        </w:rPr>
        <w:fldChar w:fldCharType="end"/>
      </w:r>
      <w:bookmarkEnd w:id="274"/>
      <w:r w:rsidRPr="006C58C5">
        <w:rPr>
          <w:b/>
          <w:bCs/>
        </w:rPr>
        <w:t>:</w:t>
      </w:r>
      <w:r w:rsidRPr="00175D8B">
        <w:t xml:space="preserve"> </w:t>
      </w:r>
      <w:r w:rsidRPr="00175D8B">
        <w:rPr>
          <w:rFonts w:eastAsia="Aptos" w:cs="Aptos"/>
          <w:color w:val="000000"/>
          <w:szCs w:val="20"/>
        </w:rPr>
        <w:t>Sectoral Distribution of Industrial Enterprises in Sakarya Province</w:t>
      </w:r>
      <w:bookmarkEnd w:id="275"/>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418"/>
        <w:gridCol w:w="1559"/>
        <w:gridCol w:w="1559"/>
      </w:tblGrid>
      <w:tr w:rsidR="00990E43" w:rsidRPr="00175D8B" w14:paraId="1FDEB447" w14:textId="77777777" w:rsidTr="006A319E">
        <w:trPr>
          <w:tblHeader/>
          <w:jc w:val="center"/>
        </w:trPr>
        <w:tc>
          <w:tcPr>
            <w:tcW w:w="4531" w:type="dxa"/>
            <w:vMerge w:val="restart"/>
            <w:shd w:val="clear" w:color="auto" w:fill="ABB7C1"/>
            <w:vAlign w:val="center"/>
          </w:tcPr>
          <w:p w14:paraId="4BF9EE71" w14:textId="77777777" w:rsidR="00990E43" w:rsidRPr="00175D8B" w:rsidRDefault="00990E43" w:rsidP="006A319E">
            <w:pPr>
              <w:spacing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Sectors (Nace Rev 2)</w:t>
            </w:r>
          </w:p>
        </w:tc>
        <w:tc>
          <w:tcPr>
            <w:tcW w:w="4536" w:type="dxa"/>
            <w:gridSpan w:val="3"/>
            <w:shd w:val="clear" w:color="auto" w:fill="ABB7C1"/>
            <w:vAlign w:val="center"/>
          </w:tcPr>
          <w:p w14:paraId="4E3D4722" w14:textId="77777777" w:rsidR="00990E43" w:rsidRPr="00175D8B" w:rsidRDefault="00990E43" w:rsidP="006A319E">
            <w:pPr>
              <w:spacing w:after="0" w:line="240" w:lineRule="auto"/>
              <w:ind w:right="-3950"/>
              <w:rPr>
                <w:rFonts w:eastAsia="Aptos" w:cs="Aptos"/>
                <w:b/>
                <w:color w:val="000000" w:themeColor="text1"/>
                <w:sz w:val="20"/>
                <w:szCs w:val="20"/>
              </w:rPr>
            </w:pPr>
            <w:r w:rsidRPr="00175D8B">
              <w:rPr>
                <w:rFonts w:eastAsia="Aptos" w:cs="Aptos"/>
                <w:b/>
                <w:color w:val="000000" w:themeColor="text1"/>
                <w:sz w:val="20"/>
                <w:szCs w:val="20"/>
              </w:rPr>
              <w:t xml:space="preserve">                                            2024</w:t>
            </w:r>
          </w:p>
        </w:tc>
      </w:tr>
      <w:tr w:rsidR="00990E43" w:rsidRPr="00175D8B" w14:paraId="05275DCC" w14:textId="77777777" w:rsidTr="006A319E">
        <w:trPr>
          <w:tblHeader/>
          <w:jc w:val="center"/>
        </w:trPr>
        <w:tc>
          <w:tcPr>
            <w:tcW w:w="4531" w:type="dxa"/>
            <w:vMerge/>
            <w:vAlign w:val="center"/>
          </w:tcPr>
          <w:p w14:paraId="3DB6C1DD" w14:textId="77777777" w:rsidR="00990E43" w:rsidRPr="00175D8B" w:rsidRDefault="00990E43" w:rsidP="006A319E">
            <w:pPr>
              <w:widowControl w:val="0"/>
              <w:pBdr>
                <w:top w:val="nil"/>
                <w:left w:val="nil"/>
                <w:bottom w:val="nil"/>
                <w:right w:val="nil"/>
                <w:between w:val="nil"/>
              </w:pBdr>
              <w:spacing w:after="0" w:line="240" w:lineRule="auto"/>
              <w:jc w:val="center"/>
              <w:rPr>
                <w:rFonts w:eastAsia="Aptos" w:cs="Aptos"/>
                <w:b/>
                <w:color w:val="000000" w:themeColor="text1"/>
                <w:sz w:val="20"/>
                <w:szCs w:val="20"/>
              </w:rPr>
            </w:pPr>
          </w:p>
        </w:tc>
        <w:tc>
          <w:tcPr>
            <w:tcW w:w="2977" w:type="dxa"/>
            <w:gridSpan w:val="2"/>
            <w:shd w:val="clear" w:color="auto" w:fill="ABB7C1"/>
            <w:vAlign w:val="center"/>
          </w:tcPr>
          <w:p w14:paraId="27380C5C" w14:textId="77777777" w:rsidR="00990E43" w:rsidRPr="00175D8B" w:rsidRDefault="00990E43" w:rsidP="006A319E">
            <w:pPr>
              <w:spacing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Sakarya</w:t>
            </w:r>
          </w:p>
        </w:tc>
        <w:tc>
          <w:tcPr>
            <w:tcW w:w="1559" w:type="dxa"/>
            <w:vMerge w:val="restart"/>
            <w:shd w:val="clear" w:color="auto" w:fill="ABB7C1"/>
            <w:vAlign w:val="center"/>
          </w:tcPr>
          <w:p w14:paraId="2C3EED6E" w14:textId="77777777" w:rsidR="00990E43" w:rsidRPr="00175D8B" w:rsidRDefault="00990E43" w:rsidP="006A319E">
            <w:pPr>
              <w:spacing w:after="0" w:line="240" w:lineRule="auto"/>
              <w:jc w:val="center"/>
              <w:rPr>
                <w:rFonts w:eastAsia="Aptos" w:cs="Aptos"/>
                <w:b/>
                <w:bCs/>
                <w:color w:val="000000" w:themeColor="text1"/>
                <w:sz w:val="20"/>
                <w:szCs w:val="20"/>
              </w:rPr>
            </w:pPr>
            <w:r w:rsidRPr="00175D8B">
              <w:rPr>
                <w:rFonts w:eastAsia="Aptos" w:cs="Aptos"/>
                <w:b/>
                <w:bCs/>
                <w:color w:val="000000" w:themeColor="text1"/>
                <w:sz w:val="20"/>
                <w:szCs w:val="20"/>
              </w:rPr>
              <w:t>Sectoral Share in Türkiye (%)</w:t>
            </w:r>
          </w:p>
        </w:tc>
      </w:tr>
      <w:tr w:rsidR="00990E43" w:rsidRPr="00175D8B" w14:paraId="41E4C107" w14:textId="77777777" w:rsidTr="006A319E">
        <w:trPr>
          <w:trHeight w:val="663"/>
          <w:tblHeader/>
          <w:jc w:val="center"/>
        </w:trPr>
        <w:tc>
          <w:tcPr>
            <w:tcW w:w="4531" w:type="dxa"/>
            <w:vMerge/>
            <w:vAlign w:val="center"/>
          </w:tcPr>
          <w:p w14:paraId="5245FD80" w14:textId="77777777" w:rsidR="00990E43" w:rsidRPr="00175D8B" w:rsidRDefault="00990E43" w:rsidP="006A319E">
            <w:pPr>
              <w:widowControl w:val="0"/>
              <w:pBdr>
                <w:top w:val="nil"/>
                <w:left w:val="nil"/>
                <w:bottom w:val="nil"/>
                <w:right w:val="nil"/>
                <w:between w:val="nil"/>
              </w:pBdr>
              <w:spacing w:after="0" w:line="240" w:lineRule="auto"/>
              <w:jc w:val="left"/>
              <w:rPr>
                <w:rFonts w:eastAsia="Aptos" w:cs="Aptos"/>
                <w:b/>
                <w:color w:val="000000" w:themeColor="text1"/>
                <w:sz w:val="20"/>
                <w:szCs w:val="20"/>
              </w:rPr>
            </w:pPr>
          </w:p>
        </w:tc>
        <w:tc>
          <w:tcPr>
            <w:tcW w:w="1418" w:type="dxa"/>
            <w:shd w:val="clear" w:color="auto" w:fill="ABB7C1"/>
            <w:vAlign w:val="center"/>
          </w:tcPr>
          <w:p w14:paraId="621AFFA6" w14:textId="77777777" w:rsidR="00990E43" w:rsidRPr="00175D8B" w:rsidRDefault="00990E43" w:rsidP="006A319E">
            <w:pPr>
              <w:spacing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Number of Businesses</w:t>
            </w:r>
          </w:p>
        </w:tc>
        <w:tc>
          <w:tcPr>
            <w:tcW w:w="1559" w:type="dxa"/>
            <w:shd w:val="clear" w:color="auto" w:fill="ABB7C1"/>
            <w:vAlign w:val="center"/>
          </w:tcPr>
          <w:p w14:paraId="40CE6F94" w14:textId="31F1C8C0" w:rsidR="00990E43" w:rsidRPr="00175D8B" w:rsidRDefault="00990E43" w:rsidP="006A319E">
            <w:pPr>
              <w:spacing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P</w:t>
            </w:r>
            <w:r w:rsidR="00BE254A" w:rsidRPr="00175D8B">
              <w:rPr>
                <w:rFonts w:eastAsia="Aptos" w:cs="Aptos"/>
                <w:b/>
                <w:color w:val="000000" w:themeColor="text1"/>
                <w:sz w:val="20"/>
                <w:szCs w:val="20"/>
              </w:rPr>
              <w:t>ercentage</w:t>
            </w:r>
            <w:r w:rsidRPr="00175D8B">
              <w:rPr>
                <w:rFonts w:eastAsia="Aptos" w:cs="Aptos"/>
                <w:b/>
                <w:color w:val="000000" w:themeColor="text1"/>
                <w:sz w:val="20"/>
                <w:szCs w:val="20"/>
              </w:rPr>
              <w:t xml:space="preserve"> (%)</w:t>
            </w:r>
          </w:p>
        </w:tc>
        <w:tc>
          <w:tcPr>
            <w:tcW w:w="1559" w:type="dxa"/>
            <w:vMerge/>
            <w:vAlign w:val="center"/>
          </w:tcPr>
          <w:p w14:paraId="4A9B464C" w14:textId="77777777" w:rsidR="00990E43" w:rsidRPr="00175D8B" w:rsidRDefault="00990E43" w:rsidP="006A319E">
            <w:pPr>
              <w:widowControl w:val="0"/>
              <w:pBdr>
                <w:top w:val="nil"/>
                <w:left w:val="nil"/>
                <w:bottom w:val="nil"/>
                <w:right w:val="nil"/>
                <w:between w:val="nil"/>
              </w:pBdr>
              <w:spacing w:after="0" w:line="240" w:lineRule="auto"/>
              <w:jc w:val="left"/>
              <w:rPr>
                <w:rFonts w:eastAsia="Aptos" w:cs="Aptos"/>
                <w:b/>
                <w:color w:val="000000" w:themeColor="text1"/>
                <w:sz w:val="20"/>
                <w:szCs w:val="20"/>
              </w:rPr>
            </w:pPr>
          </w:p>
        </w:tc>
      </w:tr>
      <w:tr w:rsidR="00990E43" w:rsidRPr="00175D8B" w14:paraId="6872D16A" w14:textId="77777777" w:rsidTr="006A319E">
        <w:trPr>
          <w:jc w:val="center"/>
        </w:trPr>
        <w:tc>
          <w:tcPr>
            <w:tcW w:w="4531" w:type="dxa"/>
            <w:shd w:val="clear" w:color="auto" w:fill="D9D9D9" w:themeFill="background1" w:themeFillShade="D9"/>
            <w:vAlign w:val="center"/>
          </w:tcPr>
          <w:p w14:paraId="7FCE0733" w14:textId="77777777" w:rsidR="00990E43" w:rsidRPr="00175D8B" w:rsidRDefault="00990E43" w:rsidP="006A319E">
            <w:pPr>
              <w:spacing w:after="0" w:line="240" w:lineRule="auto"/>
              <w:rPr>
                <w:rFonts w:eastAsia="Aptos" w:cs="Aptos"/>
                <w:b/>
                <w:color w:val="000000" w:themeColor="text1"/>
                <w:sz w:val="20"/>
                <w:szCs w:val="20"/>
              </w:rPr>
            </w:pPr>
            <w:r w:rsidRPr="00175D8B">
              <w:rPr>
                <w:rFonts w:eastAsia="Aptos" w:cs="Aptos"/>
                <w:b/>
                <w:color w:val="000000" w:themeColor="text1"/>
                <w:sz w:val="20"/>
                <w:szCs w:val="20"/>
              </w:rPr>
              <w:t>Mining and Quarrying</w:t>
            </w:r>
          </w:p>
        </w:tc>
        <w:tc>
          <w:tcPr>
            <w:tcW w:w="1418" w:type="dxa"/>
            <w:shd w:val="clear" w:color="auto" w:fill="D9D9D9" w:themeFill="background1" w:themeFillShade="D9"/>
            <w:vAlign w:val="center"/>
          </w:tcPr>
          <w:p w14:paraId="1DF731AE" w14:textId="77777777" w:rsidR="00990E43" w:rsidRPr="00175D8B" w:rsidRDefault="00990E43" w:rsidP="006A319E">
            <w:pPr>
              <w:spacing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40</w:t>
            </w:r>
          </w:p>
        </w:tc>
        <w:tc>
          <w:tcPr>
            <w:tcW w:w="1559" w:type="dxa"/>
            <w:shd w:val="clear" w:color="auto" w:fill="D9D9D9" w:themeFill="background1" w:themeFillShade="D9"/>
            <w:vAlign w:val="center"/>
          </w:tcPr>
          <w:p w14:paraId="2F39A752" w14:textId="23AF4C03" w:rsidR="00990E43" w:rsidRPr="00175D8B" w:rsidRDefault="00990E43" w:rsidP="006A319E">
            <w:pPr>
              <w:spacing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2</w:t>
            </w:r>
            <w:r w:rsidR="00BE254A" w:rsidRPr="00175D8B">
              <w:rPr>
                <w:rFonts w:eastAsia="Aptos" w:cs="Aptos"/>
                <w:b/>
                <w:color w:val="000000" w:themeColor="text1"/>
                <w:sz w:val="20"/>
                <w:szCs w:val="20"/>
              </w:rPr>
              <w:t>.</w:t>
            </w:r>
            <w:r w:rsidRPr="00175D8B">
              <w:rPr>
                <w:rFonts w:eastAsia="Aptos" w:cs="Aptos"/>
                <w:b/>
                <w:color w:val="000000" w:themeColor="text1"/>
                <w:sz w:val="20"/>
                <w:szCs w:val="20"/>
              </w:rPr>
              <w:t>617</w:t>
            </w:r>
          </w:p>
        </w:tc>
        <w:tc>
          <w:tcPr>
            <w:tcW w:w="1559" w:type="dxa"/>
            <w:shd w:val="clear" w:color="auto" w:fill="D9D9D9" w:themeFill="background1" w:themeFillShade="D9"/>
            <w:vAlign w:val="center"/>
          </w:tcPr>
          <w:p w14:paraId="51D4B6BA" w14:textId="1703D5E6" w:rsidR="00990E43" w:rsidRPr="00175D8B" w:rsidRDefault="00990E43" w:rsidP="006A319E">
            <w:pPr>
              <w:spacing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2</w:t>
            </w:r>
            <w:r w:rsidR="00BE254A" w:rsidRPr="00175D8B">
              <w:rPr>
                <w:rFonts w:eastAsia="Aptos" w:cs="Aptos"/>
                <w:b/>
                <w:color w:val="000000" w:themeColor="text1"/>
                <w:sz w:val="20"/>
                <w:szCs w:val="20"/>
              </w:rPr>
              <w:t>.</w:t>
            </w:r>
            <w:r w:rsidRPr="00175D8B">
              <w:rPr>
                <w:rFonts w:eastAsia="Aptos" w:cs="Aptos"/>
                <w:b/>
                <w:color w:val="000000" w:themeColor="text1"/>
                <w:sz w:val="20"/>
                <w:szCs w:val="20"/>
              </w:rPr>
              <w:t>778</w:t>
            </w:r>
          </w:p>
        </w:tc>
      </w:tr>
      <w:tr w:rsidR="00990E43" w:rsidRPr="00175D8B" w14:paraId="584794B2" w14:textId="77777777" w:rsidTr="006A319E">
        <w:trPr>
          <w:jc w:val="center"/>
        </w:trPr>
        <w:tc>
          <w:tcPr>
            <w:tcW w:w="4531" w:type="dxa"/>
            <w:shd w:val="clear" w:color="auto" w:fill="F2F2F2" w:themeFill="background1" w:themeFillShade="F2"/>
            <w:vAlign w:val="center"/>
          </w:tcPr>
          <w:p w14:paraId="17D8B32A"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Crude Oil and Natural Gas Extraction</w:t>
            </w:r>
          </w:p>
        </w:tc>
        <w:tc>
          <w:tcPr>
            <w:tcW w:w="1418" w:type="dxa"/>
            <w:shd w:val="clear" w:color="auto" w:fill="F2F2F2" w:themeFill="background1" w:themeFillShade="F2"/>
            <w:vAlign w:val="center"/>
          </w:tcPr>
          <w:p w14:paraId="6F5E1C0F"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3</w:t>
            </w:r>
          </w:p>
        </w:tc>
        <w:tc>
          <w:tcPr>
            <w:tcW w:w="1559" w:type="dxa"/>
            <w:shd w:val="clear" w:color="auto" w:fill="F2F2F2" w:themeFill="background1" w:themeFillShade="F2"/>
            <w:vAlign w:val="center"/>
          </w:tcPr>
          <w:p w14:paraId="0867686F" w14:textId="0931A4FC"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157</w:t>
            </w:r>
          </w:p>
        </w:tc>
        <w:tc>
          <w:tcPr>
            <w:tcW w:w="1559" w:type="dxa"/>
            <w:shd w:val="clear" w:color="auto" w:fill="F2F2F2" w:themeFill="background1" w:themeFillShade="F2"/>
            <w:vAlign w:val="center"/>
          </w:tcPr>
          <w:p w14:paraId="021E1CE8" w14:textId="50931583"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111</w:t>
            </w:r>
          </w:p>
        </w:tc>
      </w:tr>
      <w:tr w:rsidR="00990E43" w:rsidRPr="00175D8B" w14:paraId="600C6D67" w14:textId="77777777" w:rsidTr="006A319E">
        <w:trPr>
          <w:jc w:val="center"/>
        </w:trPr>
        <w:tc>
          <w:tcPr>
            <w:tcW w:w="4531" w:type="dxa"/>
            <w:shd w:val="clear" w:color="auto" w:fill="F2F2F2" w:themeFill="background1" w:themeFillShade="F2"/>
            <w:vAlign w:val="center"/>
          </w:tcPr>
          <w:p w14:paraId="4D205525"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Other Mining and Quarrying</w:t>
            </w:r>
          </w:p>
        </w:tc>
        <w:tc>
          <w:tcPr>
            <w:tcW w:w="1418" w:type="dxa"/>
            <w:shd w:val="clear" w:color="auto" w:fill="F2F2F2" w:themeFill="background1" w:themeFillShade="F2"/>
            <w:vAlign w:val="center"/>
          </w:tcPr>
          <w:p w14:paraId="6C6F4D2C"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15</w:t>
            </w:r>
          </w:p>
        </w:tc>
        <w:tc>
          <w:tcPr>
            <w:tcW w:w="1559" w:type="dxa"/>
            <w:shd w:val="clear" w:color="auto" w:fill="F2F2F2" w:themeFill="background1" w:themeFillShade="F2"/>
            <w:vAlign w:val="center"/>
          </w:tcPr>
          <w:p w14:paraId="04F07DEF" w14:textId="35AD24BF"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w:t>
            </w:r>
            <w:r w:rsidR="00BE254A" w:rsidRPr="00175D8B">
              <w:rPr>
                <w:rFonts w:eastAsia="Aptos" w:cs="Aptos"/>
                <w:color w:val="000000" w:themeColor="text1"/>
                <w:sz w:val="20"/>
                <w:szCs w:val="20"/>
              </w:rPr>
              <w:t>.</w:t>
            </w:r>
            <w:r w:rsidRPr="00175D8B">
              <w:rPr>
                <w:rFonts w:eastAsia="Aptos" w:cs="Aptos"/>
                <w:color w:val="000000" w:themeColor="text1"/>
                <w:sz w:val="20"/>
                <w:szCs w:val="20"/>
              </w:rPr>
              <w:t>310</w:t>
            </w:r>
          </w:p>
        </w:tc>
        <w:tc>
          <w:tcPr>
            <w:tcW w:w="1559" w:type="dxa"/>
            <w:shd w:val="clear" w:color="auto" w:fill="F2F2F2" w:themeFill="background1" w:themeFillShade="F2"/>
            <w:vAlign w:val="center"/>
          </w:tcPr>
          <w:p w14:paraId="191BF180" w14:textId="4E678B4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2</w:t>
            </w:r>
            <w:r w:rsidR="00BE254A" w:rsidRPr="00175D8B">
              <w:rPr>
                <w:rFonts w:eastAsia="Aptos" w:cs="Aptos"/>
                <w:color w:val="000000" w:themeColor="text1"/>
                <w:sz w:val="20"/>
                <w:szCs w:val="20"/>
              </w:rPr>
              <w:t>.</w:t>
            </w:r>
            <w:r w:rsidRPr="00175D8B">
              <w:rPr>
                <w:rFonts w:eastAsia="Aptos" w:cs="Aptos"/>
                <w:color w:val="000000" w:themeColor="text1"/>
                <w:sz w:val="20"/>
                <w:szCs w:val="20"/>
              </w:rPr>
              <w:t>601</w:t>
            </w:r>
          </w:p>
        </w:tc>
      </w:tr>
      <w:tr w:rsidR="00990E43" w:rsidRPr="00175D8B" w14:paraId="61E6CD6A" w14:textId="77777777" w:rsidTr="006A319E">
        <w:trPr>
          <w:jc w:val="center"/>
        </w:trPr>
        <w:tc>
          <w:tcPr>
            <w:tcW w:w="4531" w:type="dxa"/>
            <w:shd w:val="clear" w:color="auto" w:fill="F2F2F2" w:themeFill="background1" w:themeFillShade="F2"/>
            <w:vAlign w:val="center"/>
          </w:tcPr>
          <w:p w14:paraId="57CDE135"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Activities of gravel and sand quarries; Extraction of clay and kaolin</w:t>
            </w:r>
          </w:p>
        </w:tc>
        <w:tc>
          <w:tcPr>
            <w:tcW w:w="1418" w:type="dxa"/>
            <w:shd w:val="clear" w:color="auto" w:fill="F2F2F2" w:themeFill="background1" w:themeFillShade="F2"/>
            <w:vAlign w:val="center"/>
          </w:tcPr>
          <w:p w14:paraId="10459176"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21</w:t>
            </w:r>
          </w:p>
        </w:tc>
        <w:tc>
          <w:tcPr>
            <w:tcW w:w="1559" w:type="dxa"/>
            <w:shd w:val="clear" w:color="auto" w:fill="F2F2F2" w:themeFill="background1" w:themeFillShade="F2"/>
            <w:vAlign w:val="center"/>
          </w:tcPr>
          <w:p w14:paraId="57EA2239" w14:textId="7556FF1A"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w:t>
            </w:r>
            <w:r w:rsidR="00BE254A" w:rsidRPr="00175D8B">
              <w:rPr>
                <w:rFonts w:eastAsia="Aptos" w:cs="Aptos"/>
                <w:color w:val="000000" w:themeColor="text1"/>
                <w:sz w:val="20"/>
                <w:szCs w:val="20"/>
              </w:rPr>
              <w:t>.</w:t>
            </w:r>
            <w:r w:rsidRPr="00175D8B">
              <w:rPr>
                <w:rFonts w:eastAsia="Aptos" w:cs="Aptos"/>
                <w:color w:val="000000" w:themeColor="text1"/>
                <w:sz w:val="20"/>
                <w:szCs w:val="20"/>
              </w:rPr>
              <w:t>098</w:t>
            </w:r>
          </w:p>
        </w:tc>
        <w:tc>
          <w:tcPr>
            <w:tcW w:w="1559" w:type="dxa"/>
            <w:shd w:val="clear" w:color="auto" w:fill="F2F2F2" w:themeFill="background1" w:themeFillShade="F2"/>
            <w:vAlign w:val="center"/>
          </w:tcPr>
          <w:p w14:paraId="4C2FD40D" w14:textId="25858042"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023</w:t>
            </w:r>
          </w:p>
        </w:tc>
      </w:tr>
      <w:tr w:rsidR="00990E43" w:rsidRPr="00175D8B" w14:paraId="60971A02" w14:textId="77777777" w:rsidTr="006A319E">
        <w:trPr>
          <w:jc w:val="center"/>
        </w:trPr>
        <w:tc>
          <w:tcPr>
            <w:tcW w:w="4531" w:type="dxa"/>
            <w:shd w:val="clear" w:color="auto" w:fill="F2F2F2" w:themeFill="background1" w:themeFillShade="F2"/>
            <w:vAlign w:val="center"/>
          </w:tcPr>
          <w:p w14:paraId="6E633B6A"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Mineral mining for chemical and fertilizing purposes</w:t>
            </w:r>
          </w:p>
        </w:tc>
        <w:tc>
          <w:tcPr>
            <w:tcW w:w="1418" w:type="dxa"/>
            <w:shd w:val="clear" w:color="auto" w:fill="F2F2F2" w:themeFill="background1" w:themeFillShade="F2"/>
            <w:vAlign w:val="center"/>
          </w:tcPr>
          <w:p w14:paraId="6FEB3E87"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w:t>
            </w:r>
          </w:p>
        </w:tc>
        <w:tc>
          <w:tcPr>
            <w:tcW w:w="1559" w:type="dxa"/>
            <w:shd w:val="clear" w:color="auto" w:fill="F2F2F2" w:themeFill="background1" w:themeFillShade="F2"/>
            <w:vAlign w:val="center"/>
          </w:tcPr>
          <w:p w14:paraId="2ECAA5F9" w14:textId="0D96288A"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052</w:t>
            </w:r>
          </w:p>
        </w:tc>
        <w:tc>
          <w:tcPr>
            <w:tcW w:w="1559" w:type="dxa"/>
            <w:shd w:val="clear" w:color="auto" w:fill="F2F2F2" w:themeFill="background1" w:themeFillShade="F2"/>
            <w:vAlign w:val="center"/>
          </w:tcPr>
          <w:p w14:paraId="2F4E0EB6" w14:textId="549DF153"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043</w:t>
            </w:r>
          </w:p>
        </w:tc>
      </w:tr>
      <w:tr w:rsidR="00990E43" w:rsidRPr="00175D8B" w14:paraId="397F58B9" w14:textId="77777777" w:rsidTr="006A319E">
        <w:trPr>
          <w:jc w:val="center"/>
        </w:trPr>
        <w:tc>
          <w:tcPr>
            <w:tcW w:w="4531" w:type="dxa"/>
            <w:shd w:val="clear" w:color="auto" w:fill="D9D9D9" w:themeFill="background1" w:themeFillShade="D9"/>
            <w:vAlign w:val="center"/>
          </w:tcPr>
          <w:p w14:paraId="1FCD99EB"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b/>
                <w:color w:val="000000" w:themeColor="text1"/>
                <w:sz w:val="20"/>
                <w:szCs w:val="20"/>
              </w:rPr>
              <w:t>Manufacturing</w:t>
            </w:r>
          </w:p>
        </w:tc>
        <w:tc>
          <w:tcPr>
            <w:tcW w:w="1418" w:type="dxa"/>
            <w:shd w:val="clear" w:color="auto" w:fill="D9D9D9" w:themeFill="background1" w:themeFillShade="D9"/>
            <w:vAlign w:val="center"/>
          </w:tcPr>
          <w:p w14:paraId="2D968205"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b/>
                <w:color w:val="000000" w:themeColor="text1"/>
                <w:sz w:val="20"/>
                <w:szCs w:val="20"/>
              </w:rPr>
              <w:t>1873</w:t>
            </w:r>
          </w:p>
        </w:tc>
        <w:tc>
          <w:tcPr>
            <w:tcW w:w="1559" w:type="dxa"/>
            <w:shd w:val="clear" w:color="auto" w:fill="D9D9D9" w:themeFill="background1" w:themeFillShade="D9"/>
            <w:vAlign w:val="center"/>
          </w:tcPr>
          <w:p w14:paraId="0206D5C2" w14:textId="4A3FEA06" w:rsidR="00990E43" w:rsidRPr="00175D8B" w:rsidRDefault="00990E43" w:rsidP="006A319E">
            <w:pPr>
              <w:spacing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97</w:t>
            </w:r>
            <w:r w:rsidR="00BE254A" w:rsidRPr="00175D8B">
              <w:rPr>
                <w:rFonts w:eastAsia="Aptos" w:cs="Aptos"/>
                <w:b/>
                <w:color w:val="000000" w:themeColor="text1"/>
                <w:sz w:val="20"/>
                <w:szCs w:val="20"/>
              </w:rPr>
              <w:t>.</w:t>
            </w:r>
            <w:r w:rsidRPr="00175D8B">
              <w:rPr>
                <w:rFonts w:eastAsia="Aptos" w:cs="Aptos"/>
                <w:b/>
                <w:color w:val="000000" w:themeColor="text1"/>
                <w:sz w:val="20"/>
                <w:szCs w:val="20"/>
              </w:rPr>
              <w:t>383</w:t>
            </w:r>
          </w:p>
        </w:tc>
        <w:tc>
          <w:tcPr>
            <w:tcW w:w="1559" w:type="dxa"/>
            <w:shd w:val="clear" w:color="auto" w:fill="D9D9D9" w:themeFill="background1" w:themeFillShade="D9"/>
            <w:vAlign w:val="center"/>
          </w:tcPr>
          <w:p w14:paraId="5B432215" w14:textId="77777777" w:rsidR="00990E43" w:rsidRPr="00175D8B" w:rsidRDefault="00990E43" w:rsidP="006A319E">
            <w:pPr>
              <w:spacing w:after="0" w:line="240" w:lineRule="auto"/>
              <w:jc w:val="center"/>
              <w:rPr>
                <w:rFonts w:eastAsia="Aptos" w:cs="Aptos"/>
                <w:b/>
                <w:color w:val="000000" w:themeColor="text1"/>
                <w:sz w:val="20"/>
                <w:szCs w:val="20"/>
              </w:rPr>
            </w:pPr>
            <w:r w:rsidRPr="00175D8B">
              <w:rPr>
                <w:rFonts w:eastAsia="Aptos" w:cs="Aptos"/>
                <w:b/>
                <w:color w:val="000000" w:themeColor="text1"/>
                <w:sz w:val="20"/>
                <w:szCs w:val="20"/>
              </w:rPr>
              <w:t>-</w:t>
            </w:r>
          </w:p>
        </w:tc>
      </w:tr>
      <w:tr w:rsidR="00990E43" w:rsidRPr="00175D8B" w14:paraId="210540B6" w14:textId="77777777" w:rsidTr="006A319E">
        <w:trPr>
          <w:jc w:val="center"/>
        </w:trPr>
        <w:tc>
          <w:tcPr>
            <w:tcW w:w="4531" w:type="dxa"/>
            <w:shd w:val="clear" w:color="auto" w:fill="F2F2F2" w:themeFill="background1" w:themeFillShade="F2"/>
            <w:vAlign w:val="center"/>
          </w:tcPr>
          <w:p w14:paraId="3C1316D8"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 xml:space="preserve">Fruit and Vegetable Processing and Storage Activities </w:t>
            </w:r>
          </w:p>
        </w:tc>
        <w:tc>
          <w:tcPr>
            <w:tcW w:w="1418" w:type="dxa"/>
            <w:shd w:val="clear" w:color="auto" w:fill="F2F2F2" w:themeFill="background1" w:themeFillShade="F2"/>
            <w:vAlign w:val="center"/>
          </w:tcPr>
          <w:p w14:paraId="43603569"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35</w:t>
            </w:r>
          </w:p>
        </w:tc>
        <w:tc>
          <w:tcPr>
            <w:tcW w:w="1559" w:type="dxa"/>
            <w:shd w:val="clear" w:color="auto" w:fill="F2F2F2" w:themeFill="background1" w:themeFillShade="F2"/>
            <w:vAlign w:val="center"/>
          </w:tcPr>
          <w:p w14:paraId="5CEDC7EC" w14:textId="034A0E49"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w:t>
            </w:r>
            <w:r w:rsidR="00BE254A" w:rsidRPr="00175D8B">
              <w:rPr>
                <w:rFonts w:eastAsia="Aptos" w:cs="Aptos"/>
                <w:color w:val="000000" w:themeColor="text1"/>
                <w:sz w:val="20"/>
                <w:szCs w:val="20"/>
              </w:rPr>
              <w:t>.</w:t>
            </w:r>
            <w:r w:rsidRPr="00175D8B">
              <w:rPr>
                <w:rFonts w:eastAsia="Aptos" w:cs="Aptos"/>
                <w:color w:val="000000" w:themeColor="text1"/>
                <w:sz w:val="20"/>
                <w:szCs w:val="20"/>
              </w:rPr>
              <w:t>830</w:t>
            </w:r>
          </w:p>
        </w:tc>
        <w:tc>
          <w:tcPr>
            <w:tcW w:w="1559" w:type="dxa"/>
            <w:shd w:val="clear" w:color="auto" w:fill="F2F2F2" w:themeFill="background1" w:themeFillShade="F2"/>
            <w:vAlign w:val="center"/>
          </w:tcPr>
          <w:p w14:paraId="291B8D37"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2.050</w:t>
            </w:r>
          </w:p>
        </w:tc>
      </w:tr>
      <w:tr w:rsidR="00990E43" w:rsidRPr="00175D8B" w14:paraId="497EAE68" w14:textId="77777777" w:rsidTr="006A319E">
        <w:trPr>
          <w:jc w:val="center"/>
        </w:trPr>
        <w:tc>
          <w:tcPr>
            <w:tcW w:w="4531" w:type="dxa"/>
            <w:shd w:val="clear" w:color="auto" w:fill="F2F2F2" w:themeFill="background1" w:themeFillShade="F2"/>
            <w:vAlign w:val="center"/>
          </w:tcPr>
          <w:p w14:paraId="619055C4"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Ice Cream Manufacturing</w:t>
            </w:r>
          </w:p>
        </w:tc>
        <w:tc>
          <w:tcPr>
            <w:tcW w:w="1418" w:type="dxa"/>
            <w:shd w:val="clear" w:color="auto" w:fill="F2F2F2" w:themeFill="background1" w:themeFillShade="F2"/>
            <w:vAlign w:val="center"/>
          </w:tcPr>
          <w:p w14:paraId="79371D43"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5</w:t>
            </w:r>
          </w:p>
        </w:tc>
        <w:tc>
          <w:tcPr>
            <w:tcW w:w="1559" w:type="dxa"/>
            <w:shd w:val="clear" w:color="auto" w:fill="F2F2F2" w:themeFill="background1" w:themeFillShade="F2"/>
            <w:vAlign w:val="center"/>
          </w:tcPr>
          <w:p w14:paraId="526A841B" w14:textId="4B12C4C9"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261</w:t>
            </w:r>
          </w:p>
        </w:tc>
        <w:tc>
          <w:tcPr>
            <w:tcW w:w="1559" w:type="dxa"/>
            <w:shd w:val="clear" w:color="auto" w:fill="F2F2F2" w:themeFill="background1" w:themeFillShade="F2"/>
          </w:tcPr>
          <w:p w14:paraId="5B5AE7E2"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2.050</w:t>
            </w:r>
          </w:p>
        </w:tc>
      </w:tr>
      <w:tr w:rsidR="00990E43" w:rsidRPr="00175D8B" w14:paraId="0178F923" w14:textId="77777777" w:rsidTr="006A319E">
        <w:trPr>
          <w:jc w:val="center"/>
        </w:trPr>
        <w:tc>
          <w:tcPr>
            <w:tcW w:w="4531" w:type="dxa"/>
            <w:shd w:val="clear" w:color="auto" w:fill="F2F2F2" w:themeFill="background1" w:themeFillShade="F2"/>
            <w:vAlign w:val="center"/>
          </w:tcPr>
          <w:p w14:paraId="69E4BAA3"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Manufacture of Ground Grain and Vegetable Products</w:t>
            </w:r>
          </w:p>
        </w:tc>
        <w:tc>
          <w:tcPr>
            <w:tcW w:w="1418" w:type="dxa"/>
            <w:shd w:val="clear" w:color="auto" w:fill="F2F2F2" w:themeFill="background1" w:themeFillShade="F2"/>
            <w:vAlign w:val="center"/>
          </w:tcPr>
          <w:p w14:paraId="06D8EAE4"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15</w:t>
            </w:r>
          </w:p>
        </w:tc>
        <w:tc>
          <w:tcPr>
            <w:tcW w:w="1559" w:type="dxa"/>
            <w:shd w:val="clear" w:color="auto" w:fill="F2F2F2" w:themeFill="background1" w:themeFillShade="F2"/>
            <w:vAlign w:val="center"/>
          </w:tcPr>
          <w:p w14:paraId="4AB7E0FA" w14:textId="0E66AB14"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784</w:t>
            </w:r>
          </w:p>
        </w:tc>
        <w:tc>
          <w:tcPr>
            <w:tcW w:w="1559" w:type="dxa"/>
            <w:shd w:val="clear" w:color="auto" w:fill="F2F2F2" w:themeFill="background1" w:themeFillShade="F2"/>
          </w:tcPr>
          <w:p w14:paraId="0B3EC0D9"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1.877</w:t>
            </w:r>
          </w:p>
        </w:tc>
      </w:tr>
      <w:tr w:rsidR="00990E43" w:rsidRPr="00175D8B" w14:paraId="6BF862CC" w14:textId="77777777" w:rsidTr="006A319E">
        <w:trPr>
          <w:jc w:val="center"/>
        </w:trPr>
        <w:tc>
          <w:tcPr>
            <w:tcW w:w="4531" w:type="dxa"/>
            <w:shd w:val="clear" w:color="auto" w:fill="F2F2F2" w:themeFill="background1" w:themeFillShade="F2"/>
            <w:vAlign w:val="center"/>
          </w:tcPr>
          <w:p w14:paraId="408E82B0"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Rusk and Biscuit Manufacturing; Durable Patisserie Products and Durable Cake Manufacturing</w:t>
            </w:r>
          </w:p>
        </w:tc>
        <w:tc>
          <w:tcPr>
            <w:tcW w:w="1418" w:type="dxa"/>
            <w:shd w:val="clear" w:color="auto" w:fill="F2F2F2" w:themeFill="background1" w:themeFillShade="F2"/>
            <w:vAlign w:val="center"/>
          </w:tcPr>
          <w:p w14:paraId="36386D69"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4</w:t>
            </w:r>
          </w:p>
        </w:tc>
        <w:tc>
          <w:tcPr>
            <w:tcW w:w="1559" w:type="dxa"/>
            <w:shd w:val="clear" w:color="auto" w:fill="F2F2F2" w:themeFill="background1" w:themeFillShade="F2"/>
            <w:vAlign w:val="center"/>
          </w:tcPr>
          <w:p w14:paraId="2DCA15F5" w14:textId="3BCFBEAC"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209</w:t>
            </w:r>
          </w:p>
        </w:tc>
        <w:tc>
          <w:tcPr>
            <w:tcW w:w="1559" w:type="dxa"/>
            <w:shd w:val="clear" w:color="auto" w:fill="F2F2F2" w:themeFill="background1" w:themeFillShade="F2"/>
          </w:tcPr>
          <w:p w14:paraId="3CB9366A" w14:textId="77777777" w:rsidR="00990E43" w:rsidRPr="00175D8B" w:rsidRDefault="00990E43" w:rsidP="006A319E">
            <w:pPr>
              <w:spacing w:after="0" w:line="240" w:lineRule="auto"/>
              <w:jc w:val="center"/>
              <w:rPr>
                <w:rFonts w:eastAsia="Aptos" w:cs="Aptos"/>
                <w:color w:val="000000" w:themeColor="text1"/>
                <w:sz w:val="20"/>
                <w:szCs w:val="20"/>
              </w:rPr>
            </w:pPr>
          </w:p>
          <w:p w14:paraId="28695541"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9.731</w:t>
            </w:r>
          </w:p>
        </w:tc>
      </w:tr>
      <w:tr w:rsidR="00990E43" w:rsidRPr="00175D8B" w14:paraId="658B70A2" w14:textId="77777777" w:rsidTr="006A319E">
        <w:trPr>
          <w:trHeight w:val="611"/>
          <w:jc w:val="center"/>
        </w:trPr>
        <w:tc>
          <w:tcPr>
            <w:tcW w:w="4531" w:type="dxa"/>
            <w:shd w:val="clear" w:color="auto" w:fill="F2F2F2" w:themeFill="background1" w:themeFillShade="F2"/>
            <w:vAlign w:val="center"/>
          </w:tcPr>
          <w:p w14:paraId="32F31130"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Manufacture of Pasta, Noodle, Couscous and Similar Bakery Products</w:t>
            </w:r>
          </w:p>
        </w:tc>
        <w:tc>
          <w:tcPr>
            <w:tcW w:w="1418" w:type="dxa"/>
            <w:shd w:val="clear" w:color="auto" w:fill="F2F2F2" w:themeFill="background1" w:themeFillShade="F2"/>
            <w:vAlign w:val="center"/>
          </w:tcPr>
          <w:p w14:paraId="31E739A0"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w:t>
            </w:r>
          </w:p>
        </w:tc>
        <w:tc>
          <w:tcPr>
            <w:tcW w:w="1559" w:type="dxa"/>
            <w:shd w:val="clear" w:color="auto" w:fill="F2F2F2" w:themeFill="background1" w:themeFillShade="F2"/>
            <w:vAlign w:val="center"/>
          </w:tcPr>
          <w:p w14:paraId="0E9A8B24" w14:textId="2BD2A188"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052</w:t>
            </w:r>
          </w:p>
        </w:tc>
        <w:tc>
          <w:tcPr>
            <w:tcW w:w="1559" w:type="dxa"/>
            <w:shd w:val="clear" w:color="auto" w:fill="F2F2F2" w:themeFill="background1" w:themeFillShade="F2"/>
          </w:tcPr>
          <w:p w14:paraId="59D899A7"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1.321</w:t>
            </w:r>
          </w:p>
        </w:tc>
      </w:tr>
      <w:tr w:rsidR="00990E43" w:rsidRPr="00175D8B" w14:paraId="5F044026" w14:textId="77777777" w:rsidTr="006A319E">
        <w:trPr>
          <w:jc w:val="center"/>
        </w:trPr>
        <w:tc>
          <w:tcPr>
            <w:tcW w:w="4531" w:type="dxa"/>
            <w:shd w:val="clear" w:color="auto" w:fill="F2F2F2" w:themeFill="background1" w:themeFillShade="F2"/>
            <w:vAlign w:val="center"/>
          </w:tcPr>
          <w:p w14:paraId="26261FFD"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Finishing Textile Products</w:t>
            </w:r>
          </w:p>
        </w:tc>
        <w:tc>
          <w:tcPr>
            <w:tcW w:w="1418" w:type="dxa"/>
            <w:shd w:val="clear" w:color="auto" w:fill="F2F2F2" w:themeFill="background1" w:themeFillShade="F2"/>
            <w:vAlign w:val="center"/>
          </w:tcPr>
          <w:p w14:paraId="1FA5FBF6"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7</w:t>
            </w:r>
          </w:p>
        </w:tc>
        <w:tc>
          <w:tcPr>
            <w:tcW w:w="1559" w:type="dxa"/>
            <w:shd w:val="clear" w:color="auto" w:fill="F2F2F2" w:themeFill="background1" w:themeFillShade="F2"/>
            <w:vAlign w:val="center"/>
          </w:tcPr>
          <w:p w14:paraId="3DBFD80C" w14:textId="798FAC20"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336</w:t>
            </w:r>
          </w:p>
        </w:tc>
        <w:tc>
          <w:tcPr>
            <w:tcW w:w="1559" w:type="dxa"/>
            <w:shd w:val="clear" w:color="auto" w:fill="F2F2F2" w:themeFill="background1" w:themeFillShade="F2"/>
          </w:tcPr>
          <w:p w14:paraId="03D0095F"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1.112</w:t>
            </w:r>
          </w:p>
        </w:tc>
      </w:tr>
      <w:tr w:rsidR="00990E43" w:rsidRPr="00175D8B" w14:paraId="0579B9C6" w14:textId="77777777" w:rsidTr="006A319E">
        <w:trPr>
          <w:jc w:val="center"/>
        </w:trPr>
        <w:tc>
          <w:tcPr>
            <w:tcW w:w="4531" w:type="dxa"/>
            <w:shd w:val="clear" w:color="auto" w:fill="F2F2F2" w:themeFill="background1" w:themeFillShade="F2"/>
            <w:vAlign w:val="center"/>
          </w:tcPr>
          <w:p w14:paraId="1C12BECC"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Underwear Manufacturing</w:t>
            </w:r>
          </w:p>
        </w:tc>
        <w:tc>
          <w:tcPr>
            <w:tcW w:w="1418" w:type="dxa"/>
            <w:shd w:val="clear" w:color="auto" w:fill="F2F2F2" w:themeFill="background1" w:themeFillShade="F2"/>
            <w:vAlign w:val="center"/>
          </w:tcPr>
          <w:p w14:paraId="162E473E"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7</w:t>
            </w:r>
          </w:p>
        </w:tc>
        <w:tc>
          <w:tcPr>
            <w:tcW w:w="1559" w:type="dxa"/>
            <w:shd w:val="clear" w:color="auto" w:fill="F2F2F2" w:themeFill="background1" w:themeFillShade="F2"/>
            <w:vAlign w:val="center"/>
          </w:tcPr>
          <w:p w14:paraId="086FD2AB" w14:textId="57226138"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366</w:t>
            </w:r>
          </w:p>
        </w:tc>
        <w:tc>
          <w:tcPr>
            <w:tcW w:w="1559" w:type="dxa"/>
            <w:shd w:val="clear" w:color="auto" w:fill="F2F2F2" w:themeFill="background1" w:themeFillShade="F2"/>
          </w:tcPr>
          <w:p w14:paraId="44F1A5FD"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1.633</w:t>
            </w:r>
          </w:p>
        </w:tc>
      </w:tr>
      <w:tr w:rsidR="00990E43" w:rsidRPr="00175D8B" w14:paraId="7449DD91" w14:textId="77777777" w:rsidTr="006A319E">
        <w:trPr>
          <w:jc w:val="center"/>
        </w:trPr>
        <w:tc>
          <w:tcPr>
            <w:tcW w:w="4531" w:type="dxa"/>
            <w:shd w:val="clear" w:color="auto" w:fill="F2F2F2" w:themeFill="background1" w:themeFillShade="F2"/>
            <w:vAlign w:val="center"/>
          </w:tcPr>
          <w:p w14:paraId="5D3908C1"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 xml:space="preserve">Water Collection, Treatment and Distribution Activities </w:t>
            </w:r>
          </w:p>
        </w:tc>
        <w:tc>
          <w:tcPr>
            <w:tcW w:w="1418" w:type="dxa"/>
            <w:shd w:val="clear" w:color="auto" w:fill="F2F2F2" w:themeFill="background1" w:themeFillShade="F2"/>
            <w:vAlign w:val="center"/>
          </w:tcPr>
          <w:p w14:paraId="7011B871"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w:t>
            </w:r>
          </w:p>
        </w:tc>
        <w:tc>
          <w:tcPr>
            <w:tcW w:w="1559" w:type="dxa"/>
            <w:shd w:val="clear" w:color="auto" w:fill="F2F2F2" w:themeFill="background1" w:themeFillShade="F2"/>
            <w:vAlign w:val="center"/>
          </w:tcPr>
          <w:p w14:paraId="72DDA934" w14:textId="4DE955AC"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052</w:t>
            </w:r>
          </w:p>
        </w:tc>
        <w:tc>
          <w:tcPr>
            <w:tcW w:w="1559" w:type="dxa"/>
            <w:shd w:val="clear" w:color="auto" w:fill="F2F2F2" w:themeFill="background1" w:themeFillShade="F2"/>
          </w:tcPr>
          <w:p w14:paraId="3CB12E4C"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1.112</w:t>
            </w:r>
          </w:p>
        </w:tc>
      </w:tr>
      <w:tr w:rsidR="00990E43" w:rsidRPr="00175D8B" w14:paraId="1B97C6D2" w14:textId="77777777" w:rsidTr="006A319E">
        <w:trPr>
          <w:jc w:val="center"/>
        </w:trPr>
        <w:tc>
          <w:tcPr>
            <w:tcW w:w="4531" w:type="dxa"/>
            <w:shd w:val="clear" w:color="auto" w:fill="F2F2F2" w:themeFill="background1" w:themeFillShade="F2"/>
            <w:vAlign w:val="center"/>
          </w:tcPr>
          <w:p w14:paraId="21A95824"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 xml:space="preserve">Painting and Glass Works Activities </w:t>
            </w:r>
          </w:p>
        </w:tc>
        <w:tc>
          <w:tcPr>
            <w:tcW w:w="1418" w:type="dxa"/>
            <w:shd w:val="clear" w:color="auto" w:fill="F2F2F2" w:themeFill="background1" w:themeFillShade="F2"/>
            <w:vAlign w:val="center"/>
          </w:tcPr>
          <w:p w14:paraId="78A72575"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w:t>
            </w:r>
          </w:p>
        </w:tc>
        <w:tc>
          <w:tcPr>
            <w:tcW w:w="1559" w:type="dxa"/>
            <w:shd w:val="clear" w:color="auto" w:fill="F2F2F2" w:themeFill="background1" w:themeFillShade="F2"/>
            <w:vAlign w:val="center"/>
          </w:tcPr>
          <w:p w14:paraId="3F54E52D" w14:textId="182A74CA"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052</w:t>
            </w:r>
          </w:p>
        </w:tc>
        <w:tc>
          <w:tcPr>
            <w:tcW w:w="1559" w:type="dxa"/>
            <w:shd w:val="clear" w:color="auto" w:fill="F2F2F2" w:themeFill="background1" w:themeFillShade="F2"/>
          </w:tcPr>
          <w:p w14:paraId="36E8C9F0"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6.256</w:t>
            </w:r>
          </w:p>
        </w:tc>
      </w:tr>
      <w:tr w:rsidR="00990E43" w:rsidRPr="00175D8B" w14:paraId="20711077" w14:textId="77777777" w:rsidTr="006A319E">
        <w:trPr>
          <w:jc w:val="center"/>
        </w:trPr>
        <w:tc>
          <w:tcPr>
            <w:tcW w:w="4531" w:type="dxa"/>
            <w:shd w:val="clear" w:color="auto" w:fill="F2F2F2" w:themeFill="background1" w:themeFillShade="F2"/>
            <w:vAlign w:val="center"/>
          </w:tcPr>
          <w:p w14:paraId="062A48F5"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Wholesale Trade Activities of Fruits and Vegetables</w:t>
            </w:r>
          </w:p>
        </w:tc>
        <w:tc>
          <w:tcPr>
            <w:tcW w:w="1418" w:type="dxa"/>
            <w:shd w:val="clear" w:color="auto" w:fill="F2F2F2" w:themeFill="background1" w:themeFillShade="F2"/>
            <w:vAlign w:val="center"/>
          </w:tcPr>
          <w:p w14:paraId="1F3DA464"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w:t>
            </w:r>
          </w:p>
        </w:tc>
        <w:tc>
          <w:tcPr>
            <w:tcW w:w="1559" w:type="dxa"/>
            <w:shd w:val="clear" w:color="auto" w:fill="F2F2F2" w:themeFill="background1" w:themeFillShade="F2"/>
            <w:vAlign w:val="center"/>
          </w:tcPr>
          <w:p w14:paraId="1AD84B73" w14:textId="08442770"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052</w:t>
            </w:r>
          </w:p>
        </w:tc>
        <w:tc>
          <w:tcPr>
            <w:tcW w:w="1559" w:type="dxa"/>
            <w:shd w:val="clear" w:color="auto" w:fill="F2F2F2" w:themeFill="background1" w:themeFillShade="F2"/>
          </w:tcPr>
          <w:p w14:paraId="76D33A50"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2.016</w:t>
            </w:r>
          </w:p>
        </w:tc>
      </w:tr>
      <w:tr w:rsidR="00990E43" w:rsidRPr="00175D8B" w14:paraId="1E7A0CD5" w14:textId="77777777" w:rsidTr="006A319E">
        <w:trPr>
          <w:jc w:val="center"/>
        </w:trPr>
        <w:tc>
          <w:tcPr>
            <w:tcW w:w="4531" w:type="dxa"/>
            <w:shd w:val="clear" w:color="auto" w:fill="F2F2F2" w:themeFill="background1" w:themeFillShade="F2"/>
            <w:vAlign w:val="center"/>
          </w:tcPr>
          <w:p w14:paraId="2C917362"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Wholesale Trade Activities of Textile Products</w:t>
            </w:r>
          </w:p>
        </w:tc>
        <w:tc>
          <w:tcPr>
            <w:tcW w:w="1418" w:type="dxa"/>
            <w:shd w:val="clear" w:color="auto" w:fill="F2F2F2" w:themeFill="background1" w:themeFillShade="F2"/>
            <w:vAlign w:val="center"/>
          </w:tcPr>
          <w:p w14:paraId="63043B62"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w:t>
            </w:r>
          </w:p>
        </w:tc>
        <w:tc>
          <w:tcPr>
            <w:tcW w:w="1559" w:type="dxa"/>
            <w:shd w:val="clear" w:color="auto" w:fill="F2F2F2" w:themeFill="background1" w:themeFillShade="F2"/>
            <w:vAlign w:val="center"/>
          </w:tcPr>
          <w:p w14:paraId="34671510" w14:textId="39A9B4CD"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052</w:t>
            </w:r>
          </w:p>
        </w:tc>
        <w:tc>
          <w:tcPr>
            <w:tcW w:w="1559" w:type="dxa"/>
            <w:shd w:val="clear" w:color="auto" w:fill="F2F2F2" w:themeFill="background1" w:themeFillShade="F2"/>
          </w:tcPr>
          <w:p w14:paraId="719FE751"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1.077</w:t>
            </w:r>
          </w:p>
        </w:tc>
      </w:tr>
      <w:tr w:rsidR="00990E43" w:rsidRPr="00175D8B" w14:paraId="46924DAB" w14:textId="77777777" w:rsidTr="006A319E">
        <w:trPr>
          <w:jc w:val="center"/>
        </w:trPr>
        <w:tc>
          <w:tcPr>
            <w:tcW w:w="4531" w:type="dxa"/>
            <w:shd w:val="clear" w:color="auto" w:fill="F2F2F2" w:themeFill="background1" w:themeFillShade="F2"/>
            <w:vAlign w:val="center"/>
          </w:tcPr>
          <w:p w14:paraId="4B4B0B57"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Clothing and Footwear Wholesale Trade Activities</w:t>
            </w:r>
          </w:p>
        </w:tc>
        <w:tc>
          <w:tcPr>
            <w:tcW w:w="1418" w:type="dxa"/>
            <w:shd w:val="clear" w:color="auto" w:fill="F2F2F2" w:themeFill="background1" w:themeFillShade="F2"/>
            <w:vAlign w:val="center"/>
          </w:tcPr>
          <w:p w14:paraId="18FED8C8"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w:t>
            </w:r>
          </w:p>
        </w:tc>
        <w:tc>
          <w:tcPr>
            <w:tcW w:w="1559" w:type="dxa"/>
            <w:shd w:val="clear" w:color="auto" w:fill="F2F2F2" w:themeFill="background1" w:themeFillShade="F2"/>
            <w:vAlign w:val="center"/>
          </w:tcPr>
          <w:p w14:paraId="03CF31C6" w14:textId="3E89F065"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052</w:t>
            </w:r>
          </w:p>
        </w:tc>
        <w:tc>
          <w:tcPr>
            <w:tcW w:w="1559" w:type="dxa"/>
            <w:shd w:val="clear" w:color="auto" w:fill="F2F2F2" w:themeFill="background1" w:themeFillShade="F2"/>
          </w:tcPr>
          <w:p w14:paraId="3EB5267D"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2.155</w:t>
            </w:r>
          </w:p>
        </w:tc>
      </w:tr>
      <w:tr w:rsidR="00990E43" w:rsidRPr="00175D8B" w14:paraId="647FFC17" w14:textId="77777777" w:rsidTr="006A319E">
        <w:trPr>
          <w:jc w:val="center"/>
        </w:trPr>
        <w:tc>
          <w:tcPr>
            <w:tcW w:w="4531" w:type="dxa"/>
            <w:shd w:val="clear" w:color="auto" w:fill="F2F2F2" w:themeFill="background1" w:themeFillShade="F2"/>
            <w:vAlign w:val="center"/>
          </w:tcPr>
          <w:p w14:paraId="75BA852A"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Wholesale Trade Activities of Solid, Liquid and Gaseous Fuels and Related Products</w:t>
            </w:r>
          </w:p>
        </w:tc>
        <w:tc>
          <w:tcPr>
            <w:tcW w:w="1418" w:type="dxa"/>
            <w:shd w:val="clear" w:color="auto" w:fill="F2F2F2" w:themeFill="background1" w:themeFillShade="F2"/>
            <w:vAlign w:val="center"/>
          </w:tcPr>
          <w:p w14:paraId="0F93999E"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w:t>
            </w:r>
          </w:p>
        </w:tc>
        <w:tc>
          <w:tcPr>
            <w:tcW w:w="1559" w:type="dxa"/>
            <w:shd w:val="clear" w:color="auto" w:fill="F2F2F2" w:themeFill="background1" w:themeFillShade="F2"/>
            <w:vAlign w:val="center"/>
          </w:tcPr>
          <w:p w14:paraId="2C78F188" w14:textId="4CD816F3"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052</w:t>
            </w:r>
          </w:p>
        </w:tc>
        <w:tc>
          <w:tcPr>
            <w:tcW w:w="1559" w:type="dxa"/>
            <w:shd w:val="clear" w:color="auto" w:fill="F2F2F2" w:themeFill="background1" w:themeFillShade="F2"/>
          </w:tcPr>
          <w:p w14:paraId="36D6AB8C"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2.711</w:t>
            </w:r>
          </w:p>
        </w:tc>
      </w:tr>
      <w:tr w:rsidR="00990E43" w:rsidRPr="00175D8B" w14:paraId="1F965BDA" w14:textId="77777777" w:rsidTr="006A319E">
        <w:trPr>
          <w:jc w:val="center"/>
        </w:trPr>
        <w:tc>
          <w:tcPr>
            <w:tcW w:w="4531" w:type="dxa"/>
            <w:shd w:val="clear" w:color="auto" w:fill="F2F2F2" w:themeFill="background1" w:themeFillShade="F2"/>
            <w:vAlign w:val="center"/>
          </w:tcPr>
          <w:p w14:paraId="0B6935E6"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color w:val="000000" w:themeColor="text1"/>
                <w:sz w:val="20"/>
                <w:szCs w:val="20"/>
              </w:rPr>
              <w:t>Waste and Scrap Wholesale Trade Activities</w:t>
            </w:r>
          </w:p>
        </w:tc>
        <w:tc>
          <w:tcPr>
            <w:tcW w:w="1418" w:type="dxa"/>
            <w:shd w:val="clear" w:color="auto" w:fill="F2F2F2" w:themeFill="background1" w:themeFillShade="F2"/>
            <w:vAlign w:val="center"/>
          </w:tcPr>
          <w:p w14:paraId="5E45795E"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2</w:t>
            </w:r>
          </w:p>
        </w:tc>
        <w:tc>
          <w:tcPr>
            <w:tcW w:w="1559" w:type="dxa"/>
            <w:shd w:val="clear" w:color="auto" w:fill="F2F2F2" w:themeFill="background1" w:themeFillShade="F2"/>
            <w:vAlign w:val="center"/>
          </w:tcPr>
          <w:p w14:paraId="2A4DE98F" w14:textId="16B0CB26"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105</w:t>
            </w:r>
          </w:p>
        </w:tc>
        <w:tc>
          <w:tcPr>
            <w:tcW w:w="1559" w:type="dxa"/>
            <w:shd w:val="clear" w:color="auto" w:fill="F2F2F2" w:themeFill="background1" w:themeFillShade="F2"/>
          </w:tcPr>
          <w:p w14:paraId="0A05E7B2"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1.043</w:t>
            </w:r>
          </w:p>
        </w:tc>
      </w:tr>
      <w:tr w:rsidR="00990E43" w:rsidRPr="00175D8B" w14:paraId="5CE2963E" w14:textId="77777777" w:rsidTr="006A319E">
        <w:trPr>
          <w:jc w:val="center"/>
        </w:trPr>
        <w:tc>
          <w:tcPr>
            <w:tcW w:w="4531" w:type="dxa"/>
            <w:shd w:val="clear" w:color="auto" w:fill="F2F2F2" w:themeFill="background1" w:themeFillShade="F2"/>
            <w:vAlign w:val="center"/>
          </w:tcPr>
          <w:p w14:paraId="34A38EDF" w14:textId="77777777" w:rsidR="00990E43" w:rsidRPr="00175D8B" w:rsidRDefault="00990E43" w:rsidP="006A319E">
            <w:pPr>
              <w:spacing w:after="0" w:line="240" w:lineRule="auto"/>
              <w:jc w:val="left"/>
              <w:rPr>
                <w:rFonts w:eastAsia="Aptos" w:cs="Aptos"/>
                <w:color w:val="000000" w:themeColor="text1"/>
                <w:szCs w:val="22"/>
              </w:rPr>
            </w:pPr>
            <w:r w:rsidRPr="00175D8B">
              <w:rPr>
                <w:rFonts w:eastAsia="Aptos" w:cs="Aptos"/>
                <w:color w:val="000000" w:themeColor="text1"/>
                <w:sz w:val="20"/>
                <w:szCs w:val="20"/>
              </w:rPr>
              <w:t>Computer Programming Activities</w:t>
            </w:r>
          </w:p>
        </w:tc>
        <w:tc>
          <w:tcPr>
            <w:tcW w:w="1418" w:type="dxa"/>
            <w:shd w:val="clear" w:color="auto" w:fill="F2F2F2" w:themeFill="background1" w:themeFillShade="F2"/>
            <w:vAlign w:val="center"/>
          </w:tcPr>
          <w:p w14:paraId="01ACDFCD"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10</w:t>
            </w:r>
          </w:p>
        </w:tc>
        <w:tc>
          <w:tcPr>
            <w:tcW w:w="1559" w:type="dxa"/>
            <w:shd w:val="clear" w:color="auto" w:fill="F2F2F2" w:themeFill="background1" w:themeFillShade="F2"/>
            <w:vAlign w:val="center"/>
          </w:tcPr>
          <w:p w14:paraId="60126654" w14:textId="77CD0272"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0</w:t>
            </w:r>
            <w:r w:rsidR="00BE254A" w:rsidRPr="00175D8B">
              <w:rPr>
                <w:rFonts w:eastAsia="Aptos" w:cs="Aptos"/>
                <w:color w:val="000000" w:themeColor="text1"/>
                <w:sz w:val="20"/>
                <w:szCs w:val="20"/>
              </w:rPr>
              <w:t>.</w:t>
            </w:r>
            <w:r w:rsidRPr="00175D8B">
              <w:rPr>
                <w:rFonts w:eastAsia="Aptos" w:cs="Aptos"/>
                <w:color w:val="000000" w:themeColor="text1"/>
                <w:sz w:val="20"/>
                <w:szCs w:val="20"/>
              </w:rPr>
              <w:t>523</w:t>
            </w:r>
          </w:p>
        </w:tc>
        <w:tc>
          <w:tcPr>
            <w:tcW w:w="1559" w:type="dxa"/>
            <w:shd w:val="clear" w:color="auto" w:fill="F2F2F2" w:themeFill="background1" w:themeFillShade="F2"/>
          </w:tcPr>
          <w:p w14:paraId="3CECA0D3"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color w:val="000000" w:themeColor="text1"/>
                <w:sz w:val="20"/>
                <w:szCs w:val="20"/>
              </w:rPr>
              <w:t>2.085</w:t>
            </w:r>
          </w:p>
        </w:tc>
      </w:tr>
      <w:tr w:rsidR="004407DB" w:rsidRPr="00175D8B" w14:paraId="1A4C2916" w14:textId="77777777" w:rsidTr="006A319E">
        <w:trPr>
          <w:jc w:val="center"/>
        </w:trPr>
        <w:tc>
          <w:tcPr>
            <w:tcW w:w="4531" w:type="dxa"/>
            <w:shd w:val="clear" w:color="auto" w:fill="F2F2F2" w:themeFill="background1" w:themeFillShade="F2"/>
            <w:vAlign w:val="center"/>
          </w:tcPr>
          <w:p w14:paraId="223D4291" w14:textId="54BB4AA1" w:rsidR="004407DB" w:rsidRPr="00175D8B" w:rsidRDefault="004407DB" w:rsidP="006A319E">
            <w:pPr>
              <w:spacing w:after="0" w:line="240" w:lineRule="auto"/>
              <w:jc w:val="left"/>
              <w:rPr>
                <w:rFonts w:eastAsia="Aptos" w:cs="Aptos"/>
                <w:color w:val="000000" w:themeColor="text1"/>
                <w:sz w:val="20"/>
                <w:szCs w:val="20"/>
              </w:rPr>
            </w:pPr>
            <w:r w:rsidRPr="004407DB">
              <w:rPr>
                <w:rFonts w:eastAsia="Aptos" w:cs="Aptos"/>
                <w:color w:val="000000" w:themeColor="text1"/>
                <w:sz w:val="20"/>
                <w:szCs w:val="20"/>
              </w:rPr>
              <w:t xml:space="preserve">Other </w:t>
            </w:r>
            <w:r>
              <w:rPr>
                <w:rFonts w:eastAsia="Aptos" w:cs="Aptos"/>
                <w:color w:val="000000" w:themeColor="text1"/>
                <w:sz w:val="20"/>
                <w:szCs w:val="20"/>
              </w:rPr>
              <w:t>M</w:t>
            </w:r>
            <w:r w:rsidRPr="004407DB">
              <w:rPr>
                <w:rFonts w:eastAsia="Aptos" w:cs="Aptos"/>
                <w:color w:val="000000" w:themeColor="text1"/>
                <w:sz w:val="20"/>
                <w:szCs w:val="20"/>
              </w:rPr>
              <w:t xml:space="preserve">anufacturing </w:t>
            </w:r>
            <w:r>
              <w:rPr>
                <w:rFonts w:eastAsia="Aptos" w:cs="Aptos"/>
                <w:color w:val="000000" w:themeColor="text1"/>
                <w:sz w:val="20"/>
                <w:szCs w:val="20"/>
              </w:rPr>
              <w:t>A</w:t>
            </w:r>
            <w:r w:rsidRPr="004407DB">
              <w:rPr>
                <w:rFonts w:eastAsia="Aptos" w:cs="Aptos"/>
                <w:color w:val="000000" w:themeColor="text1"/>
                <w:sz w:val="20"/>
                <w:szCs w:val="20"/>
              </w:rPr>
              <w:t>ctivities n.e.c.</w:t>
            </w:r>
          </w:p>
        </w:tc>
        <w:tc>
          <w:tcPr>
            <w:tcW w:w="1418" w:type="dxa"/>
            <w:shd w:val="clear" w:color="auto" w:fill="F2F2F2" w:themeFill="background1" w:themeFillShade="F2"/>
            <w:vAlign w:val="center"/>
          </w:tcPr>
          <w:p w14:paraId="232F847A" w14:textId="347F8753" w:rsidR="004407DB" w:rsidRPr="00175D8B" w:rsidRDefault="004407DB" w:rsidP="006A319E">
            <w:pPr>
              <w:spacing w:after="0" w:line="240" w:lineRule="auto"/>
              <w:jc w:val="center"/>
              <w:rPr>
                <w:rFonts w:eastAsia="Aptos" w:cs="Aptos"/>
                <w:color w:val="000000" w:themeColor="text1"/>
                <w:sz w:val="20"/>
                <w:szCs w:val="20"/>
              </w:rPr>
            </w:pPr>
            <w:r>
              <w:rPr>
                <w:rFonts w:eastAsia="Aptos" w:cs="Aptos"/>
                <w:color w:val="000000" w:themeColor="text1"/>
                <w:sz w:val="20"/>
                <w:szCs w:val="20"/>
              </w:rPr>
              <w:t>1766</w:t>
            </w:r>
          </w:p>
        </w:tc>
        <w:tc>
          <w:tcPr>
            <w:tcW w:w="1559" w:type="dxa"/>
            <w:shd w:val="clear" w:color="auto" w:fill="F2F2F2" w:themeFill="background1" w:themeFillShade="F2"/>
            <w:vAlign w:val="center"/>
          </w:tcPr>
          <w:p w14:paraId="70FA00F4" w14:textId="1B98802F" w:rsidR="004407DB" w:rsidRPr="00175D8B" w:rsidRDefault="004407DB" w:rsidP="006A319E">
            <w:pPr>
              <w:spacing w:after="0" w:line="240" w:lineRule="auto"/>
              <w:jc w:val="center"/>
              <w:rPr>
                <w:rFonts w:eastAsia="Aptos" w:cs="Aptos"/>
                <w:color w:val="000000" w:themeColor="text1"/>
                <w:sz w:val="20"/>
                <w:szCs w:val="20"/>
              </w:rPr>
            </w:pPr>
            <w:r w:rsidRPr="004407DB">
              <w:rPr>
                <w:rFonts w:eastAsia="Aptos" w:cs="Aptos"/>
                <w:color w:val="000000" w:themeColor="text1"/>
                <w:sz w:val="20"/>
                <w:szCs w:val="20"/>
              </w:rPr>
              <w:t>91.399</w:t>
            </w:r>
          </w:p>
        </w:tc>
        <w:tc>
          <w:tcPr>
            <w:tcW w:w="1559" w:type="dxa"/>
            <w:shd w:val="clear" w:color="auto" w:fill="F2F2F2" w:themeFill="background1" w:themeFillShade="F2"/>
          </w:tcPr>
          <w:p w14:paraId="4203792A" w14:textId="447A5567" w:rsidR="004407DB" w:rsidRPr="00175D8B" w:rsidRDefault="004407DB" w:rsidP="006A319E">
            <w:pPr>
              <w:spacing w:after="0" w:line="240" w:lineRule="auto"/>
              <w:jc w:val="center"/>
              <w:rPr>
                <w:rFonts w:eastAsia="Aptos" w:cs="Aptos"/>
                <w:color w:val="000000" w:themeColor="text1"/>
                <w:sz w:val="20"/>
                <w:szCs w:val="20"/>
              </w:rPr>
            </w:pPr>
            <w:r w:rsidRPr="004407DB">
              <w:rPr>
                <w:rFonts w:eastAsia="Aptos" w:cs="Aptos"/>
                <w:color w:val="000000" w:themeColor="text1"/>
                <w:sz w:val="20"/>
                <w:szCs w:val="20"/>
              </w:rPr>
              <w:t>34.694</w:t>
            </w:r>
          </w:p>
        </w:tc>
      </w:tr>
      <w:tr w:rsidR="00990E43" w:rsidRPr="00175D8B" w14:paraId="590E3C59" w14:textId="77777777" w:rsidTr="006A319E">
        <w:trPr>
          <w:jc w:val="center"/>
        </w:trPr>
        <w:tc>
          <w:tcPr>
            <w:tcW w:w="4531" w:type="dxa"/>
            <w:shd w:val="clear" w:color="auto" w:fill="D9D9D9" w:themeFill="background1" w:themeFillShade="D9"/>
            <w:vAlign w:val="center"/>
          </w:tcPr>
          <w:p w14:paraId="7BAAAF52" w14:textId="77777777" w:rsidR="00990E43" w:rsidRPr="00175D8B" w:rsidRDefault="00990E43" w:rsidP="006A319E">
            <w:pPr>
              <w:spacing w:after="0" w:line="240" w:lineRule="auto"/>
              <w:jc w:val="left"/>
              <w:rPr>
                <w:rFonts w:eastAsia="Aptos" w:cs="Aptos"/>
                <w:color w:val="000000" w:themeColor="text1"/>
                <w:sz w:val="20"/>
                <w:szCs w:val="20"/>
              </w:rPr>
            </w:pPr>
            <w:r w:rsidRPr="00175D8B">
              <w:rPr>
                <w:rFonts w:eastAsia="Aptos" w:cs="Aptos"/>
                <w:b/>
                <w:color w:val="000000" w:themeColor="text1"/>
                <w:sz w:val="20"/>
                <w:szCs w:val="20"/>
              </w:rPr>
              <w:t>Industry Total</w:t>
            </w:r>
          </w:p>
        </w:tc>
        <w:tc>
          <w:tcPr>
            <w:tcW w:w="1418" w:type="dxa"/>
            <w:shd w:val="clear" w:color="auto" w:fill="D9D9D9" w:themeFill="background1" w:themeFillShade="D9"/>
            <w:vAlign w:val="center"/>
          </w:tcPr>
          <w:p w14:paraId="5E14E515" w14:textId="0EE3D3F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b/>
                <w:color w:val="000000" w:themeColor="text1"/>
                <w:sz w:val="20"/>
                <w:szCs w:val="20"/>
              </w:rPr>
              <w:t>3</w:t>
            </w:r>
            <w:r w:rsidR="00BE254A" w:rsidRPr="00175D8B">
              <w:rPr>
                <w:rFonts w:eastAsia="Aptos" w:cs="Aptos"/>
                <w:b/>
                <w:color w:val="000000" w:themeColor="text1"/>
                <w:sz w:val="20"/>
                <w:szCs w:val="20"/>
              </w:rPr>
              <w:t>,</w:t>
            </w:r>
            <w:r w:rsidRPr="00175D8B">
              <w:rPr>
                <w:rFonts w:eastAsia="Aptos" w:cs="Aptos"/>
                <w:b/>
                <w:color w:val="000000" w:themeColor="text1"/>
                <w:sz w:val="20"/>
                <w:szCs w:val="20"/>
              </w:rPr>
              <w:t>292</w:t>
            </w:r>
          </w:p>
        </w:tc>
        <w:tc>
          <w:tcPr>
            <w:tcW w:w="1559" w:type="dxa"/>
            <w:shd w:val="clear" w:color="auto" w:fill="D9D9D9" w:themeFill="background1" w:themeFillShade="D9"/>
            <w:vAlign w:val="center"/>
          </w:tcPr>
          <w:p w14:paraId="62A5400D" w14:textId="77777777" w:rsidR="00990E43" w:rsidRPr="00175D8B" w:rsidRDefault="00990E43" w:rsidP="006A319E">
            <w:pPr>
              <w:spacing w:after="0" w:line="240" w:lineRule="auto"/>
              <w:jc w:val="center"/>
              <w:rPr>
                <w:rFonts w:eastAsia="Aptos" w:cs="Aptos"/>
                <w:color w:val="000000" w:themeColor="text1"/>
                <w:sz w:val="20"/>
                <w:szCs w:val="20"/>
              </w:rPr>
            </w:pPr>
            <w:r w:rsidRPr="00175D8B">
              <w:rPr>
                <w:rFonts w:eastAsia="Aptos" w:cs="Aptos"/>
                <w:b/>
                <w:color w:val="000000" w:themeColor="text1"/>
                <w:sz w:val="20"/>
                <w:szCs w:val="20"/>
              </w:rPr>
              <w:t>100</w:t>
            </w:r>
          </w:p>
        </w:tc>
        <w:tc>
          <w:tcPr>
            <w:tcW w:w="1559" w:type="dxa"/>
            <w:shd w:val="clear" w:color="auto" w:fill="D9D9D9" w:themeFill="background1" w:themeFillShade="D9"/>
            <w:vAlign w:val="center"/>
          </w:tcPr>
          <w:p w14:paraId="7897225D" w14:textId="77777777" w:rsidR="00990E43" w:rsidRPr="00175D8B" w:rsidRDefault="00990E43" w:rsidP="006A319E">
            <w:pPr>
              <w:spacing w:after="0" w:line="240" w:lineRule="auto"/>
              <w:jc w:val="center"/>
              <w:rPr>
                <w:rFonts w:eastAsia="Aptos" w:cs="Aptos"/>
                <w:color w:val="000000" w:themeColor="text1"/>
                <w:sz w:val="20"/>
                <w:szCs w:val="20"/>
              </w:rPr>
            </w:pPr>
          </w:p>
        </w:tc>
      </w:tr>
    </w:tbl>
    <w:p w14:paraId="122E1833" w14:textId="77777777" w:rsidR="00990E43" w:rsidRPr="00175D8B" w:rsidRDefault="00990E43" w:rsidP="00990E43">
      <w:pPr>
        <w:spacing w:before="120" w:after="288" w:line="278" w:lineRule="auto"/>
        <w:jc w:val="center"/>
        <w:rPr>
          <w:rFonts w:eastAsia="Aptos" w:cs="Aptos"/>
          <w:color w:val="000000" w:themeColor="text1"/>
          <w:sz w:val="18"/>
          <w:szCs w:val="18"/>
        </w:rPr>
      </w:pPr>
      <w:r w:rsidRPr="00175D8B">
        <w:rPr>
          <w:rFonts w:eastAsia="Aptos" w:cs="Aptos"/>
          <w:b/>
          <w:bCs/>
          <w:color w:val="000000" w:themeColor="text1"/>
          <w:sz w:val="18"/>
          <w:szCs w:val="18"/>
        </w:rPr>
        <w:t>Source:</w:t>
      </w:r>
      <w:r w:rsidRPr="00175D8B">
        <w:rPr>
          <w:rFonts w:eastAsia="Aptos" w:cs="Aptos"/>
          <w:color w:val="000000" w:themeColor="text1"/>
          <w:sz w:val="18"/>
          <w:szCs w:val="18"/>
        </w:rPr>
        <w:t xml:space="preserve"> Republic of Türkiye Ministry of Industry and Technology and Sakarya Metropolitan Municipality.</w:t>
      </w:r>
    </w:p>
    <w:p w14:paraId="7ADE7363" w14:textId="55476AA5" w:rsidR="00990E43" w:rsidRPr="00175D8B" w:rsidRDefault="00E0683E" w:rsidP="00A2608F">
      <w:pPr>
        <w:spacing w:after="288"/>
      </w:pPr>
      <w:r w:rsidRPr="00175D8B">
        <w:t xml:space="preserve">As of 2024, a total of 3,292 businesses operate in Sakarya, with 97% concentrated in the manufacturing sector. Food products, plastics and rubber, metal goods, machinery manufacturing and automotive sub-industry are the prominent sectors. Sakarya has a high share in sub-sectors such as rusks and biscuit manufacturing, paint and glass </w:t>
      </w:r>
      <w:r w:rsidR="001E17E2" w:rsidRPr="00175D8B">
        <w:t>work</w:t>
      </w:r>
      <w:r w:rsidRPr="00175D8B">
        <w:t>, water treatment-distribution and computer programming throughout Türkiye, and generally exhibits a manufacturing-oriented and highly competitive industrial structure.</w:t>
      </w:r>
    </w:p>
    <w:p w14:paraId="4C07155F" w14:textId="32C5465A" w:rsidR="006611AA" w:rsidRPr="00175D8B" w:rsidRDefault="00E0683E" w:rsidP="002550A6">
      <w:pPr>
        <w:pStyle w:val="Balk3"/>
        <w:numPr>
          <w:ilvl w:val="2"/>
          <w:numId w:val="153"/>
        </w:numPr>
      </w:pPr>
      <w:bookmarkStart w:id="276" w:name="_Toc212541883"/>
      <w:bookmarkStart w:id="277" w:name="_Toc212542394"/>
      <w:bookmarkStart w:id="278" w:name="_Toc220672797"/>
      <w:r w:rsidRPr="00175D8B">
        <w:lastRenderedPageBreak/>
        <w:t>Retirement Status in Sakarya Province</w:t>
      </w:r>
      <w:bookmarkEnd w:id="276"/>
      <w:bookmarkEnd w:id="277"/>
      <w:bookmarkEnd w:id="278"/>
      <w:r w:rsidRPr="00175D8B">
        <w:t xml:space="preserve"> </w:t>
      </w:r>
    </w:p>
    <w:p w14:paraId="6FB94121" w14:textId="08B4DD70" w:rsidR="00F336D4" w:rsidRPr="00175D8B" w:rsidRDefault="00E0683E" w:rsidP="003D7B6F">
      <w:pPr>
        <w:pStyle w:val="ListeParagraf"/>
        <w:spacing w:after="288"/>
        <w:ind w:left="0"/>
        <w:rPr>
          <w:color w:val="000000"/>
        </w:rPr>
      </w:pPr>
      <w:r w:rsidRPr="00175D8B">
        <w:rPr>
          <w:color w:val="000000"/>
        </w:rPr>
        <w:t>It is among the leading duties of the social state to ensure that our retirees, who have made a great contribution to the development of our country throughout their working lives, can use their retirement rights in the best way. In order to fulfill these duties, norm and standard unity has been ensured with the Social Security and General Health Insurance Law No. 5510, which was prepared to create a structure where all individuals receive social security services with equal scope and quality. Technological infrastructure studies have been accelerated by the Social Security Institution, and comprehensive studies are carried out in both insurance and health in order to provide better quality and sustainable services.</w:t>
      </w:r>
      <w:bookmarkStart w:id="279" w:name="_heading=h.hwh30t58t5nl" w:colFirst="0" w:colLast="0"/>
      <w:bookmarkEnd w:id="279"/>
    </w:p>
    <w:p w14:paraId="03A0C15D" w14:textId="77777777" w:rsidR="00E0683E" w:rsidRPr="00175D8B" w:rsidRDefault="00E0683E" w:rsidP="00E0683E">
      <w:pPr>
        <w:spacing w:before="120" w:after="0" w:line="278" w:lineRule="auto"/>
        <w:contextualSpacing/>
        <w:jc w:val="center"/>
        <w:rPr>
          <w:rFonts w:eastAsia="Aptos" w:cs="Aptos"/>
          <w:color w:val="000000"/>
          <w:sz w:val="8"/>
          <w:szCs w:val="22"/>
        </w:rPr>
      </w:pPr>
    </w:p>
    <w:p w14:paraId="7DE23BC0" w14:textId="786C39EC" w:rsidR="00E121DB" w:rsidRPr="00175D8B" w:rsidRDefault="00E121DB" w:rsidP="006C58C5">
      <w:pPr>
        <w:pStyle w:val="ResimYazs"/>
        <w:keepNext/>
        <w:jc w:val="center"/>
      </w:pPr>
      <w:bookmarkStart w:id="280" w:name="_Toc216344445"/>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28</w:t>
      </w:r>
      <w:r w:rsidRPr="006C58C5">
        <w:rPr>
          <w:b/>
          <w:bCs/>
        </w:rPr>
        <w:fldChar w:fldCharType="end"/>
      </w:r>
      <w:r w:rsidRPr="006C58C5">
        <w:rPr>
          <w:b/>
          <w:bCs/>
        </w:rPr>
        <w:t>:</w:t>
      </w:r>
      <w:r w:rsidRPr="00175D8B">
        <w:t xml:space="preserve"> </w:t>
      </w:r>
      <w:r w:rsidRPr="00175D8B">
        <w:rPr>
          <w:rFonts w:eastAsia="Aptos" w:cs="Aptos"/>
          <w:color w:val="000000"/>
          <w:szCs w:val="20"/>
        </w:rPr>
        <w:t>2019-2024 Sakarya Province Pension Data</w:t>
      </w:r>
      <w:bookmarkEnd w:id="280"/>
    </w:p>
    <w:tbl>
      <w:tblPr>
        <w:tblW w:w="84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985"/>
        <w:gridCol w:w="2410"/>
        <w:gridCol w:w="2361"/>
      </w:tblGrid>
      <w:tr w:rsidR="00E0683E" w:rsidRPr="00175D8B" w14:paraId="2060209E" w14:textId="77777777" w:rsidTr="00DF417A">
        <w:trPr>
          <w:trHeight w:val="522"/>
          <w:tblHeader/>
          <w:jc w:val="center"/>
        </w:trPr>
        <w:tc>
          <w:tcPr>
            <w:tcW w:w="1696" w:type="dxa"/>
            <w:shd w:val="clear" w:color="auto" w:fill="ABB7C1"/>
          </w:tcPr>
          <w:p w14:paraId="4926CE9C" w14:textId="77777777" w:rsidR="00E0683E" w:rsidRPr="00175D8B" w:rsidRDefault="00E0683E" w:rsidP="00E0683E">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Year</w:t>
            </w:r>
          </w:p>
        </w:tc>
        <w:tc>
          <w:tcPr>
            <w:tcW w:w="1985" w:type="dxa"/>
            <w:shd w:val="clear" w:color="auto" w:fill="ABB7C1"/>
            <w:vAlign w:val="center"/>
          </w:tcPr>
          <w:p w14:paraId="70D1133E" w14:textId="77777777" w:rsidR="00E0683E" w:rsidRPr="00175D8B" w:rsidRDefault="00E0683E" w:rsidP="00E0683E">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Scope</w:t>
            </w:r>
          </w:p>
        </w:tc>
        <w:tc>
          <w:tcPr>
            <w:tcW w:w="2410" w:type="dxa"/>
            <w:shd w:val="clear" w:color="auto" w:fill="ABB7C1"/>
          </w:tcPr>
          <w:p w14:paraId="1FDC2E82" w14:textId="77777777" w:rsidR="00E0683E" w:rsidRPr="00175D8B" w:rsidRDefault="00E0683E" w:rsidP="00E0683E">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Number of Retirees</w:t>
            </w:r>
          </w:p>
        </w:tc>
        <w:tc>
          <w:tcPr>
            <w:tcW w:w="2361" w:type="dxa"/>
            <w:shd w:val="clear" w:color="auto" w:fill="ABB7C1"/>
            <w:vAlign w:val="center"/>
          </w:tcPr>
          <w:p w14:paraId="5CF0E3CD" w14:textId="77777777" w:rsidR="00E0683E" w:rsidRPr="00175D8B" w:rsidRDefault="00E0683E" w:rsidP="00E0683E">
            <w:pPr>
              <w:spacing w:before="120" w:after="0" w:line="278" w:lineRule="auto"/>
              <w:jc w:val="center"/>
              <w:rPr>
                <w:rFonts w:eastAsia="Aptos" w:cs="Aptos"/>
                <w:b/>
                <w:color w:val="000000" w:themeColor="text1"/>
                <w:sz w:val="20"/>
                <w:szCs w:val="20"/>
              </w:rPr>
            </w:pPr>
            <w:r w:rsidRPr="00175D8B">
              <w:rPr>
                <w:rFonts w:eastAsia="Aptos" w:cs="Aptos"/>
                <w:b/>
                <w:color w:val="000000" w:themeColor="text1"/>
                <w:sz w:val="20"/>
                <w:szCs w:val="20"/>
              </w:rPr>
              <w:t>Total</w:t>
            </w:r>
          </w:p>
        </w:tc>
      </w:tr>
      <w:tr w:rsidR="00E0683E" w:rsidRPr="00175D8B" w14:paraId="5E95AB15" w14:textId="77777777" w:rsidTr="002550A6">
        <w:trPr>
          <w:trHeight w:val="522"/>
          <w:jc w:val="center"/>
        </w:trPr>
        <w:tc>
          <w:tcPr>
            <w:tcW w:w="1696" w:type="dxa"/>
            <w:vMerge w:val="restart"/>
            <w:shd w:val="clear" w:color="auto" w:fill="F2F2F2"/>
            <w:vAlign w:val="center"/>
          </w:tcPr>
          <w:p w14:paraId="11E0BCC5" w14:textId="77777777" w:rsidR="00E0683E" w:rsidRPr="00175D8B" w:rsidRDefault="00E0683E" w:rsidP="001E17E2">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2019</w:t>
            </w:r>
          </w:p>
        </w:tc>
        <w:tc>
          <w:tcPr>
            <w:tcW w:w="1985" w:type="dxa"/>
            <w:shd w:val="clear" w:color="auto" w:fill="F2F2F2"/>
            <w:vAlign w:val="center"/>
          </w:tcPr>
          <w:p w14:paraId="75B69C1E" w14:textId="77777777" w:rsidR="00E0683E" w:rsidRPr="00175D8B" w:rsidRDefault="00E0683E" w:rsidP="00E0683E">
            <w:pPr>
              <w:spacing w:before="120" w:after="0" w:line="240" w:lineRule="auto"/>
              <w:rPr>
                <w:rFonts w:eastAsia="Aptos" w:cs="Aptos"/>
                <w:color w:val="000000" w:themeColor="text1"/>
                <w:sz w:val="20"/>
                <w:szCs w:val="20"/>
              </w:rPr>
            </w:pPr>
            <w:r w:rsidRPr="00175D8B">
              <w:rPr>
                <w:rFonts w:eastAsia="Aptos" w:cs="Aptos"/>
                <w:color w:val="000000" w:themeColor="text1"/>
                <w:sz w:val="20"/>
                <w:szCs w:val="20"/>
              </w:rPr>
              <w:t>4a</w:t>
            </w:r>
          </w:p>
        </w:tc>
        <w:tc>
          <w:tcPr>
            <w:tcW w:w="2410" w:type="dxa"/>
            <w:shd w:val="clear" w:color="auto" w:fill="F2F2F2"/>
            <w:vAlign w:val="center"/>
          </w:tcPr>
          <w:p w14:paraId="799020D5" w14:textId="2FD31375" w:rsidR="00E0683E" w:rsidRPr="00175D8B" w:rsidRDefault="00E0683E" w:rsidP="001E17E2">
            <w:pPr>
              <w:spacing w:before="100" w:beforeAutospacing="1" w:after="0" w:line="240" w:lineRule="auto"/>
              <w:jc w:val="center"/>
              <w:rPr>
                <w:rFonts w:eastAsia="Aptos" w:cs="Aptos"/>
                <w:color w:val="000000" w:themeColor="text1"/>
                <w:sz w:val="20"/>
                <w:szCs w:val="20"/>
              </w:rPr>
            </w:pPr>
            <w:r w:rsidRPr="00175D8B">
              <w:rPr>
                <w:rFonts w:eastAsia="Aptos" w:cs="Aptos"/>
                <w:color w:val="000000" w:themeColor="text1"/>
                <w:sz w:val="20"/>
                <w:szCs w:val="20"/>
              </w:rPr>
              <w:t>105</w:t>
            </w:r>
            <w:r w:rsidR="001E17E2" w:rsidRPr="00175D8B">
              <w:rPr>
                <w:rFonts w:eastAsia="Aptos" w:cs="Aptos"/>
                <w:color w:val="000000" w:themeColor="text1"/>
                <w:sz w:val="20"/>
                <w:szCs w:val="20"/>
              </w:rPr>
              <w:t>,</w:t>
            </w:r>
            <w:r w:rsidRPr="00175D8B">
              <w:rPr>
                <w:rFonts w:eastAsia="Aptos" w:cs="Aptos"/>
                <w:color w:val="000000" w:themeColor="text1"/>
                <w:sz w:val="20"/>
                <w:szCs w:val="20"/>
              </w:rPr>
              <w:t>950</w:t>
            </w:r>
          </w:p>
        </w:tc>
        <w:tc>
          <w:tcPr>
            <w:tcW w:w="2361" w:type="dxa"/>
            <w:vMerge w:val="restart"/>
            <w:shd w:val="clear" w:color="auto" w:fill="F2F2F2"/>
            <w:vAlign w:val="center"/>
          </w:tcPr>
          <w:p w14:paraId="294887FD" w14:textId="4F9E4F56" w:rsidR="00E0683E" w:rsidRPr="00175D8B" w:rsidRDefault="00E0683E" w:rsidP="00E0683E">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173</w:t>
            </w:r>
            <w:r w:rsidR="001E17E2" w:rsidRPr="00175D8B">
              <w:rPr>
                <w:rFonts w:eastAsia="Aptos" w:cs="Aptos"/>
                <w:color w:val="000000" w:themeColor="text1"/>
                <w:sz w:val="20"/>
                <w:szCs w:val="20"/>
              </w:rPr>
              <w:t>,</w:t>
            </w:r>
            <w:r w:rsidRPr="00175D8B">
              <w:rPr>
                <w:rFonts w:eastAsia="Aptos" w:cs="Aptos"/>
                <w:color w:val="000000" w:themeColor="text1"/>
                <w:sz w:val="20"/>
                <w:szCs w:val="20"/>
              </w:rPr>
              <w:t>043</w:t>
            </w:r>
          </w:p>
        </w:tc>
      </w:tr>
      <w:tr w:rsidR="00E0683E" w:rsidRPr="00175D8B" w14:paraId="1A3CF55E" w14:textId="77777777" w:rsidTr="002550A6">
        <w:trPr>
          <w:trHeight w:val="522"/>
          <w:jc w:val="center"/>
        </w:trPr>
        <w:tc>
          <w:tcPr>
            <w:tcW w:w="1696" w:type="dxa"/>
            <w:vMerge/>
            <w:shd w:val="clear" w:color="auto" w:fill="F2F2F2"/>
          </w:tcPr>
          <w:p w14:paraId="2ED12AFB" w14:textId="77777777" w:rsidR="00E0683E" w:rsidRPr="00175D8B" w:rsidRDefault="00E0683E" w:rsidP="00E0683E">
            <w:pPr>
              <w:spacing w:before="120" w:after="0" w:line="240" w:lineRule="auto"/>
              <w:rPr>
                <w:rFonts w:eastAsia="Aptos" w:cs="Aptos"/>
                <w:color w:val="000000" w:themeColor="text1"/>
                <w:sz w:val="20"/>
                <w:szCs w:val="20"/>
              </w:rPr>
            </w:pPr>
          </w:p>
        </w:tc>
        <w:tc>
          <w:tcPr>
            <w:tcW w:w="1985" w:type="dxa"/>
            <w:shd w:val="clear" w:color="auto" w:fill="F2F2F2"/>
            <w:vAlign w:val="center"/>
          </w:tcPr>
          <w:p w14:paraId="296ABDAB" w14:textId="77777777" w:rsidR="00E0683E" w:rsidRPr="00175D8B" w:rsidRDefault="00E0683E" w:rsidP="00E0683E">
            <w:pPr>
              <w:spacing w:before="120" w:after="0" w:line="240" w:lineRule="auto"/>
              <w:rPr>
                <w:rFonts w:eastAsia="Aptos" w:cs="Aptos"/>
                <w:color w:val="000000" w:themeColor="text1"/>
                <w:sz w:val="20"/>
                <w:szCs w:val="20"/>
              </w:rPr>
            </w:pPr>
            <w:r w:rsidRPr="00175D8B">
              <w:rPr>
                <w:rFonts w:eastAsia="Aptos" w:cs="Aptos"/>
                <w:color w:val="000000" w:themeColor="text1"/>
                <w:sz w:val="20"/>
                <w:szCs w:val="20"/>
              </w:rPr>
              <w:t>4b</w:t>
            </w:r>
          </w:p>
        </w:tc>
        <w:tc>
          <w:tcPr>
            <w:tcW w:w="2410" w:type="dxa"/>
            <w:shd w:val="clear" w:color="auto" w:fill="F2F2F2"/>
            <w:vAlign w:val="center"/>
          </w:tcPr>
          <w:p w14:paraId="7EFB24D4" w14:textId="07567C4C" w:rsidR="00E0683E" w:rsidRPr="00175D8B" w:rsidRDefault="00E0683E" w:rsidP="001E17E2">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45</w:t>
            </w:r>
            <w:r w:rsidR="001E17E2" w:rsidRPr="00175D8B">
              <w:rPr>
                <w:rFonts w:eastAsia="Aptos" w:cs="Aptos"/>
                <w:color w:val="000000" w:themeColor="text1"/>
                <w:sz w:val="20"/>
                <w:szCs w:val="20"/>
              </w:rPr>
              <w:t>,</w:t>
            </w:r>
            <w:r w:rsidRPr="00175D8B">
              <w:rPr>
                <w:rFonts w:eastAsia="Aptos" w:cs="Aptos"/>
                <w:color w:val="000000" w:themeColor="text1"/>
                <w:sz w:val="20"/>
                <w:szCs w:val="20"/>
              </w:rPr>
              <w:t>112</w:t>
            </w:r>
          </w:p>
        </w:tc>
        <w:tc>
          <w:tcPr>
            <w:tcW w:w="2361" w:type="dxa"/>
            <w:vMerge/>
            <w:shd w:val="clear" w:color="auto" w:fill="F2F2F2"/>
            <w:vAlign w:val="center"/>
          </w:tcPr>
          <w:p w14:paraId="03C0E5CF" w14:textId="77777777" w:rsidR="00E0683E" w:rsidRPr="00175D8B" w:rsidRDefault="00E0683E" w:rsidP="00E0683E">
            <w:pPr>
              <w:spacing w:before="120" w:after="0" w:line="240" w:lineRule="auto"/>
              <w:jc w:val="center"/>
              <w:rPr>
                <w:rFonts w:eastAsia="Aptos" w:cs="Aptos"/>
                <w:color w:val="000000" w:themeColor="text1"/>
                <w:sz w:val="20"/>
                <w:szCs w:val="20"/>
              </w:rPr>
            </w:pPr>
          </w:p>
        </w:tc>
      </w:tr>
      <w:tr w:rsidR="00E0683E" w:rsidRPr="00175D8B" w14:paraId="42421B92" w14:textId="77777777" w:rsidTr="002550A6">
        <w:trPr>
          <w:trHeight w:val="522"/>
          <w:jc w:val="center"/>
        </w:trPr>
        <w:tc>
          <w:tcPr>
            <w:tcW w:w="1696" w:type="dxa"/>
            <w:vMerge/>
            <w:shd w:val="clear" w:color="auto" w:fill="F2F2F2"/>
          </w:tcPr>
          <w:p w14:paraId="2F9DCF59" w14:textId="77777777" w:rsidR="00E0683E" w:rsidRPr="00175D8B" w:rsidRDefault="00E0683E" w:rsidP="00E0683E">
            <w:pPr>
              <w:spacing w:before="120" w:after="0" w:line="240" w:lineRule="auto"/>
              <w:rPr>
                <w:rFonts w:eastAsia="Aptos" w:cs="Aptos"/>
                <w:color w:val="000000" w:themeColor="text1"/>
                <w:sz w:val="20"/>
                <w:szCs w:val="20"/>
              </w:rPr>
            </w:pPr>
          </w:p>
        </w:tc>
        <w:tc>
          <w:tcPr>
            <w:tcW w:w="1985" w:type="dxa"/>
            <w:shd w:val="clear" w:color="auto" w:fill="F2F2F2"/>
            <w:vAlign w:val="center"/>
          </w:tcPr>
          <w:p w14:paraId="542845A6" w14:textId="77777777" w:rsidR="00E0683E" w:rsidRPr="00175D8B" w:rsidRDefault="00E0683E" w:rsidP="00E0683E">
            <w:pPr>
              <w:spacing w:before="120" w:after="0" w:line="240" w:lineRule="auto"/>
              <w:rPr>
                <w:rFonts w:eastAsia="Aptos" w:cs="Aptos"/>
                <w:color w:val="000000" w:themeColor="text1"/>
                <w:sz w:val="20"/>
                <w:szCs w:val="20"/>
              </w:rPr>
            </w:pPr>
            <w:r w:rsidRPr="00175D8B">
              <w:rPr>
                <w:rFonts w:eastAsia="Aptos" w:cs="Aptos"/>
                <w:color w:val="000000" w:themeColor="text1"/>
                <w:sz w:val="20"/>
                <w:szCs w:val="20"/>
              </w:rPr>
              <w:t>4c</w:t>
            </w:r>
          </w:p>
        </w:tc>
        <w:tc>
          <w:tcPr>
            <w:tcW w:w="2410" w:type="dxa"/>
            <w:shd w:val="clear" w:color="auto" w:fill="F2F2F2"/>
            <w:vAlign w:val="center"/>
          </w:tcPr>
          <w:p w14:paraId="2804D39D" w14:textId="1BEB3239" w:rsidR="00E0683E" w:rsidRPr="00175D8B" w:rsidRDefault="00E0683E" w:rsidP="001E17E2">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21</w:t>
            </w:r>
            <w:r w:rsidR="001E17E2" w:rsidRPr="00175D8B">
              <w:rPr>
                <w:rFonts w:eastAsia="Aptos" w:cs="Aptos"/>
                <w:color w:val="000000" w:themeColor="text1"/>
                <w:sz w:val="20"/>
                <w:szCs w:val="20"/>
              </w:rPr>
              <w:t>,</w:t>
            </w:r>
            <w:r w:rsidRPr="00175D8B">
              <w:rPr>
                <w:rFonts w:eastAsia="Aptos" w:cs="Aptos"/>
                <w:color w:val="000000" w:themeColor="text1"/>
                <w:sz w:val="20"/>
                <w:szCs w:val="20"/>
              </w:rPr>
              <w:t>981</w:t>
            </w:r>
          </w:p>
        </w:tc>
        <w:tc>
          <w:tcPr>
            <w:tcW w:w="2361" w:type="dxa"/>
            <w:vMerge/>
            <w:shd w:val="clear" w:color="auto" w:fill="F2F2F2"/>
            <w:vAlign w:val="center"/>
          </w:tcPr>
          <w:p w14:paraId="5C36ED7F" w14:textId="77777777" w:rsidR="00E0683E" w:rsidRPr="00175D8B" w:rsidRDefault="00E0683E" w:rsidP="00E0683E">
            <w:pPr>
              <w:spacing w:before="120" w:after="0" w:line="240" w:lineRule="auto"/>
              <w:jc w:val="center"/>
              <w:rPr>
                <w:rFonts w:eastAsia="Aptos" w:cs="Aptos"/>
                <w:color w:val="000000" w:themeColor="text1"/>
                <w:sz w:val="20"/>
                <w:szCs w:val="20"/>
              </w:rPr>
            </w:pPr>
          </w:p>
        </w:tc>
      </w:tr>
      <w:tr w:rsidR="00E0683E" w:rsidRPr="00175D8B" w14:paraId="00542DDA" w14:textId="77777777" w:rsidTr="002550A6">
        <w:trPr>
          <w:trHeight w:val="522"/>
          <w:jc w:val="center"/>
        </w:trPr>
        <w:tc>
          <w:tcPr>
            <w:tcW w:w="1696" w:type="dxa"/>
            <w:vMerge w:val="restart"/>
            <w:shd w:val="clear" w:color="auto" w:fill="D9D9D9"/>
          </w:tcPr>
          <w:p w14:paraId="7D28823B" w14:textId="77777777" w:rsidR="00E0683E" w:rsidRPr="00175D8B" w:rsidRDefault="00E0683E" w:rsidP="00E0683E">
            <w:pPr>
              <w:spacing w:before="240" w:after="0" w:line="240" w:lineRule="auto"/>
              <w:jc w:val="center"/>
              <w:rPr>
                <w:rFonts w:eastAsia="Aptos" w:cs="Aptos"/>
                <w:color w:val="000000" w:themeColor="text1"/>
                <w:sz w:val="20"/>
                <w:szCs w:val="20"/>
              </w:rPr>
            </w:pPr>
          </w:p>
          <w:p w14:paraId="16191B9B" w14:textId="77777777" w:rsidR="00E0683E" w:rsidRPr="00175D8B" w:rsidRDefault="00E0683E" w:rsidP="00E0683E">
            <w:pPr>
              <w:spacing w:before="240" w:after="0" w:line="240" w:lineRule="auto"/>
              <w:jc w:val="center"/>
              <w:rPr>
                <w:rFonts w:eastAsia="Aptos" w:cs="Aptos"/>
                <w:color w:val="000000" w:themeColor="text1"/>
                <w:sz w:val="20"/>
                <w:szCs w:val="20"/>
              </w:rPr>
            </w:pPr>
            <w:r w:rsidRPr="00175D8B">
              <w:rPr>
                <w:rFonts w:eastAsia="Aptos" w:cs="Aptos"/>
                <w:color w:val="000000" w:themeColor="text1"/>
                <w:sz w:val="20"/>
                <w:szCs w:val="20"/>
              </w:rPr>
              <w:t>2020</w:t>
            </w:r>
          </w:p>
        </w:tc>
        <w:tc>
          <w:tcPr>
            <w:tcW w:w="1985" w:type="dxa"/>
            <w:shd w:val="clear" w:color="auto" w:fill="D9D9D9"/>
            <w:vAlign w:val="center"/>
          </w:tcPr>
          <w:p w14:paraId="5C44BAAF" w14:textId="77777777" w:rsidR="00E0683E" w:rsidRPr="00175D8B" w:rsidRDefault="00E0683E" w:rsidP="00E0683E">
            <w:pPr>
              <w:spacing w:before="120" w:after="0" w:line="240" w:lineRule="auto"/>
              <w:rPr>
                <w:rFonts w:eastAsia="Aptos" w:cs="Aptos"/>
                <w:color w:val="000000" w:themeColor="text1"/>
                <w:sz w:val="20"/>
                <w:szCs w:val="20"/>
              </w:rPr>
            </w:pPr>
            <w:r w:rsidRPr="00175D8B">
              <w:rPr>
                <w:rFonts w:eastAsia="Aptos" w:cs="Aptos"/>
                <w:color w:val="000000" w:themeColor="text1"/>
                <w:sz w:val="20"/>
                <w:szCs w:val="20"/>
              </w:rPr>
              <w:t>4a</w:t>
            </w:r>
          </w:p>
        </w:tc>
        <w:tc>
          <w:tcPr>
            <w:tcW w:w="2410" w:type="dxa"/>
            <w:shd w:val="clear" w:color="auto" w:fill="D9D9D9"/>
            <w:vAlign w:val="center"/>
          </w:tcPr>
          <w:p w14:paraId="53BAC050" w14:textId="28F27A8B" w:rsidR="00E0683E" w:rsidRPr="00175D8B" w:rsidRDefault="00E0683E" w:rsidP="001E17E2">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109</w:t>
            </w:r>
            <w:r w:rsidR="001E17E2" w:rsidRPr="00175D8B">
              <w:rPr>
                <w:rFonts w:eastAsia="Aptos" w:cs="Aptos"/>
                <w:color w:val="000000" w:themeColor="text1"/>
                <w:sz w:val="20"/>
                <w:szCs w:val="20"/>
              </w:rPr>
              <w:t>,</w:t>
            </w:r>
            <w:r w:rsidRPr="00175D8B">
              <w:rPr>
                <w:rFonts w:eastAsia="Aptos" w:cs="Aptos"/>
                <w:color w:val="000000" w:themeColor="text1"/>
                <w:sz w:val="20"/>
                <w:szCs w:val="20"/>
              </w:rPr>
              <w:t>895</w:t>
            </w:r>
          </w:p>
        </w:tc>
        <w:tc>
          <w:tcPr>
            <w:tcW w:w="2361" w:type="dxa"/>
            <w:vMerge w:val="restart"/>
            <w:shd w:val="clear" w:color="auto" w:fill="D9D9D9"/>
            <w:vAlign w:val="center"/>
          </w:tcPr>
          <w:p w14:paraId="3E7096C1" w14:textId="7953E50F" w:rsidR="00E0683E" w:rsidRPr="00175D8B" w:rsidRDefault="00E0683E" w:rsidP="00E0683E">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177</w:t>
            </w:r>
            <w:r w:rsidR="001E17E2" w:rsidRPr="00175D8B">
              <w:rPr>
                <w:rFonts w:eastAsia="Aptos" w:cs="Aptos"/>
                <w:color w:val="000000" w:themeColor="text1"/>
                <w:sz w:val="20"/>
                <w:szCs w:val="20"/>
              </w:rPr>
              <w:t>,</w:t>
            </w:r>
            <w:r w:rsidRPr="00175D8B">
              <w:rPr>
                <w:rFonts w:eastAsia="Aptos" w:cs="Aptos"/>
                <w:color w:val="000000" w:themeColor="text1"/>
                <w:sz w:val="20"/>
                <w:szCs w:val="20"/>
              </w:rPr>
              <w:t>220</w:t>
            </w:r>
          </w:p>
        </w:tc>
      </w:tr>
      <w:tr w:rsidR="00E0683E" w:rsidRPr="00175D8B" w14:paraId="78165F80" w14:textId="77777777" w:rsidTr="002550A6">
        <w:trPr>
          <w:trHeight w:val="522"/>
          <w:jc w:val="center"/>
        </w:trPr>
        <w:tc>
          <w:tcPr>
            <w:tcW w:w="1696" w:type="dxa"/>
            <w:vMerge/>
            <w:shd w:val="clear" w:color="auto" w:fill="D9D9D9"/>
          </w:tcPr>
          <w:p w14:paraId="386FBF77" w14:textId="77777777" w:rsidR="00E0683E" w:rsidRPr="00175D8B" w:rsidRDefault="00E0683E" w:rsidP="00E0683E">
            <w:pPr>
              <w:spacing w:before="120" w:after="0" w:line="240" w:lineRule="auto"/>
              <w:rPr>
                <w:rFonts w:eastAsia="Aptos" w:cs="Aptos"/>
                <w:color w:val="000000" w:themeColor="text1"/>
                <w:sz w:val="20"/>
                <w:szCs w:val="20"/>
              </w:rPr>
            </w:pPr>
          </w:p>
        </w:tc>
        <w:tc>
          <w:tcPr>
            <w:tcW w:w="1985" w:type="dxa"/>
            <w:shd w:val="clear" w:color="auto" w:fill="D9D9D9"/>
            <w:vAlign w:val="center"/>
          </w:tcPr>
          <w:p w14:paraId="321105B5" w14:textId="77777777" w:rsidR="00E0683E" w:rsidRPr="00175D8B" w:rsidRDefault="00E0683E" w:rsidP="00E0683E">
            <w:pPr>
              <w:spacing w:before="120" w:after="0" w:line="240" w:lineRule="auto"/>
              <w:rPr>
                <w:rFonts w:eastAsia="Aptos" w:cs="Aptos"/>
                <w:color w:val="000000" w:themeColor="text1"/>
                <w:sz w:val="20"/>
                <w:szCs w:val="20"/>
              </w:rPr>
            </w:pPr>
            <w:r w:rsidRPr="00175D8B">
              <w:rPr>
                <w:rFonts w:eastAsia="Aptos" w:cs="Aptos"/>
                <w:color w:val="000000" w:themeColor="text1"/>
                <w:sz w:val="20"/>
                <w:szCs w:val="20"/>
              </w:rPr>
              <w:t>4b</w:t>
            </w:r>
          </w:p>
        </w:tc>
        <w:tc>
          <w:tcPr>
            <w:tcW w:w="2410" w:type="dxa"/>
            <w:shd w:val="clear" w:color="auto" w:fill="D9D9D9"/>
            <w:vAlign w:val="center"/>
          </w:tcPr>
          <w:p w14:paraId="5214D1EF" w14:textId="228763FE" w:rsidR="00E0683E" w:rsidRPr="00175D8B" w:rsidRDefault="00E0683E" w:rsidP="001E17E2">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44</w:t>
            </w:r>
            <w:r w:rsidR="001E17E2" w:rsidRPr="00175D8B">
              <w:rPr>
                <w:rFonts w:eastAsia="Aptos" w:cs="Aptos"/>
                <w:color w:val="000000" w:themeColor="text1"/>
                <w:sz w:val="20"/>
                <w:szCs w:val="20"/>
              </w:rPr>
              <w:t>,</w:t>
            </w:r>
            <w:r w:rsidRPr="00175D8B">
              <w:rPr>
                <w:rFonts w:eastAsia="Aptos" w:cs="Aptos"/>
                <w:color w:val="000000" w:themeColor="text1"/>
                <w:sz w:val="20"/>
                <w:szCs w:val="20"/>
              </w:rPr>
              <w:t>877</w:t>
            </w:r>
          </w:p>
        </w:tc>
        <w:tc>
          <w:tcPr>
            <w:tcW w:w="2361" w:type="dxa"/>
            <w:vMerge/>
            <w:shd w:val="clear" w:color="auto" w:fill="D9D9D9"/>
            <w:vAlign w:val="center"/>
          </w:tcPr>
          <w:p w14:paraId="03C6AE38" w14:textId="77777777" w:rsidR="00E0683E" w:rsidRPr="00175D8B" w:rsidRDefault="00E0683E" w:rsidP="00E0683E">
            <w:pPr>
              <w:spacing w:before="120" w:after="0" w:line="240" w:lineRule="auto"/>
              <w:jc w:val="center"/>
              <w:rPr>
                <w:rFonts w:eastAsia="Aptos" w:cs="Aptos"/>
                <w:color w:val="000000" w:themeColor="text1"/>
                <w:sz w:val="20"/>
                <w:szCs w:val="20"/>
              </w:rPr>
            </w:pPr>
          </w:p>
        </w:tc>
      </w:tr>
      <w:tr w:rsidR="00E0683E" w:rsidRPr="00175D8B" w14:paraId="66C286BE" w14:textId="77777777" w:rsidTr="002550A6">
        <w:trPr>
          <w:trHeight w:val="522"/>
          <w:jc w:val="center"/>
        </w:trPr>
        <w:tc>
          <w:tcPr>
            <w:tcW w:w="1696" w:type="dxa"/>
            <w:vMerge/>
            <w:shd w:val="clear" w:color="auto" w:fill="D9D9D9"/>
          </w:tcPr>
          <w:p w14:paraId="0D5AA472" w14:textId="77777777" w:rsidR="00E0683E" w:rsidRPr="00175D8B" w:rsidRDefault="00E0683E" w:rsidP="00E0683E">
            <w:pPr>
              <w:spacing w:before="120" w:after="0" w:line="240" w:lineRule="auto"/>
              <w:rPr>
                <w:rFonts w:eastAsia="Aptos" w:cs="Aptos"/>
                <w:color w:val="000000" w:themeColor="text1"/>
                <w:sz w:val="20"/>
                <w:szCs w:val="20"/>
              </w:rPr>
            </w:pPr>
          </w:p>
        </w:tc>
        <w:tc>
          <w:tcPr>
            <w:tcW w:w="1985" w:type="dxa"/>
            <w:shd w:val="clear" w:color="auto" w:fill="D9D9D9"/>
            <w:vAlign w:val="center"/>
          </w:tcPr>
          <w:p w14:paraId="69634F1A" w14:textId="77777777" w:rsidR="00E0683E" w:rsidRPr="00175D8B" w:rsidRDefault="00E0683E" w:rsidP="00E0683E">
            <w:pPr>
              <w:spacing w:before="120" w:after="0" w:line="240" w:lineRule="auto"/>
              <w:rPr>
                <w:rFonts w:eastAsia="Aptos" w:cs="Aptos"/>
                <w:color w:val="000000" w:themeColor="text1"/>
                <w:sz w:val="20"/>
                <w:szCs w:val="20"/>
              </w:rPr>
            </w:pPr>
            <w:r w:rsidRPr="00175D8B">
              <w:rPr>
                <w:rFonts w:eastAsia="Aptos" w:cs="Aptos"/>
                <w:color w:val="000000" w:themeColor="text1"/>
                <w:sz w:val="20"/>
                <w:szCs w:val="20"/>
              </w:rPr>
              <w:t>4c</w:t>
            </w:r>
          </w:p>
        </w:tc>
        <w:tc>
          <w:tcPr>
            <w:tcW w:w="2410" w:type="dxa"/>
            <w:shd w:val="clear" w:color="auto" w:fill="D9D9D9"/>
            <w:vAlign w:val="center"/>
          </w:tcPr>
          <w:p w14:paraId="21DE804C" w14:textId="3F13BE59" w:rsidR="00E0683E" w:rsidRPr="00175D8B" w:rsidRDefault="00E0683E" w:rsidP="001E17E2">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22</w:t>
            </w:r>
            <w:r w:rsidR="001E17E2" w:rsidRPr="00175D8B">
              <w:rPr>
                <w:rFonts w:eastAsia="Aptos" w:cs="Aptos"/>
                <w:color w:val="000000" w:themeColor="text1"/>
                <w:sz w:val="20"/>
                <w:szCs w:val="20"/>
              </w:rPr>
              <w:t>,</w:t>
            </w:r>
            <w:r w:rsidRPr="00175D8B">
              <w:rPr>
                <w:rFonts w:eastAsia="Aptos" w:cs="Aptos"/>
                <w:color w:val="000000" w:themeColor="text1"/>
                <w:sz w:val="20"/>
                <w:szCs w:val="20"/>
              </w:rPr>
              <w:t>448</w:t>
            </w:r>
          </w:p>
        </w:tc>
        <w:tc>
          <w:tcPr>
            <w:tcW w:w="2361" w:type="dxa"/>
            <w:vMerge/>
            <w:shd w:val="clear" w:color="auto" w:fill="D9D9D9"/>
            <w:vAlign w:val="center"/>
          </w:tcPr>
          <w:p w14:paraId="6FECB401" w14:textId="77777777" w:rsidR="00E0683E" w:rsidRPr="00175D8B" w:rsidRDefault="00E0683E" w:rsidP="00E0683E">
            <w:pPr>
              <w:spacing w:before="120" w:after="0" w:line="240" w:lineRule="auto"/>
              <w:jc w:val="center"/>
              <w:rPr>
                <w:rFonts w:eastAsia="Aptos" w:cs="Aptos"/>
                <w:color w:val="000000" w:themeColor="text1"/>
                <w:sz w:val="20"/>
                <w:szCs w:val="20"/>
              </w:rPr>
            </w:pPr>
          </w:p>
        </w:tc>
      </w:tr>
      <w:tr w:rsidR="00E0683E" w:rsidRPr="00175D8B" w14:paraId="143B39AC" w14:textId="77777777" w:rsidTr="002550A6">
        <w:trPr>
          <w:trHeight w:val="522"/>
          <w:jc w:val="center"/>
        </w:trPr>
        <w:tc>
          <w:tcPr>
            <w:tcW w:w="1696" w:type="dxa"/>
            <w:vMerge w:val="restart"/>
            <w:shd w:val="clear" w:color="auto" w:fill="F2F2F2"/>
          </w:tcPr>
          <w:p w14:paraId="4FB814F1" w14:textId="77777777" w:rsidR="00E0683E" w:rsidRPr="00175D8B" w:rsidRDefault="00E0683E" w:rsidP="00E0683E">
            <w:pPr>
              <w:widowControl w:val="0"/>
              <w:pBdr>
                <w:top w:val="nil"/>
                <w:left w:val="nil"/>
                <w:bottom w:val="nil"/>
                <w:right w:val="nil"/>
                <w:between w:val="nil"/>
              </w:pBdr>
              <w:spacing w:before="120" w:after="0" w:line="240" w:lineRule="auto"/>
              <w:jc w:val="center"/>
              <w:rPr>
                <w:rFonts w:eastAsia="Aptos" w:cs="Aptos"/>
                <w:color w:val="000000" w:themeColor="text1"/>
                <w:sz w:val="20"/>
                <w:szCs w:val="20"/>
              </w:rPr>
            </w:pPr>
          </w:p>
          <w:p w14:paraId="64084D4C" w14:textId="77777777" w:rsidR="00E0683E" w:rsidRPr="00175D8B" w:rsidRDefault="00E0683E" w:rsidP="00E0683E">
            <w:pPr>
              <w:widowControl w:val="0"/>
              <w:pBdr>
                <w:top w:val="nil"/>
                <w:left w:val="nil"/>
                <w:bottom w:val="nil"/>
                <w:right w:val="nil"/>
                <w:between w:val="nil"/>
              </w:pBdr>
              <w:spacing w:before="120" w:after="0" w:line="240" w:lineRule="auto"/>
              <w:jc w:val="center"/>
              <w:rPr>
                <w:rFonts w:eastAsia="Aptos" w:cs="Aptos"/>
                <w:color w:val="000000" w:themeColor="text1"/>
                <w:sz w:val="20"/>
                <w:szCs w:val="20"/>
              </w:rPr>
            </w:pPr>
          </w:p>
          <w:p w14:paraId="2D8A3E18" w14:textId="77777777" w:rsidR="00E0683E" w:rsidRPr="00175D8B" w:rsidRDefault="00E0683E" w:rsidP="00E0683E">
            <w:pPr>
              <w:widowControl w:val="0"/>
              <w:pBdr>
                <w:top w:val="nil"/>
                <w:left w:val="nil"/>
                <w:bottom w:val="nil"/>
                <w:right w:val="nil"/>
                <w:between w:val="nil"/>
              </w:pBdr>
              <w:spacing w:before="120" w:after="0" w:line="240" w:lineRule="auto"/>
              <w:jc w:val="center"/>
              <w:rPr>
                <w:rFonts w:eastAsia="Aptos" w:cs="Aptos"/>
                <w:color w:val="000000" w:themeColor="text1"/>
                <w:sz w:val="20"/>
                <w:szCs w:val="20"/>
              </w:rPr>
            </w:pPr>
          </w:p>
          <w:p w14:paraId="2B7CDE42" w14:textId="77777777" w:rsidR="00E0683E" w:rsidRPr="00175D8B" w:rsidRDefault="00E0683E" w:rsidP="00E0683E">
            <w:pPr>
              <w:widowControl w:val="0"/>
              <w:pBdr>
                <w:top w:val="nil"/>
                <w:left w:val="nil"/>
                <w:bottom w:val="nil"/>
                <w:right w:val="nil"/>
                <w:between w:val="nil"/>
              </w:pBd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2021</w:t>
            </w:r>
          </w:p>
        </w:tc>
        <w:tc>
          <w:tcPr>
            <w:tcW w:w="1985" w:type="dxa"/>
            <w:shd w:val="clear" w:color="auto" w:fill="F2F2F2"/>
            <w:vAlign w:val="center"/>
          </w:tcPr>
          <w:p w14:paraId="70676503" w14:textId="77777777" w:rsidR="00E0683E" w:rsidRPr="00175D8B" w:rsidRDefault="00E0683E" w:rsidP="00E0683E">
            <w:pPr>
              <w:widowControl w:val="0"/>
              <w:pBdr>
                <w:top w:val="nil"/>
                <w:left w:val="nil"/>
                <w:bottom w:val="nil"/>
                <w:right w:val="nil"/>
                <w:between w:val="nil"/>
              </w:pBdr>
              <w:spacing w:before="120" w:after="0" w:line="240" w:lineRule="auto"/>
              <w:jc w:val="left"/>
              <w:rPr>
                <w:rFonts w:eastAsia="Aptos" w:cs="Aptos"/>
                <w:color w:val="000000" w:themeColor="text1"/>
                <w:sz w:val="20"/>
                <w:szCs w:val="20"/>
              </w:rPr>
            </w:pPr>
            <w:r w:rsidRPr="00175D8B">
              <w:rPr>
                <w:rFonts w:eastAsia="Aptos" w:cs="Aptos"/>
                <w:color w:val="000000" w:themeColor="text1"/>
                <w:sz w:val="20"/>
                <w:szCs w:val="20"/>
              </w:rPr>
              <w:t>4a</w:t>
            </w:r>
          </w:p>
        </w:tc>
        <w:tc>
          <w:tcPr>
            <w:tcW w:w="2410" w:type="dxa"/>
            <w:shd w:val="clear" w:color="auto" w:fill="F2F2F2"/>
            <w:vAlign w:val="center"/>
          </w:tcPr>
          <w:p w14:paraId="499B1887" w14:textId="737A2336" w:rsidR="00E0683E" w:rsidRPr="00175D8B" w:rsidRDefault="00E0683E" w:rsidP="001E17E2">
            <w:pPr>
              <w:widowControl w:val="0"/>
              <w:pBdr>
                <w:top w:val="nil"/>
                <w:left w:val="nil"/>
                <w:bottom w:val="nil"/>
                <w:right w:val="nil"/>
                <w:between w:val="nil"/>
              </w:pBd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114</w:t>
            </w:r>
            <w:r w:rsidR="001E17E2" w:rsidRPr="00175D8B">
              <w:rPr>
                <w:rFonts w:eastAsia="Aptos" w:cs="Aptos"/>
                <w:color w:val="000000" w:themeColor="text1"/>
                <w:sz w:val="20"/>
                <w:szCs w:val="20"/>
              </w:rPr>
              <w:t>,</w:t>
            </w:r>
            <w:r w:rsidRPr="00175D8B">
              <w:rPr>
                <w:rFonts w:eastAsia="Aptos" w:cs="Aptos"/>
                <w:color w:val="000000" w:themeColor="text1"/>
                <w:sz w:val="20"/>
                <w:szCs w:val="20"/>
              </w:rPr>
              <w:t>249</w:t>
            </w:r>
          </w:p>
        </w:tc>
        <w:tc>
          <w:tcPr>
            <w:tcW w:w="2361" w:type="dxa"/>
            <w:vMerge w:val="restart"/>
            <w:shd w:val="clear" w:color="auto" w:fill="F2F2F2"/>
            <w:vAlign w:val="center"/>
          </w:tcPr>
          <w:p w14:paraId="5E08D75F" w14:textId="2FA5C861" w:rsidR="00E0683E" w:rsidRPr="00175D8B" w:rsidRDefault="00E0683E" w:rsidP="00E0683E">
            <w:pPr>
              <w:widowControl w:val="0"/>
              <w:pBdr>
                <w:top w:val="nil"/>
                <w:left w:val="nil"/>
                <w:bottom w:val="nil"/>
                <w:right w:val="nil"/>
                <w:between w:val="nil"/>
              </w:pBd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182</w:t>
            </w:r>
            <w:r w:rsidR="001E17E2" w:rsidRPr="00175D8B">
              <w:rPr>
                <w:rFonts w:eastAsia="Aptos" w:cs="Aptos"/>
                <w:color w:val="000000" w:themeColor="text1"/>
                <w:sz w:val="20"/>
                <w:szCs w:val="20"/>
              </w:rPr>
              <w:t>,</w:t>
            </w:r>
            <w:r w:rsidRPr="00175D8B">
              <w:rPr>
                <w:rFonts w:eastAsia="Aptos" w:cs="Aptos"/>
                <w:color w:val="000000" w:themeColor="text1"/>
                <w:sz w:val="20"/>
                <w:szCs w:val="20"/>
              </w:rPr>
              <w:t>458</w:t>
            </w:r>
          </w:p>
        </w:tc>
      </w:tr>
      <w:tr w:rsidR="00E0683E" w:rsidRPr="00175D8B" w14:paraId="59E9BFF0" w14:textId="77777777" w:rsidTr="002550A6">
        <w:trPr>
          <w:trHeight w:val="522"/>
          <w:jc w:val="center"/>
        </w:trPr>
        <w:tc>
          <w:tcPr>
            <w:tcW w:w="1696" w:type="dxa"/>
            <w:vMerge/>
            <w:shd w:val="clear" w:color="auto" w:fill="F2F2F2"/>
          </w:tcPr>
          <w:p w14:paraId="3F202D03" w14:textId="77777777" w:rsidR="00E0683E" w:rsidRPr="00175D8B" w:rsidRDefault="00E0683E" w:rsidP="00E0683E">
            <w:pPr>
              <w:spacing w:before="120" w:after="0" w:line="240" w:lineRule="auto"/>
              <w:rPr>
                <w:rFonts w:eastAsia="Aptos" w:cs="Aptos"/>
                <w:color w:val="000000" w:themeColor="text1"/>
                <w:sz w:val="20"/>
                <w:szCs w:val="20"/>
              </w:rPr>
            </w:pPr>
          </w:p>
        </w:tc>
        <w:tc>
          <w:tcPr>
            <w:tcW w:w="1985" w:type="dxa"/>
            <w:shd w:val="clear" w:color="auto" w:fill="F2F2F2"/>
            <w:vAlign w:val="center"/>
          </w:tcPr>
          <w:p w14:paraId="506BA867" w14:textId="77777777" w:rsidR="00E0683E" w:rsidRPr="00175D8B" w:rsidRDefault="00E0683E" w:rsidP="00E0683E">
            <w:pPr>
              <w:spacing w:before="120" w:after="0" w:line="240" w:lineRule="auto"/>
              <w:rPr>
                <w:rFonts w:eastAsia="Aptos" w:cs="Aptos"/>
                <w:color w:val="000000" w:themeColor="text1"/>
                <w:sz w:val="20"/>
                <w:szCs w:val="20"/>
              </w:rPr>
            </w:pPr>
            <w:r w:rsidRPr="00175D8B">
              <w:rPr>
                <w:rFonts w:eastAsia="Aptos" w:cs="Aptos"/>
                <w:color w:val="000000" w:themeColor="text1"/>
                <w:sz w:val="20"/>
                <w:szCs w:val="20"/>
              </w:rPr>
              <w:t>4b</w:t>
            </w:r>
          </w:p>
        </w:tc>
        <w:tc>
          <w:tcPr>
            <w:tcW w:w="2410" w:type="dxa"/>
            <w:shd w:val="clear" w:color="auto" w:fill="F2F2F2"/>
            <w:vAlign w:val="center"/>
          </w:tcPr>
          <w:p w14:paraId="4D2848DD" w14:textId="0604EB29" w:rsidR="00E0683E" w:rsidRPr="00175D8B" w:rsidRDefault="00E0683E" w:rsidP="001E17E2">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45</w:t>
            </w:r>
            <w:r w:rsidR="001E17E2" w:rsidRPr="00175D8B">
              <w:rPr>
                <w:rFonts w:eastAsia="Aptos" w:cs="Aptos"/>
                <w:color w:val="000000" w:themeColor="text1"/>
                <w:sz w:val="20"/>
                <w:szCs w:val="20"/>
              </w:rPr>
              <w:t>,</w:t>
            </w:r>
            <w:r w:rsidRPr="00175D8B">
              <w:rPr>
                <w:rFonts w:eastAsia="Aptos" w:cs="Aptos"/>
                <w:color w:val="000000" w:themeColor="text1"/>
                <w:sz w:val="20"/>
                <w:szCs w:val="20"/>
              </w:rPr>
              <w:t>141</w:t>
            </w:r>
          </w:p>
        </w:tc>
        <w:tc>
          <w:tcPr>
            <w:tcW w:w="2361" w:type="dxa"/>
            <w:vMerge/>
            <w:shd w:val="clear" w:color="auto" w:fill="F2F2F2"/>
            <w:vAlign w:val="center"/>
          </w:tcPr>
          <w:p w14:paraId="1D803123" w14:textId="77777777" w:rsidR="00E0683E" w:rsidRPr="00175D8B" w:rsidRDefault="00E0683E" w:rsidP="00E0683E">
            <w:pPr>
              <w:spacing w:before="120" w:after="0" w:line="240" w:lineRule="auto"/>
              <w:jc w:val="center"/>
              <w:rPr>
                <w:rFonts w:eastAsia="Aptos" w:cs="Aptos"/>
                <w:color w:val="000000" w:themeColor="text1"/>
                <w:sz w:val="20"/>
                <w:szCs w:val="20"/>
              </w:rPr>
            </w:pPr>
          </w:p>
        </w:tc>
      </w:tr>
      <w:tr w:rsidR="00E0683E" w:rsidRPr="00175D8B" w14:paraId="69BCF852" w14:textId="77777777" w:rsidTr="002550A6">
        <w:trPr>
          <w:trHeight w:val="522"/>
          <w:jc w:val="center"/>
        </w:trPr>
        <w:tc>
          <w:tcPr>
            <w:tcW w:w="1696" w:type="dxa"/>
            <w:vMerge/>
            <w:shd w:val="clear" w:color="auto" w:fill="F2F2F2"/>
          </w:tcPr>
          <w:p w14:paraId="77754B2D" w14:textId="77777777" w:rsidR="00E0683E" w:rsidRPr="00175D8B" w:rsidRDefault="00E0683E" w:rsidP="00E0683E">
            <w:pPr>
              <w:spacing w:before="120" w:after="0" w:line="240" w:lineRule="auto"/>
              <w:rPr>
                <w:rFonts w:eastAsia="Aptos" w:cs="Aptos"/>
                <w:color w:val="000000" w:themeColor="text1"/>
                <w:sz w:val="20"/>
                <w:szCs w:val="20"/>
              </w:rPr>
            </w:pPr>
          </w:p>
        </w:tc>
        <w:tc>
          <w:tcPr>
            <w:tcW w:w="1985" w:type="dxa"/>
            <w:shd w:val="clear" w:color="auto" w:fill="F2F2F2"/>
            <w:vAlign w:val="center"/>
          </w:tcPr>
          <w:p w14:paraId="69D1FA40" w14:textId="77777777" w:rsidR="00E0683E" w:rsidRPr="00175D8B" w:rsidRDefault="00E0683E" w:rsidP="00E0683E">
            <w:pPr>
              <w:spacing w:before="120" w:after="0" w:line="240" w:lineRule="auto"/>
              <w:rPr>
                <w:rFonts w:eastAsia="Aptos" w:cs="Aptos"/>
                <w:color w:val="000000" w:themeColor="text1"/>
                <w:sz w:val="20"/>
                <w:szCs w:val="20"/>
              </w:rPr>
            </w:pPr>
            <w:r w:rsidRPr="00175D8B">
              <w:rPr>
                <w:rFonts w:eastAsia="Aptos" w:cs="Aptos"/>
                <w:color w:val="000000" w:themeColor="text1"/>
                <w:sz w:val="20"/>
                <w:szCs w:val="20"/>
              </w:rPr>
              <w:t>4c</w:t>
            </w:r>
          </w:p>
        </w:tc>
        <w:tc>
          <w:tcPr>
            <w:tcW w:w="2410" w:type="dxa"/>
            <w:shd w:val="clear" w:color="auto" w:fill="F2F2F2"/>
            <w:vAlign w:val="center"/>
          </w:tcPr>
          <w:p w14:paraId="377A61A9" w14:textId="05BE4709" w:rsidR="00E0683E" w:rsidRPr="00175D8B" w:rsidRDefault="00E0683E" w:rsidP="001E17E2">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23</w:t>
            </w:r>
            <w:r w:rsidR="001E17E2" w:rsidRPr="00175D8B">
              <w:rPr>
                <w:rFonts w:eastAsia="Aptos" w:cs="Aptos"/>
                <w:color w:val="000000" w:themeColor="text1"/>
                <w:sz w:val="20"/>
                <w:szCs w:val="20"/>
              </w:rPr>
              <w:t>,</w:t>
            </w:r>
            <w:r w:rsidRPr="00175D8B">
              <w:rPr>
                <w:rFonts w:eastAsia="Aptos" w:cs="Aptos"/>
                <w:color w:val="000000" w:themeColor="text1"/>
                <w:sz w:val="20"/>
                <w:szCs w:val="20"/>
              </w:rPr>
              <w:t>068</w:t>
            </w:r>
          </w:p>
        </w:tc>
        <w:tc>
          <w:tcPr>
            <w:tcW w:w="2361" w:type="dxa"/>
            <w:vMerge/>
            <w:shd w:val="clear" w:color="auto" w:fill="F2F2F2"/>
            <w:vAlign w:val="center"/>
          </w:tcPr>
          <w:p w14:paraId="6D016643" w14:textId="77777777" w:rsidR="00E0683E" w:rsidRPr="00175D8B" w:rsidRDefault="00E0683E" w:rsidP="00E0683E">
            <w:pPr>
              <w:spacing w:before="120" w:after="0" w:line="240" w:lineRule="auto"/>
              <w:jc w:val="center"/>
              <w:rPr>
                <w:rFonts w:eastAsia="Aptos" w:cs="Aptos"/>
                <w:color w:val="000000" w:themeColor="text1"/>
                <w:sz w:val="20"/>
                <w:szCs w:val="20"/>
              </w:rPr>
            </w:pPr>
          </w:p>
        </w:tc>
      </w:tr>
      <w:tr w:rsidR="00E0683E" w:rsidRPr="00175D8B" w14:paraId="32FDDE50" w14:textId="77777777" w:rsidTr="002550A6">
        <w:trPr>
          <w:trHeight w:val="522"/>
          <w:jc w:val="center"/>
        </w:trPr>
        <w:tc>
          <w:tcPr>
            <w:tcW w:w="1696" w:type="dxa"/>
            <w:vMerge w:val="restart"/>
            <w:shd w:val="clear" w:color="auto" w:fill="D9D9D9"/>
          </w:tcPr>
          <w:p w14:paraId="118F55DB" w14:textId="77777777" w:rsidR="00E0683E" w:rsidRPr="00175D8B" w:rsidRDefault="00E0683E" w:rsidP="00E0683E">
            <w:pPr>
              <w:widowControl w:val="0"/>
              <w:pBdr>
                <w:top w:val="nil"/>
                <w:left w:val="nil"/>
                <w:bottom w:val="nil"/>
                <w:right w:val="nil"/>
                <w:between w:val="nil"/>
              </w:pBdr>
              <w:spacing w:before="240" w:after="0" w:line="240" w:lineRule="auto"/>
              <w:jc w:val="center"/>
              <w:rPr>
                <w:rFonts w:eastAsia="Aptos" w:cs="Aptos"/>
                <w:color w:val="000000" w:themeColor="text1"/>
                <w:sz w:val="20"/>
                <w:szCs w:val="20"/>
              </w:rPr>
            </w:pPr>
          </w:p>
          <w:p w14:paraId="42DD73E5" w14:textId="77777777" w:rsidR="00E0683E" w:rsidRPr="00175D8B" w:rsidRDefault="00E0683E" w:rsidP="00E0683E">
            <w:pPr>
              <w:widowControl w:val="0"/>
              <w:pBdr>
                <w:top w:val="nil"/>
                <w:left w:val="nil"/>
                <w:bottom w:val="nil"/>
                <w:right w:val="nil"/>
                <w:between w:val="nil"/>
              </w:pBdr>
              <w:spacing w:before="240" w:after="0" w:line="240" w:lineRule="auto"/>
              <w:jc w:val="center"/>
              <w:rPr>
                <w:rFonts w:eastAsia="Aptos" w:cs="Aptos"/>
                <w:color w:val="000000" w:themeColor="text1"/>
                <w:sz w:val="20"/>
                <w:szCs w:val="20"/>
              </w:rPr>
            </w:pPr>
            <w:r w:rsidRPr="00175D8B">
              <w:rPr>
                <w:rFonts w:eastAsia="Aptos" w:cs="Aptos"/>
                <w:color w:val="000000" w:themeColor="text1"/>
                <w:sz w:val="20"/>
                <w:szCs w:val="20"/>
              </w:rPr>
              <w:t>2022</w:t>
            </w:r>
          </w:p>
        </w:tc>
        <w:tc>
          <w:tcPr>
            <w:tcW w:w="1985" w:type="dxa"/>
            <w:shd w:val="clear" w:color="auto" w:fill="D9D9D9"/>
            <w:vAlign w:val="center"/>
          </w:tcPr>
          <w:p w14:paraId="44B40104" w14:textId="77777777" w:rsidR="00E0683E" w:rsidRPr="00175D8B" w:rsidRDefault="00E0683E" w:rsidP="00E0683E">
            <w:pPr>
              <w:widowControl w:val="0"/>
              <w:pBdr>
                <w:top w:val="nil"/>
                <w:left w:val="nil"/>
                <w:bottom w:val="nil"/>
                <w:right w:val="nil"/>
                <w:between w:val="nil"/>
              </w:pBdr>
              <w:spacing w:before="120" w:after="0" w:line="240" w:lineRule="auto"/>
              <w:jc w:val="left"/>
              <w:rPr>
                <w:rFonts w:eastAsia="Aptos" w:cs="Aptos"/>
                <w:color w:val="000000" w:themeColor="text1"/>
                <w:sz w:val="20"/>
                <w:szCs w:val="20"/>
              </w:rPr>
            </w:pPr>
            <w:r w:rsidRPr="00175D8B">
              <w:rPr>
                <w:rFonts w:eastAsia="Aptos" w:cs="Aptos"/>
                <w:color w:val="000000" w:themeColor="text1"/>
                <w:sz w:val="20"/>
                <w:szCs w:val="20"/>
              </w:rPr>
              <w:t>4a</w:t>
            </w:r>
          </w:p>
        </w:tc>
        <w:tc>
          <w:tcPr>
            <w:tcW w:w="2410" w:type="dxa"/>
            <w:shd w:val="clear" w:color="auto" w:fill="D9D9D9"/>
            <w:vAlign w:val="center"/>
          </w:tcPr>
          <w:p w14:paraId="4897D4B6" w14:textId="6FB7CE27" w:rsidR="00E0683E" w:rsidRPr="00175D8B" w:rsidRDefault="00E0683E" w:rsidP="001E17E2">
            <w:pPr>
              <w:widowControl w:val="0"/>
              <w:pBdr>
                <w:top w:val="nil"/>
                <w:left w:val="nil"/>
                <w:bottom w:val="nil"/>
                <w:right w:val="nil"/>
                <w:between w:val="nil"/>
              </w:pBd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120</w:t>
            </w:r>
            <w:r w:rsidR="001E17E2" w:rsidRPr="00175D8B">
              <w:rPr>
                <w:rFonts w:eastAsia="Aptos" w:cs="Aptos"/>
                <w:color w:val="000000" w:themeColor="text1"/>
                <w:sz w:val="20"/>
                <w:szCs w:val="20"/>
              </w:rPr>
              <w:t>,</w:t>
            </w:r>
            <w:r w:rsidRPr="00175D8B">
              <w:rPr>
                <w:rFonts w:eastAsia="Aptos" w:cs="Aptos"/>
                <w:color w:val="000000" w:themeColor="text1"/>
                <w:sz w:val="20"/>
                <w:szCs w:val="20"/>
              </w:rPr>
              <w:t>821</w:t>
            </w:r>
          </w:p>
        </w:tc>
        <w:tc>
          <w:tcPr>
            <w:tcW w:w="2361" w:type="dxa"/>
            <w:vMerge w:val="restart"/>
            <w:shd w:val="clear" w:color="auto" w:fill="D9D9D9"/>
            <w:vAlign w:val="center"/>
          </w:tcPr>
          <w:p w14:paraId="03C8374B" w14:textId="796C9C9C" w:rsidR="00E0683E" w:rsidRPr="00175D8B" w:rsidRDefault="00E0683E" w:rsidP="00E0683E">
            <w:pPr>
              <w:widowControl w:val="0"/>
              <w:pBdr>
                <w:top w:val="nil"/>
                <w:left w:val="nil"/>
                <w:bottom w:val="nil"/>
                <w:right w:val="nil"/>
                <w:between w:val="nil"/>
              </w:pBd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189</w:t>
            </w:r>
            <w:r w:rsidR="001E17E2" w:rsidRPr="00175D8B">
              <w:rPr>
                <w:rFonts w:eastAsia="Aptos" w:cs="Aptos"/>
                <w:color w:val="000000" w:themeColor="text1"/>
                <w:sz w:val="20"/>
                <w:szCs w:val="20"/>
              </w:rPr>
              <w:t>,</w:t>
            </w:r>
            <w:r w:rsidRPr="00175D8B">
              <w:rPr>
                <w:rFonts w:eastAsia="Aptos" w:cs="Aptos"/>
                <w:color w:val="000000" w:themeColor="text1"/>
                <w:sz w:val="20"/>
                <w:szCs w:val="20"/>
              </w:rPr>
              <w:t>380</w:t>
            </w:r>
          </w:p>
        </w:tc>
      </w:tr>
      <w:tr w:rsidR="00E0683E" w:rsidRPr="00175D8B" w14:paraId="1CC84306" w14:textId="77777777" w:rsidTr="002550A6">
        <w:trPr>
          <w:trHeight w:val="522"/>
          <w:jc w:val="center"/>
        </w:trPr>
        <w:tc>
          <w:tcPr>
            <w:tcW w:w="1696" w:type="dxa"/>
            <w:vMerge/>
            <w:shd w:val="clear" w:color="auto" w:fill="D9D9D9"/>
          </w:tcPr>
          <w:p w14:paraId="50466107" w14:textId="77777777" w:rsidR="00E0683E" w:rsidRPr="00175D8B" w:rsidRDefault="00E0683E" w:rsidP="00E0683E">
            <w:pPr>
              <w:spacing w:before="120" w:after="0" w:line="240" w:lineRule="auto"/>
              <w:rPr>
                <w:rFonts w:eastAsia="Aptos" w:cs="Aptos"/>
                <w:color w:val="000000" w:themeColor="text1"/>
                <w:sz w:val="20"/>
                <w:szCs w:val="20"/>
              </w:rPr>
            </w:pPr>
          </w:p>
        </w:tc>
        <w:tc>
          <w:tcPr>
            <w:tcW w:w="1985" w:type="dxa"/>
            <w:shd w:val="clear" w:color="auto" w:fill="D9D9D9"/>
            <w:vAlign w:val="center"/>
          </w:tcPr>
          <w:p w14:paraId="37052BB3" w14:textId="77777777" w:rsidR="00E0683E" w:rsidRPr="00175D8B" w:rsidRDefault="00E0683E" w:rsidP="00E0683E">
            <w:pPr>
              <w:spacing w:before="120" w:after="0" w:line="240" w:lineRule="auto"/>
              <w:rPr>
                <w:rFonts w:eastAsia="Aptos" w:cs="Aptos"/>
                <w:color w:val="000000" w:themeColor="text1"/>
                <w:sz w:val="20"/>
                <w:szCs w:val="20"/>
              </w:rPr>
            </w:pPr>
            <w:r w:rsidRPr="00175D8B">
              <w:rPr>
                <w:rFonts w:eastAsia="Aptos" w:cs="Aptos"/>
                <w:color w:val="000000" w:themeColor="text1"/>
                <w:sz w:val="20"/>
                <w:szCs w:val="20"/>
              </w:rPr>
              <w:t>4b</w:t>
            </w:r>
          </w:p>
        </w:tc>
        <w:tc>
          <w:tcPr>
            <w:tcW w:w="2410" w:type="dxa"/>
            <w:shd w:val="clear" w:color="auto" w:fill="D9D9D9"/>
            <w:vAlign w:val="center"/>
          </w:tcPr>
          <w:p w14:paraId="5C6A49EB" w14:textId="56C102FC" w:rsidR="00E0683E" w:rsidRPr="00175D8B" w:rsidRDefault="00E0683E" w:rsidP="001E17E2">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44</w:t>
            </w:r>
            <w:r w:rsidR="001E17E2" w:rsidRPr="00175D8B">
              <w:rPr>
                <w:rFonts w:eastAsia="Aptos" w:cs="Aptos"/>
                <w:color w:val="000000" w:themeColor="text1"/>
                <w:sz w:val="20"/>
                <w:szCs w:val="20"/>
              </w:rPr>
              <w:t>,</w:t>
            </w:r>
            <w:r w:rsidRPr="00175D8B">
              <w:rPr>
                <w:rFonts w:eastAsia="Aptos" w:cs="Aptos"/>
                <w:color w:val="000000" w:themeColor="text1"/>
                <w:sz w:val="20"/>
                <w:szCs w:val="20"/>
              </w:rPr>
              <w:t>748</w:t>
            </w:r>
          </w:p>
        </w:tc>
        <w:tc>
          <w:tcPr>
            <w:tcW w:w="2361" w:type="dxa"/>
            <w:vMerge/>
            <w:shd w:val="clear" w:color="auto" w:fill="D9D9D9"/>
            <w:vAlign w:val="center"/>
          </w:tcPr>
          <w:p w14:paraId="74A298AE" w14:textId="77777777" w:rsidR="00E0683E" w:rsidRPr="00175D8B" w:rsidRDefault="00E0683E" w:rsidP="00E0683E">
            <w:pPr>
              <w:spacing w:before="120" w:after="0" w:line="240" w:lineRule="auto"/>
              <w:jc w:val="center"/>
              <w:rPr>
                <w:rFonts w:eastAsia="Aptos" w:cs="Aptos"/>
                <w:color w:val="000000" w:themeColor="text1"/>
                <w:sz w:val="20"/>
                <w:szCs w:val="20"/>
              </w:rPr>
            </w:pPr>
          </w:p>
        </w:tc>
      </w:tr>
      <w:tr w:rsidR="00E0683E" w:rsidRPr="00175D8B" w14:paraId="201B2FFD" w14:textId="77777777" w:rsidTr="002550A6">
        <w:trPr>
          <w:trHeight w:val="522"/>
          <w:jc w:val="center"/>
        </w:trPr>
        <w:tc>
          <w:tcPr>
            <w:tcW w:w="1696" w:type="dxa"/>
            <w:vMerge/>
            <w:shd w:val="clear" w:color="auto" w:fill="D9D9D9"/>
          </w:tcPr>
          <w:p w14:paraId="49C001BD" w14:textId="77777777" w:rsidR="00E0683E" w:rsidRPr="00175D8B" w:rsidRDefault="00E0683E" w:rsidP="00E0683E">
            <w:pPr>
              <w:spacing w:before="120" w:after="0" w:line="240" w:lineRule="auto"/>
              <w:rPr>
                <w:rFonts w:eastAsia="Aptos" w:cs="Aptos"/>
                <w:color w:val="000000" w:themeColor="text1"/>
                <w:sz w:val="20"/>
                <w:szCs w:val="20"/>
              </w:rPr>
            </w:pPr>
          </w:p>
        </w:tc>
        <w:tc>
          <w:tcPr>
            <w:tcW w:w="1985" w:type="dxa"/>
            <w:shd w:val="clear" w:color="auto" w:fill="D9D9D9"/>
            <w:vAlign w:val="center"/>
          </w:tcPr>
          <w:p w14:paraId="660F9137" w14:textId="77777777" w:rsidR="00E0683E" w:rsidRPr="00175D8B" w:rsidRDefault="00E0683E" w:rsidP="00E0683E">
            <w:pPr>
              <w:spacing w:before="120" w:after="0" w:line="240" w:lineRule="auto"/>
              <w:rPr>
                <w:rFonts w:eastAsia="Aptos" w:cs="Aptos"/>
                <w:color w:val="000000" w:themeColor="text1"/>
                <w:sz w:val="20"/>
                <w:szCs w:val="20"/>
              </w:rPr>
            </w:pPr>
            <w:r w:rsidRPr="00175D8B">
              <w:rPr>
                <w:rFonts w:eastAsia="Aptos" w:cs="Aptos"/>
                <w:color w:val="000000" w:themeColor="text1"/>
                <w:sz w:val="20"/>
                <w:szCs w:val="20"/>
              </w:rPr>
              <w:t>4c</w:t>
            </w:r>
          </w:p>
        </w:tc>
        <w:tc>
          <w:tcPr>
            <w:tcW w:w="2410" w:type="dxa"/>
            <w:shd w:val="clear" w:color="auto" w:fill="D9D9D9"/>
            <w:vAlign w:val="center"/>
          </w:tcPr>
          <w:p w14:paraId="7E42D7D9" w14:textId="459C5031" w:rsidR="00E0683E" w:rsidRPr="00175D8B" w:rsidRDefault="00E0683E" w:rsidP="001E17E2">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23</w:t>
            </w:r>
            <w:r w:rsidR="001E17E2" w:rsidRPr="00175D8B">
              <w:rPr>
                <w:rFonts w:eastAsia="Aptos" w:cs="Aptos"/>
                <w:color w:val="000000" w:themeColor="text1"/>
                <w:sz w:val="20"/>
                <w:szCs w:val="20"/>
              </w:rPr>
              <w:t>,</w:t>
            </w:r>
            <w:r w:rsidRPr="00175D8B">
              <w:rPr>
                <w:rFonts w:eastAsia="Aptos" w:cs="Aptos"/>
                <w:color w:val="000000" w:themeColor="text1"/>
                <w:sz w:val="20"/>
                <w:szCs w:val="20"/>
              </w:rPr>
              <w:t>881</w:t>
            </w:r>
          </w:p>
        </w:tc>
        <w:tc>
          <w:tcPr>
            <w:tcW w:w="2361" w:type="dxa"/>
            <w:vMerge/>
            <w:shd w:val="clear" w:color="auto" w:fill="D9D9D9"/>
            <w:vAlign w:val="center"/>
          </w:tcPr>
          <w:p w14:paraId="655F9D1C" w14:textId="77777777" w:rsidR="00E0683E" w:rsidRPr="00175D8B" w:rsidRDefault="00E0683E" w:rsidP="00E0683E">
            <w:pPr>
              <w:spacing w:before="120" w:after="0" w:line="240" w:lineRule="auto"/>
              <w:jc w:val="center"/>
              <w:rPr>
                <w:rFonts w:eastAsia="Aptos" w:cs="Aptos"/>
                <w:color w:val="000000" w:themeColor="text1"/>
                <w:sz w:val="20"/>
                <w:szCs w:val="20"/>
              </w:rPr>
            </w:pPr>
          </w:p>
        </w:tc>
      </w:tr>
      <w:tr w:rsidR="00E0683E" w:rsidRPr="00175D8B" w14:paraId="3347BD4B" w14:textId="77777777" w:rsidTr="002550A6">
        <w:trPr>
          <w:trHeight w:val="522"/>
          <w:jc w:val="center"/>
        </w:trPr>
        <w:tc>
          <w:tcPr>
            <w:tcW w:w="1696" w:type="dxa"/>
            <w:vMerge w:val="restart"/>
            <w:shd w:val="clear" w:color="auto" w:fill="F2F2F2"/>
          </w:tcPr>
          <w:p w14:paraId="4E0CB734" w14:textId="77777777" w:rsidR="00E0683E" w:rsidRPr="00175D8B" w:rsidRDefault="00E0683E" w:rsidP="00E0683E">
            <w:pPr>
              <w:widowControl w:val="0"/>
              <w:pBdr>
                <w:top w:val="nil"/>
                <w:left w:val="nil"/>
                <w:bottom w:val="nil"/>
                <w:right w:val="nil"/>
                <w:between w:val="nil"/>
              </w:pBdr>
              <w:spacing w:before="240" w:after="0" w:line="240" w:lineRule="auto"/>
              <w:jc w:val="center"/>
              <w:rPr>
                <w:rFonts w:eastAsia="Aptos" w:cs="Aptos"/>
                <w:color w:val="000000" w:themeColor="text1"/>
                <w:sz w:val="20"/>
                <w:szCs w:val="20"/>
              </w:rPr>
            </w:pPr>
          </w:p>
          <w:p w14:paraId="58DD2BDE" w14:textId="77777777" w:rsidR="00E0683E" w:rsidRPr="00175D8B" w:rsidRDefault="00E0683E" w:rsidP="00E0683E">
            <w:pPr>
              <w:widowControl w:val="0"/>
              <w:pBdr>
                <w:top w:val="nil"/>
                <w:left w:val="nil"/>
                <w:bottom w:val="nil"/>
                <w:right w:val="nil"/>
                <w:between w:val="nil"/>
              </w:pBdr>
              <w:spacing w:before="240" w:after="0" w:line="240" w:lineRule="auto"/>
              <w:jc w:val="center"/>
              <w:rPr>
                <w:rFonts w:eastAsia="Aptos" w:cs="Aptos"/>
                <w:color w:val="000000" w:themeColor="text1"/>
                <w:sz w:val="20"/>
                <w:szCs w:val="20"/>
              </w:rPr>
            </w:pPr>
            <w:r w:rsidRPr="00175D8B">
              <w:rPr>
                <w:rFonts w:eastAsia="Aptos" w:cs="Aptos"/>
                <w:color w:val="000000" w:themeColor="text1"/>
                <w:sz w:val="20"/>
                <w:szCs w:val="20"/>
              </w:rPr>
              <w:t>2023</w:t>
            </w:r>
          </w:p>
        </w:tc>
        <w:tc>
          <w:tcPr>
            <w:tcW w:w="1985" w:type="dxa"/>
            <w:shd w:val="clear" w:color="auto" w:fill="F2F2F2"/>
            <w:vAlign w:val="center"/>
          </w:tcPr>
          <w:p w14:paraId="37E8C5A8" w14:textId="77777777" w:rsidR="00E0683E" w:rsidRPr="00175D8B" w:rsidRDefault="00E0683E" w:rsidP="00E0683E">
            <w:pPr>
              <w:widowControl w:val="0"/>
              <w:pBdr>
                <w:top w:val="nil"/>
                <w:left w:val="nil"/>
                <w:bottom w:val="nil"/>
                <w:right w:val="nil"/>
                <w:between w:val="nil"/>
              </w:pBdr>
              <w:spacing w:before="120" w:after="0" w:line="240" w:lineRule="auto"/>
              <w:jc w:val="left"/>
              <w:rPr>
                <w:rFonts w:eastAsia="Aptos" w:cs="Aptos"/>
                <w:color w:val="000000" w:themeColor="text1"/>
                <w:sz w:val="20"/>
                <w:szCs w:val="20"/>
              </w:rPr>
            </w:pPr>
            <w:r w:rsidRPr="00175D8B">
              <w:rPr>
                <w:rFonts w:eastAsia="Aptos" w:cs="Aptos"/>
                <w:color w:val="000000" w:themeColor="text1"/>
                <w:sz w:val="20"/>
                <w:szCs w:val="20"/>
              </w:rPr>
              <w:t>4a</w:t>
            </w:r>
          </w:p>
        </w:tc>
        <w:tc>
          <w:tcPr>
            <w:tcW w:w="2410" w:type="dxa"/>
            <w:shd w:val="clear" w:color="auto" w:fill="F2F2F2"/>
            <w:vAlign w:val="center"/>
          </w:tcPr>
          <w:p w14:paraId="77F387FB" w14:textId="18BD4F0E" w:rsidR="00E0683E" w:rsidRPr="00175D8B" w:rsidRDefault="00E0683E" w:rsidP="001E17E2">
            <w:pPr>
              <w:widowControl w:val="0"/>
              <w:pBdr>
                <w:top w:val="nil"/>
                <w:left w:val="nil"/>
                <w:bottom w:val="nil"/>
                <w:right w:val="nil"/>
                <w:between w:val="nil"/>
              </w:pBd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146</w:t>
            </w:r>
            <w:r w:rsidR="001E17E2" w:rsidRPr="00175D8B">
              <w:rPr>
                <w:rFonts w:eastAsia="Aptos" w:cs="Aptos"/>
                <w:color w:val="000000" w:themeColor="text1"/>
                <w:sz w:val="20"/>
                <w:szCs w:val="20"/>
              </w:rPr>
              <w:t>,</w:t>
            </w:r>
            <w:r w:rsidRPr="00175D8B">
              <w:rPr>
                <w:rFonts w:eastAsia="Aptos" w:cs="Aptos"/>
                <w:color w:val="000000" w:themeColor="text1"/>
                <w:sz w:val="20"/>
                <w:szCs w:val="20"/>
              </w:rPr>
              <w:t>845</w:t>
            </w:r>
          </w:p>
        </w:tc>
        <w:tc>
          <w:tcPr>
            <w:tcW w:w="2361" w:type="dxa"/>
            <w:vMerge w:val="restart"/>
            <w:shd w:val="clear" w:color="auto" w:fill="F2F2F2"/>
            <w:vAlign w:val="center"/>
          </w:tcPr>
          <w:p w14:paraId="54B4B31A" w14:textId="318E8B1A" w:rsidR="00E0683E" w:rsidRPr="00175D8B" w:rsidRDefault="00E0683E" w:rsidP="00E0683E">
            <w:pPr>
              <w:widowControl w:val="0"/>
              <w:pBdr>
                <w:top w:val="nil"/>
                <w:left w:val="nil"/>
                <w:bottom w:val="nil"/>
                <w:right w:val="nil"/>
                <w:between w:val="nil"/>
              </w:pBd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218</w:t>
            </w:r>
            <w:r w:rsidR="001E17E2" w:rsidRPr="00175D8B">
              <w:rPr>
                <w:rFonts w:eastAsia="Aptos" w:cs="Aptos"/>
                <w:color w:val="000000" w:themeColor="text1"/>
                <w:sz w:val="20"/>
                <w:szCs w:val="20"/>
              </w:rPr>
              <w:t>,</w:t>
            </w:r>
            <w:r w:rsidRPr="00175D8B">
              <w:rPr>
                <w:rFonts w:eastAsia="Aptos" w:cs="Aptos"/>
                <w:color w:val="000000" w:themeColor="text1"/>
                <w:sz w:val="20"/>
                <w:szCs w:val="20"/>
              </w:rPr>
              <w:t>291</w:t>
            </w:r>
          </w:p>
        </w:tc>
      </w:tr>
      <w:tr w:rsidR="00E0683E" w:rsidRPr="00175D8B" w14:paraId="6B1AC5D0" w14:textId="77777777" w:rsidTr="002550A6">
        <w:trPr>
          <w:trHeight w:val="522"/>
          <w:jc w:val="center"/>
        </w:trPr>
        <w:tc>
          <w:tcPr>
            <w:tcW w:w="1696" w:type="dxa"/>
            <w:vMerge/>
            <w:shd w:val="clear" w:color="auto" w:fill="F2F2F2"/>
          </w:tcPr>
          <w:p w14:paraId="6235BFB5" w14:textId="77777777" w:rsidR="00E0683E" w:rsidRPr="00175D8B" w:rsidRDefault="00E0683E" w:rsidP="00E0683E">
            <w:pPr>
              <w:spacing w:before="120" w:after="0" w:line="240" w:lineRule="auto"/>
              <w:rPr>
                <w:rFonts w:eastAsia="Aptos" w:cs="Aptos"/>
                <w:color w:val="000000" w:themeColor="text1"/>
                <w:sz w:val="20"/>
                <w:szCs w:val="20"/>
              </w:rPr>
            </w:pPr>
          </w:p>
        </w:tc>
        <w:tc>
          <w:tcPr>
            <w:tcW w:w="1985" w:type="dxa"/>
            <w:shd w:val="clear" w:color="auto" w:fill="F2F2F2"/>
            <w:vAlign w:val="center"/>
          </w:tcPr>
          <w:p w14:paraId="43087E50" w14:textId="77777777" w:rsidR="00E0683E" w:rsidRPr="00175D8B" w:rsidRDefault="00E0683E" w:rsidP="00E0683E">
            <w:pPr>
              <w:spacing w:before="120" w:after="0" w:line="240" w:lineRule="auto"/>
              <w:rPr>
                <w:rFonts w:eastAsia="Aptos" w:cs="Aptos"/>
                <w:color w:val="000000" w:themeColor="text1"/>
                <w:sz w:val="20"/>
                <w:szCs w:val="20"/>
              </w:rPr>
            </w:pPr>
            <w:r w:rsidRPr="00175D8B">
              <w:rPr>
                <w:rFonts w:eastAsia="Aptos" w:cs="Aptos"/>
                <w:color w:val="000000" w:themeColor="text1"/>
                <w:sz w:val="20"/>
                <w:szCs w:val="20"/>
              </w:rPr>
              <w:t>4b</w:t>
            </w:r>
          </w:p>
        </w:tc>
        <w:tc>
          <w:tcPr>
            <w:tcW w:w="2410" w:type="dxa"/>
            <w:shd w:val="clear" w:color="auto" w:fill="F2F2F2"/>
            <w:vAlign w:val="center"/>
          </w:tcPr>
          <w:p w14:paraId="37E28AB2" w14:textId="447B3511" w:rsidR="00E0683E" w:rsidRPr="00175D8B" w:rsidRDefault="00E0683E" w:rsidP="001E17E2">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46</w:t>
            </w:r>
            <w:r w:rsidR="001E17E2" w:rsidRPr="00175D8B">
              <w:rPr>
                <w:rFonts w:eastAsia="Aptos" w:cs="Aptos"/>
                <w:color w:val="000000" w:themeColor="text1"/>
                <w:sz w:val="20"/>
                <w:szCs w:val="20"/>
              </w:rPr>
              <w:t>,</w:t>
            </w:r>
            <w:r w:rsidRPr="00175D8B">
              <w:rPr>
                <w:rFonts w:eastAsia="Aptos" w:cs="Aptos"/>
                <w:color w:val="000000" w:themeColor="text1"/>
                <w:sz w:val="20"/>
                <w:szCs w:val="20"/>
              </w:rPr>
              <w:t>178</w:t>
            </w:r>
          </w:p>
        </w:tc>
        <w:tc>
          <w:tcPr>
            <w:tcW w:w="2361" w:type="dxa"/>
            <w:vMerge/>
            <w:shd w:val="clear" w:color="auto" w:fill="F2F2F2"/>
            <w:vAlign w:val="center"/>
          </w:tcPr>
          <w:p w14:paraId="08EF9B05" w14:textId="77777777" w:rsidR="00E0683E" w:rsidRPr="00175D8B" w:rsidRDefault="00E0683E" w:rsidP="00E0683E">
            <w:pPr>
              <w:spacing w:before="120" w:after="0" w:line="240" w:lineRule="auto"/>
              <w:jc w:val="center"/>
              <w:rPr>
                <w:rFonts w:eastAsia="Aptos" w:cs="Aptos"/>
                <w:color w:val="000000" w:themeColor="text1"/>
                <w:sz w:val="20"/>
                <w:szCs w:val="20"/>
              </w:rPr>
            </w:pPr>
          </w:p>
        </w:tc>
      </w:tr>
      <w:tr w:rsidR="00E0683E" w:rsidRPr="00175D8B" w14:paraId="0223EB23" w14:textId="77777777" w:rsidTr="002550A6">
        <w:trPr>
          <w:trHeight w:val="522"/>
          <w:jc w:val="center"/>
        </w:trPr>
        <w:tc>
          <w:tcPr>
            <w:tcW w:w="1696" w:type="dxa"/>
            <w:vMerge/>
            <w:shd w:val="clear" w:color="auto" w:fill="F2F2F2"/>
          </w:tcPr>
          <w:p w14:paraId="7D23A2D6" w14:textId="77777777" w:rsidR="00E0683E" w:rsidRPr="00175D8B" w:rsidRDefault="00E0683E" w:rsidP="00E0683E">
            <w:pPr>
              <w:spacing w:before="120" w:after="0" w:line="240" w:lineRule="auto"/>
              <w:rPr>
                <w:rFonts w:eastAsia="Aptos" w:cs="Aptos"/>
                <w:color w:val="000000" w:themeColor="text1"/>
                <w:sz w:val="20"/>
                <w:szCs w:val="20"/>
              </w:rPr>
            </w:pPr>
          </w:p>
        </w:tc>
        <w:tc>
          <w:tcPr>
            <w:tcW w:w="1985" w:type="dxa"/>
            <w:shd w:val="clear" w:color="auto" w:fill="F2F2F2"/>
            <w:vAlign w:val="center"/>
          </w:tcPr>
          <w:p w14:paraId="5B2AE9B2" w14:textId="77777777" w:rsidR="00E0683E" w:rsidRPr="00175D8B" w:rsidRDefault="00E0683E" w:rsidP="00E0683E">
            <w:pPr>
              <w:spacing w:before="120" w:after="0" w:line="240" w:lineRule="auto"/>
              <w:rPr>
                <w:rFonts w:eastAsia="Aptos" w:cs="Aptos"/>
                <w:color w:val="000000" w:themeColor="text1"/>
                <w:sz w:val="20"/>
                <w:szCs w:val="20"/>
              </w:rPr>
            </w:pPr>
            <w:r w:rsidRPr="00175D8B">
              <w:rPr>
                <w:rFonts w:eastAsia="Aptos" w:cs="Aptos"/>
                <w:color w:val="000000" w:themeColor="text1"/>
                <w:sz w:val="20"/>
                <w:szCs w:val="20"/>
              </w:rPr>
              <w:t>4c</w:t>
            </w:r>
          </w:p>
        </w:tc>
        <w:tc>
          <w:tcPr>
            <w:tcW w:w="2410" w:type="dxa"/>
            <w:shd w:val="clear" w:color="auto" w:fill="F2F2F2"/>
            <w:vAlign w:val="center"/>
          </w:tcPr>
          <w:p w14:paraId="1854388B" w14:textId="45AFB819" w:rsidR="00E0683E" w:rsidRPr="00175D8B" w:rsidRDefault="00E0683E" w:rsidP="001E17E2">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24</w:t>
            </w:r>
            <w:r w:rsidR="001E17E2" w:rsidRPr="00175D8B">
              <w:rPr>
                <w:rFonts w:eastAsia="Aptos" w:cs="Aptos"/>
                <w:color w:val="000000" w:themeColor="text1"/>
                <w:sz w:val="20"/>
                <w:szCs w:val="20"/>
              </w:rPr>
              <w:t>,</w:t>
            </w:r>
            <w:r w:rsidRPr="00175D8B">
              <w:rPr>
                <w:rFonts w:eastAsia="Aptos" w:cs="Aptos"/>
                <w:color w:val="000000" w:themeColor="text1"/>
                <w:sz w:val="20"/>
                <w:szCs w:val="20"/>
              </w:rPr>
              <w:t>728</w:t>
            </w:r>
          </w:p>
        </w:tc>
        <w:tc>
          <w:tcPr>
            <w:tcW w:w="2361" w:type="dxa"/>
            <w:vMerge/>
            <w:shd w:val="clear" w:color="auto" w:fill="F2F2F2"/>
            <w:vAlign w:val="center"/>
          </w:tcPr>
          <w:p w14:paraId="7209EF08" w14:textId="77777777" w:rsidR="00E0683E" w:rsidRPr="00175D8B" w:rsidRDefault="00E0683E" w:rsidP="00E0683E">
            <w:pPr>
              <w:spacing w:before="120" w:after="0" w:line="240" w:lineRule="auto"/>
              <w:jc w:val="center"/>
              <w:rPr>
                <w:rFonts w:eastAsia="Aptos" w:cs="Aptos"/>
                <w:color w:val="000000" w:themeColor="text1"/>
                <w:sz w:val="20"/>
                <w:szCs w:val="20"/>
              </w:rPr>
            </w:pPr>
          </w:p>
        </w:tc>
      </w:tr>
      <w:tr w:rsidR="00E0683E" w:rsidRPr="00175D8B" w14:paraId="0EB32BD3" w14:textId="77777777" w:rsidTr="002550A6">
        <w:trPr>
          <w:trHeight w:val="522"/>
          <w:jc w:val="center"/>
        </w:trPr>
        <w:tc>
          <w:tcPr>
            <w:tcW w:w="1696" w:type="dxa"/>
            <w:vMerge w:val="restart"/>
            <w:shd w:val="clear" w:color="auto" w:fill="D9D9D9"/>
          </w:tcPr>
          <w:p w14:paraId="3700607A" w14:textId="77777777" w:rsidR="00E0683E" w:rsidRPr="00175D8B" w:rsidRDefault="00E0683E" w:rsidP="00E0683E">
            <w:pPr>
              <w:widowControl w:val="0"/>
              <w:pBdr>
                <w:top w:val="nil"/>
                <w:left w:val="nil"/>
                <w:bottom w:val="nil"/>
                <w:right w:val="nil"/>
                <w:between w:val="nil"/>
              </w:pBdr>
              <w:spacing w:before="240" w:after="0" w:line="240" w:lineRule="auto"/>
              <w:jc w:val="center"/>
              <w:rPr>
                <w:rFonts w:eastAsia="Aptos" w:cs="Aptos"/>
                <w:color w:val="000000" w:themeColor="text1"/>
                <w:sz w:val="20"/>
                <w:szCs w:val="20"/>
              </w:rPr>
            </w:pPr>
          </w:p>
          <w:p w14:paraId="2481FC18" w14:textId="77777777" w:rsidR="00E0683E" w:rsidRPr="00175D8B" w:rsidRDefault="00E0683E" w:rsidP="00E0683E">
            <w:pPr>
              <w:widowControl w:val="0"/>
              <w:pBdr>
                <w:top w:val="nil"/>
                <w:left w:val="nil"/>
                <w:bottom w:val="nil"/>
                <w:right w:val="nil"/>
                <w:between w:val="nil"/>
              </w:pBdr>
              <w:spacing w:before="240" w:after="0" w:line="240" w:lineRule="auto"/>
              <w:jc w:val="center"/>
              <w:rPr>
                <w:rFonts w:eastAsia="Aptos" w:cs="Aptos"/>
                <w:color w:val="000000" w:themeColor="text1"/>
                <w:sz w:val="20"/>
                <w:szCs w:val="20"/>
              </w:rPr>
            </w:pPr>
            <w:r w:rsidRPr="00175D8B">
              <w:rPr>
                <w:rFonts w:eastAsia="Aptos" w:cs="Aptos"/>
                <w:color w:val="000000" w:themeColor="text1"/>
                <w:sz w:val="20"/>
                <w:szCs w:val="20"/>
              </w:rPr>
              <w:t>2024</w:t>
            </w:r>
          </w:p>
        </w:tc>
        <w:tc>
          <w:tcPr>
            <w:tcW w:w="1985" w:type="dxa"/>
            <w:shd w:val="clear" w:color="auto" w:fill="D9D9D9"/>
            <w:vAlign w:val="center"/>
          </w:tcPr>
          <w:p w14:paraId="29B0F20C" w14:textId="77777777" w:rsidR="00E0683E" w:rsidRPr="00175D8B" w:rsidRDefault="00E0683E" w:rsidP="00E0683E">
            <w:pPr>
              <w:widowControl w:val="0"/>
              <w:pBdr>
                <w:top w:val="nil"/>
                <w:left w:val="nil"/>
                <w:bottom w:val="nil"/>
                <w:right w:val="nil"/>
                <w:between w:val="nil"/>
              </w:pBdr>
              <w:spacing w:before="120" w:after="0" w:line="240" w:lineRule="auto"/>
              <w:jc w:val="left"/>
              <w:rPr>
                <w:rFonts w:eastAsia="Aptos" w:cs="Aptos"/>
                <w:color w:val="000000" w:themeColor="text1"/>
                <w:sz w:val="20"/>
                <w:szCs w:val="20"/>
              </w:rPr>
            </w:pPr>
            <w:r w:rsidRPr="00175D8B">
              <w:rPr>
                <w:rFonts w:eastAsia="Aptos" w:cs="Aptos"/>
                <w:color w:val="000000" w:themeColor="text1"/>
                <w:sz w:val="20"/>
                <w:szCs w:val="20"/>
              </w:rPr>
              <w:t>4a</w:t>
            </w:r>
          </w:p>
        </w:tc>
        <w:tc>
          <w:tcPr>
            <w:tcW w:w="2410" w:type="dxa"/>
            <w:shd w:val="clear" w:color="auto" w:fill="D9D9D9"/>
            <w:vAlign w:val="center"/>
          </w:tcPr>
          <w:p w14:paraId="04427B39" w14:textId="013678A5" w:rsidR="00E0683E" w:rsidRPr="00175D8B" w:rsidRDefault="00E0683E" w:rsidP="001E17E2">
            <w:pPr>
              <w:widowControl w:val="0"/>
              <w:pBdr>
                <w:top w:val="nil"/>
                <w:left w:val="nil"/>
                <w:bottom w:val="nil"/>
                <w:right w:val="nil"/>
                <w:between w:val="nil"/>
              </w:pBd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154</w:t>
            </w:r>
            <w:r w:rsidR="001E17E2" w:rsidRPr="00175D8B">
              <w:rPr>
                <w:rFonts w:eastAsia="Aptos" w:cs="Aptos"/>
                <w:color w:val="000000" w:themeColor="text1"/>
                <w:sz w:val="20"/>
                <w:szCs w:val="20"/>
              </w:rPr>
              <w:t>,</w:t>
            </w:r>
            <w:r w:rsidRPr="00175D8B">
              <w:rPr>
                <w:rFonts w:eastAsia="Aptos" w:cs="Aptos"/>
                <w:color w:val="000000" w:themeColor="text1"/>
                <w:sz w:val="20"/>
                <w:szCs w:val="20"/>
              </w:rPr>
              <w:t>027</w:t>
            </w:r>
          </w:p>
        </w:tc>
        <w:tc>
          <w:tcPr>
            <w:tcW w:w="2361" w:type="dxa"/>
            <w:vMerge w:val="restart"/>
            <w:shd w:val="clear" w:color="auto" w:fill="D9D9D9"/>
            <w:vAlign w:val="center"/>
          </w:tcPr>
          <w:p w14:paraId="057DEA6A" w14:textId="77777777" w:rsidR="00E0683E" w:rsidRPr="00175D8B" w:rsidRDefault="00E0683E" w:rsidP="00E0683E">
            <w:pPr>
              <w:spacing w:before="120" w:after="0" w:line="240" w:lineRule="auto"/>
              <w:jc w:val="center"/>
              <w:rPr>
                <w:rFonts w:eastAsia="Aptos" w:cs="Aptos"/>
                <w:color w:val="000000" w:themeColor="text1"/>
                <w:sz w:val="20"/>
                <w:szCs w:val="20"/>
              </w:rPr>
            </w:pPr>
          </w:p>
          <w:p w14:paraId="4A969A88" w14:textId="21BEF216" w:rsidR="00E0683E" w:rsidRPr="00175D8B" w:rsidRDefault="00E0683E" w:rsidP="00E0683E">
            <w:pPr>
              <w:spacing w:before="120" w:after="0" w:line="240" w:lineRule="auto"/>
              <w:jc w:val="center"/>
              <w:rPr>
                <w:rFonts w:eastAsia="Aptos" w:cs="Aptos"/>
                <w:color w:val="000000" w:themeColor="text1"/>
                <w:sz w:val="20"/>
                <w:szCs w:val="20"/>
              </w:rPr>
            </w:pPr>
            <w:r w:rsidRPr="00175D8B">
              <w:rPr>
                <w:rFonts w:eastAsia="Aptos" w:cs="Aptos"/>
                <w:color w:val="000000" w:themeColor="text1"/>
                <w:sz w:val="20"/>
                <w:szCs w:val="20"/>
              </w:rPr>
              <w:t>226</w:t>
            </w:r>
            <w:r w:rsidR="001E17E2" w:rsidRPr="00175D8B">
              <w:rPr>
                <w:rFonts w:eastAsia="Aptos" w:cs="Aptos"/>
                <w:color w:val="000000" w:themeColor="text1"/>
                <w:sz w:val="20"/>
                <w:szCs w:val="20"/>
              </w:rPr>
              <w:t>,</w:t>
            </w:r>
            <w:r w:rsidRPr="00175D8B">
              <w:rPr>
                <w:rFonts w:eastAsia="Aptos" w:cs="Aptos"/>
                <w:color w:val="000000" w:themeColor="text1"/>
                <w:sz w:val="20"/>
                <w:szCs w:val="20"/>
              </w:rPr>
              <w:t>138</w:t>
            </w:r>
          </w:p>
        </w:tc>
      </w:tr>
      <w:tr w:rsidR="00E0683E" w:rsidRPr="00175D8B" w14:paraId="6EB504FA" w14:textId="77777777" w:rsidTr="002550A6">
        <w:trPr>
          <w:trHeight w:val="522"/>
          <w:jc w:val="center"/>
        </w:trPr>
        <w:tc>
          <w:tcPr>
            <w:tcW w:w="1696" w:type="dxa"/>
            <w:vMerge/>
            <w:shd w:val="clear" w:color="auto" w:fill="D9D9D9"/>
          </w:tcPr>
          <w:p w14:paraId="0AA4FE05" w14:textId="77777777" w:rsidR="00E0683E" w:rsidRPr="00175D8B" w:rsidRDefault="00E0683E" w:rsidP="00E0683E">
            <w:pPr>
              <w:spacing w:before="120" w:after="0" w:line="278" w:lineRule="auto"/>
              <w:rPr>
                <w:rFonts w:eastAsia="Aptos" w:cs="Aptos"/>
                <w:color w:val="000000" w:themeColor="text1"/>
                <w:sz w:val="20"/>
                <w:szCs w:val="20"/>
              </w:rPr>
            </w:pPr>
          </w:p>
        </w:tc>
        <w:tc>
          <w:tcPr>
            <w:tcW w:w="1985" w:type="dxa"/>
            <w:shd w:val="clear" w:color="auto" w:fill="D9D9D9"/>
            <w:vAlign w:val="center"/>
          </w:tcPr>
          <w:p w14:paraId="76B1BA6A" w14:textId="77777777" w:rsidR="00E0683E" w:rsidRPr="00175D8B" w:rsidRDefault="00E0683E" w:rsidP="00E0683E">
            <w:pPr>
              <w:spacing w:before="120" w:after="0" w:line="278" w:lineRule="auto"/>
              <w:rPr>
                <w:rFonts w:eastAsia="Aptos" w:cs="Aptos"/>
                <w:color w:val="000000" w:themeColor="text1"/>
                <w:sz w:val="20"/>
                <w:szCs w:val="20"/>
              </w:rPr>
            </w:pPr>
            <w:r w:rsidRPr="00175D8B">
              <w:rPr>
                <w:rFonts w:eastAsia="Aptos" w:cs="Aptos"/>
                <w:color w:val="000000" w:themeColor="text1"/>
                <w:sz w:val="20"/>
                <w:szCs w:val="20"/>
              </w:rPr>
              <w:t>4b</w:t>
            </w:r>
          </w:p>
        </w:tc>
        <w:tc>
          <w:tcPr>
            <w:tcW w:w="2410" w:type="dxa"/>
            <w:shd w:val="clear" w:color="auto" w:fill="D9D9D9"/>
            <w:vAlign w:val="center"/>
          </w:tcPr>
          <w:p w14:paraId="1B4961FB" w14:textId="355A0CE9" w:rsidR="00E0683E" w:rsidRPr="00175D8B" w:rsidRDefault="00E0683E" w:rsidP="001E17E2">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47</w:t>
            </w:r>
            <w:r w:rsidR="001E17E2" w:rsidRPr="00175D8B">
              <w:rPr>
                <w:rFonts w:eastAsia="Aptos" w:cs="Aptos"/>
                <w:color w:val="000000" w:themeColor="text1"/>
                <w:sz w:val="20"/>
                <w:szCs w:val="20"/>
              </w:rPr>
              <w:t>,</w:t>
            </w:r>
            <w:r w:rsidRPr="00175D8B">
              <w:rPr>
                <w:rFonts w:eastAsia="Aptos" w:cs="Aptos"/>
                <w:color w:val="000000" w:themeColor="text1"/>
                <w:sz w:val="20"/>
                <w:szCs w:val="20"/>
              </w:rPr>
              <w:t>084</w:t>
            </w:r>
          </w:p>
        </w:tc>
        <w:tc>
          <w:tcPr>
            <w:tcW w:w="2361" w:type="dxa"/>
            <w:vMerge/>
            <w:shd w:val="clear" w:color="auto" w:fill="D9D9D9"/>
            <w:vAlign w:val="center"/>
          </w:tcPr>
          <w:p w14:paraId="69409C31" w14:textId="77777777" w:rsidR="00E0683E" w:rsidRPr="00175D8B" w:rsidRDefault="00E0683E" w:rsidP="00E0683E">
            <w:pPr>
              <w:spacing w:before="120" w:after="0" w:line="278" w:lineRule="auto"/>
              <w:rPr>
                <w:rFonts w:eastAsia="Aptos" w:cs="Aptos"/>
                <w:color w:val="000000" w:themeColor="text1"/>
                <w:sz w:val="20"/>
                <w:szCs w:val="20"/>
              </w:rPr>
            </w:pPr>
          </w:p>
        </w:tc>
      </w:tr>
      <w:tr w:rsidR="00E0683E" w:rsidRPr="00175D8B" w14:paraId="740D2787" w14:textId="77777777" w:rsidTr="002550A6">
        <w:trPr>
          <w:trHeight w:val="522"/>
          <w:jc w:val="center"/>
        </w:trPr>
        <w:tc>
          <w:tcPr>
            <w:tcW w:w="1696" w:type="dxa"/>
            <w:vMerge/>
            <w:shd w:val="clear" w:color="auto" w:fill="D9D9D9"/>
          </w:tcPr>
          <w:p w14:paraId="318CCA5B" w14:textId="77777777" w:rsidR="00E0683E" w:rsidRPr="00175D8B" w:rsidRDefault="00E0683E" w:rsidP="00E0683E">
            <w:pPr>
              <w:spacing w:before="120" w:after="0" w:line="278" w:lineRule="auto"/>
              <w:rPr>
                <w:rFonts w:eastAsia="Aptos" w:cs="Aptos"/>
                <w:color w:val="000000" w:themeColor="text1"/>
                <w:sz w:val="20"/>
                <w:szCs w:val="20"/>
              </w:rPr>
            </w:pPr>
          </w:p>
        </w:tc>
        <w:tc>
          <w:tcPr>
            <w:tcW w:w="1985" w:type="dxa"/>
            <w:shd w:val="clear" w:color="auto" w:fill="D9D9D9"/>
            <w:vAlign w:val="center"/>
          </w:tcPr>
          <w:p w14:paraId="013BCF51" w14:textId="77777777" w:rsidR="00E0683E" w:rsidRPr="00175D8B" w:rsidRDefault="00E0683E" w:rsidP="00E0683E">
            <w:pPr>
              <w:spacing w:before="120" w:after="0" w:line="278" w:lineRule="auto"/>
              <w:rPr>
                <w:rFonts w:eastAsia="Aptos" w:cs="Aptos"/>
                <w:color w:val="000000" w:themeColor="text1"/>
                <w:sz w:val="20"/>
                <w:szCs w:val="20"/>
              </w:rPr>
            </w:pPr>
            <w:r w:rsidRPr="00175D8B">
              <w:rPr>
                <w:rFonts w:eastAsia="Aptos" w:cs="Aptos"/>
                <w:color w:val="000000" w:themeColor="text1"/>
                <w:sz w:val="20"/>
                <w:szCs w:val="20"/>
              </w:rPr>
              <w:t>4c</w:t>
            </w:r>
          </w:p>
        </w:tc>
        <w:tc>
          <w:tcPr>
            <w:tcW w:w="2410" w:type="dxa"/>
            <w:shd w:val="clear" w:color="auto" w:fill="D9D9D9"/>
            <w:vAlign w:val="center"/>
          </w:tcPr>
          <w:p w14:paraId="6E8D0A20" w14:textId="5AAE2098" w:rsidR="00E0683E" w:rsidRPr="00175D8B" w:rsidRDefault="00E0683E" w:rsidP="001E17E2">
            <w:pPr>
              <w:spacing w:before="120" w:after="0" w:line="278" w:lineRule="auto"/>
              <w:jc w:val="center"/>
              <w:rPr>
                <w:rFonts w:eastAsia="Aptos" w:cs="Aptos"/>
                <w:color w:val="000000" w:themeColor="text1"/>
                <w:sz w:val="20"/>
                <w:szCs w:val="20"/>
              </w:rPr>
            </w:pPr>
            <w:r w:rsidRPr="00175D8B">
              <w:rPr>
                <w:rFonts w:eastAsia="Aptos" w:cs="Aptos"/>
                <w:color w:val="000000" w:themeColor="text1"/>
                <w:sz w:val="20"/>
                <w:szCs w:val="20"/>
              </w:rPr>
              <w:t>25</w:t>
            </w:r>
            <w:r w:rsidR="001E17E2" w:rsidRPr="00175D8B">
              <w:rPr>
                <w:rFonts w:eastAsia="Aptos" w:cs="Aptos"/>
                <w:color w:val="000000" w:themeColor="text1"/>
                <w:sz w:val="20"/>
                <w:szCs w:val="20"/>
              </w:rPr>
              <w:t>,</w:t>
            </w:r>
            <w:r w:rsidRPr="00175D8B">
              <w:rPr>
                <w:rFonts w:eastAsia="Aptos" w:cs="Aptos"/>
                <w:color w:val="000000" w:themeColor="text1"/>
                <w:sz w:val="20"/>
                <w:szCs w:val="20"/>
              </w:rPr>
              <w:t>027</w:t>
            </w:r>
          </w:p>
        </w:tc>
        <w:tc>
          <w:tcPr>
            <w:tcW w:w="2361" w:type="dxa"/>
            <w:vMerge/>
            <w:shd w:val="clear" w:color="auto" w:fill="D9D9D9"/>
            <w:vAlign w:val="center"/>
          </w:tcPr>
          <w:p w14:paraId="33CA5434" w14:textId="77777777" w:rsidR="00E0683E" w:rsidRPr="00175D8B" w:rsidRDefault="00E0683E" w:rsidP="00E0683E">
            <w:pPr>
              <w:spacing w:before="120" w:after="0" w:line="278" w:lineRule="auto"/>
              <w:rPr>
                <w:rFonts w:eastAsia="Aptos" w:cs="Aptos"/>
                <w:color w:val="000000" w:themeColor="text1"/>
                <w:sz w:val="20"/>
                <w:szCs w:val="20"/>
              </w:rPr>
            </w:pPr>
          </w:p>
        </w:tc>
      </w:tr>
    </w:tbl>
    <w:p w14:paraId="5159F899" w14:textId="77777777" w:rsidR="00E0683E" w:rsidRPr="00175D8B" w:rsidRDefault="00E0683E" w:rsidP="00E0683E">
      <w:pPr>
        <w:spacing w:before="120" w:after="0" w:line="278" w:lineRule="auto"/>
        <w:rPr>
          <w:rFonts w:eastAsia="Tahoma" w:cs="Tahoma"/>
          <w:i/>
          <w:iCs/>
          <w:color w:val="000000" w:themeColor="text1"/>
          <w:sz w:val="16"/>
          <w:szCs w:val="16"/>
        </w:rPr>
      </w:pPr>
      <w:r w:rsidRPr="00175D8B">
        <w:rPr>
          <w:rFonts w:eastAsia="Tahoma" w:cs="Tahoma"/>
          <w:i/>
          <w:iCs/>
          <w:color w:val="000000" w:themeColor="text1"/>
          <w:sz w:val="16"/>
          <w:szCs w:val="16"/>
        </w:rPr>
        <w:t>Notes:</w:t>
      </w:r>
    </w:p>
    <w:p w14:paraId="03A2DBC1" w14:textId="77777777" w:rsidR="00E0683E" w:rsidRPr="00175D8B" w:rsidRDefault="00E0683E" w:rsidP="00E0683E">
      <w:pPr>
        <w:spacing w:before="120" w:after="0" w:line="278" w:lineRule="auto"/>
        <w:rPr>
          <w:rFonts w:eastAsia="Tahoma" w:cs="Tahoma"/>
          <w:i/>
          <w:iCs/>
          <w:color w:val="000000" w:themeColor="text1"/>
          <w:sz w:val="16"/>
          <w:szCs w:val="16"/>
        </w:rPr>
      </w:pPr>
      <w:r w:rsidRPr="00175D8B">
        <w:rPr>
          <w:rFonts w:eastAsia="Tahoma" w:cs="Tahoma"/>
          <w:i/>
          <w:iCs/>
          <w:color w:val="000000" w:themeColor="text1"/>
          <w:sz w:val="16"/>
          <w:szCs w:val="16"/>
        </w:rPr>
        <w:t>* The concepts 4A, 4B and 4C used in the pension system in Türkiye refer to the types of insurance covered by the Social Security Institution (SSI). 4A (SSK) includes those who work for the employer, 4B (Bağ-Kur) includes those who work on their own behalf (such as tradesmen, farmers, company partners) and 4C (Pension Fund) includes civil servants working in public institutions.</w:t>
      </w:r>
    </w:p>
    <w:p w14:paraId="19D52A3F" w14:textId="77777777" w:rsidR="00E0683E" w:rsidRPr="00175D8B" w:rsidRDefault="00E0683E" w:rsidP="00E0683E">
      <w:pPr>
        <w:spacing w:before="120" w:after="0" w:line="278" w:lineRule="auto"/>
        <w:rPr>
          <w:rFonts w:eastAsia="Tahoma" w:cs="Tahoma"/>
          <w:color w:val="000000" w:themeColor="text1"/>
          <w:sz w:val="16"/>
          <w:szCs w:val="16"/>
        </w:rPr>
      </w:pPr>
      <w:r w:rsidRPr="00175D8B">
        <w:rPr>
          <w:rFonts w:eastAsia="Tahoma" w:cs="Tahoma"/>
          <w:i/>
          <w:iCs/>
          <w:color w:val="000000" w:themeColor="text1"/>
          <w:sz w:val="16"/>
          <w:szCs w:val="16"/>
        </w:rPr>
        <w:t>** The relevant data covers all retirees and beneficiaries who receive income/monthly.</w:t>
      </w:r>
    </w:p>
    <w:p w14:paraId="21C27008" w14:textId="77777777" w:rsidR="00E0683E" w:rsidRPr="00175D8B" w:rsidRDefault="00E0683E" w:rsidP="00E0683E">
      <w:pPr>
        <w:spacing w:before="120" w:after="0" w:line="278" w:lineRule="auto"/>
        <w:rPr>
          <w:rFonts w:eastAsia="Tahoma" w:cs="Tahoma"/>
          <w:i/>
          <w:iCs/>
          <w:color w:val="000000" w:themeColor="text1"/>
          <w:sz w:val="16"/>
          <w:szCs w:val="16"/>
        </w:rPr>
      </w:pPr>
      <w:r w:rsidRPr="00175D8B">
        <w:rPr>
          <w:rFonts w:eastAsia="Tahoma" w:cs="Tahoma"/>
          <w:i/>
          <w:iCs/>
          <w:color w:val="000000" w:themeColor="text1"/>
          <w:sz w:val="16"/>
          <w:szCs w:val="16"/>
        </w:rPr>
        <w:t>Male and Female Retirees: Shows the gender distribution among total retirees.</w:t>
      </w:r>
    </w:p>
    <w:p w14:paraId="3B509EC6" w14:textId="77777777" w:rsidR="00E0683E" w:rsidRPr="00175D8B" w:rsidRDefault="00E0683E" w:rsidP="00E0683E">
      <w:pPr>
        <w:spacing w:before="120" w:after="0" w:line="278" w:lineRule="auto"/>
        <w:rPr>
          <w:rFonts w:eastAsia="Tahoma" w:cs="Tahoma"/>
          <w:i/>
          <w:iCs/>
          <w:color w:val="000000" w:themeColor="text1"/>
          <w:sz w:val="16"/>
          <w:szCs w:val="16"/>
        </w:rPr>
      </w:pPr>
      <w:r w:rsidRPr="00175D8B">
        <w:rPr>
          <w:rFonts w:eastAsia="Tahoma" w:cs="Tahoma"/>
          <w:i/>
          <w:iCs/>
          <w:color w:val="000000" w:themeColor="text1"/>
          <w:sz w:val="16"/>
          <w:szCs w:val="16"/>
        </w:rPr>
        <w:t>These are the data for the December period of the relevant years.</w:t>
      </w:r>
    </w:p>
    <w:p w14:paraId="1EE7F0CB" w14:textId="77777777" w:rsidR="00E0683E" w:rsidRPr="00175D8B" w:rsidRDefault="00E0683E" w:rsidP="00E0683E">
      <w:pPr>
        <w:spacing w:before="120" w:after="0" w:line="278" w:lineRule="auto"/>
        <w:rPr>
          <w:rFonts w:eastAsia="Tahoma" w:cs="Tahoma"/>
          <w:i/>
          <w:iCs/>
          <w:color w:val="000000" w:themeColor="text1"/>
          <w:sz w:val="16"/>
          <w:szCs w:val="16"/>
        </w:rPr>
      </w:pPr>
      <w:r w:rsidRPr="00175D8B">
        <w:rPr>
          <w:rFonts w:eastAsia="Tahoma" w:cs="Tahoma"/>
          <w:i/>
          <w:iCs/>
          <w:color w:val="000000" w:themeColor="text1"/>
          <w:sz w:val="16"/>
          <w:szCs w:val="16"/>
        </w:rPr>
        <w:t>The public/private distinction is only valid for insured persons working within the scope of 4/a.</w:t>
      </w:r>
    </w:p>
    <w:p w14:paraId="0019CD90" w14:textId="3D4FE6AB" w:rsidR="00C61DC4" w:rsidRDefault="00E0683E" w:rsidP="00C72234">
      <w:pPr>
        <w:spacing w:before="120" w:after="288" w:line="278" w:lineRule="auto"/>
        <w:contextualSpacing/>
        <w:jc w:val="left"/>
        <w:rPr>
          <w:rFonts w:eastAsia="Aptos" w:cs="Aptos"/>
          <w:i/>
          <w:color w:val="000000"/>
          <w:sz w:val="18"/>
          <w:szCs w:val="18"/>
        </w:rPr>
      </w:pPr>
      <w:r w:rsidRPr="00175D8B">
        <w:rPr>
          <w:rFonts w:eastAsia="Aptos" w:cs="Aptos"/>
          <w:b/>
          <w:i/>
          <w:color w:val="000000"/>
          <w:sz w:val="18"/>
          <w:szCs w:val="18"/>
        </w:rPr>
        <w:t>Source:</w:t>
      </w:r>
      <w:r w:rsidRPr="00175D8B">
        <w:rPr>
          <w:rFonts w:eastAsia="Aptos" w:cs="Aptos"/>
          <w:i/>
          <w:color w:val="000000"/>
          <w:sz w:val="18"/>
          <w:szCs w:val="18"/>
        </w:rPr>
        <w:t xml:space="preserve"> SSI</w:t>
      </w:r>
      <w:bookmarkStart w:id="281" w:name="_heading=h.fr8u2knuoz2y" w:colFirst="0" w:colLast="0"/>
      <w:bookmarkEnd w:id="281"/>
    </w:p>
    <w:p w14:paraId="24282564" w14:textId="77777777" w:rsidR="00C72234" w:rsidRDefault="00C72234" w:rsidP="00C72234">
      <w:pPr>
        <w:spacing w:before="120" w:after="288" w:line="278" w:lineRule="auto"/>
        <w:contextualSpacing/>
        <w:jc w:val="left"/>
        <w:rPr>
          <w:rFonts w:eastAsia="Aptos" w:cs="Aptos"/>
          <w:i/>
          <w:color w:val="000000"/>
          <w:sz w:val="18"/>
          <w:szCs w:val="18"/>
        </w:rPr>
        <w:sectPr w:rsidR="00C72234" w:rsidSect="007C6114">
          <w:pgSz w:w="11906" w:h="16838" w:code="9"/>
          <w:pgMar w:top="1418" w:right="1418" w:bottom="1418" w:left="1418" w:header="709" w:footer="709" w:gutter="0"/>
          <w:cols w:space="708"/>
          <w:docGrid w:linePitch="360"/>
        </w:sectPr>
      </w:pPr>
    </w:p>
    <w:p w14:paraId="003B23B7" w14:textId="347B745E" w:rsidR="006611AA" w:rsidRPr="00175D8B" w:rsidRDefault="00CD0A13" w:rsidP="002550A6">
      <w:pPr>
        <w:pStyle w:val="Balk1"/>
        <w:numPr>
          <w:ilvl w:val="0"/>
          <w:numId w:val="153"/>
        </w:numPr>
        <w:rPr>
          <w:b/>
          <w:sz w:val="28"/>
          <w:szCs w:val="28"/>
        </w:rPr>
      </w:pPr>
      <w:bookmarkStart w:id="282" w:name="_Toc216344349"/>
      <w:bookmarkStart w:id="283" w:name="_Toc212541884"/>
      <w:bookmarkStart w:id="284" w:name="_Toc212542395"/>
      <w:bookmarkStart w:id="285" w:name="_Toc220672798"/>
      <w:bookmarkEnd w:id="282"/>
      <w:r w:rsidRPr="00175D8B">
        <w:rPr>
          <w:b/>
          <w:sz w:val="28"/>
          <w:szCs w:val="28"/>
        </w:rPr>
        <w:lastRenderedPageBreak/>
        <w:t xml:space="preserve">ASSESSMENT OF POTENTIAL ENVIRONMENTAL, SOCIAL AND </w:t>
      </w:r>
      <w:r w:rsidR="00784A0C" w:rsidRPr="00175D8B">
        <w:rPr>
          <w:b/>
          <w:sz w:val="28"/>
          <w:szCs w:val="28"/>
        </w:rPr>
        <w:t xml:space="preserve">KEY </w:t>
      </w:r>
      <w:r w:rsidRPr="00175D8B">
        <w:rPr>
          <w:b/>
          <w:sz w:val="28"/>
          <w:szCs w:val="28"/>
        </w:rPr>
        <w:t>POTENTIAL LABOR RISKS AND IMPACTS</w:t>
      </w:r>
      <w:bookmarkEnd w:id="283"/>
      <w:bookmarkEnd w:id="284"/>
      <w:bookmarkEnd w:id="285"/>
      <w:r w:rsidR="00B371D8" w:rsidRPr="00175D8B">
        <w:rPr>
          <w:b/>
          <w:sz w:val="28"/>
          <w:szCs w:val="28"/>
        </w:rPr>
        <w:t xml:space="preserve"> </w:t>
      </w:r>
    </w:p>
    <w:p w14:paraId="61CE3700" w14:textId="52B25E30" w:rsidR="006611AA" w:rsidRPr="00175D8B" w:rsidRDefault="00CD0A13" w:rsidP="002550A6">
      <w:pPr>
        <w:pStyle w:val="Balk2"/>
        <w:numPr>
          <w:ilvl w:val="1"/>
          <w:numId w:val="154"/>
        </w:numPr>
      </w:pPr>
      <w:bookmarkStart w:id="286" w:name="_Toc212541885"/>
      <w:bookmarkStart w:id="287" w:name="_Toc212542396"/>
      <w:bookmarkStart w:id="288" w:name="_Toc220672799"/>
      <w:r w:rsidRPr="00175D8B">
        <w:t>Potential Environmental and Social Risks and Impacts</w:t>
      </w:r>
      <w:bookmarkEnd w:id="286"/>
      <w:bookmarkEnd w:id="287"/>
      <w:bookmarkEnd w:id="288"/>
    </w:p>
    <w:p w14:paraId="5B8C8A37" w14:textId="1DC29B0A" w:rsidR="00CD0A13" w:rsidRPr="00175D8B" w:rsidRDefault="00CD0A13" w:rsidP="00CD0A13">
      <w:r w:rsidRPr="00175D8B">
        <w:t xml:space="preserve">As mentioned in section 1.2, approximately 650 Type 1 and Type 2 </w:t>
      </w:r>
      <w:r w:rsidR="00607A08" w:rsidRPr="00175D8B">
        <w:t xml:space="preserve">buildings </w:t>
      </w:r>
      <w:r w:rsidRPr="00175D8B">
        <w:t xml:space="preserve">and 44 Type 3 number of buildings are expected to constitute the potential sub-projects of </w:t>
      </w:r>
      <w:r w:rsidR="00607A08" w:rsidRPr="00175D8B">
        <w:t xml:space="preserve">CDRC Project </w:t>
      </w:r>
      <w:r w:rsidRPr="00175D8B">
        <w:t xml:space="preserve">in Sakarya province. Potential environmental and social risks and impacts may arise during </w:t>
      </w:r>
      <w:r w:rsidR="00607A08" w:rsidRPr="00175D8B">
        <w:t xml:space="preserve">construction or retrofitting of several </w:t>
      </w:r>
      <w:r w:rsidRPr="00175D8B">
        <w:t xml:space="preserve">buildings to be constructed or retrofitted within the scope of Component 2.  </w:t>
      </w:r>
    </w:p>
    <w:p w14:paraId="31F34747" w14:textId="27D3144C" w:rsidR="007D0884" w:rsidRPr="00175D8B" w:rsidRDefault="00CD0A13" w:rsidP="002550A6">
      <w:pPr>
        <w:rPr>
          <w:rFonts w:eastAsia="Aptos" w:cs="Aptos"/>
          <w:b/>
          <w:i/>
          <w:color w:val="000000" w:themeColor="text1"/>
          <w:sz w:val="20"/>
          <w:szCs w:val="20"/>
        </w:rPr>
      </w:pPr>
      <w:r w:rsidRPr="00175D8B">
        <w:t xml:space="preserve">The Project has a standalone Resettlement Framework (RF) which has been prepared specifically for Component 2 in order to minimize the potential social risks and impacts of the project related activities, mitigate negative impacts and assist the Project Affected Persons (PAPs) to improve their living conditions. Accordingly, the potential foreseen risks and impacts relevant to the demolition, reconstruction or retrofitting of risky structures are provided below in </w:t>
      </w:r>
      <w:r w:rsidR="004E3228" w:rsidRPr="004E3228">
        <w:fldChar w:fldCharType="begin"/>
      </w:r>
      <w:r w:rsidR="004E3228" w:rsidRPr="004E3228">
        <w:instrText xml:space="preserve"> REF _Ref214637200 \h  \* MERGEFORMAT </w:instrText>
      </w:r>
      <w:r w:rsidR="004E3228" w:rsidRPr="004E3228">
        <w:fldChar w:fldCharType="separate"/>
      </w:r>
      <w:r w:rsidR="004E3228" w:rsidRPr="004E3228">
        <w:t xml:space="preserve">Table </w:t>
      </w:r>
      <w:r w:rsidR="004E3228" w:rsidRPr="004E3228">
        <w:rPr>
          <w:noProof/>
        </w:rPr>
        <w:t>29</w:t>
      </w:r>
      <w:r w:rsidR="004E3228" w:rsidRPr="004E3228">
        <w:fldChar w:fldCharType="end"/>
      </w:r>
      <w:r w:rsidRPr="00175D8B">
        <w:t>.</w:t>
      </w:r>
      <w:bookmarkStart w:id="289" w:name="_Toc209169622"/>
    </w:p>
    <w:bookmarkEnd w:id="289"/>
    <w:p w14:paraId="1263AE0B" w14:textId="495A10AB" w:rsidR="00CD0A13" w:rsidRPr="00175D8B" w:rsidRDefault="00CD0A13" w:rsidP="00CD0A13">
      <w:pPr>
        <w:spacing w:before="120" w:after="0" w:line="278" w:lineRule="auto"/>
        <w:jc w:val="center"/>
        <w:rPr>
          <w:rFonts w:eastAsia="Aptos" w:cs="Aptos"/>
          <w:b/>
          <w:i/>
          <w:color w:val="000000" w:themeColor="text1"/>
          <w:sz w:val="20"/>
          <w:szCs w:val="20"/>
        </w:rPr>
      </w:pPr>
    </w:p>
    <w:p w14:paraId="5665217A" w14:textId="31F4930E" w:rsidR="00EB1067" w:rsidRPr="00175D8B" w:rsidRDefault="00EB1067" w:rsidP="006C58C5">
      <w:pPr>
        <w:pStyle w:val="ResimYazs"/>
        <w:keepNext/>
        <w:jc w:val="center"/>
      </w:pPr>
      <w:bookmarkStart w:id="290" w:name="_Ref214637200"/>
      <w:bookmarkStart w:id="291" w:name="_Toc216344446"/>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00FE5FDE" w:rsidRPr="00175D8B">
        <w:rPr>
          <w:b/>
          <w:bCs/>
          <w:noProof/>
        </w:rPr>
        <w:t>29</w:t>
      </w:r>
      <w:r w:rsidRPr="006C58C5">
        <w:rPr>
          <w:b/>
          <w:bCs/>
        </w:rPr>
        <w:fldChar w:fldCharType="end"/>
      </w:r>
      <w:bookmarkEnd w:id="290"/>
      <w:r w:rsidRPr="006C58C5">
        <w:rPr>
          <w:b/>
          <w:bCs/>
        </w:rPr>
        <w:t>:</w:t>
      </w:r>
      <w:r w:rsidRPr="00175D8B">
        <w:t xml:space="preserve"> </w:t>
      </w:r>
      <w:r w:rsidRPr="00175D8B">
        <w:rPr>
          <w:rFonts w:eastAsia="Aptos" w:cs="Aptos"/>
          <w:bCs/>
          <w:szCs w:val="20"/>
        </w:rPr>
        <w:t>Potential Environmental and Social Risks and Impacts</w:t>
      </w:r>
      <w:bookmarkEnd w:id="291"/>
    </w:p>
    <w:tbl>
      <w:tblPr>
        <w:tblStyle w:val="TabloKlavuzu"/>
        <w:tblW w:w="9064"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44"/>
        <w:gridCol w:w="6520"/>
      </w:tblGrid>
      <w:tr w:rsidR="00CD0A13" w:rsidRPr="00175D8B" w14:paraId="017093F2" w14:textId="77777777" w:rsidTr="00DF417A">
        <w:trPr>
          <w:trHeight w:val="300"/>
          <w:tblHeader/>
          <w:jc w:val="center"/>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BB7C1"/>
            <w:tcMar>
              <w:top w:w="15" w:type="dxa"/>
              <w:left w:w="75" w:type="dxa"/>
              <w:bottom w:w="15" w:type="dxa"/>
              <w:right w:w="75" w:type="dxa"/>
            </w:tcMar>
            <w:vAlign w:val="center"/>
          </w:tcPr>
          <w:p w14:paraId="151893BF" w14:textId="77777777" w:rsidR="00CD0A13" w:rsidRPr="00175D8B" w:rsidRDefault="00CD0A13" w:rsidP="00CD0A13">
            <w:pPr>
              <w:spacing w:before="120" w:after="0" w:line="240" w:lineRule="auto"/>
              <w:rPr>
                <w:rFonts w:eastAsia="Calibri" w:cs="Calibri"/>
                <w:b/>
                <w:color w:val="000000" w:themeColor="text1"/>
                <w:sz w:val="20"/>
                <w:szCs w:val="20"/>
              </w:rPr>
            </w:pPr>
            <w:r w:rsidRPr="00175D8B">
              <w:rPr>
                <w:rFonts w:eastAsia="Calibri" w:cs="Calibri"/>
                <w:b/>
                <w:color w:val="000000" w:themeColor="text1"/>
                <w:sz w:val="20"/>
                <w:szCs w:val="20"/>
              </w:rPr>
              <w:t>Project Phase</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BB7C1"/>
            <w:tcMar>
              <w:top w:w="15" w:type="dxa"/>
              <w:left w:w="75" w:type="dxa"/>
              <w:bottom w:w="15" w:type="dxa"/>
              <w:right w:w="75" w:type="dxa"/>
            </w:tcMar>
            <w:vAlign w:val="center"/>
          </w:tcPr>
          <w:p w14:paraId="6AE8D642" w14:textId="77777777" w:rsidR="00CD0A13" w:rsidRPr="00175D8B" w:rsidRDefault="00CD0A13" w:rsidP="00CD0A13">
            <w:pPr>
              <w:spacing w:before="120" w:after="0" w:line="240" w:lineRule="auto"/>
              <w:rPr>
                <w:rFonts w:eastAsia="Calibri" w:cs="Calibri"/>
                <w:b/>
                <w:color w:val="000000" w:themeColor="text1"/>
                <w:sz w:val="20"/>
                <w:szCs w:val="20"/>
              </w:rPr>
            </w:pPr>
            <w:r w:rsidRPr="00175D8B">
              <w:rPr>
                <w:rFonts w:eastAsia="Calibri" w:cs="Calibri"/>
                <w:b/>
                <w:color w:val="000000" w:themeColor="text1"/>
                <w:sz w:val="20"/>
                <w:szCs w:val="20"/>
              </w:rPr>
              <w:t>Potential Risk/Impact</w:t>
            </w:r>
          </w:p>
        </w:tc>
      </w:tr>
      <w:tr w:rsidR="00CD0A13" w:rsidRPr="00175D8B" w14:paraId="2BA14554" w14:textId="77777777" w:rsidTr="00DF417A">
        <w:trPr>
          <w:trHeight w:val="443"/>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6E86907" w14:textId="77777777" w:rsidR="00CD0A13" w:rsidRPr="00175D8B" w:rsidRDefault="00CD0A13" w:rsidP="00CD0A13">
            <w:pPr>
              <w:spacing w:before="120" w:after="0" w:line="240" w:lineRule="auto"/>
              <w:rPr>
                <w:rFonts w:eastAsia="Calibri" w:cs="Calibri"/>
                <w:color w:val="000000" w:themeColor="text1"/>
                <w:sz w:val="20"/>
                <w:szCs w:val="20"/>
              </w:rPr>
            </w:pPr>
            <w:r w:rsidRPr="00175D8B">
              <w:rPr>
                <w:rFonts w:eastAsia="Calibri" w:cs="Calibri"/>
                <w:color w:val="000000" w:themeColor="text1"/>
                <w:sz w:val="20"/>
                <w:szCs w:val="20"/>
              </w:rPr>
              <w:t>Preparing for Demolition</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D1221A3"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Inadequate outreach and stakeholder engagement</w:t>
            </w:r>
          </w:p>
        </w:tc>
      </w:tr>
      <w:tr w:rsidR="00CD0A13" w:rsidRPr="00175D8B" w14:paraId="2519D353" w14:textId="77777777" w:rsidTr="00DF417A">
        <w:trPr>
          <w:trHeight w:val="300"/>
          <w:jc w:val="center"/>
        </w:trPr>
        <w:tc>
          <w:tcPr>
            <w:tcW w:w="2544" w:type="dxa"/>
            <w:vMerge/>
            <w:vAlign w:val="center"/>
          </w:tcPr>
          <w:p w14:paraId="64ED7C8F"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5D05A03" w14:textId="77777777" w:rsidR="00CD0A13" w:rsidRPr="00175D8B" w:rsidRDefault="00CD0A13" w:rsidP="00CD0A13">
            <w:pPr>
              <w:spacing w:before="120" w:after="160" w:line="240" w:lineRule="auto"/>
              <w:rPr>
                <w:rFonts w:eastAsia="Aptos" w:cs="Aptos"/>
                <w:color w:val="000000" w:themeColor="text1"/>
                <w:sz w:val="20"/>
                <w:szCs w:val="20"/>
              </w:rPr>
            </w:pPr>
            <w:r w:rsidRPr="00175D8B">
              <w:rPr>
                <w:rFonts w:eastAsia="Aptos" w:cs="Aptos"/>
                <w:color w:val="000000" w:themeColor="text1"/>
                <w:sz w:val="20"/>
                <w:szCs w:val="20"/>
              </w:rPr>
              <w:t>Temporary and permanent displacement of owners and tenants resulting from the rehabilitation/reconstruction of housing units/workspaces</w:t>
            </w:r>
          </w:p>
        </w:tc>
      </w:tr>
      <w:tr w:rsidR="00CD0A13" w:rsidRPr="00175D8B" w14:paraId="2584D051" w14:textId="77777777" w:rsidTr="00DF417A">
        <w:trPr>
          <w:trHeight w:val="300"/>
          <w:jc w:val="center"/>
        </w:trPr>
        <w:tc>
          <w:tcPr>
            <w:tcW w:w="2544" w:type="dxa"/>
            <w:vMerge/>
            <w:vAlign w:val="center"/>
          </w:tcPr>
          <w:p w14:paraId="6ACCCD66"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DF0AF60" w14:textId="77777777" w:rsidR="00CD0A13" w:rsidRPr="00175D8B" w:rsidRDefault="00CD0A13" w:rsidP="00CD0A13">
            <w:pPr>
              <w:spacing w:before="120" w:after="0" w:line="240" w:lineRule="auto"/>
              <w:rPr>
                <w:rFonts w:eastAsia="Calibri" w:cs="Calibri"/>
                <w:color w:val="000000" w:themeColor="text1"/>
                <w:sz w:val="20"/>
                <w:szCs w:val="20"/>
              </w:rPr>
            </w:pPr>
            <w:r w:rsidRPr="00175D8B">
              <w:rPr>
                <w:rFonts w:eastAsia="Calibri" w:cs="Calibri"/>
                <w:color w:val="000000" w:themeColor="text1"/>
                <w:sz w:val="20"/>
                <w:szCs w:val="20"/>
              </w:rPr>
              <w:t>Risk of impoverishment due to permanent or temporary physical or economic displacement</w:t>
            </w:r>
          </w:p>
        </w:tc>
      </w:tr>
      <w:tr w:rsidR="00CD0A13" w:rsidRPr="00175D8B" w14:paraId="3643C3DF" w14:textId="77777777" w:rsidTr="00DF417A">
        <w:trPr>
          <w:trHeight w:val="300"/>
          <w:jc w:val="center"/>
        </w:trPr>
        <w:tc>
          <w:tcPr>
            <w:tcW w:w="2544" w:type="dxa"/>
            <w:vMerge/>
            <w:vAlign w:val="center"/>
          </w:tcPr>
          <w:p w14:paraId="7338701D"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7320DAF"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Lack of dissemination of information about or access to grievance mechanisms for workers and/or Project-affected people</w:t>
            </w:r>
          </w:p>
        </w:tc>
      </w:tr>
      <w:tr w:rsidR="00CD0A13" w:rsidRPr="00175D8B" w14:paraId="5895528E" w14:textId="77777777" w:rsidTr="00DF417A">
        <w:trPr>
          <w:trHeight w:val="300"/>
          <w:jc w:val="center"/>
        </w:trPr>
        <w:tc>
          <w:tcPr>
            <w:tcW w:w="2544" w:type="dxa"/>
            <w:vMerge/>
            <w:vAlign w:val="center"/>
          </w:tcPr>
          <w:p w14:paraId="60BE1EEC"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8B52690"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Inadequate/fail in management of Project impacts on existing and potential vulnerabilities</w:t>
            </w:r>
          </w:p>
        </w:tc>
      </w:tr>
      <w:tr w:rsidR="00CD0A13" w:rsidRPr="00175D8B" w14:paraId="46E960EC" w14:textId="77777777" w:rsidTr="00DF417A">
        <w:trPr>
          <w:trHeight w:val="300"/>
          <w:jc w:val="center"/>
        </w:trPr>
        <w:tc>
          <w:tcPr>
            <w:tcW w:w="2544" w:type="dxa"/>
            <w:vMerge/>
            <w:vAlign w:val="center"/>
          </w:tcPr>
          <w:p w14:paraId="738CEF52"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0C5FF8C" w14:textId="77777777" w:rsidR="00CD0A13" w:rsidRPr="00175D8B" w:rsidRDefault="00CD0A13" w:rsidP="00CD0A13">
            <w:pPr>
              <w:spacing w:before="120" w:after="0" w:line="240" w:lineRule="auto"/>
              <w:rPr>
                <w:rFonts w:eastAsia="Aptos" w:cs="Aptos"/>
                <w:color w:val="000000" w:themeColor="text1"/>
                <w:sz w:val="20"/>
                <w:szCs w:val="20"/>
                <w:lang w:val="tr-TR"/>
              </w:rPr>
            </w:pPr>
            <w:r w:rsidRPr="00175D8B">
              <w:rPr>
                <w:rFonts w:eastAsia="Calibri" w:cs="Calibri"/>
                <w:color w:val="000000" w:themeColor="text1"/>
                <w:sz w:val="20"/>
                <w:szCs w:val="20"/>
              </w:rPr>
              <w:t xml:space="preserve">Risks of exclusion of poorer or vulnerable/disadvantaged individuals/groups from project </w:t>
            </w:r>
            <w:r w:rsidRPr="00175D8B">
              <w:rPr>
                <w:rFonts w:eastAsia="Aptos" w:cs="Aptos"/>
                <w:color w:val="000000" w:themeColor="text1"/>
                <w:sz w:val="19"/>
                <w:szCs w:val="19"/>
              </w:rPr>
              <w:t>benefits, subsidies, etc.</w:t>
            </w:r>
          </w:p>
        </w:tc>
      </w:tr>
      <w:tr w:rsidR="00CD0A13" w:rsidRPr="00175D8B" w14:paraId="528C0E66" w14:textId="77777777" w:rsidTr="00DF417A">
        <w:trPr>
          <w:trHeight w:val="300"/>
          <w:jc w:val="center"/>
        </w:trPr>
        <w:tc>
          <w:tcPr>
            <w:tcW w:w="2544" w:type="dxa"/>
            <w:vMerge/>
            <w:vAlign w:val="center"/>
          </w:tcPr>
          <w:p w14:paraId="02380705"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A71FC1F"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Due to inadequate/fail in management of Project impacts on traffic and community safety</w:t>
            </w:r>
          </w:p>
          <w:p w14:paraId="41E1F8AC" w14:textId="77777777" w:rsidR="00CD0A13" w:rsidRPr="00175D8B" w:rsidRDefault="00CD0A13" w:rsidP="00877B62">
            <w:pPr>
              <w:numPr>
                <w:ilvl w:val="0"/>
                <w:numId w:val="5"/>
              </w:numPr>
              <w:pBdr>
                <w:top w:val="nil"/>
                <w:left w:val="nil"/>
                <w:bottom w:val="nil"/>
                <w:right w:val="nil"/>
                <w:between w:val="nil"/>
              </w:pBdr>
              <w:spacing w:before="120" w:after="0" w:line="240" w:lineRule="auto"/>
              <w:contextualSpacing/>
              <w:rPr>
                <w:rFonts w:eastAsia="Aptos" w:cs="Aptos"/>
                <w:color w:val="000000" w:themeColor="text1"/>
                <w:szCs w:val="22"/>
                <w:lang w:val="tr-TR"/>
              </w:rPr>
            </w:pPr>
            <w:r w:rsidRPr="00175D8B">
              <w:rPr>
                <w:rFonts w:eastAsia="Aptos" w:cs="Aptos"/>
                <w:color w:val="000000" w:themeColor="text1"/>
                <w:sz w:val="20"/>
                <w:szCs w:val="20"/>
              </w:rPr>
              <w:t xml:space="preserve">Increased traffic: improperly selected routes and lack of correct orientation and warning signs at the entrance and exit of the construction site </w:t>
            </w:r>
          </w:p>
          <w:p w14:paraId="150DACF0" w14:textId="77777777" w:rsidR="00CD0A13" w:rsidRPr="00175D8B" w:rsidRDefault="00CD0A13" w:rsidP="00877B62">
            <w:pPr>
              <w:numPr>
                <w:ilvl w:val="0"/>
                <w:numId w:val="5"/>
              </w:numPr>
              <w:pBdr>
                <w:top w:val="nil"/>
                <w:left w:val="nil"/>
                <w:bottom w:val="nil"/>
                <w:right w:val="nil"/>
                <w:between w:val="nil"/>
              </w:pBdr>
              <w:shd w:val="clear" w:color="auto" w:fill="F2F2F2" w:themeFill="background1" w:themeFillShade="F2"/>
              <w:spacing w:before="120" w:after="0" w:line="240" w:lineRule="auto"/>
              <w:contextualSpacing/>
              <w:jc w:val="left"/>
              <w:rPr>
                <w:rFonts w:eastAsia="Aptos" w:cs="Aptos"/>
                <w:color w:val="000000" w:themeColor="text1"/>
                <w:szCs w:val="22"/>
                <w:lang w:val="tr-TR"/>
              </w:rPr>
            </w:pPr>
            <w:r w:rsidRPr="00175D8B">
              <w:rPr>
                <w:rFonts w:eastAsia="Aptos" w:cs="Aptos"/>
                <w:color w:val="000000" w:themeColor="text1"/>
                <w:sz w:val="20"/>
                <w:szCs w:val="20"/>
              </w:rPr>
              <w:t>Traffic accidents: missing or incorrect warning signs</w:t>
            </w:r>
          </w:p>
          <w:p w14:paraId="48B02D7B" w14:textId="77777777" w:rsidR="00CD0A13" w:rsidRPr="00175D8B" w:rsidRDefault="00CD0A13" w:rsidP="00877B62">
            <w:pPr>
              <w:numPr>
                <w:ilvl w:val="0"/>
                <w:numId w:val="5"/>
              </w:numPr>
              <w:pBdr>
                <w:top w:val="nil"/>
                <w:left w:val="nil"/>
                <w:bottom w:val="nil"/>
                <w:right w:val="nil"/>
                <w:between w:val="nil"/>
              </w:pBdr>
              <w:shd w:val="clear" w:color="auto" w:fill="F2F2F2" w:themeFill="background1" w:themeFillShade="F2"/>
              <w:spacing w:before="120" w:after="0" w:line="240" w:lineRule="auto"/>
              <w:contextualSpacing/>
              <w:jc w:val="left"/>
              <w:rPr>
                <w:rFonts w:eastAsia="Aptos" w:cs="Aptos"/>
                <w:color w:val="000000" w:themeColor="text1"/>
                <w:szCs w:val="22"/>
                <w:lang w:val="tr-TR"/>
              </w:rPr>
            </w:pPr>
            <w:r w:rsidRPr="00175D8B">
              <w:rPr>
                <w:rFonts w:eastAsia="Aptos" w:cs="Aptos"/>
                <w:color w:val="000000" w:themeColor="text1"/>
                <w:sz w:val="20"/>
                <w:szCs w:val="20"/>
              </w:rPr>
              <w:t>Noise pollution: unnecessary use of klaxon</w:t>
            </w:r>
          </w:p>
          <w:p w14:paraId="29CDADAA" w14:textId="77777777" w:rsidR="00CD0A13" w:rsidRPr="00175D8B" w:rsidRDefault="00CD0A13" w:rsidP="00877B62">
            <w:pPr>
              <w:numPr>
                <w:ilvl w:val="0"/>
                <w:numId w:val="5"/>
              </w:numPr>
              <w:pBdr>
                <w:top w:val="nil"/>
                <w:left w:val="nil"/>
                <w:bottom w:val="nil"/>
                <w:right w:val="nil"/>
                <w:between w:val="nil"/>
              </w:pBdr>
              <w:shd w:val="clear" w:color="auto" w:fill="F2F2F2" w:themeFill="background1" w:themeFillShade="F2"/>
              <w:spacing w:before="120" w:after="160" w:line="240" w:lineRule="auto"/>
              <w:contextualSpacing/>
              <w:jc w:val="left"/>
              <w:rPr>
                <w:rFonts w:eastAsia="Aptos" w:cs="Aptos"/>
                <w:color w:val="000000" w:themeColor="text1"/>
                <w:szCs w:val="22"/>
                <w:lang w:val="tr-TR"/>
              </w:rPr>
            </w:pPr>
            <w:r w:rsidRPr="00175D8B">
              <w:rPr>
                <w:rFonts w:eastAsia="Aptos" w:cs="Aptos"/>
                <w:color w:val="000000" w:themeColor="text1"/>
                <w:sz w:val="20"/>
                <w:szCs w:val="20"/>
              </w:rPr>
              <w:lastRenderedPageBreak/>
              <w:t>Air and environment pollution: dust and soil from uncovered lorries, increased carbon emissions due to traffic jam.</w:t>
            </w:r>
          </w:p>
        </w:tc>
      </w:tr>
      <w:tr w:rsidR="00CD0A13" w:rsidRPr="00175D8B" w14:paraId="32BA60E0" w14:textId="77777777" w:rsidTr="00DF417A">
        <w:trPr>
          <w:trHeight w:val="300"/>
          <w:jc w:val="center"/>
        </w:trPr>
        <w:tc>
          <w:tcPr>
            <w:tcW w:w="2544" w:type="dxa"/>
            <w:vMerge/>
            <w:vAlign w:val="center"/>
          </w:tcPr>
          <w:p w14:paraId="62114F5F"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D1ED411"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Community health and safety risks that may result from insufficient public informing practices of the people of the neighborhood where the structure to be demolished is located.</w:t>
            </w:r>
          </w:p>
        </w:tc>
      </w:tr>
      <w:tr w:rsidR="00CD0A13" w:rsidRPr="00175D8B" w14:paraId="4BC72832" w14:textId="77777777" w:rsidTr="00DF417A">
        <w:trPr>
          <w:trHeight w:val="300"/>
          <w:jc w:val="center"/>
        </w:trPr>
        <w:tc>
          <w:tcPr>
            <w:tcW w:w="2544" w:type="dxa"/>
            <w:vMerge/>
            <w:vAlign w:val="center"/>
          </w:tcPr>
          <w:p w14:paraId="33233CE7"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9E4475A" w14:textId="77777777" w:rsidR="00CD0A13" w:rsidRPr="00175D8B" w:rsidRDefault="00CD0A13" w:rsidP="00CD0A13">
            <w:pPr>
              <w:spacing w:before="120" w:after="0" w:line="240" w:lineRule="auto"/>
              <w:rPr>
                <w:rFonts w:eastAsia="Calibri" w:cs="Calibri"/>
                <w:color w:val="000000" w:themeColor="text1"/>
                <w:sz w:val="20"/>
                <w:szCs w:val="20"/>
              </w:rPr>
            </w:pPr>
            <w:r w:rsidRPr="00175D8B">
              <w:rPr>
                <w:rFonts w:eastAsia="Calibri" w:cs="Calibri"/>
                <w:color w:val="000000" w:themeColor="text1"/>
                <w:sz w:val="20"/>
                <w:szCs w:val="20"/>
              </w:rPr>
              <w:t>Due to inadequate pre-planning,</w:t>
            </w:r>
          </w:p>
          <w:p w14:paraId="759234F0" w14:textId="77777777" w:rsidR="00CD0A13" w:rsidRPr="00175D8B" w:rsidRDefault="00CD0A13" w:rsidP="00877B62">
            <w:pPr>
              <w:numPr>
                <w:ilvl w:val="0"/>
                <w:numId w:val="6"/>
              </w:numPr>
              <w:spacing w:before="120" w:after="0" w:line="240" w:lineRule="auto"/>
              <w:contextualSpacing/>
              <w:rPr>
                <w:rFonts w:eastAsia="Aptos" w:cs="Aptos"/>
                <w:color w:val="000000" w:themeColor="text1"/>
                <w:szCs w:val="22"/>
                <w:lang w:val="tr-TR"/>
              </w:rPr>
            </w:pPr>
            <w:r w:rsidRPr="00175D8B">
              <w:rPr>
                <w:rFonts w:eastAsia="Calibri" w:cs="Calibri"/>
                <w:color w:val="000000" w:themeColor="text1"/>
                <w:sz w:val="20"/>
                <w:szCs w:val="20"/>
              </w:rPr>
              <w:t xml:space="preserve">Potential damage to other structures, </w:t>
            </w:r>
            <w:r w:rsidRPr="00175D8B">
              <w:rPr>
                <w:rFonts w:eastAsia="Aptos" w:cs="Aptos"/>
                <w:color w:val="000000" w:themeColor="text1"/>
                <w:sz w:val="19"/>
                <w:szCs w:val="19"/>
              </w:rPr>
              <w:t>installations around the structure and to the community health,</w:t>
            </w:r>
          </w:p>
          <w:p w14:paraId="0505D4F3" w14:textId="77777777" w:rsidR="00CD0A13" w:rsidRPr="00175D8B" w:rsidRDefault="00CD0A13" w:rsidP="00877B62">
            <w:pPr>
              <w:numPr>
                <w:ilvl w:val="0"/>
                <w:numId w:val="6"/>
              </w:numPr>
              <w:spacing w:before="120" w:after="0" w:line="240" w:lineRule="auto"/>
              <w:contextualSpacing/>
              <w:rPr>
                <w:rFonts w:eastAsia="Aptos" w:cs="Aptos"/>
                <w:color w:val="000000" w:themeColor="text1"/>
                <w:szCs w:val="22"/>
                <w:lang w:val="tr-TR"/>
              </w:rPr>
            </w:pPr>
            <w:r w:rsidRPr="00175D8B">
              <w:rPr>
                <w:rFonts w:eastAsia="Aptos" w:cs="Aptos"/>
                <w:color w:val="000000" w:themeColor="text1"/>
                <w:sz w:val="20"/>
                <w:szCs w:val="20"/>
              </w:rPr>
              <w:t>Traffic jams and the effects that may be caused by this.</w:t>
            </w:r>
          </w:p>
        </w:tc>
      </w:tr>
      <w:tr w:rsidR="00CD0A13" w:rsidRPr="00175D8B" w14:paraId="5D259DCE" w14:textId="77777777" w:rsidTr="00DF417A">
        <w:trPr>
          <w:trHeight w:val="300"/>
          <w:jc w:val="center"/>
        </w:trPr>
        <w:tc>
          <w:tcPr>
            <w:tcW w:w="2544" w:type="dxa"/>
            <w:vMerge/>
            <w:vAlign w:val="center"/>
          </w:tcPr>
          <w:p w14:paraId="325DEFAA"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8C01D01" w14:textId="77777777" w:rsidR="00CD0A13" w:rsidRPr="00175D8B" w:rsidRDefault="00CD0A13" w:rsidP="00CD0A13">
            <w:pPr>
              <w:spacing w:before="120" w:after="0" w:line="240" w:lineRule="auto"/>
              <w:rPr>
                <w:rFonts w:eastAsia="Calibri" w:cs="Calibri"/>
                <w:color w:val="000000" w:themeColor="text1"/>
                <w:sz w:val="20"/>
                <w:szCs w:val="20"/>
              </w:rPr>
            </w:pPr>
            <w:r w:rsidRPr="00175D8B">
              <w:rPr>
                <w:rFonts w:eastAsia="Calibri" w:cs="Calibri"/>
                <w:color w:val="000000" w:themeColor="text1"/>
                <w:sz w:val="20"/>
                <w:szCs w:val="20"/>
              </w:rPr>
              <w:t>Occupational accidents, environmental accidents and incidents that may arise from inadequate preliminary planning and non-compliance with national and international legislation.</w:t>
            </w:r>
          </w:p>
        </w:tc>
      </w:tr>
      <w:tr w:rsidR="00CD0A13" w:rsidRPr="00175D8B" w14:paraId="0BEFB161" w14:textId="77777777" w:rsidTr="00DF417A">
        <w:trPr>
          <w:trHeight w:val="300"/>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723DE00"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Demolition Stage (the sub-projects which will require demolition)</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6086AA3" w14:textId="77777777" w:rsidR="00CD0A13" w:rsidRPr="00175D8B" w:rsidRDefault="00CD0A13" w:rsidP="00CD0A13">
            <w:pPr>
              <w:spacing w:before="120" w:after="160" w:line="240" w:lineRule="auto"/>
              <w:rPr>
                <w:rFonts w:eastAsia="Aptos" w:cs="Aptos"/>
                <w:color w:val="000000" w:themeColor="text1"/>
                <w:szCs w:val="22"/>
              </w:rPr>
            </w:pPr>
            <w:r w:rsidRPr="00175D8B">
              <w:rPr>
                <w:rFonts w:eastAsia="Aptos" w:cs="Aptos"/>
                <w:color w:val="000000" w:themeColor="text1"/>
                <w:sz w:val="20"/>
                <w:szCs w:val="20"/>
              </w:rPr>
              <w:t xml:space="preserve">Negative health effects on workers, service providers and society due to accidents and incidents that may occur during the asbestos inventory, removal, transportation and disposal process. </w:t>
            </w:r>
            <w:r w:rsidRPr="00175D8B">
              <w:rPr>
                <w:rFonts w:eastAsia="Aptos" w:cs="Aptos"/>
                <w:color w:val="000000" w:themeColor="text1"/>
                <w:sz w:val="20"/>
                <w:szCs w:val="20"/>
                <w:lang w:val="tr-TR"/>
              </w:rPr>
              <w:t xml:space="preserve"> </w:t>
            </w:r>
          </w:p>
        </w:tc>
      </w:tr>
      <w:tr w:rsidR="00CD0A13" w:rsidRPr="00175D8B" w14:paraId="334618CD" w14:textId="77777777" w:rsidTr="00DF417A">
        <w:trPr>
          <w:trHeight w:val="300"/>
          <w:jc w:val="center"/>
        </w:trPr>
        <w:tc>
          <w:tcPr>
            <w:tcW w:w="2544" w:type="dxa"/>
            <w:vMerge/>
            <w:vAlign w:val="center"/>
          </w:tcPr>
          <w:p w14:paraId="057498A1"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510096A"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General occupational health and safety risks that may apply to any demolition activity</w:t>
            </w:r>
          </w:p>
        </w:tc>
      </w:tr>
      <w:tr w:rsidR="00CD0A13" w:rsidRPr="00175D8B" w14:paraId="5841D9CE" w14:textId="77777777" w:rsidTr="00DF417A">
        <w:trPr>
          <w:trHeight w:val="300"/>
          <w:jc w:val="center"/>
        </w:trPr>
        <w:tc>
          <w:tcPr>
            <w:tcW w:w="2544" w:type="dxa"/>
            <w:vMerge/>
            <w:vAlign w:val="center"/>
          </w:tcPr>
          <w:p w14:paraId="23323C87"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948C887" w14:textId="1FF3B0C9" w:rsidR="00CD0A13" w:rsidRPr="00175D8B" w:rsidRDefault="00CD0A13" w:rsidP="00CD0A13">
            <w:pPr>
              <w:spacing w:before="120" w:after="160" w:line="240" w:lineRule="auto"/>
              <w:rPr>
                <w:rFonts w:eastAsia="Aptos" w:cs="Aptos"/>
                <w:color w:val="000000" w:themeColor="text1"/>
                <w:szCs w:val="22"/>
              </w:rPr>
            </w:pPr>
            <w:r w:rsidRPr="00175D8B">
              <w:rPr>
                <w:rFonts w:eastAsia="Aptos" w:cs="Aptos"/>
                <w:color w:val="000000" w:themeColor="text1"/>
                <w:sz w:val="20"/>
                <w:szCs w:val="20"/>
              </w:rPr>
              <w:t xml:space="preserve">Demolished material is harmful to </w:t>
            </w:r>
            <w:r w:rsidR="00607A08" w:rsidRPr="00175D8B">
              <w:rPr>
                <w:rFonts w:eastAsia="Aptos" w:cs="Aptos"/>
                <w:color w:val="000000" w:themeColor="text1"/>
                <w:sz w:val="20"/>
                <w:szCs w:val="20"/>
              </w:rPr>
              <w:t xml:space="preserve">the </w:t>
            </w:r>
            <w:r w:rsidRPr="00175D8B">
              <w:rPr>
                <w:rFonts w:eastAsia="Aptos" w:cs="Aptos"/>
                <w:color w:val="000000" w:themeColor="text1"/>
                <w:sz w:val="20"/>
                <w:szCs w:val="20"/>
              </w:rPr>
              <w:t xml:space="preserve">environment if it is not disposed of adequately. Especially if the material or waste is dangerous or might be dangerous. </w:t>
            </w:r>
            <w:r w:rsidRPr="00175D8B">
              <w:rPr>
                <w:rFonts w:eastAsia="Aptos" w:cs="Aptos"/>
                <w:color w:val="000000" w:themeColor="text1"/>
                <w:sz w:val="20"/>
                <w:szCs w:val="20"/>
                <w:lang w:val="tr-TR"/>
              </w:rPr>
              <w:t xml:space="preserve"> </w:t>
            </w:r>
          </w:p>
        </w:tc>
      </w:tr>
      <w:tr w:rsidR="00CD0A13" w:rsidRPr="00175D8B" w14:paraId="2A5D6A5C" w14:textId="77777777" w:rsidTr="00DF417A">
        <w:trPr>
          <w:trHeight w:val="300"/>
          <w:jc w:val="center"/>
        </w:trPr>
        <w:tc>
          <w:tcPr>
            <w:tcW w:w="2544" w:type="dxa"/>
            <w:vMerge/>
            <w:vAlign w:val="center"/>
          </w:tcPr>
          <w:p w14:paraId="714D89DA"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6AE5E1D"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Temporary and permanent displacement due to project activities</w:t>
            </w:r>
          </w:p>
        </w:tc>
      </w:tr>
      <w:tr w:rsidR="00CD0A13" w:rsidRPr="00175D8B" w14:paraId="05B62625" w14:textId="77777777" w:rsidTr="00DF417A">
        <w:trPr>
          <w:trHeight w:val="300"/>
          <w:jc w:val="center"/>
        </w:trPr>
        <w:tc>
          <w:tcPr>
            <w:tcW w:w="2544" w:type="dxa"/>
            <w:vMerge/>
            <w:vAlign w:val="center"/>
          </w:tcPr>
          <w:p w14:paraId="5CC60D82"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5011602"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Risks to public health due to the traffic to be created by the reconstruction activities</w:t>
            </w:r>
          </w:p>
        </w:tc>
      </w:tr>
      <w:tr w:rsidR="00CD0A13" w:rsidRPr="00175D8B" w14:paraId="7412CEB0" w14:textId="77777777" w:rsidTr="00DF417A">
        <w:trPr>
          <w:trHeight w:val="300"/>
          <w:jc w:val="center"/>
        </w:trPr>
        <w:tc>
          <w:tcPr>
            <w:tcW w:w="2544" w:type="dxa"/>
            <w:vMerge/>
            <w:vAlign w:val="center"/>
          </w:tcPr>
          <w:p w14:paraId="37E1FDA2"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3CBFF6C"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Livelihood loss</w:t>
            </w:r>
          </w:p>
        </w:tc>
      </w:tr>
      <w:tr w:rsidR="00CD0A13" w:rsidRPr="00175D8B" w14:paraId="4AA47769" w14:textId="77777777" w:rsidTr="00DF417A">
        <w:trPr>
          <w:trHeight w:val="300"/>
          <w:jc w:val="center"/>
        </w:trPr>
        <w:tc>
          <w:tcPr>
            <w:tcW w:w="2544" w:type="dxa"/>
            <w:vMerge/>
            <w:vAlign w:val="center"/>
          </w:tcPr>
          <w:p w14:paraId="10902AE7"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5CAA83A"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Inadequate demolition work may result in local landslide risk and damage to the areas under protection.</w:t>
            </w:r>
          </w:p>
        </w:tc>
      </w:tr>
      <w:tr w:rsidR="00CD0A13" w:rsidRPr="00175D8B" w14:paraId="25CE27BD" w14:textId="77777777" w:rsidTr="00DF417A">
        <w:trPr>
          <w:trHeight w:val="300"/>
          <w:jc w:val="center"/>
        </w:trPr>
        <w:tc>
          <w:tcPr>
            <w:tcW w:w="2544" w:type="dxa"/>
            <w:vMerge/>
            <w:vAlign w:val="center"/>
          </w:tcPr>
          <w:p w14:paraId="2285D5C8"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3671CF2" w14:textId="587E2527" w:rsidR="00CD0A13" w:rsidRPr="00175D8B" w:rsidRDefault="00607A08" w:rsidP="00CD0A13">
            <w:pPr>
              <w:spacing w:before="120" w:after="0" w:line="240" w:lineRule="auto"/>
              <w:rPr>
                <w:rFonts w:eastAsia="Calibri" w:cs="Calibri"/>
                <w:color w:val="000000" w:themeColor="text1"/>
                <w:sz w:val="20"/>
                <w:szCs w:val="20"/>
              </w:rPr>
            </w:pPr>
            <w:r w:rsidRPr="00175D8B">
              <w:rPr>
                <w:rFonts w:eastAsia="Calibri" w:cs="Calibri"/>
                <w:color w:val="000000" w:themeColor="text1"/>
                <w:sz w:val="20"/>
                <w:szCs w:val="20"/>
              </w:rPr>
              <w:t xml:space="preserve">Impacts on air quality, especially </w:t>
            </w:r>
            <w:r w:rsidR="004E54B4" w:rsidRPr="00175D8B">
              <w:rPr>
                <w:rFonts w:eastAsia="Calibri" w:cs="Calibri"/>
                <w:color w:val="000000" w:themeColor="text1"/>
                <w:sz w:val="20"/>
                <w:szCs w:val="20"/>
              </w:rPr>
              <w:t>related</w:t>
            </w:r>
            <w:r w:rsidRPr="00175D8B">
              <w:rPr>
                <w:rFonts w:eastAsia="Calibri" w:cs="Calibri"/>
                <w:color w:val="000000" w:themeColor="text1"/>
                <w:sz w:val="20"/>
                <w:szCs w:val="20"/>
              </w:rPr>
              <w:t xml:space="preserve"> to possible contributions on particulate matter concentrations.</w:t>
            </w:r>
          </w:p>
        </w:tc>
      </w:tr>
      <w:tr w:rsidR="00CD0A13" w:rsidRPr="00175D8B" w14:paraId="39903864" w14:textId="77777777" w:rsidTr="00DF417A">
        <w:trPr>
          <w:trHeight w:val="300"/>
          <w:jc w:val="center"/>
        </w:trPr>
        <w:tc>
          <w:tcPr>
            <w:tcW w:w="2544" w:type="dxa"/>
            <w:vMerge/>
            <w:vAlign w:val="center"/>
          </w:tcPr>
          <w:p w14:paraId="70D73D7F"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C5F280D" w14:textId="7A642DCB"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Blasting-Related Risks: The demolition phase can be carried out by blasting according to the demolition method. In this context, occupational and community health and safety risks will arise. -However, it should be noted that no blasting demolition has been performed in Türkiye since 2017 and the MoEUCC does not prefer this method. In any case, relevant mitigation measures are provided.</w:t>
            </w:r>
          </w:p>
        </w:tc>
      </w:tr>
      <w:tr w:rsidR="00CD0A13" w:rsidRPr="00175D8B" w14:paraId="52A9963F" w14:textId="77777777" w:rsidTr="00DF417A">
        <w:trPr>
          <w:trHeight w:val="300"/>
          <w:jc w:val="center"/>
        </w:trPr>
        <w:tc>
          <w:tcPr>
            <w:tcW w:w="2544" w:type="dxa"/>
            <w:vMerge/>
            <w:vAlign w:val="center"/>
          </w:tcPr>
          <w:p w14:paraId="6CD01A9C"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699BB0D" w14:textId="77777777" w:rsidR="00CD0A13" w:rsidRPr="00175D8B" w:rsidRDefault="00CD0A13" w:rsidP="00CD0A13">
            <w:pPr>
              <w:spacing w:before="120" w:after="0" w:line="240" w:lineRule="auto"/>
              <w:rPr>
                <w:rFonts w:eastAsia="Aptos" w:cs="Aptos"/>
                <w:color w:val="000000" w:themeColor="text1"/>
                <w:sz w:val="20"/>
                <w:szCs w:val="20"/>
                <w:lang w:val="tr-TR"/>
              </w:rPr>
            </w:pPr>
            <w:r w:rsidRPr="00175D8B">
              <w:rPr>
                <w:rFonts w:eastAsia="Aptos" w:cs="Aptos"/>
                <w:color w:val="000000" w:themeColor="text1"/>
                <w:sz w:val="20"/>
                <w:szCs w:val="20"/>
              </w:rPr>
              <w:t>Noise generation (except from blasting, for blasting details provided above)</w:t>
            </w:r>
          </w:p>
        </w:tc>
      </w:tr>
      <w:tr w:rsidR="00CD0A13" w:rsidRPr="00175D8B" w14:paraId="7B42606F" w14:textId="77777777" w:rsidTr="00DF417A">
        <w:trPr>
          <w:trHeight w:val="300"/>
          <w:jc w:val="center"/>
        </w:trPr>
        <w:tc>
          <w:tcPr>
            <w:tcW w:w="2544" w:type="dxa"/>
            <w:vMerge/>
            <w:vAlign w:val="center"/>
          </w:tcPr>
          <w:p w14:paraId="4EF5D563"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8082363" w14:textId="77777777" w:rsidR="00CD0A13" w:rsidRPr="00175D8B" w:rsidRDefault="00CD0A13" w:rsidP="00CD0A13">
            <w:pPr>
              <w:spacing w:before="120" w:after="0" w:line="240" w:lineRule="auto"/>
              <w:rPr>
                <w:rFonts w:eastAsia="Aptos" w:cs="Aptos"/>
                <w:color w:val="000000" w:themeColor="text1"/>
                <w:sz w:val="20"/>
                <w:szCs w:val="20"/>
                <w:lang w:val="tr-TR"/>
              </w:rPr>
            </w:pPr>
            <w:r w:rsidRPr="00175D8B">
              <w:rPr>
                <w:rFonts w:eastAsia="Aptos" w:cs="Aptos"/>
                <w:color w:val="000000" w:themeColor="text1"/>
                <w:sz w:val="19"/>
                <w:szCs w:val="19"/>
              </w:rPr>
              <w:t>Potential negative impacts for cultural heritage</w:t>
            </w:r>
          </w:p>
        </w:tc>
      </w:tr>
      <w:tr w:rsidR="00CD0A13" w:rsidRPr="00175D8B" w14:paraId="6A406C42" w14:textId="77777777" w:rsidTr="00DF417A">
        <w:trPr>
          <w:trHeight w:val="300"/>
          <w:jc w:val="center"/>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C7A6980"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lastRenderedPageBreak/>
              <w:t>Pre re-construction stage of the Type-III sub-projects</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F2E31FC" w14:textId="703DC2C6" w:rsidR="00CD0A13" w:rsidRPr="00175D8B" w:rsidRDefault="00CD0A13" w:rsidP="00CD0A13">
            <w:pPr>
              <w:spacing w:before="120" w:after="160" w:line="240" w:lineRule="auto"/>
              <w:jc w:val="left"/>
              <w:rPr>
                <w:rFonts w:eastAsia="Aptos" w:cs="Aptos"/>
                <w:color w:val="000000" w:themeColor="text1"/>
                <w:sz w:val="20"/>
                <w:szCs w:val="20"/>
                <w:lang w:val="tr-TR"/>
              </w:rPr>
            </w:pPr>
            <w:r w:rsidRPr="00175D8B">
              <w:rPr>
                <w:rFonts w:eastAsia="Aptos" w:cs="Aptos"/>
                <w:color w:val="000000" w:themeColor="text1"/>
                <w:sz w:val="20"/>
                <w:szCs w:val="20"/>
              </w:rPr>
              <w:t xml:space="preserve">Risks related </w:t>
            </w:r>
            <w:r w:rsidR="00502DF8" w:rsidRPr="00175D8B">
              <w:rPr>
                <w:rFonts w:eastAsia="Aptos" w:cs="Aptos"/>
                <w:color w:val="000000" w:themeColor="text1"/>
                <w:sz w:val="20"/>
                <w:szCs w:val="20"/>
              </w:rPr>
              <w:t>to</w:t>
            </w:r>
            <w:r w:rsidRPr="00175D8B">
              <w:rPr>
                <w:rFonts w:eastAsia="Aptos" w:cs="Aptos"/>
                <w:color w:val="000000" w:themeColor="text1"/>
                <w:sz w:val="20"/>
                <w:szCs w:val="20"/>
              </w:rPr>
              <w:t xml:space="preserve"> E&amp;S due to the possibility of conducted demolition works were performed non-compliant with WB and national standards.</w:t>
            </w:r>
          </w:p>
        </w:tc>
      </w:tr>
      <w:tr w:rsidR="00CD0A13" w:rsidRPr="00175D8B" w14:paraId="62997C9A" w14:textId="77777777" w:rsidTr="00DF417A">
        <w:trPr>
          <w:trHeight w:val="300"/>
          <w:jc w:val="center"/>
        </w:trPr>
        <w:tc>
          <w:tcPr>
            <w:tcW w:w="254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4860667" w14:textId="77777777" w:rsidR="00CD0A13" w:rsidRPr="00175D8B" w:rsidRDefault="00CD0A13" w:rsidP="00CD0A13">
            <w:pPr>
              <w:spacing w:before="120" w:after="0" w:line="240" w:lineRule="auto"/>
              <w:rPr>
                <w:rFonts w:eastAsia="Aptos" w:cs="Aptos"/>
                <w:color w:val="000000" w:themeColor="text1"/>
                <w:sz w:val="20"/>
                <w:szCs w:val="20"/>
                <w:lang w:val="tr-TR"/>
              </w:rPr>
            </w:pPr>
            <w:r w:rsidRPr="00175D8B">
              <w:rPr>
                <w:rFonts w:eastAsia="Aptos" w:cs="Aptos"/>
                <w:color w:val="000000" w:themeColor="text1"/>
                <w:sz w:val="19"/>
                <w:szCs w:val="19"/>
              </w:rPr>
              <w:t>Reconstruction or Retrofitting Stage</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4B082DE"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Risks related with improper Waste Management which may create additional pressure to waste management facilities of the provinces and may cause harm on environment.</w:t>
            </w:r>
          </w:p>
        </w:tc>
      </w:tr>
      <w:tr w:rsidR="00CD0A13" w:rsidRPr="00175D8B" w14:paraId="11039FC7" w14:textId="77777777" w:rsidTr="00DF417A">
        <w:trPr>
          <w:trHeight w:val="784"/>
          <w:jc w:val="center"/>
        </w:trPr>
        <w:tc>
          <w:tcPr>
            <w:tcW w:w="2544" w:type="dxa"/>
            <w:vMerge/>
            <w:tcMar>
              <w:top w:w="15" w:type="dxa"/>
              <w:left w:w="75" w:type="dxa"/>
              <w:bottom w:w="15" w:type="dxa"/>
              <w:right w:w="75" w:type="dxa"/>
            </w:tcMar>
            <w:vAlign w:val="center"/>
          </w:tcPr>
          <w:p w14:paraId="354E06BF" w14:textId="77777777" w:rsidR="00CD0A13" w:rsidRPr="00175D8B" w:rsidRDefault="00CD0A13" w:rsidP="00CD0A13">
            <w:pPr>
              <w:spacing w:before="120" w:after="0" w:line="240" w:lineRule="auto"/>
              <w:rPr>
                <w:rFonts w:eastAsia="Calibri" w:cs="Calibri"/>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D65AF52" w14:textId="77777777" w:rsidR="00CD0A13" w:rsidRPr="00175D8B" w:rsidRDefault="00CD0A13" w:rsidP="00CD0A13">
            <w:pPr>
              <w:spacing w:before="120" w:after="0" w:line="240" w:lineRule="auto"/>
              <w:rPr>
                <w:rFonts w:eastAsia="Aptos" w:cs="Aptos"/>
                <w:color w:val="000000" w:themeColor="text1"/>
                <w:sz w:val="20"/>
                <w:szCs w:val="20"/>
                <w:lang w:val="tr-TR"/>
              </w:rPr>
            </w:pPr>
            <w:r w:rsidRPr="00175D8B">
              <w:rPr>
                <w:rFonts w:eastAsia="Aptos" w:cs="Aptos"/>
                <w:color w:val="000000" w:themeColor="text1"/>
                <w:sz w:val="20"/>
                <w:szCs w:val="20"/>
              </w:rPr>
              <w:t>During construction activities, construction machinery may damage trees in the construction area.</w:t>
            </w:r>
          </w:p>
        </w:tc>
      </w:tr>
      <w:tr w:rsidR="00CD0A13" w:rsidRPr="00175D8B" w14:paraId="36B506E7" w14:textId="77777777" w:rsidTr="00DF417A">
        <w:trPr>
          <w:trHeight w:val="300"/>
          <w:jc w:val="center"/>
        </w:trPr>
        <w:tc>
          <w:tcPr>
            <w:tcW w:w="2544" w:type="dxa"/>
            <w:vMerge/>
            <w:vAlign w:val="center"/>
          </w:tcPr>
          <w:p w14:paraId="5315579B"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4CEA5A1"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Excessive Noise Generation which has possibility to impact human health and at least may cause disturbance</w:t>
            </w:r>
          </w:p>
        </w:tc>
      </w:tr>
      <w:tr w:rsidR="00CD0A13" w:rsidRPr="00175D8B" w14:paraId="51C528C0" w14:textId="77777777" w:rsidTr="00DF417A">
        <w:trPr>
          <w:trHeight w:val="300"/>
          <w:jc w:val="center"/>
        </w:trPr>
        <w:tc>
          <w:tcPr>
            <w:tcW w:w="2544" w:type="dxa"/>
            <w:vMerge/>
            <w:vAlign w:val="center"/>
          </w:tcPr>
          <w:p w14:paraId="59D697AB"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8856D77"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Labor risks, given the extensive civil works</w:t>
            </w:r>
          </w:p>
        </w:tc>
      </w:tr>
      <w:tr w:rsidR="00CD0A13" w:rsidRPr="00175D8B" w14:paraId="6B90BF31" w14:textId="77777777" w:rsidTr="00DF417A">
        <w:trPr>
          <w:trHeight w:val="300"/>
          <w:jc w:val="center"/>
        </w:trPr>
        <w:tc>
          <w:tcPr>
            <w:tcW w:w="2544" w:type="dxa"/>
            <w:vMerge/>
            <w:vAlign w:val="center"/>
          </w:tcPr>
          <w:p w14:paraId="13B92246"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06486B6"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Possibility of chance finds during excavation work</w:t>
            </w:r>
          </w:p>
        </w:tc>
      </w:tr>
      <w:tr w:rsidR="00CD0A13" w:rsidRPr="00175D8B" w14:paraId="4420D150" w14:textId="77777777" w:rsidTr="00DF417A">
        <w:trPr>
          <w:trHeight w:val="300"/>
          <w:jc w:val="center"/>
        </w:trPr>
        <w:tc>
          <w:tcPr>
            <w:tcW w:w="2544" w:type="dxa"/>
            <w:vMerge/>
            <w:vAlign w:val="center"/>
          </w:tcPr>
          <w:p w14:paraId="2B03BB28"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92FA6DA"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Lack of information about or access to grievance mechanisms for workers and/or Project-affected people</w:t>
            </w:r>
          </w:p>
        </w:tc>
      </w:tr>
      <w:tr w:rsidR="00CD0A13" w:rsidRPr="00175D8B" w14:paraId="60402E1C" w14:textId="77777777" w:rsidTr="00DF417A">
        <w:trPr>
          <w:trHeight w:val="300"/>
          <w:jc w:val="center"/>
        </w:trPr>
        <w:tc>
          <w:tcPr>
            <w:tcW w:w="2544" w:type="dxa"/>
            <w:vMerge/>
            <w:vAlign w:val="center"/>
          </w:tcPr>
          <w:p w14:paraId="3A0AB4EB"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7CB6074" w14:textId="77777777" w:rsidR="00CD0A13" w:rsidRPr="00175D8B" w:rsidRDefault="00CD0A13" w:rsidP="00CD0A13">
            <w:pPr>
              <w:spacing w:before="120" w:after="0" w:line="240" w:lineRule="auto"/>
              <w:rPr>
                <w:rFonts w:eastAsia="Calibri" w:cs="Calibri"/>
                <w:color w:val="000000" w:themeColor="text1"/>
                <w:sz w:val="20"/>
                <w:szCs w:val="20"/>
              </w:rPr>
            </w:pPr>
            <w:r w:rsidRPr="00175D8B">
              <w:rPr>
                <w:rFonts w:eastAsia="Calibri" w:cs="Calibri"/>
                <w:color w:val="000000" w:themeColor="text1"/>
                <w:sz w:val="20"/>
                <w:szCs w:val="20"/>
              </w:rPr>
              <w:t>Public health and safety risks</w:t>
            </w:r>
          </w:p>
        </w:tc>
      </w:tr>
      <w:tr w:rsidR="00CD0A13" w:rsidRPr="00175D8B" w14:paraId="3F4EB093" w14:textId="77777777" w:rsidTr="00DF417A">
        <w:trPr>
          <w:trHeight w:val="300"/>
          <w:jc w:val="center"/>
        </w:trPr>
        <w:tc>
          <w:tcPr>
            <w:tcW w:w="2544" w:type="dxa"/>
            <w:vMerge/>
            <w:vAlign w:val="center"/>
          </w:tcPr>
          <w:p w14:paraId="1935DE90"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2A7ED7D" w14:textId="77777777" w:rsidR="00CD0A13" w:rsidRPr="00175D8B" w:rsidRDefault="00CD0A13" w:rsidP="00CD0A13">
            <w:pPr>
              <w:spacing w:before="120" w:after="0" w:line="240" w:lineRule="auto"/>
              <w:rPr>
                <w:rFonts w:eastAsia="Calibri" w:cs="Calibri"/>
                <w:color w:val="000000" w:themeColor="text1"/>
                <w:sz w:val="20"/>
                <w:szCs w:val="20"/>
              </w:rPr>
            </w:pPr>
            <w:r w:rsidRPr="00175D8B">
              <w:rPr>
                <w:rFonts w:eastAsia="Calibri" w:cs="Calibri"/>
                <w:color w:val="000000" w:themeColor="text1"/>
                <w:sz w:val="20"/>
                <w:szCs w:val="20"/>
              </w:rPr>
              <w:t>Possible negative impacts on Water Quality</w:t>
            </w:r>
          </w:p>
        </w:tc>
      </w:tr>
      <w:tr w:rsidR="00CD0A13" w:rsidRPr="00175D8B" w14:paraId="0FD65924" w14:textId="77777777" w:rsidTr="00DF417A">
        <w:trPr>
          <w:trHeight w:val="300"/>
          <w:jc w:val="center"/>
        </w:trPr>
        <w:tc>
          <w:tcPr>
            <w:tcW w:w="2544" w:type="dxa"/>
            <w:vMerge/>
            <w:vAlign w:val="center"/>
          </w:tcPr>
          <w:p w14:paraId="48D8BAEA"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D876FBC" w14:textId="77777777" w:rsidR="00CD0A13" w:rsidRPr="00175D8B" w:rsidRDefault="00CD0A13" w:rsidP="00CD0A13">
            <w:pPr>
              <w:spacing w:before="120" w:after="160" w:line="240" w:lineRule="auto"/>
              <w:rPr>
                <w:rFonts w:eastAsia="Aptos" w:cs="Aptos"/>
                <w:color w:val="000000" w:themeColor="text1"/>
                <w:sz w:val="20"/>
                <w:szCs w:val="20"/>
                <w:lang w:val="tr-TR"/>
              </w:rPr>
            </w:pPr>
            <w:r w:rsidRPr="00175D8B">
              <w:rPr>
                <w:rFonts w:eastAsia="Aptos" w:cs="Aptos"/>
                <w:color w:val="000000" w:themeColor="text1"/>
                <w:sz w:val="20"/>
                <w:szCs w:val="20"/>
              </w:rPr>
              <w:t>Risks to public health due to the traffic to be created by the reconstruction activities,</w:t>
            </w:r>
          </w:p>
        </w:tc>
      </w:tr>
      <w:tr w:rsidR="00CD0A13" w:rsidRPr="00175D8B" w14:paraId="36D95149" w14:textId="77777777" w:rsidTr="00DF417A">
        <w:trPr>
          <w:trHeight w:val="300"/>
          <w:jc w:val="center"/>
        </w:trPr>
        <w:tc>
          <w:tcPr>
            <w:tcW w:w="2544" w:type="dxa"/>
            <w:vMerge/>
            <w:vAlign w:val="center"/>
          </w:tcPr>
          <w:p w14:paraId="2D266563"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50C605B" w14:textId="77777777" w:rsidR="00CD0A13" w:rsidRPr="00175D8B" w:rsidRDefault="00CD0A13" w:rsidP="00CD0A13">
            <w:pPr>
              <w:spacing w:before="120" w:after="0" w:line="240" w:lineRule="auto"/>
              <w:rPr>
                <w:rFonts w:eastAsia="Aptos" w:cs="Aptos"/>
                <w:color w:val="000000" w:themeColor="text1"/>
                <w:sz w:val="20"/>
                <w:szCs w:val="20"/>
                <w:lang w:val="tr-TR"/>
              </w:rPr>
            </w:pPr>
            <w:r w:rsidRPr="00175D8B">
              <w:rPr>
                <w:rFonts w:eastAsia="Aptos" w:cs="Aptos"/>
                <w:color w:val="000000" w:themeColor="text1"/>
                <w:sz w:val="20"/>
                <w:szCs w:val="20"/>
              </w:rPr>
              <w:t>Livelihood loss</w:t>
            </w:r>
          </w:p>
        </w:tc>
      </w:tr>
      <w:tr w:rsidR="00670ACC" w:rsidRPr="00175D8B" w14:paraId="2880D519" w14:textId="77777777" w:rsidTr="00DF417A">
        <w:trPr>
          <w:trHeight w:val="300"/>
          <w:jc w:val="center"/>
        </w:trPr>
        <w:tc>
          <w:tcPr>
            <w:tcW w:w="2544" w:type="dxa"/>
            <w:shd w:val="clear" w:color="auto" w:fill="F2F2F2" w:themeFill="background1" w:themeFillShade="F2"/>
            <w:vAlign w:val="center"/>
          </w:tcPr>
          <w:p w14:paraId="4A102946" w14:textId="77777777" w:rsidR="00CD0A13" w:rsidRPr="00175D8B" w:rsidRDefault="00CD0A13" w:rsidP="00CD0A13">
            <w:pPr>
              <w:spacing w:before="120" w:after="0" w:line="240" w:lineRule="auto"/>
              <w:ind w:left="567"/>
              <w:rPr>
                <w:rFonts w:eastAsia="Aptos" w:cs="Aptos"/>
                <w:color w:val="000000" w:themeColor="text1"/>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90C2E68" w14:textId="77777777" w:rsidR="00CD0A13" w:rsidRPr="00175D8B" w:rsidRDefault="00CD0A13" w:rsidP="00CD0A13">
            <w:pPr>
              <w:spacing w:before="120" w:after="0" w:line="240" w:lineRule="auto"/>
              <w:rPr>
                <w:rFonts w:eastAsia="Aptos" w:cs="Aptos"/>
                <w:color w:val="000000" w:themeColor="text1"/>
                <w:sz w:val="20"/>
                <w:szCs w:val="20"/>
                <w:lang w:val="tr-TR"/>
              </w:rPr>
            </w:pPr>
            <w:r w:rsidRPr="00175D8B">
              <w:rPr>
                <w:rFonts w:eastAsia="Calibri" w:cs="Calibri"/>
                <w:color w:val="000000" w:themeColor="text1"/>
                <w:sz w:val="20"/>
                <w:szCs w:val="20"/>
              </w:rPr>
              <w:t xml:space="preserve">Risk of SEA/SH (Sexual Exploitation and Abuse / Sexual Harassment) </w:t>
            </w:r>
            <w:r w:rsidRPr="00175D8B">
              <w:rPr>
                <w:rFonts w:eastAsia="Aptos" w:cs="Aptos"/>
                <w:color w:val="000000" w:themeColor="text1"/>
                <w:sz w:val="19"/>
                <w:szCs w:val="19"/>
              </w:rPr>
              <w:t>incidents during reconstruction activities</w:t>
            </w:r>
          </w:p>
        </w:tc>
      </w:tr>
    </w:tbl>
    <w:p w14:paraId="240EF11E" w14:textId="51388F78" w:rsidR="00133188" w:rsidRPr="00175D8B" w:rsidRDefault="00133188" w:rsidP="003444EE"/>
    <w:p w14:paraId="77CA1DBA" w14:textId="430E97EA" w:rsidR="006611AA" w:rsidRPr="00175D8B" w:rsidRDefault="00502DF8" w:rsidP="002550A6">
      <w:pPr>
        <w:pStyle w:val="Balk2"/>
        <w:numPr>
          <w:ilvl w:val="1"/>
          <w:numId w:val="154"/>
        </w:numPr>
      </w:pPr>
      <w:bookmarkStart w:id="292" w:name="_Toc212541886"/>
      <w:bookmarkStart w:id="293" w:name="_Toc212542397"/>
      <w:bookmarkStart w:id="294" w:name="_Toc220672800"/>
      <w:r>
        <w:t>Assessment of</w:t>
      </w:r>
      <w:r w:rsidR="009A2E29">
        <w:t xml:space="preserve"> Key </w:t>
      </w:r>
      <w:r w:rsidR="004B35B8" w:rsidRPr="00175D8B">
        <w:t>Potential Labor Risks</w:t>
      </w:r>
      <w:bookmarkEnd w:id="292"/>
      <w:bookmarkEnd w:id="293"/>
      <w:bookmarkEnd w:id="294"/>
    </w:p>
    <w:p w14:paraId="1B2F3814" w14:textId="77777777" w:rsidR="004B35B8" w:rsidRPr="00175D8B" w:rsidRDefault="004B35B8" w:rsidP="004B35B8">
      <w:r w:rsidRPr="00175D8B">
        <w:t>The key labor risks related to OHS risks associated with construction activities of sub-projects such as exposure to physical, chemical and biological hazards are estimated as follows: heavy equipment use, trip and fall hazards, exposure to noise and dust, falling objects, exposure to hazardous materials and exposure to electrical hazards arising from the use of tools and machinery. Persons under the age of 18 will not be employed in the Project, as construction activities will involve hazardous work. Many workers will be exposed to OHS hazards, including but not limited to:</w:t>
      </w:r>
    </w:p>
    <w:p w14:paraId="6918AF98" w14:textId="687CEA23" w:rsidR="004B35B8" w:rsidRPr="00175D8B" w:rsidRDefault="004B35B8">
      <w:pPr>
        <w:pStyle w:val="ListeParagraf"/>
        <w:numPr>
          <w:ilvl w:val="0"/>
          <w:numId w:val="138"/>
        </w:numPr>
      </w:pPr>
      <w:r w:rsidRPr="00175D8B">
        <w:t>Working at a height,</w:t>
      </w:r>
    </w:p>
    <w:p w14:paraId="7315492F" w14:textId="77777777" w:rsidR="004B35B8" w:rsidRPr="00175D8B" w:rsidRDefault="004B35B8">
      <w:pPr>
        <w:pStyle w:val="ListeParagraf"/>
        <w:numPr>
          <w:ilvl w:val="0"/>
          <w:numId w:val="138"/>
        </w:numPr>
      </w:pPr>
      <w:r w:rsidRPr="00175D8B">
        <w:lastRenderedPageBreak/>
        <w:t>Electric shocks and arc failure burns (use or faulty of electrical appliances such as cable plugs, cords, hand tools),</w:t>
      </w:r>
    </w:p>
    <w:p w14:paraId="12A590A7" w14:textId="77777777" w:rsidR="004B35B8" w:rsidRPr="00175D8B" w:rsidRDefault="004B35B8">
      <w:pPr>
        <w:pStyle w:val="ListeParagraf"/>
        <w:numPr>
          <w:ilvl w:val="0"/>
          <w:numId w:val="138"/>
        </w:numPr>
      </w:pPr>
      <w:r w:rsidRPr="00175D8B">
        <w:t>Electrical works,</w:t>
      </w:r>
    </w:p>
    <w:p w14:paraId="74AB24D1" w14:textId="77777777" w:rsidR="004B35B8" w:rsidRPr="00175D8B" w:rsidRDefault="004B35B8">
      <w:pPr>
        <w:pStyle w:val="ListeParagraf"/>
        <w:numPr>
          <w:ilvl w:val="0"/>
          <w:numId w:val="138"/>
        </w:numPr>
      </w:pPr>
      <w:r w:rsidRPr="00175D8B">
        <w:t>Exposure to chemicals (such as paints, solvents, lubricants and fuels),</w:t>
      </w:r>
    </w:p>
    <w:p w14:paraId="64B05112" w14:textId="77777777" w:rsidR="004B35B8" w:rsidRPr="00175D8B" w:rsidRDefault="004B35B8">
      <w:pPr>
        <w:pStyle w:val="ListeParagraf"/>
        <w:numPr>
          <w:ilvl w:val="0"/>
          <w:numId w:val="138"/>
        </w:numPr>
      </w:pPr>
      <w:r w:rsidRPr="00175D8B">
        <w:t>Chainsaws and tree fall during logging,</w:t>
      </w:r>
    </w:p>
    <w:p w14:paraId="5B231626" w14:textId="77777777" w:rsidR="004B35B8" w:rsidRPr="00175D8B" w:rsidRDefault="004B35B8">
      <w:pPr>
        <w:pStyle w:val="ListeParagraf"/>
        <w:numPr>
          <w:ilvl w:val="0"/>
          <w:numId w:val="138"/>
        </w:numPr>
      </w:pPr>
      <w:r w:rsidRPr="00175D8B">
        <w:t>Traffic accidents,</w:t>
      </w:r>
    </w:p>
    <w:p w14:paraId="6C159E3F" w14:textId="77777777" w:rsidR="004B35B8" w:rsidRPr="00175D8B" w:rsidRDefault="004B35B8">
      <w:pPr>
        <w:pStyle w:val="ListeParagraf"/>
        <w:numPr>
          <w:ilvl w:val="0"/>
          <w:numId w:val="138"/>
        </w:numPr>
      </w:pPr>
      <w:r w:rsidRPr="00175D8B">
        <w:t>Excavation hazards,</w:t>
      </w:r>
    </w:p>
    <w:p w14:paraId="1464CD0D" w14:textId="77777777" w:rsidR="004B35B8" w:rsidRPr="00175D8B" w:rsidRDefault="004B35B8">
      <w:pPr>
        <w:pStyle w:val="ListeParagraf"/>
        <w:numPr>
          <w:ilvl w:val="0"/>
          <w:numId w:val="138"/>
        </w:numPr>
      </w:pPr>
      <w:r w:rsidRPr="00175D8B">
        <w:t>Lifting of heavy objects,</w:t>
      </w:r>
    </w:p>
    <w:p w14:paraId="7A1B306E" w14:textId="77777777" w:rsidR="004B35B8" w:rsidRPr="00175D8B" w:rsidRDefault="004B35B8">
      <w:pPr>
        <w:pStyle w:val="ListeParagraf"/>
        <w:numPr>
          <w:ilvl w:val="0"/>
          <w:numId w:val="138"/>
        </w:numPr>
      </w:pPr>
      <w:r w:rsidRPr="00175D8B">
        <w:t>Rebar accidents,</w:t>
      </w:r>
    </w:p>
    <w:p w14:paraId="001DDB75" w14:textId="77777777" w:rsidR="004B35B8" w:rsidRPr="00175D8B" w:rsidRDefault="004B35B8">
      <w:pPr>
        <w:pStyle w:val="ListeParagraf"/>
        <w:numPr>
          <w:ilvl w:val="0"/>
          <w:numId w:val="138"/>
        </w:numPr>
      </w:pPr>
      <w:r w:rsidRPr="00175D8B">
        <w:t>Exposure to construction-induced air emissions (dust, silica and asbestos),</w:t>
      </w:r>
    </w:p>
    <w:p w14:paraId="1478D5C6" w14:textId="77777777" w:rsidR="004B35B8" w:rsidRPr="00175D8B" w:rsidRDefault="004B35B8">
      <w:pPr>
        <w:pStyle w:val="ListeParagraf"/>
        <w:numPr>
          <w:ilvl w:val="0"/>
          <w:numId w:val="138"/>
        </w:numPr>
      </w:pPr>
      <w:r w:rsidRPr="00175D8B">
        <w:t>Ergonomic hazards during construction,</w:t>
      </w:r>
    </w:p>
    <w:p w14:paraId="7AADBE3B" w14:textId="77777777" w:rsidR="004B35B8" w:rsidRPr="00175D8B" w:rsidRDefault="004B35B8">
      <w:pPr>
        <w:pStyle w:val="ListeParagraf"/>
        <w:numPr>
          <w:ilvl w:val="0"/>
          <w:numId w:val="138"/>
        </w:numPr>
      </w:pPr>
      <w:r w:rsidRPr="00175D8B">
        <w:t>Welding hazards (smoke, burns and radiation),</w:t>
      </w:r>
    </w:p>
    <w:p w14:paraId="7667D991" w14:textId="77777777" w:rsidR="004B35B8" w:rsidRPr="00175D8B" w:rsidRDefault="004B35B8">
      <w:pPr>
        <w:pStyle w:val="ListeParagraf"/>
        <w:numPr>
          <w:ilvl w:val="0"/>
          <w:numId w:val="138"/>
        </w:numPr>
      </w:pPr>
      <w:r w:rsidRPr="00175D8B">
        <w:t>Steel erection (towers) hazards,</w:t>
      </w:r>
    </w:p>
    <w:p w14:paraId="091296ED" w14:textId="77777777" w:rsidR="004B35B8" w:rsidRPr="00175D8B" w:rsidRDefault="004B35B8">
      <w:pPr>
        <w:pStyle w:val="ListeParagraf"/>
        <w:numPr>
          <w:ilvl w:val="0"/>
          <w:numId w:val="138"/>
        </w:numPr>
      </w:pPr>
      <w:r w:rsidRPr="00175D8B">
        <w:t>Lack of awareness about OHS requirements such as the use of personal protective equipment (PPE) and safe workplace practices, and</w:t>
      </w:r>
    </w:p>
    <w:p w14:paraId="2934B055" w14:textId="77777777" w:rsidR="004B35B8" w:rsidRPr="00175D8B" w:rsidRDefault="004B35B8">
      <w:pPr>
        <w:pStyle w:val="ListeParagraf"/>
        <w:numPr>
          <w:ilvl w:val="0"/>
          <w:numId w:val="138"/>
        </w:numPr>
      </w:pPr>
      <w:r w:rsidRPr="00175D8B">
        <w:t>Use of rotating and moving equipment.</w:t>
      </w:r>
    </w:p>
    <w:p w14:paraId="655D6320" w14:textId="77777777" w:rsidR="004B35B8" w:rsidRPr="00175D8B" w:rsidRDefault="004B35B8" w:rsidP="004B35B8">
      <w:r w:rsidRPr="00175D8B">
        <w:t>In Türkiye, overtime hours are a potential labor risk in the construction sector. Due to the limited time period of the Project and the seasonal constraint of the construction works, it is a possible risk for contracted workers to work overtime above the annual limit set by the Labor Law. Reducing this risk is described in the Terms and Conditions section.</w:t>
      </w:r>
    </w:p>
    <w:p w14:paraId="4AB0AFF2" w14:textId="54C91A0E" w:rsidR="004B35B8" w:rsidRPr="00175D8B" w:rsidRDefault="004B35B8" w:rsidP="004B35B8">
      <w:r w:rsidRPr="00175D8B">
        <w:t>In addition, some potential gender related risks may arise between the local community and Project workers or among the workers themselves. These risks include gender discrimination, sexual exploitation, abuse, and harassment (SEA</w:t>
      </w:r>
      <w:r w:rsidR="00607A08" w:rsidRPr="00175D8B">
        <w:t>/S</w:t>
      </w:r>
      <w:r w:rsidRPr="00175D8B">
        <w:t>H) in the workplace. Forced labor and child labor are prohibited under national law, and specific provisions addressing these issues are included in the LMP of the CDRC Project.</w:t>
      </w:r>
    </w:p>
    <w:p w14:paraId="39F1E318" w14:textId="77777777" w:rsidR="00DE607C" w:rsidRDefault="004B35B8" w:rsidP="004B35B8">
      <w:pPr>
        <w:sectPr w:rsidR="00DE607C" w:rsidSect="007C6114">
          <w:pgSz w:w="11906" w:h="16838" w:code="9"/>
          <w:pgMar w:top="1418" w:right="1418" w:bottom="1418" w:left="1418" w:header="709" w:footer="709" w:gutter="0"/>
          <w:cols w:space="708"/>
          <w:docGrid w:linePitch="360"/>
        </w:sectPr>
      </w:pPr>
      <w:r w:rsidRPr="00175D8B">
        <w:t>Since sub-projects will be carried out in urban areas, majority of the labor will be recruited from Project provinces and thus sub-projects are not expected to have labor influx risks. The majority of the workforce will be Turkish citizens. However, if other labor risks arise during Project implementation, the Project Management Unit (PMU) will develop procedures, in compliance with both the national legislation and LMP of the CDRC Project, to prevent further impact.</w:t>
      </w:r>
    </w:p>
    <w:p w14:paraId="6D4FCCE1" w14:textId="762CD3E0" w:rsidR="004B35B8" w:rsidRPr="00175D8B" w:rsidRDefault="004B35B8" w:rsidP="002550A6">
      <w:pPr>
        <w:pStyle w:val="Balk1"/>
        <w:numPr>
          <w:ilvl w:val="0"/>
          <w:numId w:val="154"/>
        </w:numPr>
        <w:rPr>
          <w:b/>
          <w:sz w:val="28"/>
          <w:szCs w:val="28"/>
        </w:rPr>
      </w:pPr>
      <w:bookmarkStart w:id="295" w:name="_Toc216344353"/>
      <w:bookmarkStart w:id="296" w:name="_Toc216344354"/>
      <w:bookmarkStart w:id="297" w:name="_Toc209525743"/>
      <w:bookmarkStart w:id="298" w:name="_Toc209525783"/>
      <w:bookmarkStart w:id="299" w:name="_Toc209527669"/>
      <w:bookmarkStart w:id="300" w:name="_Toc212541887"/>
      <w:bookmarkStart w:id="301" w:name="_Toc212542398"/>
      <w:bookmarkStart w:id="302" w:name="_Toc220672801"/>
      <w:bookmarkEnd w:id="295"/>
      <w:bookmarkEnd w:id="296"/>
      <w:r w:rsidRPr="00175D8B">
        <w:rPr>
          <w:b/>
          <w:sz w:val="28"/>
          <w:szCs w:val="28"/>
        </w:rPr>
        <w:lastRenderedPageBreak/>
        <w:t>SUB-PROJECT SCREENING PROCESS</w:t>
      </w:r>
      <w:bookmarkEnd w:id="297"/>
      <w:bookmarkEnd w:id="298"/>
      <w:bookmarkEnd w:id="299"/>
      <w:r w:rsidRPr="00175D8B">
        <w:rPr>
          <w:b/>
          <w:sz w:val="28"/>
          <w:szCs w:val="28"/>
        </w:rPr>
        <w:t> </w:t>
      </w:r>
      <w:bookmarkEnd w:id="300"/>
      <w:bookmarkEnd w:id="301"/>
      <w:bookmarkEnd w:id="302"/>
    </w:p>
    <w:p w14:paraId="573588BC" w14:textId="77777777" w:rsidR="004B35B8" w:rsidRPr="00175D8B" w:rsidRDefault="004B35B8" w:rsidP="004B35B8">
      <w:r w:rsidRPr="00175D8B">
        <w:t>According to the World Bank Environmental and Social Policy, Projects are classified into one of four risk classes: Related potential risks and impacts, such as the type, location, sensitivity and scale of the Project can be summarized as High Risk, Substantial Risk, Medium Risk or Low Risk, taking into account the nature and magnitude of potential environmental and social risks and impacts, and other risk areas that may be relevant to the provision of environmental and social mitigation measures and results.</w:t>
      </w:r>
    </w:p>
    <w:p w14:paraId="3BCB709C" w14:textId="77777777" w:rsidR="004B35B8" w:rsidRPr="00175D8B" w:rsidRDefault="004B35B8" w:rsidP="004B35B8">
      <w:r w:rsidRPr="00175D8B">
        <w:t>Unlike the national EIA Regulation (where the Projects are classified in two categories as Annex I and Annex II Projects), there are no clear limit values distinguishing the Project classes from each other or, there is no ready-made list of Project types for classification; instead, Projects are screened on a case-by-case basis in the World Bank's environmental and social risk classification.</w:t>
      </w:r>
    </w:p>
    <w:p w14:paraId="06ABE21F" w14:textId="77777777" w:rsidR="004B35B8" w:rsidRPr="00175D8B" w:rsidRDefault="004B35B8" w:rsidP="004B35B8">
      <w:pPr>
        <w:rPr>
          <w:b/>
          <w:bCs/>
          <w:u w:val="single"/>
        </w:rPr>
      </w:pPr>
      <w:r w:rsidRPr="00175D8B">
        <w:rPr>
          <w:b/>
          <w:bCs/>
          <w:u w:val="single"/>
        </w:rPr>
        <w:t>Sub-project Identification and Screening Process</w:t>
      </w:r>
    </w:p>
    <w:p w14:paraId="0B0E83C0" w14:textId="77777777" w:rsidR="004B35B8" w:rsidRPr="00175D8B" w:rsidRDefault="004B35B8" w:rsidP="004B35B8">
      <w:r w:rsidRPr="00175D8B">
        <w:t>Screening will be performed to determine the environmental and social risk category of the proposed sub-project. Moreover, the screening will also cover an ineligibility assessment. These two steps should go along in an integrated way, which starts initially with an ineligibility assessment.</w:t>
      </w:r>
    </w:p>
    <w:p w14:paraId="46E110FA" w14:textId="77777777" w:rsidR="004B35B8" w:rsidRPr="00175D8B" w:rsidRDefault="004B35B8" w:rsidP="004B35B8">
      <w:r w:rsidRPr="00175D8B">
        <w:t>Accordingly, non-eligible sub-projects which will not be financed by the WB, and therefore excluded from the scope, are listed below:</w:t>
      </w:r>
    </w:p>
    <w:p w14:paraId="43551173" w14:textId="4E57EEAA" w:rsidR="004B35B8" w:rsidRPr="00175D8B" w:rsidRDefault="004B35B8">
      <w:pPr>
        <w:pStyle w:val="ListeParagraf"/>
        <w:numPr>
          <w:ilvl w:val="0"/>
          <w:numId w:val="69"/>
        </w:numPr>
      </w:pPr>
      <w:r w:rsidRPr="00175D8B">
        <w:t>Any sub-project that is included in the World Bank Group / International Finance Corporation Exclusion List</w:t>
      </w:r>
    </w:p>
    <w:p w14:paraId="318B3F52" w14:textId="26C0342A" w:rsidR="004B35B8" w:rsidRPr="00175D8B" w:rsidRDefault="004B35B8">
      <w:pPr>
        <w:pStyle w:val="ListeParagraf"/>
        <w:numPr>
          <w:ilvl w:val="0"/>
          <w:numId w:val="69"/>
        </w:numPr>
      </w:pPr>
      <w:r w:rsidRPr="00175D8B">
        <w:t xml:space="preserve">Any sub-project that includes the buildings registered as Cultural Heritage. </w:t>
      </w:r>
    </w:p>
    <w:p w14:paraId="4608FEC3" w14:textId="63382AA5" w:rsidR="004B35B8" w:rsidRPr="00175D8B" w:rsidRDefault="004B35B8">
      <w:pPr>
        <w:pStyle w:val="ListeParagraf"/>
        <w:numPr>
          <w:ilvl w:val="0"/>
          <w:numId w:val="69"/>
        </w:numPr>
      </w:pPr>
      <w:r w:rsidRPr="00175D8B">
        <w:t>Any sub-project that will have impacts on Natural Habitats/Critical Habitats such as alteration of environmentally important areas, including wetlands, native forests, grasslands, and other “critical” natural habitats and ecosystem services.</w:t>
      </w:r>
    </w:p>
    <w:p w14:paraId="62224DBD" w14:textId="450DCE28" w:rsidR="004B35B8" w:rsidRPr="00175D8B" w:rsidRDefault="004B35B8">
      <w:pPr>
        <w:pStyle w:val="ListeParagraf"/>
        <w:numPr>
          <w:ilvl w:val="0"/>
          <w:numId w:val="69"/>
        </w:numPr>
      </w:pPr>
      <w:r w:rsidRPr="00175D8B">
        <w:t>Any sub-projects that in-situ transformation is not possible.</w:t>
      </w:r>
    </w:p>
    <w:p w14:paraId="590D2FC3" w14:textId="58F8B849" w:rsidR="004B35B8" w:rsidRPr="00175D8B" w:rsidRDefault="004B35B8">
      <w:pPr>
        <w:pStyle w:val="ListeParagraf"/>
        <w:numPr>
          <w:ilvl w:val="0"/>
          <w:numId w:val="69"/>
        </w:numPr>
      </w:pPr>
      <w:r w:rsidRPr="00175D8B">
        <w:t xml:space="preserve">The buildings which are not registered as risky building within the scope of Law no. 6306. </w:t>
      </w:r>
    </w:p>
    <w:p w14:paraId="69EE3F74" w14:textId="56BAE901" w:rsidR="004B35B8" w:rsidRPr="00175D8B" w:rsidRDefault="004B35B8">
      <w:pPr>
        <w:pStyle w:val="ListeParagraf"/>
        <w:numPr>
          <w:ilvl w:val="0"/>
          <w:numId w:val="69"/>
        </w:numPr>
      </w:pPr>
      <w:r w:rsidRPr="00175D8B">
        <w:t xml:space="preserve">Risky buildings within designated Disaster Exposed Areas. </w:t>
      </w:r>
    </w:p>
    <w:p w14:paraId="74052964" w14:textId="498559B8" w:rsidR="004B35B8" w:rsidRPr="00175D8B" w:rsidRDefault="004B35B8">
      <w:pPr>
        <w:pStyle w:val="ListeParagraf"/>
        <w:numPr>
          <w:ilvl w:val="0"/>
          <w:numId w:val="69"/>
        </w:numPr>
      </w:pPr>
      <w:r w:rsidRPr="00175D8B">
        <w:t>Any sub-project that would affect the quality and/or quantity of international waterways as defined in WB OP 7.50 and that would benefit from existing hydroelectric dams in a way, triggering any dam safety issues under the scope of ESS4.</w:t>
      </w:r>
    </w:p>
    <w:p w14:paraId="0511E2E2" w14:textId="0CC4A28F" w:rsidR="004B35B8" w:rsidRPr="00175D8B" w:rsidRDefault="004B35B8">
      <w:pPr>
        <w:pStyle w:val="ListeParagraf"/>
        <w:numPr>
          <w:ilvl w:val="0"/>
          <w:numId w:val="69"/>
        </w:numPr>
      </w:pPr>
      <w:r w:rsidRPr="00175D8B">
        <w:t>Any Type-III sub-project, whose demolishing works had been completed before October 1, 2020.</w:t>
      </w:r>
    </w:p>
    <w:p w14:paraId="1A39ADD4" w14:textId="29CF9251" w:rsidR="004B35B8" w:rsidRPr="00175D8B" w:rsidRDefault="004B35B8">
      <w:pPr>
        <w:pStyle w:val="ListeParagraf"/>
        <w:numPr>
          <w:ilvl w:val="0"/>
          <w:numId w:val="69"/>
        </w:numPr>
      </w:pPr>
      <w:r w:rsidRPr="00175D8B">
        <w:lastRenderedPageBreak/>
        <w:t>Any sub-project which would be classified as “High Risk”</w:t>
      </w:r>
      <w:r w:rsidR="000C58CE" w:rsidRPr="00175D8B">
        <w:rPr>
          <w:rStyle w:val="DipnotBavurusu"/>
        </w:rPr>
        <w:footnoteReference w:id="30"/>
      </w:r>
      <w:r w:rsidRPr="00175D8B">
        <w:t xml:space="preserve"> in terms of environmental risks.</w:t>
      </w:r>
    </w:p>
    <w:p w14:paraId="286D5C6A" w14:textId="77777777" w:rsidR="000C58CE" w:rsidRPr="00175D8B" w:rsidRDefault="000C58CE" w:rsidP="000C58CE">
      <w:pPr>
        <w:pStyle w:val="ListeParagraf"/>
      </w:pPr>
    </w:p>
    <w:p w14:paraId="31CE5A8F" w14:textId="77777777" w:rsidR="004B35B8" w:rsidRPr="00175D8B" w:rsidRDefault="004B35B8" w:rsidP="004B35B8">
      <w:pPr>
        <w:rPr>
          <w:b/>
          <w:bCs/>
          <w:u w:val="single"/>
        </w:rPr>
      </w:pPr>
      <w:r w:rsidRPr="00175D8B">
        <w:rPr>
          <w:b/>
          <w:bCs/>
          <w:u w:val="single"/>
        </w:rPr>
        <w:t>Sub-project Screening Procedures</w:t>
      </w:r>
    </w:p>
    <w:p w14:paraId="7B8BF3A1" w14:textId="23C58718" w:rsidR="00E02444" w:rsidRPr="00175D8B" w:rsidRDefault="004B35B8" w:rsidP="004B35B8">
      <w:r w:rsidRPr="00175D8B">
        <w:t>Component 2 includes three kinds of sub-</w:t>
      </w:r>
      <w:r w:rsidR="00607A08" w:rsidRPr="00175D8B">
        <w:t xml:space="preserve"> projects (for details please see Section 1.2).  </w:t>
      </w:r>
      <w:r w:rsidRPr="00175D8B">
        <w:t>As one of them, Type-III, is defined as “Sub-projects that have been demolished after being registered as a risky structure and only reconstruction activities will be carried out under Component 2”, which implies that some pre-works have been performed before loan application; screening procedures are defined separately as below:</w:t>
      </w:r>
    </w:p>
    <w:p w14:paraId="71DEA9C4" w14:textId="77777777" w:rsidR="00A816AD" w:rsidRPr="00175D8B" w:rsidRDefault="00A816AD" w:rsidP="004B35B8"/>
    <w:p w14:paraId="25469B93" w14:textId="77777777" w:rsidR="004B35B8" w:rsidRPr="00175D8B" w:rsidRDefault="004B35B8" w:rsidP="004B35B8">
      <w:pPr>
        <w:rPr>
          <w:u w:val="single"/>
        </w:rPr>
      </w:pPr>
      <w:r w:rsidRPr="00175D8B">
        <w:rPr>
          <w:u w:val="single"/>
        </w:rPr>
        <w:t>Screening for Type-I and Type-II</w:t>
      </w:r>
    </w:p>
    <w:p w14:paraId="20CB2B99" w14:textId="57C26F03" w:rsidR="004B35B8" w:rsidRPr="00175D8B" w:rsidRDefault="004B35B8">
      <w:pPr>
        <w:pStyle w:val="ListeParagraf"/>
        <w:numPr>
          <w:ilvl w:val="0"/>
          <w:numId w:val="70"/>
        </w:numPr>
      </w:pPr>
      <w:r w:rsidRPr="00175D8B">
        <w:t>First step will be checking if the subproject is in the non-eligible subproject list (Annex 1</w:t>
      </w:r>
      <w:r w:rsidR="00C7270C">
        <w:t>2</w:t>
      </w:r>
      <w:r w:rsidRPr="00175D8B">
        <w:t xml:space="preserve">) or not; except the criteria defined as “any sub-project which would be classified as “High Risk” in terms of environmental risks”. </w:t>
      </w:r>
    </w:p>
    <w:p w14:paraId="2D545437" w14:textId="6ADCC2B1" w:rsidR="004B35B8" w:rsidRPr="00175D8B" w:rsidRDefault="004B35B8">
      <w:pPr>
        <w:pStyle w:val="ListeParagraf"/>
        <w:numPr>
          <w:ilvl w:val="0"/>
          <w:numId w:val="70"/>
        </w:numPr>
      </w:pPr>
      <w:r w:rsidRPr="00175D8B">
        <w:t>If the proposed sub-project is not determined as non-eligible as a result of the step performed as above, Section II of the checklist presented in Annex 1</w:t>
      </w:r>
      <w:r w:rsidR="00DE44A1">
        <w:t>1</w:t>
      </w:r>
      <w:r w:rsidRPr="00175D8B">
        <w:t xml:space="preserve"> will be applied in order to identify a preliminary baseline of the site and its surroundings. </w:t>
      </w:r>
    </w:p>
    <w:p w14:paraId="172F8E56" w14:textId="7ADC18E0" w:rsidR="004B35B8" w:rsidRPr="00175D8B" w:rsidRDefault="004B35B8">
      <w:pPr>
        <w:pStyle w:val="ListeParagraf"/>
        <w:numPr>
          <w:ilvl w:val="0"/>
          <w:numId w:val="70"/>
        </w:numPr>
      </w:pPr>
      <w:r w:rsidRPr="00175D8B">
        <w:t>Afterwards, Section III of the checklist presented in Annex 1</w:t>
      </w:r>
      <w:r w:rsidR="00DE44A1">
        <w:t>1</w:t>
      </w:r>
      <w:r w:rsidRPr="00175D8B">
        <w:t xml:space="preserve"> will be applied to foreseen scale of the impacts.</w:t>
      </w:r>
    </w:p>
    <w:p w14:paraId="1674303E" w14:textId="01146880" w:rsidR="004B35B8" w:rsidRPr="00175D8B" w:rsidRDefault="004B35B8" w:rsidP="004B35B8">
      <w:r w:rsidRPr="00175D8B">
        <w:t xml:space="preserve">Finally, by taking the outcomes of the above two steps into account, environmental and social risk category of the sub-project will be determined. In case of determination of the sub-project category as “high risk” in terms of environmental risks; no loan will be provided. </w:t>
      </w:r>
    </w:p>
    <w:p w14:paraId="026B7A71" w14:textId="77777777" w:rsidR="004B35B8" w:rsidRPr="00175D8B" w:rsidRDefault="004B35B8" w:rsidP="004B35B8">
      <w:pPr>
        <w:rPr>
          <w:u w:val="single"/>
        </w:rPr>
      </w:pPr>
      <w:r w:rsidRPr="00175D8B">
        <w:rPr>
          <w:u w:val="single"/>
        </w:rPr>
        <w:t>Screening for Type-III</w:t>
      </w:r>
    </w:p>
    <w:p w14:paraId="7044F233" w14:textId="610F9DA3" w:rsidR="004B35B8" w:rsidRPr="00175D8B" w:rsidRDefault="004B35B8">
      <w:pPr>
        <w:pStyle w:val="ListeParagraf"/>
        <w:numPr>
          <w:ilvl w:val="0"/>
          <w:numId w:val="71"/>
        </w:numPr>
      </w:pPr>
      <w:r w:rsidRPr="00175D8B">
        <w:t>First step will be checking if the subproject is in the non-eligible subproject list (please see Annex 1</w:t>
      </w:r>
      <w:r w:rsidR="00C7270C">
        <w:t>2</w:t>
      </w:r>
      <w:r w:rsidRPr="00175D8B">
        <w:t xml:space="preserve">) or not; except the criteria defined as “any sub-project which would be classified as “High Risk” in terms of environmental risks”. Specific attention will be given to the cut-off date </w:t>
      </w:r>
      <w:r w:rsidRPr="00175D8B">
        <w:lastRenderedPageBreak/>
        <w:t xml:space="preserve">criteria, as described in non-eligible sub-project list as “Any Type-III sub-Project, whose demolishing works had been completed before October 1, 2020”. </w:t>
      </w:r>
    </w:p>
    <w:p w14:paraId="200C94BB" w14:textId="76F24E4A" w:rsidR="004B35B8" w:rsidRPr="00175D8B" w:rsidRDefault="004B35B8">
      <w:pPr>
        <w:pStyle w:val="ListeParagraf"/>
        <w:numPr>
          <w:ilvl w:val="0"/>
          <w:numId w:val="71"/>
        </w:numPr>
      </w:pPr>
      <w:r w:rsidRPr="00175D8B">
        <w:t>If the proposed sub-project is not determined as non-eligible as a result of the step performed as above, Section II of the checklist presented in Annex 1</w:t>
      </w:r>
      <w:r w:rsidR="00DE44A1">
        <w:t>1</w:t>
      </w:r>
      <w:r w:rsidRPr="00175D8B">
        <w:t xml:space="preserve"> will be applied in order to identify a preliminary baseline of the site and its surroundings. </w:t>
      </w:r>
    </w:p>
    <w:p w14:paraId="1DB27A44" w14:textId="571B970C" w:rsidR="004B35B8" w:rsidRPr="00175D8B" w:rsidRDefault="004B35B8">
      <w:pPr>
        <w:pStyle w:val="ListeParagraf"/>
        <w:numPr>
          <w:ilvl w:val="0"/>
          <w:numId w:val="71"/>
        </w:numPr>
      </w:pPr>
      <w:r w:rsidRPr="00175D8B">
        <w:t>Afterwards, Section III of the checklist presented in Annex 1</w:t>
      </w:r>
      <w:r w:rsidR="00DE44A1">
        <w:t>1</w:t>
      </w:r>
      <w:r w:rsidRPr="00175D8B">
        <w:t xml:space="preserve"> will be applied to estimate the scale of the impacts.</w:t>
      </w:r>
    </w:p>
    <w:p w14:paraId="63093C3F" w14:textId="7A1847AF" w:rsidR="004B35B8" w:rsidRPr="00175D8B" w:rsidRDefault="004B35B8">
      <w:pPr>
        <w:pStyle w:val="ListeParagraf"/>
        <w:numPr>
          <w:ilvl w:val="0"/>
          <w:numId w:val="71"/>
        </w:numPr>
      </w:pPr>
      <w:r w:rsidRPr="00175D8B">
        <w:t xml:space="preserve">Subsequently, Type-III specific section of the checklist, which is Section IV, will be applied. </w:t>
      </w:r>
    </w:p>
    <w:p w14:paraId="745929E8" w14:textId="0C279158" w:rsidR="004B35B8" w:rsidRPr="00175D8B" w:rsidRDefault="004B35B8">
      <w:pPr>
        <w:pStyle w:val="ListeParagraf"/>
        <w:numPr>
          <w:ilvl w:val="0"/>
          <w:numId w:val="71"/>
        </w:numPr>
      </w:pPr>
      <w:r w:rsidRPr="00175D8B">
        <w:t>Finally, by taking the outcomes of the above three steps into account, environmental and social risk category of the sub-project will be determined.</w:t>
      </w:r>
    </w:p>
    <w:p w14:paraId="1BA98E23" w14:textId="77777777" w:rsidR="004B35B8" w:rsidRPr="00175D8B" w:rsidRDefault="004B35B8" w:rsidP="004B35B8">
      <w:pPr>
        <w:rPr>
          <w:b/>
          <w:bCs/>
          <w:u w:val="single"/>
        </w:rPr>
      </w:pPr>
      <w:r w:rsidRPr="00175D8B">
        <w:rPr>
          <w:b/>
          <w:bCs/>
          <w:u w:val="single"/>
        </w:rPr>
        <w:t>Guidance on Risk Category Identification</w:t>
      </w:r>
    </w:p>
    <w:p w14:paraId="52BE9B12" w14:textId="7C3F111C" w:rsidR="004B35B8" w:rsidRPr="00175D8B" w:rsidRDefault="004B35B8" w:rsidP="004B35B8">
      <w:r w:rsidRPr="00175D8B">
        <w:t>The risk category of sub-projects will be determined according to four qualitative and quantitative criteria; “type and scale”, “location”, “sensitivity”, and “size” together with using the checklist presented in Annex 1</w:t>
      </w:r>
      <w:r w:rsidR="00DE44A1">
        <w:t>1</w:t>
      </w:r>
      <w:r w:rsidRPr="00175D8B">
        <w:t xml:space="preserve">. In order for a sub-project under Component II to be designated as “High Risk”, these criteria will be addressed as explained below. If the category of any sub-project is not determined as “high risk” as a result of this evaluation, such evaluation will be proportioned to the professional judgment of the PMU and PMU individual specialists to determine relevant risk categorization. </w:t>
      </w:r>
    </w:p>
    <w:p w14:paraId="754FF0E1" w14:textId="77777777" w:rsidR="004B35B8" w:rsidRPr="00175D8B" w:rsidRDefault="004B35B8" w:rsidP="004B35B8">
      <w:r w:rsidRPr="00175D8B">
        <w:t>Within the scope of the “Type and Scale” criterion, the existence of the following conditions may place the subproject in the “High Risk” category;</w:t>
      </w:r>
    </w:p>
    <w:p w14:paraId="16D8E4CC" w14:textId="5F9C8215" w:rsidR="004B35B8" w:rsidRPr="00175D8B" w:rsidRDefault="004B35B8">
      <w:pPr>
        <w:pStyle w:val="ListeParagraf"/>
        <w:numPr>
          <w:ilvl w:val="0"/>
          <w:numId w:val="72"/>
        </w:numPr>
      </w:pPr>
      <w:r w:rsidRPr="00175D8B">
        <w:t>Irreversible alteration or impact of environmentally important areas such as wetlands, native forests, meadows and other critically important natural habitats and ecosystem services due to the sub-project,</w:t>
      </w:r>
    </w:p>
    <w:p w14:paraId="19CE1FBB" w14:textId="6D4B0F41" w:rsidR="004B35B8" w:rsidRPr="00175D8B" w:rsidRDefault="004B35B8">
      <w:pPr>
        <w:pStyle w:val="ListeParagraf"/>
        <w:numPr>
          <w:ilvl w:val="0"/>
          <w:numId w:val="72"/>
        </w:numPr>
      </w:pPr>
      <w:r w:rsidRPr="00175D8B">
        <w:t>Sub-project activities require discharges and emissions that will cause direct pollution and large enough to cause deterioration of environmental components such as air, water and soil,</w:t>
      </w:r>
    </w:p>
    <w:p w14:paraId="13A41690" w14:textId="38E128C0" w:rsidR="004B35B8" w:rsidRPr="00175D8B" w:rsidRDefault="004B35B8">
      <w:pPr>
        <w:pStyle w:val="ListeParagraf"/>
        <w:numPr>
          <w:ilvl w:val="0"/>
          <w:numId w:val="72"/>
        </w:numPr>
      </w:pPr>
      <w:r w:rsidRPr="00175D8B">
        <w:t>Sub-project activities will consume or transform the ecosystem or its components,</w:t>
      </w:r>
    </w:p>
    <w:p w14:paraId="19024CAF" w14:textId="62FB9437" w:rsidR="004B35B8" w:rsidRPr="00175D8B" w:rsidRDefault="004B35B8">
      <w:pPr>
        <w:pStyle w:val="ListeParagraf"/>
        <w:numPr>
          <w:ilvl w:val="0"/>
          <w:numId w:val="72"/>
        </w:numPr>
      </w:pPr>
      <w:r w:rsidRPr="00175D8B">
        <w:t>Sub-project activities will change the hydrological cycle measurably,</w:t>
      </w:r>
    </w:p>
    <w:p w14:paraId="08449C29" w14:textId="74808825" w:rsidR="004B35B8" w:rsidRPr="00175D8B" w:rsidRDefault="004B35B8">
      <w:pPr>
        <w:pStyle w:val="ListeParagraf"/>
        <w:numPr>
          <w:ilvl w:val="0"/>
          <w:numId w:val="72"/>
        </w:numPr>
      </w:pPr>
      <w:r w:rsidRPr="00175D8B">
        <w:t xml:space="preserve">Sub-project activities which could lead to significant livelihood loss or social conflict, </w:t>
      </w:r>
    </w:p>
    <w:p w14:paraId="46A93B33" w14:textId="6AD3FAC8" w:rsidR="004B35B8" w:rsidRPr="00175D8B" w:rsidRDefault="004B35B8">
      <w:pPr>
        <w:pStyle w:val="ListeParagraf"/>
        <w:numPr>
          <w:ilvl w:val="0"/>
          <w:numId w:val="72"/>
        </w:numPr>
      </w:pPr>
      <w:r w:rsidRPr="00175D8B">
        <w:t>The sub-project activities will include the use or management of dangerous substances to a degree that cannot be managed with the prescribed management and capacity.</w:t>
      </w:r>
    </w:p>
    <w:p w14:paraId="6DC2F467" w14:textId="2905ADBC" w:rsidR="004B35B8" w:rsidRPr="00175D8B" w:rsidRDefault="004B35B8" w:rsidP="004B35B8">
      <w:r w:rsidRPr="00175D8B">
        <w:t>Within the scope of the “Location” criterion, the existence of the following conditions may place the Project in the “High Risk” category;</w:t>
      </w:r>
    </w:p>
    <w:p w14:paraId="6B27072E" w14:textId="58CBB8B8" w:rsidR="004B35B8" w:rsidRPr="00175D8B" w:rsidRDefault="004B35B8">
      <w:pPr>
        <w:pStyle w:val="ListeParagraf"/>
        <w:numPr>
          <w:ilvl w:val="0"/>
          <w:numId w:val="73"/>
        </w:numPr>
      </w:pPr>
      <w:r w:rsidRPr="00175D8B">
        <w:lastRenderedPageBreak/>
        <w:t>The sub-project is located in sensitive and valuable ecosystems and habitats of high importance,</w:t>
      </w:r>
    </w:p>
    <w:p w14:paraId="534B61FA" w14:textId="622AC268" w:rsidR="004B35B8" w:rsidRPr="00175D8B" w:rsidRDefault="004B35B8">
      <w:pPr>
        <w:pStyle w:val="ListeParagraf"/>
        <w:numPr>
          <w:ilvl w:val="0"/>
          <w:numId w:val="73"/>
        </w:numPr>
      </w:pPr>
      <w:r w:rsidRPr="00175D8B">
        <w:t>The sub-project is located within areas designated as Cultural Heritage, such as urban sites (most likely within the scope of the Project),</w:t>
      </w:r>
    </w:p>
    <w:p w14:paraId="0DFA8DD0" w14:textId="0FF0283D" w:rsidR="004B35B8" w:rsidRPr="00175D8B" w:rsidRDefault="004B35B8">
      <w:pPr>
        <w:pStyle w:val="ListeParagraf"/>
        <w:numPr>
          <w:ilvl w:val="0"/>
          <w:numId w:val="73"/>
        </w:numPr>
      </w:pPr>
      <w:r w:rsidRPr="00175D8B">
        <w:t>The sub-project is located in areas subject to intensive development activities or where there are conflicts over the allocation of natural resources and/or other significant social conflicts, and along watercourses, in aquifer recharge areas or in storage basins used for drinking water supply.</w:t>
      </w:r>
    </w:p>
    <w:p w14:paraId="601F1DCE" w14:textId="77777777" w:rsidR="004B35B8" w:rsidRPr="00175D8B" w:rsidRDefault="004B35B8" w:rsidP="004B35B8">
      <w:r w:rsidRPr="00175D8B">
        <w:t>Within the scope “Sensitivity” criterion, the existence of the following conditions may place the Project in the “High Risk” category;</w:t>
      </w:r>
    </w:p>
    <w:p w14:paraId="24C75F59" w14:textId="3E8483B9" w:rsidR="004B35B8" w:rsidRPr="00175D8B" w:rsidRDefault="004B35B8">
      <w:pPr>
        <w:pStyle w:val="ListeParagraf"/>
        <w:numPr>
          <w:ilvl w:val="0"/>
          <w:numId w:val="74"/>
        </w:numPr>
      </w:pPr>
      <w:r w:rsidRPr="00175D8B">
        <w:t>The sub-project will affect endangered species and their habitats, as well as sensitive areas such as protected areas or sites,</w:t>
      </w:r>
    </w:p>
    <w:p w14:paraId="0FA1A84F" w14:textId="273D3613" w:rsidR="004B35B8" w:rsidRPr="00175D8B" w:rsidRDefault="004B35B8">
      <w:pPr>
        <w:pStyle w:val="ListeParagraf"/>
        <w:numPr>
          <w:ilvl w:val="0"/>
          <w:numId w:val="74"/>
        </w:numPr>
      </w:pPr>
      <w:r w:rsidRPr="00175D8B">
        <w:t>The sub-project will have an impact on international waterways,</w:t>
      </w:r>
    </w:p>
    <w:p w14:paraId="47C2A369" w14:textId="0C986D52" w:rsidR="004B35B8" w:rsidRPr="00175D8B" w:rsidRDefault="004B35B8">
      <w:pPr>
        <w:pStyle w:val="ListeParagraf"/>
        <w:numPr>
          <w:ilvl w:val="0"/>
          <w:numId w:val="74"/>
        </w:numPr>
      </w:pPr>
      <w:r w:rsidRPr="00175D8B">
        <w:t>The sub-project will affect sensitive buyers who are currently under heavy environmental and social pressure (pollution, health and safety, security, etc.).</w:t>
      </w:r>
    </w:p>
    <w:p w14:paraId="1103BC47" w14:textId="77777777" w:rsidR="004B35B8" w:rsidRPr="00175D8B" w:rsidRDefault="004B35B8" w:rsidP="004B35B8">
      <w:r w:rsidRPr="00175D8B">
        <w:t>During the evaluation of the “size” criterion, in order for a subproject to be designated as “High Risk”, the relevant residual impacts must be high even when the mitigation measures given in are anticipated to be implemented, considering also the other criteria in an integrated manner.</w:t>
      </w:r>
    </w:p>
    <w:p w14:paraId="575AAE0F" w14:textId="6BDC7217" w:rsidR="004B35B8" w:rsidRPr="00175D8B" w:rsidRDefault="004B35B8" w:rsidP="004B35B8">
      <w:r w:rsidRPr="00175D8B">
        <w:t>It should also be noted that, as the whole Project is rated as “High Risk” in terms of social risks, sub-projects with “high risk” in terms of environmental risks will not be eligible. Therefore, professional judgement will be used to identify “high risk” categorization in terms of environmental aspects during screening phase.</w:t>
      </w:r>
    </w:p>
    <w:p w14:paraId="07B784D7" w14:textId="77777777" w:rsidR="004A4A9F" w:rsidRDefault="004A4A9F" w:rsidP="004B35B8">
      <w:pPr>
        <w:sectPr w:rsidR="004A4A9F" w:rsidSect="007C6114">
          <w:pgSz w:w="11906" w:h="16838" w:code="9"/>
          <w:pgMar w:top="1418" w:right="1418" w:bottom="1418" w:left="1418" w:header="709" w:footer="709" w:gutter="0"/>
          <w:cols w:space="708"/>
          <w:docGrid w:linePitch="360"/>
        </w:sectPr>
      </w:pPr>
    </w:p>
    <w:p w14:paraId="2F4D1FE5" w14:textId="6999567F" w:rsidR="00944BF4" w:rsidRPr="00175D8B" w:rsidRDefault="00944BF4" w:rsidP="002550A6">
      <w:pPr>
        <w:pStyle w:val="Balk1"/>
        <w:numPr>
          <w:ilvl w:val="0"/>
          <w:numId w:val="154"/>
        </w:numPr>
        <w:rPr>
          <w:b/>
          <w:sz w:val="28"/>
          <w:szCs w:val="28"/>
        </w:rPr>
      </w:pPr>
      <w:bookmarkStart w:id="303" w:name="_Toc216344356"/>
      <w:bookmarkStart w:id="304" w:name="_Toc209525744"/>
      <w:bookmarkStart w:id="305" w:name="_Toc209525784"/>
      <w:bookmarkStart w:id="306" w:name="_Toc209527670"/>
      <w:bookmarkStart w:id="307" w:name="_Toc212541888"/>
      <w:bookmarkStart w:id="308" w:name="_Toc212542399"/>
      <w:bookmarkStart w:id="309" w:name="_Toc220672802"/>
      <w:bookmarkEnd w:id="303"/>
      <w:r w:rsidRPr="00175D8B">
        <w:rPr>
          <w:b/>
          <w:sz w:val="28"/>
          <w:szCs w:val="28"/>
        </w:rPr>
        <w:lastRenderedPageBreak/>
        <w:t>MITIGATION AND ENVIRONMENTAL AND SOCIAL COMPLIANCE MANAGEMENT MEASURES</w:t>
      </w:r>
      <w:bookmarkEnd w:id="304"/>
      <w:bookmarkEnd w:id="305"/>
      <w:bookmarkEnd w:id="306"/>
      <w:bookmarkEnd w:id="307"/>
      <w:bookmarkEnd w:id="308"/>
      <w:bookmarkEnd w:id="309"/>
      <w:r w:rsidRPr="00175D8B">
        <w:rPr>
          <w:b/>
          <w:sz w:val="28"/>
          <w:szCs w:val="28"/>
        </w:rPr>
        <w:t xml:space="preserve">  </w:t>
      </w:r>
    </w:p>
    <w:p w14:paraId="034C7126" w14:textId="39929894" w:rsidR="004B35B8" w:rsidRPr="00175D8B" w:rsidRDefault="004B35B8" w:rsidP="004B35B8">
      <w:r w:rsidRPr="00175D8B">
        <w:t>Activities to be carried out within the scope of the project will comply with the most current national legislation and World Bank standards. In cases where Turkish legislation differs from World Bank Policies, the more stringent policy will be applied in the implementation of the Project.</w:t>
      </w:r>
    </w:p>
    <w:p w14:paraId="269D822B" w14:textId="77777777" w:rsidR="004B35B8" w:rsidRPr="00175D8B" w:rsidRDefault="004B35B8" w:rsidP="004B35B8">
      <w:r w:rsidRPr="00175D8B">
        <w:t>Although it is not currently possible to make a clear assessment of the cumulative impacts of resilient sub-loans will be financed, or the number of housing units to be reconstructed or retrofitted, subprojects within the scope of the project, a high cumulative enviro impact is not expected considering the possible sizes of the subprojects and its physical dispersion throughout Sakarya Province. However, it is assessed that these may be environmentally “moderate” to “substantial” due to some risks related to demolition and excavation as well as construction waste management, traffic management and general population safety; while on social side assessed as "high risk" due to the potential community health and safety risks that may arise while the structures are being rebuilt or strengthened and the vulnerable groups that are likely to be included in the sub-projects.</w:t>
      </w:r>
    </w:p>
    <w:p w14:paraId="093D5505" w14:textId="022649E2" w:rsidR="00A13841" w:rsidRPr="00175D8B" w:rsidRDefault="00A13841" w:rsidP="002550A6">
      <w:pPr>
        <w:pStyle w:val="Balk2"/>
        <w:numPr>
          <w:ilvl w:val="1"/>
          <w:numId w:val="154"/>
        </w:numPr>
        <w:ind w:left="1134"/>
      </w:pPr>
      <w:bookmarkStart w:id="310" w:name="_Toc209525745"/>
      <w:bookmarkStart w:id="311" w:name="_Toc209525785"/>
      <w:bookmarkStart w:id="312" w:name="_Toc209527671"/>
      <w:bookmarkStart w:id="313" w:name="_Toc212541889"/>
      <w:bookmarkStart w:id="314" w:name="_Toc212542400"/>
      <w:bookmarkStart w:id="315" w:name="_Toc220672803"/>
      <w:r w:rsidRPr="00175D8B">
        <w:t>Mitigation Plan</w:t>
      </w:r>
      <w:bookmarkEnd w:id="310"/>
      <w:bookmarkEnd w:id="311"/>
      <w:bookmarkEnd w:id="312"/>
      <w:bookmarkEnd w:id="313"/>
      <w:bookmarkEnd w:id="314"/>
      <w:bookmarkEnd w:id="315"/>
    </w:p>
    <w:p w14:paraId="000AF10E" w14:textId="364E2C5E" w:rsidR="007D0884" w:rsidRPr="00175D8B" w:rsidRDefault="004B35B8" w:rsidP="002550A6">
      <w:pPr>
        <w:rPr>
          <w:rFonts w:eastAsia="Aptos" w:cs="Aptos"/>
          <w:b/>
          <w:i/>
          <w:iCs/>
          <w:color w:val="000000" w:themeColor="text1"/>
          <w:sz w:val="20"/>
          <w:szCs w:val="20"/>
        </w:rPr>
      </w:pPr>
      <w:r w:rsidRPr="00175D8B">
        <w:t xml:space="preserve">Potential environmental and social risks and impacts that may arise during the implementation of sub-projects, along with relevant mitigation measures to be taken, within the scope of Component 2 are shown in the </w:t>
      </w:r>
      <w:r w:rsidR="004E3228" w:rsidRPr="004E3228">
        <w:fldChar w:fldCharType="begin"/>
      </w:r>
      <w:r w:rsidR="004E3228" w:rsidRPr="004E3228">
        <w:instrText xml:space="preserve"> REF _Ref214637303 \h  \* MERGEFORMAT </w:instrText>
      </w:r>
      <w:r w:rsidR="004E3228" w:rsidRPr="004E3228">
        <w:fldChar w:fldCharType="separate"/>
      </w:r>
      <w:r w:rsidR="004E3228" w:rsidRPr="004E3228">
        <w:t xml:space="preserve">Table </w:t>
      </w:r>
      <w:r w:rsidR="004E3228" w:rsidRPr="004E3228">
        <w:rPr>
          <w:noProof/>
        </w:rPr>
        <w:t>30</w:t>
      </w:r>
      <w:r w:rsidR="004E3228" w:rsidRPr="004E3228">
        <w:fldChar w:fldCharType="end"/>
      </w:r>
      <w:r w:rsidR="004E3228">
        <w:t xml:space="preserve"> </w:t>
      </w:r>
      <w:r w:rsidRPr="00175D8B">
        <w:t xml:space="preserve">below.  </w:t>
      </w:r>
    </w:p>
    <w:p w14:paraId="2AD61F19" w14:textId="77777777" w:rsidR="00A13841" w:rsidRPr="00175D8B" w:rsidRDefault="00A13841" w:rsidP="00A13841">
      <w:pPr>
        <w:spacing w:before="120" w:after="0" w:line="278" w:lineRule="auto"/>
        <w:rPr>
          <w:rFonts w:eastAsia="Aptos" w:cs="Aptos"/>
          <w:color w:val="000000" w:themeColor="text1"/>
          <w:sz w:val="8"/>
          <w:szCs w:val="22"/>
        </w:rPr>
      </w:pPr>
    </w:p>
    <w:p w14:paraId="0EED34EC" w14:textId="3D0FCA77" w:rsidR="00FE5FDE" w:rsidRPr="00175D8B" w:rsidRDefault="00FE5FDE" w:rsidP="006C58C5">
      <w:pPr>
        <w:pStyle w:val="ResimYazs"/>
        <w:keepNext/>
        <w:jc w:val="center"/>
      </w:pPr>
      <w:bookmarkStart w:id="316" w:name="_Ref214637303"/>
      <w:bookmarkStart w:id="317" w:name="_Toc216344447"/>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Pr="00175D8B">
        <w:rPr>
          <w:b/>
          <w:bCs/>
          <w:noProof/>
        </w:rPr>
        <w:t>30</w:t>
      </w:r>
      <w:r w:rsidRPr="006C58C5">
        <w:rPr>
          <w:b/>
          <w:bCs/>
        </w:rPr>
        <w:fldChar w:fldCharType="end"/>
      </w:r>
      <w:bookmarkEnd w:id="316"/>
      <w:r w:rsidRPr="006C58C5">
        <w:rPr>
          <w:b/>
          <w:bCs/>
        </w:rPr>
        <w:t>:</w:t>
      </w:r>
      <w:r w:rsidRPr="00175D8B">
        <w:t xml:space="preserve"> </w:t>
      </w:r>
      <w:r w:rsidRPr="00175D8B">
        <w:rPr>
          <w:rFonts w:eastAsia="Aptos" w:cs="Aptos"/>
          <w:szCs w:val="20"/>
        </w:rPr>
        <w:t>Mitigation Measures for Retrofitting/Demolition/Reconstruction Work Risks and Impacts</w:t>
      </w:r>
      <w:bookmarkEnd w:id="317"/>
    </w:p>
    <w:tbl>
      <w:tblPr>
        <w:tblStyle w:val="TabloKlavuzu1"/>
        <w:tblW w:w="9072" w:type="dxa"/>
        <w:jc w:val="center"/>
        <w:tblLayout w:type="fixed"/>
        <w:tblLook w:val="04A0" w:firstRow="1" w:lastRow="0" w:firstColumn="1" w:lastColumn="0" w:noHBand="0" w:noVBand="1"/>
      </w:tblPr>
      <w:tblGrid>
        <w:gridCol w:w="1276"/>
        <w:gridCol w:w="2268"/>
        <w:gridCol w:w="4111"/>
        <w:gridCol w:w="1417"/>
      </w:tblGrid>
      <w:tr w:rsidR="00A13841" w:rsidRPr="00175D8B" w14:paraId="66F6B12A" w14:textId="77777777" w:rsidTr="002550A6">
        <w:trPr>
          <w:trHeight w:val="300"/>
          <w:tblHeader/>
          <w:jc w:val="center"/>
        </w:trPr>
        <w:tc>
          <w:tcPr>
            <w:tcW w:w="1276" w:type="dxa"/>
            <w:shd w:val="clear" w:color="auto" w:fill="ABB7C1"/>
          </w:tcPr>
          <w:p w14:paraId="7373C8D0" w14:textId="77777777" w:rsidR="00A13841" w:rsidRPr="00175D8B" w:rsidRDefault="00A13841" w:rsidP="00A13841">
            <w:pPr>
              <w:spacing w:before="120" w:after="24" w:line="240" w:lineRule="auto"/>
              <w:jc w:val="left"/>
              <w:rPr>
                <w:rFonts w:eastAsia="Calibri" w:cs="Calibri"/>
                <w:b/>
                <w:color w:val="000000" w:themeColor="text1"/>
                <w:sz w:val="20"/>
                <w:szCs w:val="20"/>
              </w:rPr>
            </w:pPr>
            <w:r w:rsidRPr="00175D8B">
              <w:rPr>
                <w:rFonts w:eastAsia="Calibri" w:cs="Calibri"/>
                <w:b/>
                <w:color w:val="000000" w:themeColor="text1"/>
                <w:sz w:val="20"/>
                <w:szCs w:val="20"/>
              </w:rPr>
              <w:t>Project Phase</w:t>
            </w:r>
          </w:p>
        </w:tc>
        <w:tc>
          <w:tcPr>
            <w:tcW w:w="2268" w:type="dxa"/>
            <w:shd w:val="clear" w:color="auto" w:fill="ABB7C1"/>
          </w:tcPr>
          <w:p w14:paraId="3BEBBF63" w14:textId="77777777" w:rsidR="00A13841" w:rsidRPr="00175D8B" w:rsidRDefault="00A13841" w:rsidP="00A13841">
            <w:pPr>
              <w:spacing w:before="120" w:after="24" w:line="240" w:lineRule="auto"/>
              <w:jc w:val="left"/>
              <w:rPr>
                <w:rFonts w:eastAsia="Calibri" w:cs="Calibri"/>
                <w:b/>
                <w:color w:val="000000" w:themeColor="text1"/>
                <w:sz w:val="20"/>
                <w:szCs w:val="20"/>
              </w:rPr>
            </w:pPr>
            <w:r w:rsidRPr="00175D8B">
              <w:rPr>
                <w:rFonts w:eastAsia="Calibri" w:cs="Calibri"/>
                <w:b/>
                <w:color w:val="000000" w:themeColor="text1"/>
                <w:sz w:val="20"/>
                <w:szCs w:val="20"/>
              </w:rPr>
              <w:t>Potential Risk/Impact</w:t>
            </w:r>
          </w:p>
        </w:tc>
        <w:tc>
          <w:tcPr>
            <w:tcW w:w="4111" w:type="dxa"/>
            <w:shd w:val="clear" w:color="auto" w:fill="ABB7C1"/>
          </w:tcPr>
          <w:p w14:paraId="5E19FB20" w14:textId="77777777" w:rsidR="00A13841" w:rsidRPr="00175D8B" w:rsidRDefault="00A13841" w:rsidP="00A13841">
            <w:pPr>
              <w:spacing w:before="120" w:after="24" w:line="240" w:lineRule="auto"/>
              <w:jc w:val="left"/>
              <w:rPr>
                <w:rFonts w:eastAsia="Calibri" w:cs="Calibri"/>
                <w:b/>
                <w:color w:val="000000" w:themeColor="text1"/>
                <w:sz w:val="20"/>
                <w:szCs w:val="20"/>
              </w:rPr>
            </w:pPr>
            <w:r w:rsidRPr="00175D8B">
              <w:rPr>
                <w:rFonts w:eastAsia="Calibri" w:cs="Calibri"/>
                <w:b/>
                <w:color w:val="000000" w:themeColor="text1"/>
                <w:sz w:val="20"/>
                <w:szCs w:val="20"/>
              </w:rPr>
              <w:t>Mitigation Measure</w:t>
            </w:r>
          </w:p>
        </w:tc>
        <w:tc>
          <w:tcPr>
            <w:tcW w:w="1417" w:type="dxa"/>
            <w:shd w:val="clear" w:color="auto" w:fill="ABB7C1"/>
          </w:tcPr>
          <w:p w14:paraId="25C3E360" w14:textId="77777777" w:rsidR="00A13841" w:rsidRPr="00175D8B" w:rsidRDefault="00A13841" w:rsidP="00A13841">
            <w:pPr>
              <w:spacing w:before="120" w:after="24" w:line="240" w:lineRule="auto"/>
              <w:jc w:val="left"/>
              <w:rPr>
                <w:rFonts w:eastAsia="Calibri" w:cs="Calibri"/>
                <w:b/>
                <w:color w:val="000000" w:themeColor="text1"/>
                <w:sz w:val="20"/>
                <w:szCs w:val="20"/>
              </w:rPr>
            </w:pPr>
            <w:r w:rsidRPr="00175D8B">
              <w:rPr>
                <w:rFonts w:eastAsia="Calibri" w:cs="Calibri"/>
                <w:b/>
                <w:color w:val="000000" w:themeColor="text1"/>
                <w:sz w:val="20"/>
                <w:szCs w:val="20"/>
              </w:rPr>
              <w:t>Responsibility</w:t>
            </w:r>
          </w:p>
        </w:tc>
      </w:tr>
      <w:tr w:rsidR="00A13841" w:rsidRPr="00175D8B" w14:paraId="5B87D69A" w14:textId="77777777" w:rsidTr="002550A6">
        <w:trPr>
          <w:trHeight w:val="300"/>
          <w:jc w:val="center"/>
        </w:trPr>
        <w:tc>
          <w:tcPr>
            <w:tcW w:w="1276" w:type="dxa"/>
            <w:shd w:val="clear" w:color="auto" w:fill="F2F2F2" w:themeFill="background1" w:themeFillShade="F2"/>
          </w:tcPr>
          <w:p w14:paraId="20F7898D" w14:textId="77777777" w:rsidR="00A13841" w:rsidRPr="00175D8B" w:rsidRDefault="00A13841" w:rsidP="00A13841">
            <w:pPr>
              <w:spacing w:before="80" w:after="80"/>
              <w:jc w:val="left"/>
              <w:rPr>
                <w:rFonts w:eastAsia="Aptos" w:cs="Aptos"/>
                <w:color w:val="000000" w:themeColor="text1"/>
                <w:sz w:val="20"/>
                <w:szCs w:val="20"/>
                <w:lang w:val="tr-TR"/>
              </w:rPr>
            </w:pPr>
            <w:r w:rsidRPr="00175D8B">
              <w:rPr>
                <w:rFonts w:eastAsia="Aptos" w:cs="Aptos"/>
                <w:color w:val="000000" w:themeColor="text1"/>
                <w:sz w:val="20"/>
                <w:szCs w:val="20"/>
              </w:rPr>
              <w:t>Pre re-construction stage of the Type-III sub-projects</w:t>
            </w:r>
          </w:p>
        </w:tc>
        <w:tc>
          <w:tcPr>
            <w:tcW w:w="2268" w:type="dxa"/>
            <w:shd w:val="clear" w:color="auto" w:fill="F2F2F2" w:themeFill="background1" w:themeFillShade="F2"/>
          </w:tcPr>
          <w:p w14:paraId="5364B246" w14:textId="3ECE4E53" w:rsidR="00A13841" w:rsidRPr="00175D8B" w:rsidRDefault="00A13841" w:rsidP="00A13841">
            <w:pPr>
              <w:spacing w:before="80" w:after="80"/>
              <w:jc w:val="left"/>
              <w:rPr>
                <w:rFonts w:eastAsia="Aptos" w:cs="Aptos"/>
                <w:color w:val="000000" w:themeColor="text1"/>
                <w:sz w:val="20"/>
                <w:szCs w:val="20"/>
                <w:lang w:val="tr-TR"/>
              </w:rPr>
            </w:pPr>
            <w:r w:rsidRPr="00175D8B">
              <w:rPr>
                <w:rFonts w:eastAsia="Aptos" w:cs="Aptos"/>
                <w:color w:val="000000" w:themeColor="text1"/>
                <w:sz w:val="20"/>
                <w:szCs w:val="20"/>
              </w:rPr>
              <w:t>Risks related to E&amp;S due to the possibility of conducting</w:t>
            </w:r>
            <w:r w:rsidR="007D0884" w:rsidRPr="00175D8B">
              <w:rPr>
                <w:rFonts w:eastAsia="Aptos" w:cs="Aptos"/>
                <w:color w:val="000000" w:themeColor="text1"/>
                <w:sz w:val="20"/>
                <w:szCs w:val="20"/>
              </w:rPr>
              <w:t xml:space="preserve"> </w:t>
            </w:r>
            <w:r w:rsidRPr="00175D8B">
              <w:rPr>
                <w:rFonts w:eastAsia="Aptos" w:cs="Aptos"/>
                <w:color w:val="000000" w:themeColor="text1"/>
                <w:sz w:val="20"/>
                <w:szCs w:val="20"/>
              </w:rPr>
              <w:t>demolition works were performed non-compliant with WB and national standards.</w:t>
            </w:r>
          </w:p>
        </w:tc>
        <w:tc>
          <w:tcPr>
            <w:tcW w:w="4111" w:type="dxa"/>
            <w:shd w:val="clear" w:color="auto" w:fill="F2F2F2" w:themeFill="background1" w:themeFillShade="F2"/>
          </w:tcPr>
          <w:p w14:paraId="59180F47" w14:textId="77777777" w:rsidR="00A13841" w:rsidRPr="00175D8B" w:rsidRDefault="00A13841" w:rsidP="00A13841">
            <w:pPr>
              <w:spacing w:before="120" w:after="24" w:line="240" w:lineRule="auto"/>
              <w:ind w:left="720"/>
              <w:contextualSpacing/>
              <w:rPr>
                <w:rFonts w:eastAsia="Aptos" w:cs="Aptos"/>
                <w:color w:val="000000" w:themeColor="text1"/>
              </w:rPr>
            </w:pPr>
            <w:r w:rsidRPr="00175D8B">
              <w:rPr>
                <w:rFonts w:eastAsia="Aptos" w:cs="Aptos"/>
                <w:color w:val="000000" w:themeColor="text1"/>
                <w:sz w:val="19"/>
                <w:szCs w:val="19"/>
              </w:rPr>
              <w:t>Prior to commencement of any civil works on site, an E&amp;S Audit will be conducted by individual PMU consultants in the provinces to identify the actions/measures to be taken to ensure that the proposed subproject is in compliance with Project standards.</w:t>
            </w:r>
          </w:p>
        </w:tc>
        <w:tc>
          <w:tcPr>
            <w:tcW w:w="1417" w:type="dxa"/>
            <w:shd w:val="clear" w:color="auto" w:fill="F2F2F2" w:themeFill="background1" w:themeFillShade="F2"/>
          </w:tcPr>
          <w:p w14:paraId="0B0F0D8F" w14:textId="77777777" w:rsidR="00A13841" w:rsidRPr="00175D8B" w:rsidRDefault="00A13841" w:rsidP="00A13841">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A13841" w:rsidRPr="00175D8B" w14:paraId="7FE02823" w14:textId="77777777" w:rsidTr="002550A6">
        <w:trPr>
          <w:trHeight w:val="300"/>
          <w:jc w:val="center"/>
        </w:trPr>
        <w:tc>
          <w:tcPr>
            <w:tcW w:w="1276" w:type="dxa"/>
            <w:vMerge w:val="restart"/>
            <w:shd w:val="clear" w:color="auto" w:fill="F2F2F2" w:themeFill="background1" w:themeFillShade="F2"/>
          </w:tcPr>
          <w:p w14:paraId="0540BFDE" w14:textId="77777777" w:rsidR="00A13841" w:rsidRPr="00175D8B" w:rsidRDefault="00A13841" w:rsidP="00A13841">
            <w:pPr>
              <w:spacing w:before="80" w:after="80"/>
              <w:jc w:val="left"/>
              <w:rPr>
                <w:rFonts w:eastAsia="Aptos" w:cs="Aptos"/>
                <w:color w:val="000000" w:themeColor="text1"/>
                <w:sz w:val="20"/>
                <w:szCs w:val="20"/>
              </w:rPr>
            </w:pPr>
            <w:r w:rsidRPr="00175D8B">
              <w:rPr>
                <w:rFonts w:eastAsia="Aptos" w:cs="Aptos"/>
                <w:color w:val="000000" w:themeColor="text1"/>
                <w:sz w:val="20"/>
                <w:szCs w:val="20"/>
              </w:rPr>
              <w:t>Preparation for Demolition</w:t>
            </w:r>
          </w:p>
          <w:p w14:paraId="200D6D09" w14:textId="77777777" w:rsidR="00A13841" w:rsidRPr="00175D8B" w:rsidRDefault="00A13841" w:rsidP="00A13841">
            <w:pPr>
              <w:spacing w:before="80" w:after="80"/>
              <w:jc w:val="left"/>
              <w:rPr>
                <w:rFonts w:eastAsia="Aptos" w:cs="Aptos"/>
                <w:color w:val="000000" w:themeColor="text1"/>
                <w:sz w:val="20"/>
                <w:szCs w:val="20"/>
              </w:rPr>
            </w:pPr>
          </w:p>
        </w:tc>
        <w:tc>
          <w:tcPr>
            <w:tcW w:w="2268" w:type="dxa"/>
            <w:vMerge w:val="restart"/>
            <w:shd w:val="clear" w:color="auto" w:fill="F2F2F2" w:themeFill="background1" w:themeFillShade="F2"/>
          </w:tcPr>
          <w:p w14:paraId="3E1CAD63" w14:textId="77777777" w:rsidR="00A13841" w:rsidRPr="00175D8B" w:rsidRDefault="00A13841" w:rsidP="00A13841">
            <w:pPr>
              <w:spacing w:before="80" w:after="80"/>
              <w:jc w:val="left"/>
              <w:rPr>
                <w:rFonts w:eastAsia="Aptos" w:cs="Aptos"/>
                <w:color w:val="000000" w:themeColor="text1"/>
                <w:sz w:val="20"/>
                <w:szCs w:val="20"/>
                <w:lang w:val="tr-TR"/>
              </w:rPr>
            </w:pPr>
            <w:r w:rsidRPr="00175D8B">
              <w:rPr>
                <w:rFonts w:eastAsia="Aptos" w:cs="Aptos"/>
                <w:color w:val="000000" w:themeColor="text1"/>
                <w:sz w:val="20"/>
                <w:szCs w:val="20"/>
              </w:rPr>
              <w:lastRenderedPageBreak/>
              <w:t xml:space="preserve">Stakeholder Engagement/Citizen </w:t>
            </w:r>
            <w:r w:rsidRPr="00175D8B">
              <w:rPr>
                <w:rFonts w:eastAsia="Aptos" w:cs="Aptos"/>
                <w:color w:val="000000" w:themeColor="text1"/>
                <w:sz w:val="20"/>
                <w:szCs w:val="20"/>
              </w:rPr>
              <w:lastRenderedPageBreak/>
              <w:t>Engagement; Grievance Mechanism</w:t>
            </w:r>
          </w:p>
          <w:p w14:paraId="6D3494DD" w14:textId="77777777" w:rsidR="00A13841" w:rsidRPr="00175D8B" w:rsidRDefault="00A13841" w:rsidP="00A13841">
            <w:pPr>
              <w:spacing w:before="120" w:after="24" w:line="240" w:lineRule="auto"/>
              <w:rPr>
                <w:rFonts w:eastAsia="Calibri" w:cs="Calibri"/>
                <w:color w:val="000000" w:themeColor="text1"/>
                <w:sz w:val="20"/>
                <w:szCs w:val="20"/>
              </w:rPr>
            </w:pPr>
          </w:p>
        </w:tc>
        <w:tc>
          <w:tcPr>
            <w:tcW w:w="4111" w:type="dxa"/>
            <w:shd w:val="clear" w:color="auto" w:fill="F2F2F2" w:themeFill="background1" w:themeFillShade="F2"/>
          </w:tcPr>
          <w:p w14:paraId="153FE3B0" w14:textId="645DFEDC" w:rsidR="00A13841" w:rsidRPr="00175D8B" w:rsidRDefault="00A13841">
            <w:pPr>
              <w:pStyle w:val="ListeParagraf"/>
              <w:numPr>
                <w:ilvl w:val="0"/>
                <w:numId w:val="141"/>
              </w:numPr>
              <w:pBdr>
                <w:top w:val="nil"/>
                <w:left w:val="nil"/>
                <w:bottom w:val="nil"/>
                <w:right w:val="nil"/>
                <w:between w:val="nil"/>
              </w:pBdr>
              <w:spacing w:before="80" w:after="80"/>
              <w:jc w:val="left"/>
              <w:rPr>
                <w:rFonts w:eastAsia="Aptos" w:cs="Aptos"/>
                <w:color w:val="000000" w:themeColor="text1"/>
                <w:lang w:val="tr-TR"/>
              </w:rPr>
            </w:pPr>
            <w:r w:rsidRPr="00175D8B">
              <w:rPr>
                <w:rFonts w:eastAsia="Aptos" w:cs="Aptos"/>
                <w:color w:val="000000" w:themeColor="text1"/>
                <w:sz w:val="20"/>
                <w:szCs w:val="20"/>
              </w:rPr>
              <w:lastRenderedPageBreak/>
              <w:t xml:space="preserve">Preparation of the </w:t>
            </w:r>
            <w:r w:rsidRPr="00175D8B">
              <w:rPr>
                <w:rFonts w:eastAsia="Aptos" w:cs="Aptos"/>
                <w:b/>
                <w:bCs/>
                <w:i/>
                <w:iCs/>
                <w:color w:val="000000" w:themeColor="text1"/>
                <w:sz w:val="20"/>
                <w:szCs w:val="20"/>
              </w:rPr>
              <w:t>"Stakeholder Engagement in Transforming Risky Structures in the Province Level"</w:t>
            </w:r>
            <w:r w:rsidRPr="00175D8B">
              <w:rPr>
                <w:rFonts w:eastAsia="Aptos" w:cs="Aptos"/>
                <w:color w:val="000000" w:themeColor="text1"/>
                <w:sz w:val="20"/>
                <w:szCs w:val="20"/>
              </w:rPr>
              <w:t xml:space="preserve"> with local NGOs and key stakeholders: By </w:t>
            </w:r>
            <w:r w:rsidRPr="00175D8B">
              <w:rPr>
                <w:rFonts w:eastAsia="Aptos" w:cs="Aptos"/>
                <w:color w:val="000000" w:themeColor="text1"/>
                <w:sz w:val="20"/>
                <w:szCs w:val="20"/>
              </w:rPr>
              <w:lastRenderedPageBreak/>
              <w:t>adhering to the guidelines outlined in the Stakeholder Engagement Plan for the project collaboration will be established with local NGOs and key stakeholders. This process includes identifying stakeholders, organizing regular meetings, determining needs and priorities, conducting informational sessions and trainings, and implementing feedback and monitoring phases.</w:t>
            </w:r>
          </w:p>
        </w:tc>
        <w:tc>
          <w:tcPr>
            <w:tcW w:w="1417" w:type="dxa"/>
            <w:shd w:val="clear" w:color="auto" w:fill="F2F2F2" w:themeFill="background1" w:themeFillShade="F2"/>
          </w:tcPr>
          <w:p w14:paraId="4F0EA516" w14:textId="77777777" w:rsidR="00A13841" w:rsidRPr="00175D8B" w:rsidRDefault="00A13841" w:rsidP="00A13841">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lastRenderedPageBreak/>
              <w:t>PMU</w:t>
            </w:r>
          </w:p>
        </w:tc>
      </w:tr>
      <w:tr w:rsidR="00A13841" w:rsidRPr="00175D8B" w14:paraId="1F31F3D6" w14:textId="77777777" w:rsidTr="002550A6">
        <w:trPr>
          <w:trHeight w:val="300"/>
          <w:jc w:val="center"/>
        </w:trPr>
        <w:tc>
          <w:tcPr>
            <w:tcW w:w="1276" w:type="dxa"/>
            <w:vMerge/>
          </w:tcPr>
          <w:p w14:paraId="5570BD2D" w14:textId="77777777" w:rsidR="00A13841" w:rsidRPr="00175D8B" w:rsidRDefault="00A13841" w:rsidP="00A13841">
            <w:pPr>
              <w:spacing w:before="120" w:after="24" w:line="240" w:lineRule="auto"/>
              <w:ind w:left="567"/>
              <w:rPr>
                <w:rFonts w:eastAsia="Aptos" w:cs="Aptos"/>
                <w:color w:val="000000" w:themeColor="text1"/>
                <w:sz w:val="20"/>
                <w:szCs w:val="20"/>
              </w:rPr>
            </w:pPr>
          </w:p>
        </w:tc>
        <w:tc>
          <w:tcPr>
            <w:tcW w:w="2268" w:type="dxa"/>
            <w:vMerge/>
          </w:tcPr>
          <w:p w14:paraId="611647EE" w14:textId="77777777" w:rsidR="00A13841" w:rsidRPr="00175D8B" w:rsidRDefault="00A13841" w:rsidP="00A13841">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tcPr>
          <w:p w14:paraId="2ED25479" w14:textId="77777777" w:rsidR="00A13841" w:rsidRPr="00D8459F" w:rsidRDefault="00A13841" w:rsidP="00D8459F">
            <w:pPr>
              <w:pStyle w:val="ListeParagraf"/>
              <w:numPr>
                <w:ilvl w:val="0"/>
                <w:numId w:val="141"/>
              </w:numPr>
              <w:pBdr>
                <w:top w:val="nil"/>
                <w:left w:val="nil"/>
                <w:bottom w:val="nil"/>
                <w:right w:val="nil"/>
                <w:between w:val="nil"/>
              </w:pBdr>
              <w:spacing w:before="80" w:after="80"/>
              <w:jc w:val="left"/>
              <w:rPr>
                <w:rFonts w:eastAsia="Aptos" w:cs="Aptos"/>
                <w:color w:val="000000" w:themeColor="text1"/>
                <w:sz w:val="20"/>
                <w:szCs w:val="20"/>
              </w:rPr>
            </w:pPr>
            <w:r w:rsidRPr="00175D8B">
              <w:rPr>
                <w:rFonts w:eastAsia="Aptos" w:cs="Aptos"/>
                <w:color w:val="000000" w:themeColor="text1"/>
                <w:sz w:val="20"/>
                <w:szCs w:val="20"/>
              </w:rPr>
              <w:t>The province-based E&amp;S specialists and contractor’s E&amp;S specialists will organize visits/meetings and/or disseminate written materials to inform local authorities/authorities, the public and businesses, vulnerable groups in the Project Area of Influence (AoI) which will be identified in Contractor-ESMPs (C-ESMPs), verbally and in writing about Project activities, schedule, measures taken and potential risks before work commences,</w:t>
            </w:r>
          </w:p>
          <w:p w14:paraId="55FF65B8" w14:textId="2366D270" w:rsidR="00A13841" w:rsidRPr="00D8459F" w:rsidRDefault="00A13841" w:rsidP="00D8459F">
            <w:pPr>
              <w:pStyle w:val="ListeParagraf"/>
              <w:numPr>
                <w:ilvl w:val="0"/>
                <w:numId w:val="141"/>
              </w:numPr>
              <w:pBdr>
                <w:top w:val="nil"/>
                <w:left w:val="nil"/>
                <w:bottom w:val="nil"/>
                <w:right w:val="nil"/>
                <w:between w:val="nil"/>
              </w:pBdr>
              <w:spacing w:before="80" w:after="80"/>
              <w:jc w:val="left"/>
              <w:rPr>
                <w:rFonts w:eastAsia="Aptos" w:cs="Aptos"/>
                <w:color w:val="000000" w:themeColor="text1"/>
                <w:sz w:val="20"/>
                <w:szCs w:val="20"/>
              </w:rPr>
            </w:pPr>
            <w:r w:rsidRPr="00175D8B">
              <w:rPr>
                <w:rFonts w:eastAsia="Aptos" w:cs="Aptos"/>
                <w:color w:val="000000" w:themeColor="text1"/>
                <w:sz w:val="20"/>
                <w:szCs w:val="20"/>
              </w:rPr>
              <w:t xml:space="preserve">GM tools, process, workflow, contact addresses will be informed, written notifications will be made visible and posted in relevant public areas (coffee houses, muhtars' offices, mosques, public common areas, project site etc.). </w:t>
            </w:r>
            <w:r w:rsidRPr="00D8459F">
              <w:rPr>
                <w:rFonts w:eastAsia="Aptos" w:cs="Aptos"/>
                <w:color w:val="000000" w:themeColor="text1"/>
                <w:sz w:val="20"/>
                <w:szCs w:val="20"/>
              </w:rPr>
              <w:t xml:space="preserve"> </w:t>
            </w:r>
          </w:p>
          <w:p w14:paraId="6A458E18" w14:textId="7889766B" w:rsidR="00A13841" w:rsidRPr="00175D8B" w:rsidRDefault="00A13841" w:rsidP="00A13841">
            <w:pPr>
              <w:spacing w:before="120" w:after="24" w:line="240" w:lineRule="auto"/>
              <w:rPr>
                <w:rFonts w:eastAsia="Calibri" w:cs="Calibri"/>
                <w:color w:val="000000" w:themeColor="text1"/>
                <w:sz w:val="20"/>
                <w:szCs w:val="20"/>
              </w:rPr>
            </w:pPr>
          </w:p>
        </w:tc>
        <w:tc>
          <w:tcPr>
            <w:tcW w:w="1417" w:type="dxa"/>
            <w:shd w:val="clear" w:color="auto" w:fill="F2F2F2" w:themeFill="background1" w:themeFillShade="F2"/>
          </w:tcPr>
          <w:p w14:paraId="09691407" w14:textId="77777777" w:rsidR="00A13841" w:rsidRPr="00175D8B" w:rsidRDefault="00A13841" w:rsidP="00A13841">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A13841" w:rsidRPr="00175D8B" w14:paraId="323E9F3D" w14:textId="77777777" w:rsidTr="002550A6">
        <w:trPr>
          <w:trHeight w:val="300"/>
          <w:jc w:val="center"/>
        </w:trPr>
        <w:tc>
          <w:tcPr>
            <w:tcW w:w="1276" w:type="dxa"/>
            <w:vMerge/>
          </w:tcPr>
          <w:p w14:paraId="5A64216C" w14:textId="77777777" w:rsidR="00A13841" w:rsidRPr="00175D8B" w:rsidRDefault="00A13841" w:rsidP="00A13841">
            <w:pPr>
              <w:spacing w:before="120" w:after="24" w:line="240" w:lineRule="auto"/>
              <w:ind w:left="567"/>
              <w:rPr>
                <w:rFonts w:eastAsia="Aptos" w:cs="Aptos"/>
                <w:color w:val="000000" w:themeColor="text1"/>
                <w:sz w:val="20"/>
                <w:szCs w:val="20"/>
              </w:rPr>
            </w:pPr>
          </w:p>
        </w:tc>
        <w:tc>
          <w:tcPr>
            <w:tcW w:w="2268" w:type="dxa"/>
            <w:vMerge/>
          </w:tcPr>
          <w:p w14:paraId="4E630D6A" w14:textId="77777777" w:rsidR="00A13841" w:rsidRPr="00175D8B" w:rsidRDefault="00A13841" w:rsidP="00A13841">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tcPr>
          <w:p w14:paraId="23D2F3B9" w14:textId="77777777" w:rsidR="00F84C91" w:rsidRPr="00445FA4" w:rsidRDefault="00F84C91" w:rsidP="00F84C91">
            <w:pPr>
              <w:numPr>
                <w:ilvl w:val="0"/>
                <w:numId w:val="156"/>
              </w:numPr>
              <w:pBdr>
                <w:top w:val="nil"/>
                <w:left w:val="nil"/>
                <w:bottom w:val="nil"/>
                <w:right w:val="nil"/>
                <w:between w:val="nil"/>
              </w:pBdr>
              <w:spacing w:before="80" w:after="0"/>
              <w:jc w:val="left"/>
              <w:rPr>
                <w:color w:val="000000"/>
                <w:sz w:val="20"/>
                <w:szCs w:val="20"/>
              </w:rPr>
            </w:pPr>
            <w:r w:rsidRPr="00445FA4">
              <w:rPr>
                <w:color w:val="000000"/>
                <w:sz w:val="20"/>
                <w:szCs w:val="20"/>
              </w:rPr>
              <w:t xml:space="preserve">Implementation the information dissemination processes defined by the PMU on-site, </w:t>
            </w:r>
          </w:p>
          <w:p w14:paraId="6EDCB7CD" w14:textId="77777777" w:rsidR="00F84C91" w:rsidRPr="00445FA4" w:rsidRDefault="00F84C91" w:rsidP="00F84C91">
            <w:pPr>
              <w:numPr>
                <w:ilvl w:val="0"/>
                <w:numId w:val="156"/>
              </w:numPr>
              <w:pBdr>
                <w:top w:val="nil"/>
                <w:left w:val="nil"/>
                <w:bottom w:val="nil"/>
                <w:right w:val="nil"/>
                <w:between w:val="nil"/>
              </w:pBdr>
              <w:spacing w:after="0"/>
              <w:jc w:val="left"/>
              <w:rPr>
                <w:color w:val="000000"/>
                <w:sz w:val="20"/>
                <w:szCs w:val="20"/>
              </w:rPr>
            </w:pPr>
            <w:r w:rsidRPr="00445FA4">
              <w:rPr>
                <w:color w:val="000000"/>
                <w:sz w:val="20"/>
                <w:szCs w:val="20"/>
              </w:rPr>
              <w:t xml:space="preserve">Ensure that GM tools, and contact addresses are made visible at the project site, </w:t>
            </w:r>
          </w:p>
          <w:p w14:paraId="3498E938" w14:textId="77777777" w:rsidR="00F84C91" w:rsidRDefault="00F84C91" w:rsidP="00F84C91">
            <w:pPr>
              <w:pStyle w:val="ListeParagraf"/>
              <w:rPr>
                <w:color w:val="000000"/>
                <w:sz w:val="20"/>
                <w:szCs w:val="20"/>
              </w:rPr>
            </w:pPr>
            <w:r w:rsidRPr="00D8459F">
              <w:rPr>
                <w:color w:val="000000"/>
                <w:sz w:val="20"/>
                <w:szCs w:val="20"/>
              </w:rPr>
              <w:t>Post written notifications in designated public areas (coffee houses, mukhtars' offices, mosques, public common areas, project site etc.).</w:t>
            </w:r>
          </w:p>
          <w:p w14:paraId="14105B60" w14:textId="5363EB7C" w:rsidR="00A13841" w:rsidRPr="00175D8B" w:rsidRDefault="00F84C91" w:rsidP="00D8459F">
            <w:pPr>
              <w:pStyle w:val="ListeParagraf"/>
            </w:pPr>
            <w:r w:rsidRPr="00D8459F">
              <w:rPr>
                <w:color w:val="000000"/>
                <w:sz w:val="20"/>
                <w:szCs w:val="20"/>
              </w:rPr>
              <w:t xml:space="preserve">Maintain communication throughout the project and continue providing updates to stakeholders. </w:t>
            </w:r>
          </w:p>
        </w:tc>
        <w:tc>
          <w:tcPr>
            <w:tcW w:w="1417" w:type="dxa"/>
            <w:shd w:val="clear" w:color="auto" w:fill="F2F2F2" w:themeFill="background1" w:themeFillShade="F2"/>
          </w:tcPr>
          <w:p w14:paraId="528E256D" w14:textId="77777777" w:rsidR="00A13841" w:rsidRPr="00175D8B" w:rsidRDefault="00A13841" w:rsidP="00A13841">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Contractor</w:t>
            </w:r>
          </w:p>
        </w:tc>
      </w:tr>
      <w:tr w:rsidR="00A13841" w:rsidRPr="00175D8B" w14:paraId="5F2FB0B6" w14:textId="77777777" w:rsidTr="002550A6">
        <w:trPr>
          <w:trHeight w:val="300"/>
          <w:jc w:val="center"/>
        </w:trPr>
        <w:tc>
          <w:tcPr>
            <w:tcW w:w="1276" w:type="dxa"/>
            <w:vMerge w:val="restart"/>
            <w:shd w:val="clear" w:color="auto" w:fill="F2F2F2" w:themeFill="background1" w:themeFillShade="F2"/>
          </w:tcPr>
          <w:p w14:paraId="276FBC6E" w14:textId="77777777" w:rsidR="00A13841" w:rsidRPr="00175D8B" w:rsidRDefault="00A13841" w:rsidP="00A13841">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Preparing for Demolition</w:t>
            </w:r>
          </w:p>
        </w:tc>
        <w:tc>
          <w:tcPr>
            <w:tcW w:w="2268" w:type="dxa"/>
            <w:vMerge w:val="restart"/>
            <w:shd w:val="clear" w:color="auto" w:fill="F2F2F2" w:themeFill="background1" w:themeFillShade="F2"/>
          </w:tcPr>
          <w:p w14:paraId="049C9691" w14:textId="77777777" w:rsidR="00A13841" w:rsidRPr="00175D8B" w:rsidRDefault="00A13841" w:rsidP="00A13841">
            <w:pPr>
              <w:spacing w:before="80" w:after="80"/>
              <w:jc w:val="left"/>
              <w:rPr>
                <w:rFonts w:eastAsia="Aptos" w:cs="Aptos"/>
                <w:color w:val="000000" w:themeColor="text1"/>
              </w:rPr>
            </w:pPr>
            <w:r w:rsidRPr="00175D8B">
              <w:rPr>
                <w:rFonts w:eastAsia="Aptos" w:cs="Aptos"/>
                <w:color w:val="000000" w:themeColor="text1"/>
                <w:sz w:val="20"/>
                <w:szCs w:val="20"/>
              </w:rPr>
              <w:t>Temporary and permanent displacement of owners and tenants resulting from the rehabilitation/ reconstruction of housing units / workspaces</w:t>
            </w:r>
          </w:p>
        </w:tc>
        <w:tc>
          <w:tcPr>
            <w:tcW w:w="4111" w:type="dxa"/>
            <w:shd w:val="clear" w:color="auto" w:fill="F2F2F2" w:themeFill="background1" w:themeFillShade="F2"/>
          </w:tcPr>
          <w:p w14:paraId="0648DA8C" w14:textId="300E5879" w:rsidR="00A13841" w:rsidRPr="00175D8B" w:rsidRDefault="00A13841">
            <w:pPr>
              <w:numPr>
                <w:ilvl w:val="0"/>
                <w:numId w:val="38"/>
              </w:numPr>
              <w:pBdr>
                <w:top w:val="nil"/>
                <w:left w:val="nil"/>
                <w:bottom w:val="nil"/>
                <w:right w:val="nil"/>
                <w:between w:val="nil"/>
              </w:pBdr>
              <w:spacing w:before="120" w:after="24" w:line="240" w:lineRule="auto"/>
              <w:contextualSpacing/>
              <w:rPr>
                <w:rFonts w:eastAsia="Aptos" w:cs="Aptos"/>
                <w:color w:val="000000" w:themeColor="text1"/>
              </w:rPr>
            </w:pPr>
            <w:r w:rsidRPr="00175D8B">
              <w:rPr>
                <w:rFonts w:eastAsia="Aptos" w:cs="Aptos"/>
                <w:color w:val="000000" w:themeColor="text1"/>
                <w:sz w:val="20"/>
                <w:szCs w:val="20"/>
              </w:rPr>
              <w:t xml:space="preserve">Preparation </w:t>
            </w:r>
            <w:r w:rsidR="00A0367D" w:rsidRPr="00175D8B">
              <w:rPr>
                <w:rFonts w:eastAsia="Aptos" w:cs="Aptos"/>
                <w:color w:val="000000" w:themeColor="text1"/>
                <w:sz w:val="20"/>
                <w:szCs w:val="20"/>
              </w:rPr>
              <w:t xml:space="preserve">and </w:t>
            </w:r>
            <w:r w:rsidR="007152C3" w:rsidRPr="00175D8B">
              <w:rPr>
                <w:rFonts w:eastAsia="Aptos" w:cs="Aptos"/>
                <w:color w:val="000000" w:themeColor="text1"/>
                <w:sz w:val="20"/>
                <w:szCs w:val="20"/>
              </w:rPr>
              <w:t>implementation</w:t>
            </w:r>
            <w:r w:rsidR="00A0367D" w:rsidRPr="00175D8B">
              <w:rPr>
                <w:rFonts w:eastAsia="Aptos" w:cs="Aptos"/>
                <w:color w:val="000000" w:themeColor="text1"/>
                <w:sz w:val="20"/>
                <w:szCs w:val="20"/>
              </w:rPr>
              <w:t xml:space="preserve"> </w:t>
            </w:r>
            <w:r w:rsidRPr="00175D8B">
              <w:rPr>
                <w:rFonts w:eastAsia="Aptos" w:cs="Aptos"/>
                <w:color w:val="000000" w:themeColor="text1"/>
                <w:sz w:val="20"/>
                <w:szCs w:val="20"/>
              </w:rPr>
              <w:t>of RPs based on the scope provided in the RF.</w:t>
            </w:r>
          </w:p>
          <w:p w14:paraId="33F4E43C" w14:textId="77777777" w:rsidR="00A13841" w:rsidRPr="00175D8B" w:rsidRDefault="00A13841" w:rsidP="00A13841">
            <w:pPr>
              <w:spacing w:before="120" w:after="24" w:line="240" w:lineRule="auto"/>
              <w:ind w:left="567"/>
              <w:rPr>
                <w:rFonts w:eastAsia="Calibri" w:cs="Calibri"/>
                <w:color w:val="000000" w:themeColor="text1"/>
                <w:sz w:val="20"/>
                <w:szCs w:val="20"/>
              </w:rPr>
            </w:pPr>
          </w:p>
        </w:tc>
        <w:tc>
          <w:tcPr>
            <w:tcW w:w="1417" w:type="dxa"/>
            <w:shd w:val="clear" w:color="auto" w:fill="F2F2F2" w:themeFill="background1" w:themeFillShade="F2"/>
          </w:tcPr>
          <w:p w14:paraId="54E48E30" w14:textId="77777777" w:rsidR="00A13841" w:rsidRPr="00175D8B" w:rsidRDefault="00A13841" w:rsidP="00A13841">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2A59B4" w:rsidRPr="00175D8B" w14:paraId="7D4DC646" w14:textId="77777777" w:rsidTr="002550A6">
        <w:trPr>
          <w:trHeight w:val="300"/>
          <w:jc w:val="center"/>
        </w:trPr>
        <w:tc>
          <w:tcPr>
            <w:tcW w:w="1276" w:type="dxa"/>
            <w:vMerge/>
          </w:tcPr>
          <w:p w14:paraId="439B17D3" w14:textId="77777777" w:rsidR="002A59B4" w:rsidRPr="00175D8B" w:rsidRDefault="002A59B4" w:rsidP="002A59B4">
            <w:pPr>
              <w:spacing w:before="120" w:after="24" w:line="240" w:lineRule="auto"/>
              <w:ind w:left="567"/>
              <w:rPr>
                <w:rFonts w:eastAsia="Aptos" w:cs="Aptos"/>
                <w:color w:val="000000" w:themeColor="text1"/>
                <w:sz w:val="20"/>
                <w:szCs w:val="20"/>
              </w:rPr>
            </w:pPr>
          </w:p>
        </w:tc>
        <w:tc>
          <w:tcPr>
            <w:tcW w:w="2268" w:type="dxa"/>
            <w:vMerge/>
          </w:tcPr>
          <w:p w14:paraId="2FEDCE19" w14:textId="77777777" w:rsidR="002A59B4" w:rsidRPr="00175D8B" w:rsidRDefault="002A59B4" w:rsidP="002A59B4">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vAlign w:val="center"/>
          </w:tcPr>
          <w:p w14:paraId="5C8C17F9" w14:textId="77777777" w:rsidR="002A59B4" w:rsidRPr="00175D8B" w:rsidRDefault="002A59B4">
            <w:pPr>
              <w:numPr>
                <w:ilvl w:val="0"/>
                <w:numId w:val="142"/>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 xml:space="preserve">Within the scope of the </w:t>
            </w:r>
            <w:r w:rsidRPr="00175D8B">
              <w:rPr>
                <w:color w:val="000000"/>
                <w:sz w:val="20"/>
                <w:szCs w:val="20"/>
              </w:rPr>
              <w:t>SEP</w:t>
            </w:r>
            <w:r w:rsidRPr="00175D8B">
              <w:rPr>
                <w:rFonts w:eastAsia="Aptos" w:cs="Aptos"/>
                <w:color w:val="000000"/>
                <w:sz w:val="20"/>
                <w:szCs w:val="20"/>
              </w:rPr>
              <w:t>, each sub-project will plan the stakeholder information to be made available and disseminate necessary relevant information with all stakeholders.</w:t>
            </w:r>
          </w:p>
          <w:p w14:paraId="05808A8C" w14:textId="77777777" w:rsidR="002A59B4" w:rsidRPr="00175D8B" w:rsidRDefault="002A59B4">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Provide information on the GM of the Project and inform PAPs about GM with an approved written brochure, poster etc.</w:t>
            </w:r>
          </w:p>
          <w:p w14:paraId="2F4FBD3B" w14:textId="77777777" w:rsidR="002A59B4" w:rsidRPr="00175D8B" w:rsidRDefault="002A59B4">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Explaining and informing PAPs of their rights defined within the scope of the Project.</w:t>
            </w:r>
          </w:p>
          <w:p w14:paraId="211B45E5" w14:textId="77777777" w:rsidR="002A59B4" w:rsidRPr="00175D8B" w:rsidRDefault="002A59B4">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Identifying vulnerable groups affected by the structure to be transformed within the scope of </w:t>
            </w:r>
            <w:r w:rsidRPr="00175D8B">
              <w:rPr>
                <w:color w:val="000000"/>
                <w:sz w:val="20"/>
                <w:szCs w:val="20"/>
              </w:rPr>
              <w:t>the</w:t>
            </w:r>
            <w:r w:rsidRPr="00175D8B">
              <w:rPr>
                <w:rFonts w:eastAsia="Aptos" w:cs="Aptos"/>
                <w:color w:val="000000"/>
                <w:sz w:val="20"/>
                <w:szCs w:val="20"/>
              </w:rPr>
              <w:t xml:space="preserve"> Project and defining their entitlement status.</w:t>
            </w:r>
          </w:p>
          <w:p w14:paraId="44BA7764" w14:textId="2E552448" w:rsidR="002A59B4" w:rsidRPr="00175D8B" w:rsidRDefault="002A59B4" w:rsidP="002A59B4">
            <w:pPr>
              <w:numPr>
                <w:ilvl w:val="0"/>
                <w:numId w:val="7"/>
              </w:numP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t>Explaining and informing vulnerable groups about their rights defined within the scope of the Project.</w:t>
            </w:r>
          </w:p>
        </w:tc>
        <w:tc>
          <w:tcPr>
            <w:tcW w:w="1417" w:type="dxa"/>
            <w:shd w:val="clear" w:color="auto" w:fill="F2F2F2" w:themeFill="background1" w:themeFillShade="F2"/>
          </w:tcPr>
          <w:p w14:paraId="4083046E" w14:textId="77777777" w:rsidR="002A59B4" w:rsidRPr="00175D8B" w:rsidRDefault="002A59B4" w:rsidP="002A59B4">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 in close cooperation with the Contractor</w:t>
            </w:r>
          </w:p>
        </w:tc>
      </w:tr>
      <w:tr w:rsidR="002A59B4" w:rsidRPr="00175D8B" w14:paraId="68CBC49D" w14:textId="77777777" w:rsidTr="002550A6">
        <w:trPr>
          <w:trHeight w:val="300"/>
          <w:jc w:val="center"/>
        </w:trPr>
        <w:tc>
          <w:tcPr>
            <w:tcW w:w="1276" w:type="dxa"/>
            <w:vMerge/>
          </w:tcPr>
          <w:p w14:paraId="2BBC7539" w14:textId="77777777" w:rsidR="002A59B4" w:rsidRPr="00175D8B" w:rsidRDefault="002A59B4" w:rsidP="002A59B4">
            <w:pPr>
              <w:spacing w:before="120" w:after="24" w:line="240" w:lineRule="auto"/>
              <w:ind w:left="567"/>
              <w:rPr>
                <w:rFonts w:eastAsia="Aptos" w:cs="Aptos"/>
                <w:color w:val="000000" w:themeColor="text1"/>
                <w:sz w:val="20"/>
                <w:szCs w:val="20"/>
              </w:rPr>
            </w:pPr>
          </w:p>
        </w:tc>
        <w:tc>
          <w:tcPr>
            <w:tcW w:w="2268" w:type="dxa"/>
            <w:vMerge/>
          </w:tcPr>
          <w:p w14:paraId="77E9E70B" w14:textId="77777777" w:rsidR="002A59B4" w:rsidRPr="00175D8B" w:rsidRDefault="002A59B4" w:rsidP="002A59B4">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tcPr>
          <w:p w14:paraId="45A868DF" w14:textId="77777777" w:rsidR="002A59B4" w:rsidRPr="00175D8B" w:rsidRDefault="002A59B4" w:rsidP="002A59B4">
            <w:pPr>
              <w:numPr>
                <w:ilvl w:val="0"/>
                <w:numId w:val="7"/>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Distribute and display stakeholder information materials prepared by the PMU on-site.</w:t>
            </w:r>
          </w:p>
          <w:p w14:paraId="68CC1910" w14:textId="77777777" w:rsidR="002A59B4" w:rsidRPr="00175D8B" w:rsidRDefault="002A59B4" w:rsidP="002A59B4">
            <w:pPr>
              <w:numPr>
                <w:ilvl w:val="0"/>
                <w:numId w:val="7"/>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Place GM posters and brochures in designated areas.</w:t>
            </w:r>
          </w:p>
          <w:p w14:paraId="78EA63C9" w14:textId="77777777" w:rsidR="002A59B4" w:rsidRPr="00175D8B" w:rsidRDefault="002A59B4" w:rsidP="002A59B4">
            <w:pPr>
              <w:numPr>
                <w:ilvl w:val="0"/>
                <w:numId w:val="7"/>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Inform PAPs and vulnerable groups as per the guidelines provided by the PMU.</w:t>
            </w:r>
          </w:p>
          <w:p w14:paraId="1A41B129" w14:textId="53030237" w:rsidR="002A59B4" w:rsidRPr="00175D8B" w:rsidRDefault="002A59B4" w:rsidP="002A59B4">
            <w:pPr>
              <w:numPr>
                <w:ilvl w:val="0"/>
                <w:numId w:val="7"/>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Implement and follow the rights and procedures defined by the PMU in the field.</w:t>
            </w:r>
          </w:p>
        </w:tc>
        <w:tc>
          <w:tcPr>
            <w:tcW w:w="1417" w:type="dxa"/>
            <w:shd w:val="clear" w:color="auto" w:fill="F2F2F2" w:themeFill="background1" w:themeFillShade="F2"/>
          </w:tcPr>
          <w:p w14:paraId="65362239" w14:textId="77777777" w:rsidR="002A59B4" w:rsidRPr="00175D8B" w:rsidRDefault="002A59B4" w:rsidP="002A59B4">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Contractor</w:t>
            </w:r>
          </w:p>
        </w:tc>
      </w:tr>
      <w:tr w:rsidR="002A59B4" w:rsidRPr="00175D8B" w14:paraId="51AE4845" w14:textId="77777777" w:rsidTr="002550A6">
        <w:trPr>
          <w:trHeight w:val="300"/>
          <w:jc w:val="center"/>
        </w:trPr>
        <w:tc>
          <w:tcPr>
            <w:tcW w:w="1276" w:type="dxa"/>
            <w:vMerge w:val="restart"/>
            <w:shd w:val="clear" w:color="auto" w:fill="F2F2F2" w:themeFill="background1" w:themeFillShade="F2"/>
          </w:tcPr>
          <w:p w14:paraId="6C42A80E" w14:textId="77777777" w:rsidR="002A59B4" w:rsidRPr="00175D8B" w:rsidRDefault="002A59B4" w:rsidP="002A59B4">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Preparing for Demolition</w:t>
            </w:r>
          </w:p>
        </w:tc>
        <w:tc>
          <w:tcPr>
            <w:tcW w:w="2268" w:type="dxa"/>
            <w:vMerge w:val="restart"/>
            <w:shd w:val="clear" w:color="auto" w:fill="F2F2F2" w:themeFill="background1" w:themeFillShade="F2"/>
          </w:tcPr>
          <w:p w14:paraId="543605F0" w14:textId="7701C368" w:rsidR="002A59B4" w:rsidRPr="00175D8B" w:rsidRDefault="002A59B4" w:rsidP="002A59B4">
            <w:pPr>
              <w:spacing w:before="120" w:after="24" w:line="240" w:lineRule="auto"/>
              <w:ind w:left="567"/>
              <w:rPr>
                <w:rFonts w:eastAsia="Calibri" w:cs="Calibri"/>
                <w:color w:val="000000" w:themeColor="text1"/>
                <w:sz w:val="20"/>
                <w:szCs w:val="20"/>
              </w:rPr>
            </w:pPr>
            <w:r w:rsidRPr="00175D8B">
              <w:rPr>
                <w:rFonts w:eastAsia="Calibri" w:cs="Calibri"/>
                <w:color w:val="000000" w:themeColor="text1"/>
                <w:sz w:val="20"/>
                <w:szCs w:val="20"/>
              </w:rPr>
              <w:t>Labor issues</w:t>
            </w:r>
          </w:p>
        </w:tc>
        <w:tc>
          <w:tcPr>
            <w:tcW w:w="4111" w:type="dxa"/>
            <w:shd w:val="clear" w:color="auto" w:fill="F2F2F2" w:themeFill="background1" w:themeFillShade="F2"/>
          </w:tcPr>
          <w:p w14:paraId="14BA144A" w14:textId="77777777" w:rsidR="002A59B4" w:rsidRPr="00175D8B" w:rsidRDefault="002A59B4" w:rsidP="002A59B4">
            <w:pPr>
              <w:numPr>
                <w:ilvl w:val="0"/>
                <w:numId w:val="8"/>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Preparation of subcontracts in accordance with the Project's LMP.</w:t>
            </w:r>
          </w:p>
          <w:p w14:paraId="41A918D9" w14:textId="77777777" w:rsidR="002A59B4" w:rsidRPr="00175D8B" w:rsidRDefault="002A59B4" w:rsidP="002A59B4">
            <w:pPr>
              <w:numPr>
                <w:ilvl w:val="0"/>
                <w:numId w:val="8"/>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Signature by all employees of subcontractors of “Codes of Conduct” covering the requirements under the LMP,</w:t>
            </w:r>
          </w:p>
          <w:p w14:paraId="55FA2BD1" w14:textId="0F2B1EFE" w:rsidR="002A59B4" w:rsidRPr="00175D8B" w:rsidRDefault="002A59B4" w:rsidP="002A59B4">
            <w:pPr>
              <w:numPr>
                <w:ilvl w:val="0"/>
                <w:numId w:val="8"/>
              </w:numPr>
              <w:spacing w:before="120" w:after="24" w:line="240" w:lineRule="auto"/>
              <w:contextualSpacing/>
              <w:rPr>
                <w:rFonts w:eastAsia="Calibri" w:cs="Calibri"/>
                <w:color w:val="000000" w:themeColor="text1"/>
                <w:sz w:val="20"/>
                <w:szCs w:val="20"/>
              </w:rPr>
            </w:pPr>
            <w:r w:rsidRPr="00175D8B">
              <w:rPr>
                <w:rFonts w:eastAsia="Tahoma" w:cs="Aptos"/>
                <w:color w:val="000000" w:themeColor="text1"/>
                <w:sz w:val="20"/>
                <w:szCs w:val="20"/>
              </w:rPr>
              <w:t>Ensure that a letter is included in the contractor's contract stating the Human Resources (HR) policies of the contractor involved in sub-projects and that it will follow a zero -tolerance policy on the right to fair treatment, right to form workers' associations, forced labor, child labor, sexual exploitation and abuse/sexual harassment SEA/SH and violence.</w:t>
            </w:r>
          </w:p>
        </w:tc>
        <w:tc>
          <w:tcPr>
            <w:tcW w:w="1417" w:type="dxa"/>
            <w:shd w:val="clear" w:color="auto" w:fill="F2F2F2" w:themeFill="background1" w:themeFillShade="F2"/>
          </w:tcPr>
          <w:p w14:paraId="796FD0E8" w14:textId="77777777" w:rsidR="002A59B4" w:rsidRPr="00175D8B" w:rsidRDefault="002A59B4" w:rsidP="002A59B4">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2A59B4" w:rsidRPr="00175D8B" w14:paraId="2F43F9B2" w14:textId="77777777" w:rsidTr="002550A6">
        <w:trPr>
          <w:trHeight w:val="300"/>
          <w:jc w:val="center"/>
        </w:trPr>
        <w:tc>
          <w:tcPr>
            <w:tcW w:w="1276" w:type="dxa"/>
            <w:vMerge/>
          </w:tcPr>
          <w:p w14:paraId="26175FCD" w14:textId="77777777" w:rsidR="002A59B4" w:rsidRPr="00175D8B" w:rsidRDefault="002A59B4" w:rsidP="002A59B4">
            <w:pPr>
              <w:spacing w:before="120" w:after="24" w:line="240" w:lineRule="auto"/>
              <w:ind w:left="567"/>
              <w:rPr>
                <w:rFonts w:eastAsia="Aptos" w:cs="Aptos"/>
                <w:color w:val="000000" w:themeColor="text1"/>
                <w:sz w:val="20"/>
                <w:szCs w:val="20"/>
              </w:rPr>
            </w:pPr>
          </w:p>
        </w:tc>
        <w:tc>
          <w:tcPr>
            <w:tcW w:w="2268" w:type="dxa"/>
            <w:vMerge/>
          </w:tcPr>
          <w:p w14:paraId="69C3020E" w14:textId="77777777" w:rsidR="002A59B4" w:rsidRPr="00175D8B" w:rsidRDefault="002A59B4" w:rsidP="002A59B4">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tcPr>
          <w:p w14:paraId="4202D8F2" w14:textId="77777777" w:rsidR="002A59B4" w:rsidRPr="00175D8B" w:rsidRDefault="002A59B4" w:rsidP="002A59B4">
            <w:pPr>
              <w:numPr>
                <w:ilvl w:val="0"/>
                <w:numId w:val="9"/>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Ensuring adequate distance and space for employees in areas such as meals, breaks, etc.</w:t>
            </w:r>
          </w:p>
          <w:p w14:paraId="02498859" w14:textId="77777777" w:rsidR="002A59B4" w:rsidRPr="00175D8B" w:rsidRDefault="002A59B4" w:rsidP="002A59B4">
            <w:pPr>
              <w:numPr>
                <w:ilvl w:val="0"/>
                <w:numId w:val="9"/>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Taking necessary precaution in line with the recommendations of the Ministry of Health with regards to occupational diseases.</w:t>
            </w:r>
          </w:p>
          <w:p w14:paraId="5A006166" w14:textId="77777777" w:rsidR="002A59B4" w:rsidRPr="00175D8B" w:rsidRDefault="002A59B4" w:rsidP="002A59B4">
            <w:pPr>
              <w:numPr>
                <w:ilvl w:val="0"/>
                <w:numId w:val="9"/>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Making spatial arrangements to ensure equal opportunities for women employees in the workplace.</w:t>
            </w:r>
          </w:p>
          <w:p w14:paraId="5BA56032" w14:textId="77777777" w:rsidR="002A59B4" w:rsidRPr="00175D8B" w:rsidRDefault="002A59B4" w:rsidP="002A59B4">
            <w:pPr>
              <w:numPr>
                <w:ilvl w:val="0"/>
                <w:numId w:val="9"/>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Providing trainings that will raise the awareness of employees and reveal the project conditions, prohibited behaviors and the principle of equality before they start working.</w:t>
            </w:r>
          </w:p>
          <w:p w14:paraId="72683C59" w14:textId="77777777" w:rsidR="002A59B4" w:rsidRPr="00175D8B" w:rsidRDefault="002A59B4" w:rsidP="002A59B4">
            <w:pPr>
              <w:numPr>
                <w:ilvl w:val="0"/>
                <w:numId w:val="9"/>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Ensuring their compliance with the national law requirements and ESS2 as described in the LMP of the Project.</w:t>
            </w:r>
          </w:p>
          <w:p w14:paraId="43EC355D" w14:textId="79BC4EB3" w:rsidR="002A59B4" w:rsidRPr="00175D8B" w:rsidRDefault="002A59B4" w:rsidP="002A59B4">
            <w:pPr>
              <w:numPr>
                <w:ilvl w:val="0"/>
                <w:numId w:val="9"/>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To be responsible for raising awareness and training of all employees in the Code of Conduct (Annex 2) and the procedures and principles in the GM.</w:t>
            </w:r>
          </w:p>
        </w:tc>
        <w:tc>
          <w:tcPr>
            <w:tcW w:w="1417" w:type="dxa"/>
            <w:shd w:val="clear" w:color="auto" w:fill="F2F2F2" w:themeFill="background1" w:themeFillShade="F2"/>
          </w:tcPr>
          <w:p w14:paraId="57C803BB" w14:textId="77777777" w:rsidR="002A59B4" w:rsidRPr="00175D8B" w:rsidRDefault="002A59B4" w:rsidP="002A59B4">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Contractor</w:t>
            </w:r>
          </w:p>
        </w:tc>
      </w:tr>
      <w:tr w:rsidR="002A59B4" w:rsidRPr="00175D8B" w14:paraId="3C0DDDA6" w14:textId="77777777" w:rsidTr="002550A6">
        <w:trPr>
          <w:trHeight w:val="300"/>
          <w:jc w:val="center"/>
        </w:trPr>
        <w:tc>
          <w:tcPr>
            <w:tcW w:w="1276" w:type="dxa"/>
            <w:vMerge w:val="restart"/>
            <w:shd w:val="clear" w:color="auto" w:fill="F2F2F2" w:themeFill="background1" w:themeFillShade="F2"/>
          </w:tcPr>
          <w:p w14:paraId="5DCEF68E" w14:textId="77777777" w:rsidR="002A59B4" w:rsidRPr="00175D8B" w:rsidRDefault="002A59B4" w:rsidP="002A59B4">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lastRenderedPageBreak/>
              <w:t>Preparing for Demolition</w:t>
            </w:r>
          </w:p>
        </w:tc>
        <w:tc>
          <w:tcPr>
            <w:tcW w:w="2268" w:type="dxa"/>
            <w:vMerge w:val="restart"/>
            <w:shd w:val="clear" w:color="auto" w:fill="F2F2F2" w:themeFill="background1" w:themeFillShade="F2"/>
          </w:tcPr>
          <w:p w14:paraId="67D59E12" w14:textId="77777777" w:rsidR="002A59B4" w:rsidRPr="00175D8B" w:rsidRDefault="002A59B4" w:rsidP="002A59B4">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Managing the impacts of the project despite sensitivities</w:t>
            </w:r>
          </w:p>
        </w:tc>
        <w:tc>
          <w:tcPr>
            <w:tcW w:w="4111" w:type="dxa"/>
            <w:shd w:val="clear" w:color="auto" w:fill="F2F2F2" w:themeFill="background1" w:themeFillShade="F2"/>
          </w:tcPr>
          <w:p w14:paraId="6FF8B979" w14:textId="77777777" w:rsidR="00C42E13" w:rsidRPr="00175D8B" w:rsidRDefault="00C42E13" w:rsidP="00C42E13">
            <w:pPr>
              <w:numPr>
                <w:ilvl w:val="0"/>
                <w:numId w:val="10"/>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The contractor should identify sensitive receptors within the Project area of influence, such as schools, health facilities, nursing homes, etc.</w:t>
            </w:r>
          </w:p>
          <w:p w14:paraId="33F047CD" w14:textId="77777777" w:rsidR="00C42E13" w:rsidRPr="00175D8B" w:rsidRDefault="00C42E13" w:rsidP="00C42E13">
            <w:pPr>
              <w:numPr>
                <w:ilvl w:val="0"/>
                <w:numId w:val="10"/>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Screening measures should be taken for dust and noise effects that may occur in these areas and working hours should be regulated.</w:t>
            </w:r>
          </w:p>
          <w:p w14:paraId="10A903AA" w14:textId="23FF4C3B" w:rsidR="002A59B4" w:rsidRPr="00175D8B" w:rsidRDefault="00C42E13" w:rsidP="00C42E13">
            <w:pPr>
              <w:numPr>
                <w:ilvl w:val="0"/>
                <w:numId w:val="10"/>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Consultation of potential risks and measures with representatives or managers of vulnerabilities.</w:t>
            </w:r>
          </w:p>
        </w:tc>
        <w:tc>
          <w:tcPr>
            <w:tcW w:w="1417" w:type="dxa"/>
            <w:shd w:val="clear" w:color="auto" w:fill="F2F2F2" w:themeFill="background1" w:themeFillShade="F2"/>
          </w:tcPr>
          <w:p w14:paraId="3EFE479B" w14:textId="77777777" w:rsidR="002A59B4" w:rsidRPr="00175D8B" w:rsidRDefault="002A59B4" w:rsidP="002A59B4">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 xml:space="preserve">PMU </w:t>
            </w:r>
          </w:p>
        </w:tc>
      </w:tr>
      <w:tr w:rsidR="00C42E13" w:rsidRPr="00175D8B" w14:paraId="76667A58" w14:textId="77777777" w:rsidTr="002550A6">
        <w:trPr>
          <w:trHeight w:val="300"/>
          <w:jc w:val="center"/>
        </w:trPr>
        <w:tc>
          <w:tcPr>
            <w:tcW w:w="1276" w:type="dxa"/>
            <w:vMerge/>
          </w:tcPr>
          <w:p w14:paraId="7AFD090F" w14:textId="77777777" w:rsidR="00C42E13" w:rsidRPr="00175D8B" w:rsidRDefault="00C42E13" w:rsidP="00C42E13">
            <w:pPr>
              <w:spacing w:before="120" w:after="24" w:line="240" w:lineRule="auto"/>
              <w:rPr>
                <w:rFonts w:eastAsia="Calibri" w:cs="Calibri"/>
                <w:color w:val="000000" w:themeColor="text1"/>
                <w:sz w:val="20"/>
                <w:szCs w:val="20"/>
              </w:rPr>
            </w:pPr>
          </w:p>
        </w:tc>
        <w:tc>
          <w:tcPr>
            <w:tcW w:w="2268" w:type="dxa"/>
            <w:vMerge/>
          </w:tcPr>
          <w:p w14:paraId="585189E5" w14:textId="77777777" w:rsidR="00C42E13" w:rsidRPr="00175D8B" w:rsidRDefault="00C42E13" w:rsidP="00C42E13">
            <w:pPr>
              <w:spacing w:before="120" w:after="24" w:line="240" w:lineRule="auto"/>
              <w:rPr>
                <w:rFonts w:eastAsia="Calibri" w:cs="Calibri"/>
                <w:color w:val="000000" w:themeColor="text1"/>
                <w:sz w:val="20"/>
                <w:szCs w:val="20"/>
              </w:rPr>
            </w:pPr>
          </w:p>
        </w:tc>
        <w:tc>
          <w:tcPr>
            <w:tcW w:w="4111" w:type="dxa"/>
            <w:shd w:val="clear" w:color="auto" w:fill="F2F2F2" w:themeFill="background1" w:themeFillShade="F2"/>
            <w:vAlign w:val="center"/>
          </w:tcPr>
          <w:p w14:paraId="28D5D7BA" w14:textId="77777777" w:rsidR="00C42E13" w:rsidRPr="00175D8B" w:rsidRDefault="00C42E13" w:rsidP="00C42E13">
            <w:pPr>
              <w:numPr>
                <w:ilvl w:val="0"/>
                <w:numId w:val="10"/>
              </w:numPr>
              <w:pBdr>
                <w:top w:val="nil"/>
                <w:left w:val="nil"/>
                <w:bottom w:val="nil"/>
                <w:right w:val="nil"/>
                <w:between w:val="nil"/>
              </w:pBd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t xml:space="preserve">Take </w:t>
            </w:r>
            <w:r w:rsidRPr="00175D8B">
              <w:rPr>
                <w:rFonts w:eastAsia="Tahoma" w:cs="Aptos"/>
                <w:color w:val="000000" w:themeColor="text1"/>
                <w:sz w:val="20"/>
                <w:szCs w:val="20"/>
              </w:rPr>
              <w:t xml:space="preserve">necessary precautions in the work area considering the sensitive locations identified by the PMU. </w:t>
            </w:r>
          </w:p>
          <w:p w14:paraId="2EC1B504" w14:textId="77777777" w:rsidR="00C42E13" w:rsidRPr="00175D8B" w:rsidRDefault="00C42E13" w:rsidP="00C42E13">
            <w:pPr>
              <w:numPr>
                <w:ilvl w:val="0"/>
                <w:numId w:val="10"/>
              </w:numPr>
              <w:pBdr>
                <w:top w:val="nil"/>
                <w:left w:val="nil"/>
                <w:bottom w:val="nil"/>
                <w:right w:val="nil"/>
                <w:between w:val="nil"/>
              </w:pBd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Implement dust and noise reduction measures defined by the PMU.</w:t>
            </w:r>
          </w:p>
          <w:p w14:paraId="584A2801" w14:textId="77777777" w:rsidR="00C42E13" w:rsidRPr="00175D8B" w:rsidRDefault="00C42E13" w:rsidP="00C42E13">
            <w:pPr>
              <w:numPr>
                <w:ilvl w:val="0"/>
                <w:numId w:val="10"/>
              </w:numPr>
              <w:pBdr>
                <w:top w:val="nil"/>
                <w:left w:val="nil"/>
                <w:bottom w:val="nil"/>
                <w:right w:val="nil"/>
                <w:between w:val="nil"/>
              </w:pBd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Adhere to the working hours regulations set by the PMU.</w:t>
            </w:r>
          </w:p>
          <w:p w14:paraId="6AE80011" w14:textId="61062B28" w:rsidR="00C42E13" w:rsidRPr="00175D8B" w:rsidRDefault="00C42E13" w:rsidP="00C42E13">
            <w:pPr>
              <w:numPr>
                <w:ilvl w:val="0"/>
                <w:numId w:val="10"/>
              </w:numPr>
              <w:pBdr>
                <w:top w:val="nil"/>
                <w:left w:val="nil"/>
                <w:bottom w:val="nil"/>
                <w:right w:val="nil"/>
                <w:between w:val="nil"/>
              </w:pBdr>
              <w:spacing w:before="120" w:after="24" w:line="240" w:lineRule="auto"/>
              <w:contextualSpacing/>
              <w:rPr>
                <w:rFonts w:eastAsia="Aptos" w:cs="Aptos"/>
                <w:color w:val="000000"/>
                <w:sz w:val="20"/>
                <w:szCs w:val="20"/>
              </w:rPr>
            </w:pPr>
            <w:r w:rsidRPr="00175D8B">
              <w:rPr>
                <w:rFonts w:eastAsia="Tahoma" w:cs="Aptos"/>
                <w:color w:val="000000" w:themeColor="text1"/>
                <w:sz w:val="20"/>
                <w:szCs w:val="20"/>
              </w:rPr>
              <w:t>Maintain communication with representatives of vulnerable groups and take necessary measures based on the risk assessment</w:t>
            </w:r>
            <w:r w:rsidRPr="00175D8B">
              <w:rPr>
                <w:rFonts w:eastAsia="Aptos" w:cs="Aptos"/>
                <w:color w:val="000000"/>
                <w:sz w:val="20"/>
                <w:szCs w:val="20"/>
              </w:rPr>
              <w:t xml:space="preserve"> conducted by the PMU.</w:t>
            </w:r>
          </w:p>
        </w:tc>
        <w:tc>
          <w:tcPr>
            <w:tcW w:w="1417" w:type="dxa"/>
            <w:shd w:val="clear" w:color="auto" w:fill="F2F2F2" w:themeFill="background1" w:themeFillShade="F2"/>
          </w:tcPr>
          <w:p w14:paraId="61578A6E" w14:textId="77777777" w:rsidR="00C42E13" w:rsidRPr="00175D8B" w:rsidRDefault="00C42E13" w:rsidP="00C42E13">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Contractor</w:t>
            </w:r>
          </w:p>
        </w:tc>
      </w:tr>
      <w:tr w:rsidR="00C42E13" w:rsidRPr="00175D8B" w14:paraId="57C26152" w14:textId="77777777" w:rsidTr="002550A6">
        <w:trPr>
          <w:trHeight w:val="300"/>
          <w:jc w:val="center"/>
        </w:trPr>
        <w:tc>
          <w:tcPr>
            <w:tcW w:w="1276" w:type="dxa"/>
            <w:shd w:val="clear" w:color="auto" w:fill="F2F2F2" w:themeFill="background1" w:themeFillShade="F2"/>
          </w:tcPr>
          <w:p w14:paraId="547080BF" w14:textId="77777777" w:rsidR="00C42E13" w:rsidRPr="00175D8B" w:rsidRDefault="00C42E13" w:rsidP="00C42E13">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Preparing for Demolition</w:t>
            </w:r>
          </w:p>
        </w:tc>
        <w:tc>
          <w:tcPr>
            <w:tcW w:w="2268" w:type="dxa"/>
            <w:shd w:val="clear" w:color="auto" w:fill="F2F2F2" w:themeFill="background1" w:themeFillShade="F2"/>
          </w:tcPr>
          <w:p w14:paraId="7B08061C" w14:textId="77777777" w:rsidR="00C42E13" w:rsidRPr="00175D8B" w:rsidRDefault="00C42E13" w:rsidP="00C42E13">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Management of the project's traffic and community safety impacts</w:t>
            </w:r>
          </w:p>
        </w:tc>
        <w:tc>
          <w:tcPr>
            <w:tcW w:w="4111" w:type="dxa"/>
            <w:shd w:val="clear" w:color="auto" w:fill="F2F2F2" w:themeFill="background1" w:themeFillShade="F2"/>
          </w:tcPr>
          <w:p w14:paraId="20806BE3" w14:textId="77777777" w:rsidR="00C42E13" w:rsidRPr="00175D8B" w:rsidRDefault="00C42E13" w:rsidP="00C42E13">
            <w:pPr>
              <w:numPr>
                <w:ilvl w:val="0"/>
                <w:numId w:val="11"/>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Within the scope of the sub-project, before demolition, the contractor should identify the roads and streets that can and cannot be used by heavy vehicles and create a route map.</w:t>
            </w:r>
          </w:p>
          <w:p w14:paraId="79B7AB05" w14:textId="77777777" w:rsidR="00C42E13" w:rsidRPr="00175D8B" w:rsidRDefault="00C42E13" w:rsidP="00C42E13">
            <w:pPr>
              <w:numPr>
                <w:ilvl w:val="0"/>
                <w:numId w:val="11"/>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Prevent the use of roads that endanger public health and safety by taking the opinions of local authorities such as muhtars and municipalities in the road risk analysis process.</w:t>
            </w:r>
          </w:p>
          <w:p w14:paraId="57C725C6" w14:textId="1628CA91" w:rsidR="00C42E13" w:rsidRPr="00175D8B" w:rsidRDefault="00C42E13" w:rsidP="00C42E13">
            <w:pPr>
              <w:numPr>
                <w:ilvl w:val="0"/>
                <w:numId w:val="11"/>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Sharing route information, including roads that will and will not be used within the scope of the project, with drivers and relevant subcontractors and provide necessary information.</w:t>
            </w:r>
          </w:p>
        </w:tc>
        <w:tc>
          <w:tcPr>
            <w:tcW w:w="1417" w:type="dxa"/>
            <w:shd w:val="clear" w:color="auto" w:fill="F2F2F2" w:themeFill="background1" w:themeFillShade="F2"/>
          </w:tcPr>
          <w:p w14:paraId="0E010250" w14:textId="77777777" w:rsidR="00C42E13" w:rsidRPr="00175D8B" w:rsidRDefault="00C42E13" w:rsidP="00C42E13">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Contractor</w:t>
            </w:r>
          </w:p>
        </w:tc>
      </w:tr>
      <w:tr w:rsidR="00C42E13" w:rsidRPr="00175D8B" w14:paraId="515FA69D" w14:textId="77777777" w:rsidTr="002550A6">
        <w:trPr>
          <w:trHeight w:val="300"/>
          <w:jc w:val="center"/>
        </w:trPr>
        <w:tc>
          <w:tcPr>
            <w:tcW w:w="1276" w:type="dxa"/>
            <w:vMerge w:val="restart"/>
            <w:shd w:val="clear" w:color="auto" w:fill="F2F2F2" w:themeFill="background1" w:themeFillShade="F2"/>
          </w:tcPr>
          <w:p w14:paraId="571C71B6" w14:textId="77777777" w:rsidR="00C42E13" w:rsidRPr="00175D8B" w:rsidRDefault="00C42E13" w:rsidP="00C42E13">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Preparing for Demolition</w:t>
            </w:r>
          </w:p>
        </w:tc>
        <w:tc>
          <w:tcPr>
            <w:tcW w:w="2268" w:type="dxa"/>
            <w:vMerge w:val="restart"/>
            <w:shd w:val="clear" w:color="auto" w:fill="F2F2F2" w:themeFill="background1" w:themeFillShade="F2"/>
            <w:vAlign w:val="center"/>
          </w:tcPr>
          <w:p w14:paraId="2248975B" w14:textId="025D0162" w:rsidR="00C42E13" w:rsidRPr="00175D8B" w:rsidRDefault="00C42E13" w:rsidP="00C42E13">
            <w:pPr>
              <w:spacing w:before="120" w:after="24" w:line="240" w:lineRule="auto"/>
              <w:ind w:left="567"/>
              <w:rPr>
                <w:rFonts w:eastAsia="Calibri" w:cs="Calibri"/>
                <w:color w:val="000000" w:themeColor="text1"/>
                <w:sz w:val="20"/>
                <w:szCs w:val="20"/>
              </w:rPr>
            </w:pPr>
            <w:r w:rsidRPr="00175D8B">
              <w:rPr>
                <w:rFonts w:eastAsia="Aptos" w:cs="Aptos"/>
                <w:sz w:val="20"/>
                <w:szCs w:val="20"/>
              </w:rPr>
              <w:t xml:space="preserve">Community health and safety risks that may result from insufficient public informing practices of the people of the neighborhood where the structure to be </w:t>
            </w:r>
            <w:r w:rsidRPr="00175D8B">
              <w:rPr>
                <w:rFonts w:eastAsia="Aptos" w:cs="Aptos"/>
                <w:sz w:val="20"/>
                <w:szCs w:val="20"/>
              </w:rPr>
              <w:lastRenderedPageBreak/>
              <w:t>demolished is located.</w:t>
            </w:r>
          </w:p>
        </w:tc>
        <w:tc>
          <w:tcPr>
            <w:tcW w:w="4111" w:type="dxa"/>
            <w:shd w:val="clear" w:color="auto" w:fill="F2F2F2" w:themeFill="background1" w:themeFillShade="F2"/>
          </w:tcPr>
          <w:p w14:paraId="55E3550D" w14:textId="768E650F" w:rsidR="00C42E13" w:rsidRPr="00175D8B" w:rsidRDefault="00C42E13" w:rsidP="00C42E13">
            <w:pPr>
              <w:numPr>
                <w:ilvl w:val="0"/>
                <w:numId w:val="11"/>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lastRenderedPageBreak/>
              <w:t>Informing the muhtar of neighborhood in line with the SEP requirements.</w:t>
            </w:r>
          </w:p>
        </w:tc>
        <w:tc>
          <w:tcPr>
            <w:tcW w:w="1417" w:type="dxa"/>
            <w:shd w:val="clear" w:color="auto" w:fill="F2F2F2" w:themeFill="background1" w:themeFillShade="F2"/>
          </w:tcPr>
          <w:p w14:paraId="0D42A925" w14:textId="77777777" w:rsidR="00C42E13" w:rsidRPr="00175D8B" w:rsidRDefault="00C42E13" w:rsidP="00C42E13">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 and the Contractor</w:t>
            </w:r>
          </w:p>
        </w:tc>
      </w:tr>
      <w:tr w:rsidR="00C42E13" w:rsidRPr="00175D8B" w14:paraId="08CF47B9" w14:textId="77777777" w:rsidTr="002550A6">
        <w:trPr>
          <w:trHeight w:val="1238"/>
          <w:jc w:val="center"/>
        </w:trPr>
        <w:tc>
          <w:tcPr>
            <w:tcW w:w="1276" w:type="dxa"/>
            <w:vMerge/>
          </w:tcPr>
          <w:p w14:paraId="5D87BB63" w14:textId="77777777" w:rsidR="00C42E13" w:rsidRPr="00175D8B" w:rsidRDefault="00C42E13" w:rsidP="00C42E13">
            <w:pPr>
              <w:spacing w:before="120" w:after="24" w:line="240" w:lineRule="auto"/>
              <w:ind w:left="567"/>
              <w:rPr>
                <w:rFonts w:eastAsia="Aptos" w:cs="Aptos"/>
                <w:color w:val="000000" w:themeColor="text1"/>
                <w:sz w:val="20"/>
                <w:szCs w:val="20"/>
              </w:rPr>
            </w:pPr>
          </w:p>
        </w:tc>
        <w:tc>
          <w:tcPr>
            <w:tcW w:w="2268" w:type="dxa"/>
            <w:vMerge/>
          </w:tcPr>
          <w:p w14:paraId="3B2CA373" w14:textId="77777777" w:rsidR="00C42E13" w:rsidRPr="00175D8B" w:rsidRDefault="00C42E13" w:rsidP="00C42E13">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tcPr>
          <w:p w14:paraId="439A508F" w14:textId="77777777" w:rsidR="00C42E13" w:rsidRPr="00175D8B" w:rsidRDefault="00C42E13" w:rsidP="00C42E13">
            <w:pPr>
              <w:numPr>
                <w:ilvl w:val="0"/>
                <w:numId w:val="11"/>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Implementing the information process as determined by the PMU.</w:t>
            </w:r>
          </w:p>
          <w:p w14:paraId="1211655A" w14:textId="77777777" w:rsidR="00C42E13" w:rsidRPr="00175D8B" w:rsidRDefault="00C42E13" w:rsidP="00C42E13">
            <w:pPr>
              <w:numPr>
                <w:ilvl w:val="0"/>
                <w:numId w:val="11"/>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Ensuring that the necessary information is delivered to the muhtar of neighborhood in a timely and complete manner.</w:t>
            </w:r>
          </w:p>
          <w:p w14:paraId="0F5AFFE9" w14:textId="6ADFD62B" w:rsidR="00C42E13" w:rsidRPr="00175D8B" w:rsidRDefault="00C42E13" w:rsidP="00C42E13">
            <w:pPr>
              <w:numPr>
                <w:ilvl w:val="0"/>
                <w:numId w:val="11"/>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Following the designated communication methods</w:t>
            </w:r>
            <w:r w:rsidR="00B55B52" w:rsidRPr="00175D8B">
              <w:rPr>
                <w:rFonts w:eastAsia="Tahoma" w:cs="Aptos"/>
                <w:color w:val="000000" w:themeColor="text1"/>
                <w:sz w:val="20"/>
                <w:szCs w:val="20"/>
              </w:rPr>
              <w:t xml:space="preserve"> in the</w:t>
            </w:r>
            <w:r w:rsidR="00CE53E9" w:rsidRPr="00175D8B">
              <w:rPr>
                <w:rFonts w:eastAsia="Tahoma" w:cs="Aptos"/>
                <w:color w:val="000000" w:themeColor="text1"/>
                <w:sz w:val="20"/>
                <w:szCs w:val="20"/>
              </w:rPr>
              <w:t xml:space="preserve"> SEP</w:t>
            </w:r>
            <w:r w:rsidRPr="00175D8B">
              <w:rPr>
                <w:rFonts w:eastAsia="Tahoma" w:cs="Aptos"/>
                <w:color w:val="000000" w:themeColor="text1"/>
                <w:sz w:val="20"/>
                <w:szCs w:val="20"/>
              </w:rPr>
              <w:t xml:space="preserve"> to complete the process.</w:t>
            </w:r>
          </w:p>
        </w:tc>
        <w:tc>
          <w:tcPr>
            <w:tcW w:w="1417" w:type="dxa"/>
            <w:shd w:val="clear" w:color="auto" w:fill="F2F2F2" w:themeFill="background1" w:themeFillShade="F2"/>
          </w:tcPr>
          <w:p w14:paraId="311835A8" w14:textId="77777777" w:rsidR="00C42E13" w:rsidRPr="00175D8B" w:rsidRDefault="00C42E13" w:rsidP="00C42E13">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Contractor</w:t>
            </w:r>
          </w:p>
        </w:tc>
      </w:tr>
      <w:tr w:rsidR="00C42E13" w:rsidRPr="00175D8B" w14:paraId="7FEBA4B4" w14:textId="77777777" w:rsidTr="002550A6">
        <w:trPr>
          <w:trHeight w:val="1237"/>
          <w:jc w:val="center"/>
        </w:trPr>
        <w:tc>
          <w:tcPr>
            <w:tcW w:w="1276" w:type="dxa"/>
            <w:vMerge/>
          </w:tcPr>
          <w:p w14:paraId="207696EE" w14:textId="77777777" w:rsidR="00C42E13" w:rsidRPr="00175D8B" w:rsidRDefault="00C42E13" w:rsidP="00C42E13">
            <w:pPr>
              <w:spacing w:before="120" w:after="24" w:line="240" w:lineRule="auto"/>
              <w:ind w:left="567"/>
              <w:rPr>
                <w:rFonts w:eastAsia="Aptos" w:cs="Aptos"/>
                <w:color w:val="000000" w:themeColor="text1"/>
                <w:sz w:val="20"/>
                <w:szCs w:val="20"/>
              </w:rPr>
            </w:pPr>
          </w:p>
        </w:tc>
        <w:tc>
          <w:tcPr>
            <w:tcW w:w="2268" w:type="dxa"/>
            <w:vMerge/>
          </w:tcPr>
          <w:p w14:paraId="0088FA36" w14:textId="77777777" w:rsidR="00C42E13" w:rsidRPr="00175D8B" w:rsidRDefault="00C42E13" w:rsidP="00C42E13">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vAlign w:val="center"/>
          </w:tcPr>
          <w:p w14:paraId="21F3A39D" w14:textId="37D170C6" w:rsidR="00C42E13" w:rsidRPr="00175D8B" w:rsidRDefault="00C42E13" w:rsidP="00C42E13">
            <w:pPr>
              <w:numPr>
                <w:ilvl w:val="0"/>
                <w:numId w:val="11"/>
              </w:numP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t xml:space="preserve">Ensuring the entrances and exits of the local people in a way to prevent unauthorized entrances and exits by enclosing with a mobile or fixed screen at a height to be determined by taking into account the boundaries of the area to be demolished, the height of the structure to be demolished, its distance to other structures and the parcel area, the selected demolition technique, and environmental construction, and making appropriate health and safety signs at the points where the local people can see them. </w:t>
            </w:r>
          </w:p>
        </w:tc>
        <w:tc>
          <w:tcPr>
            <w:tcW w:w="1417" w:type="dxa"/>
            <w:shd w:val="clear" w:color="auto" w:fill="F2F2F2" w:themeFill="background1" w:themeFillShade="F2"/>
          </w:tcPr>
          <w:p w14:paraId="1AD88825" w14:textId="35343417" w:rsidR="00C42E13" w:rsidRPr="00175D8B" w:rsidRDefault="00C42E13" w:rsidP="00C42E13">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Contractor</w:t>
            </w:r>
          </w:p>
        </w:tc>
      </w:tr>
      <w:tr w:rsidR="00C42E13" w:rsidRPr="00175D8B" w14:paraId="25CEBCA5" w14:textId="77777777" w:rsidTr="002550A6">
        <w:trPr>
          <w:trHeight w:val="300"/>
          <w:jc w:val="center"/>
        </w:trPr>
        <w:tc>
          <w:tcPr>
            <w:tcW w:w="1276" w:type="dxa"/>
            <w:vMerge/>
          </w:tcPr>
          <w:p w14:paraId="12FF47F2" w14:textId="77777777" w:rsidR="00C42E13" w:rsidRPr="00175D8B" w:rsidRDefault="00C42E13" w:rsidP="00C42E13">
            <w:pPr>
              <w:spacing w:before="120" w:after="24" w:line="240" w:lineRule="auto"/>
              <w:ind w:left="567"/>
              <w:rPr>
                <w:rFonts w:eastAsia="Aptos" w:cs="Aptos"/>
                <w:color w:val="000000" w:themeColor="text1"/>
                <w:sz w:val="20"/>
                <w:szCs w:val="20"/>
              </w:rPr>
            </w:pPr>
          </w:p>
        </w:tc>
        <w:tc>
          <w:tcPr>
            <w:tcW w:w="2268" w:type="dxa"/>
            <w:vMerge/>
          </w:tcPr>
          <w:p w14:paraId="6677CA2E" w14:textId="77777777" w:rsidR="00C42E13" w:rsidRPr="00175D8B" w:rsidRDefault="00C42E13" w:rsidP="00C42E13">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vAlign w:val="center"/>
          </w:tcPr>
          <w:p w14:paraId="1C943A8D" w14:textId="308D8CB9" w:rsidR="00C42E13" w:rsidRPr="00175D8B" w:rsidRDefault="00C42E13" w:rsidP="00C42E13">
            <w:pPr>
              <w:numPr>
                <w:ilvl w:val="0"/>
                <w:numId w:val="11"/>
              </w:numP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t>Ensuring that the Contactor shall not commence the demolition work unless it is proven or checked that the local people are informed, and health and safety signs and entry and exit measures are applied.</w:t>
            </w:r>
          </w:p>
        </w:tc>
        <w:tc>
          <w:tcPr>
            <w:tcW w:w="1417" w:type="dxa"/>
            <w:shd w:val="clear" w:color="auto" w:fill="F2F2F2" w:themeFill="background1" w:themeFillShade="F2"/>
          </w:tcPr>
          <w:p w14:paraId="7D970604" w14:textId="77777777" w:rsidR="00C42E13" w:rsidRPr="00175D8B" w:rsidRDefault="00C42E13" w:rsidP="00C42E13">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C42E13" w:rsidRPr="00175D8B" w14:paraId="5FE2A1B1" w14:textId="77777777" w:rsidTr="002550A6">
        <w:trPr>
          <w:trHeight w:val="300"/>
          <w:jc w:val="center"/>
        </w:trPr>
        <w:tc>
          <w:tcPr>
            <w:tcW w:w="1276" w:type="dxa"/>
            <w:vMerge w:val="restart"/>
            <w:shd w:val="clear" w:color="auto" w:fill="F2F2F2" w:themeFill="background1" w:themeFillShade="F2"/>
          </w:tcPr>
          <w:p w14:paraId="0727BCB8" w14:textId="77777777" w:rsidR="00C42E13" w:rsidRPr="00175D8B" w:rsidRDefault="00C42E13" w:rsidP="00C42E13">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Preparing for Demolition</w:t>
            </w:r>
          </w:p>
        </w:tc>
        <w:tc>
          <w:tcPr>
            <w:tcW w:w="2268" w:type="dxa"/>
            <w:vMerge w:val="restart"/>
            <w:shd w:val="clear" w:color="auto" w:fill="F2F2F2" w:themeFill="background1" w:themeFillShade="F2"/>
            <w:vAlign w:val="center"/>
          </w:tcPr>
          <w:p w14:paraId="0BE86230" w14:textId="77777777" w:rsidR="00C42E13" w:rsidRPr="00175D8B" w:rsidRDefault="00C42E13" w:rsidP="00C42E13">
            <w:pPr>
              <w:spacing w:before="80" w:after="80"/>
              <w:jc w:val="left"/>
              <w:rPr>
                <w:rFonts w:eastAsia="Aptos" w:cs="Aptos"/>
                <w:sz w:val="20"/>
                <w:szCs w:val="20"/>
              </w:rPr>
            </w:pPr>
            <w:r w:rsidRPr="00175D8B">
              <w:rPr>
                <w:rFonts w:eastAsia="Aptos" w:cs="Aptos"/>
                <w:sz w:val="20"/>
                <w:szCs w:val="20"/>
              </w:rPr>
              <w:t>Due to insufficient preliminary planning,</w:t>
            </w:r>
          </w:p>
          <w:p w14:paraId="599E3E72" w14:textId="77777777" w:rsidR="00C42E13" w:rsidRPr="00175D8B" w:rsidRDefault="00C42E13">
            <w:pPr>
              <w:numPr>
                <w:ilvl w:val="0"/>
                <w:numId w:val="143"/>
              </w:numPr>
              <w:pBdr>
                <w:top w:val="nil"/>
                <w:left w:val="nil"/>
                <w:bottom w:val="nil"/>
                <w:right w:val="nil"/>
                <w:between w:val="nil"/>
              </w:pBdr>
              <w:spacing w:before="80" w:after="0"/>
              <w:ind w:left="426" w:hanging="284"/>
              <w:jc w:val="left"/>
              <w:rPr>
                <w:color w:val="000000"/>
                <w:sz w:val="20"/>
                <w:szCs w:val="20"/>
              </w:rPr>
            </w:pPr>
            <w:r w:rsidRPr="00175D8B">
              <w:rPr>
                <w:rFonts w:eastAsia="Aptos" w:cs="Aptos"/>
                <w:color w:val="000000"/>
                <w:sz w:val="20"/>
                <w:szCs w:val="20"/>
              </w:rPr>
              <w:t>Potential damages to other structures, infrastructure and installations around the structure and to the community health, and</w:t>
            </w:r>
          </w:p>
          <w:p w14:paraId="6B1E3B9C" w14:textId="3D574FD4" w:rsidR="00C42E13" w:rsidRPr="00175D8B" w:rsidRDefault="00C42E13">
            <w:pPr>
              <w:numPr>
                <w:ilvl w:val="0"/>
                <w:numId w:val="143"/>
              </w:numPr>
              <w:pBdr>
                <w:top w:val="nil"/>
                <w:left w:val="nil"/>
                <w:bottom w:val="nil"/>
                <w:right w:val="nil"/>
                <w:between w:val="nil"/>
              </w:pBdr>
              <w:spacing w:before="80" w:after="0"/>
              <w:ind w:left="426" w:hanging="284"/>
              <w:jc w:val="left"/>
              <w:rPr>
                <w:color w:val="000000"/>
                <w:sz w:val="20"/>
                <w:szCs w:val="20"/>
              </w:rPr>
            </w:pPr>
            <w:r w:rsidRPr="00175D8B">
              <w:rPr>
                <w:rFonts w:eastAsia="Aptos" w:cs="Aptos"/>
                <w:color w:val="000000"/>
                <w:sz w:val="20"/>
                <w:szCs w:val="20"/>
              </w:rPr>
              <w:t>Traffic jams and the effects that may be caused by this.</w:t>
            </w:r>
          </w:p>
        </w:tc>
        <w:tc>
          <w:tcPr>
            <w:tcW w:w="4111" w:type="dxa"/>
            <w:shd w:val="clear" w:color="auto" w:fill="F2F2F2" w:themeFill="background1" w:themeFillShade="F2"/>
            <w:vAlign w:val="center"/>
          </w:tcPr>
          <w:p w14:paraId="5F0C1DFC" w14:textId="77777777" w:rsidR="00C42E13" w:rsidRPr="00175D8B" w:rsidRDefault="00C42E13">
            <w:pPr>
              <w:pStyle w:val="ListeParagraf"/>
              <w:numPr>
                <w:ilvl w:val="0"/>
                <w:numId w:val="143"/>
              </w:numPr>
              <w:pBdr>
                <w:top w:val="nil"/>
                <w:left w:val="nil"/>
                <w:bottom w:val="nil"/>
                <w:right w:val="nil"/>
                <w:between w:val="nil"/>
              </w:pBdr>
              <w:spacing w:before="80" w:after="0"/>
              <w:jc w:val="left"/>
              <w:rPr>
                <w:rFonts w:eastAsia="Aptos" w:cs="Aptos"/>
                <w:color w:val="000000"/>
                <w:sz w:val="20"/>
                <w:szCs w:val="20"/>
              </w:rPr>
            </w:pPr>
            <w:r w:rsidRPr="00175D8B">
              <w:rPr>
                <w:rFonts w:eastAsia="Aptos" w:cs="Aptos"/>
                <w:color w:val="000000"/>
                <w:sz w:val="20"/>
                <w:szCs w:val="20"/>
              </w:rPr>
              <w:t>Preparation of a Demolition Plan prior to demolition in order to determine which demolition method will be used, what measures will be taken for the safety of the building and other structures, infrastructure, installations, traffic and people that may be affected in the vicinity, the material and damage properties of the building, if any, and its bearing system, bearing capacity and all risk factors</w:t>
            </w:r>
          </w:p>
          <w:p w14:paraId="4C9AB105" w14:textId="58701616" w:rsidR="00C42E13" w:rsidRPr="00175D8B" w:rsidRDefault="00C42E13">
            <w:pPr>
              <w:pStyle w:val="ListeParagraf"/>
              <w:numPr>
                <w:ilvl w:val="0"/>
                <w:numId w:val="143"/>
              </w:numPr>
              <w:pBdr>
                <w:top w:val="nil"/>
                <w:left w:val="nil"/>
                <w:bottom w:val="nil"/>
                <w:right w:val="nil"/>
                <w:between w:val="nil"/>
              </w:pBdr>
              <w:spacing w:before="80" w:after="0"/>
              <w:jc w:val="left"/>
              <w:rPr>
                <w:rFonts w:eastAsia="Aptos" w:cs="Aptos"/>
                <w:color w:val="000000"/>
                <w:sz w:val="20"/>
                <w:szCs w:val="20"/>
              </w:rPr>
            </w:pPr>
            <w:r w:rsidRPr="00175D8B">
              <w:rPr>
                <w:rFonts w:eastAsia="Aptos" w:cs="Aptos"/>
                <w:color w:val="000000"/>
                <w:sz w:val="20"/>
                <w:szCs w:val="20"/>
              </w:rPr>
              <w:t>Obtaining all necessary permits, including the demolition permit.</w:t>
            </w:r>
          </w:p>
        </w:tc>
        <w:tc>
          <w:tcPr>
            <w:tcW w:w="1417" w:type="dxa"/>
            <w:shd w:val="clear" w:color="auto" w:fill="F2F2F2" w:themeFill="background1" w:themeFillShade="F2"/>
          </w:tcPr>
          <w:p w14:paraId="6585FA5D" w14:textId="77777777" w:rsidR="00C42E13" w:rsidRPr="00175D8B" w:rsidRDefault="00C42E13" w:rsidP="00C42E13">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Contractor</w:t>
            </w:r>
          </w:p>
        </w:tc>
      </w:tr>
      <w:tr w:rsidR="00C42E13" w:rsidRPr="00175D8B" w14:paraId="73170774" w14:textId="77777777" w:rsidTr="002550A6">
        <w:trPr>
          <w:trHeight w:val="300"/>
          <w:jc w:val="center"/>
        </w:trPr>
        <w:tc>
          <w:tcPr>
            <w:tcW w:w="1276" w:type="dxa"/>
            <w:vMerge/>
          </w:tcPr>
          <w:p w14:paraId="1461F053" w14:textId="77777777" w:rsidR="00C42E13" w:rsidRPr="00175D8B" w:rsidRDefault="00C42E13" w:rsidP="00C42E13">
            <w:pPr>
              <w:spacing w:before="120" w:after="24" w:line="240" w:lineRule="auto"/>
              <w:ind w:left="567"/>
              <w:rPr>
                <w:rFonts w:eastAsia="Aptos" w:cs="Aptos"/>
                <w:color w:val="000000" w:themeColor="text1"/>
                <w:sz w:val="20"/>
                <w:szCs w:val="20"/>
              </w:rPr>
            </w:pPr>
          </w:p>
        </w:tc>
        <w:tc>
          <w:tcPr>
            <w:tcW w:w="2268" w:type="dxa"/>
            <w:vMerge/>
          </w:tcPr>
          <w:p w14:paraId="0C4D5EA5" w14:textId="77777777" w:rsidR="00C42E13" w:rsidRPr="00175D8B" w:rsidRDefault="00C42E13" w:rsidP="00C42E13">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tcPr>
          <w:p w14:paraId="7ADEC2EA" w14:textId="77777777" w:rsidR="00C42E13" w:rsidRPr="00175D8B" w:rsidRDefault="00C42E13" w:rsidP="00C42E13">
            <w:pPr>
              <w:numPr>
                <w:ilvl w:val="0"/>
                <w:numId w:val="12"/>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 xml:space="preserve">Ensuring that demolition work is not started before the Demolition Plan is prepared and all necessary permits are obtained, including the demolition permit. </w:t>
            </w:r>
          </w:p>
          <w:p w14:paraId="71D6E135" w14:textId="2051BD7A" w:rsidR="00C42E13" w:rsidRPr="00175D8B" w:rsidRDefault="00C42E13" w:rsidP="00C42E13">
            <w:pPr>
              <w:numPr>
                <w:ilvl w:val="0"/>
                <w:numId w:val="12"/>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 xml:space="preserve">Auditing identified responsibilities of the contractors regarding impacts </w:t>
            </w:r>
            <w:r w:rsidRPr="00175D8B">
              <w:rPr>
                <w:rFonts w:eastAsia="Aptos" w:cs="Aptos"/>
                <w:color w:val="000000"/>
                <w:sz w:val="20"/>
                <w:szCs w:val="20"/>
              </w:rPr>
              <w:lastRenderedPageBreak/>
              <w:t>related to insufficient preliminary planning.</w:t>
            </w:r>
          </w:p>
        </w:tc>
        <w:tc>
          <w:tcPr>
            <w:tcW w:w="1417" w:type="dxa"/>
            <w:shd w:val="clear" w:color="auto" w:fill="F2F2F2" w:themeFill="background1" w:themeFillShade="F2"/>
          </w:tcPr>
          <w:p w14:paraId="5B8AB38D" w14:textId="77777777" w:rsidR="00C42E13" w:rsidRPr="00175D8B" w:rsidRDefault="00C42E13" w:rsidP="00C42E13">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lastRenderedPageBreak/>
              <w:t>PMU</w:t>
            </w:r>
          </w:p>
        </w:tc>
      </w:tr>
      <w:tr w:rsidR="00C42E13" w:rsidRPr="00175D8B" w14:paraId="17F1DAE3" w14:textId="77777777" w:rsidTr="002550A6">
        <w:trPr>
          <w:trHeight w:val="300"/>
          <w:jc w:val="center"/>
        </w:trPr>
        <w:tc>
          <w:tcPr>
            <w:tcW w:w="1276" w:type="dxa"/>
            <w:vMerge w:val="restart"/>
            <w:shd w:val="clear" w:color="auto" w:fill="F2F2F2" w:themeFill="background1" w:themeFillShade="F2"/>
          </w:tcPr>
          <w:p w14:paraId="5585E82C" w14:textId="77777777" w:rsidR="00C42E13" w:rsidRPr="00175D8B" w:rsidRDefault="00C42E13" w:rsidP="00C42E13">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Preparing for Demolition</w:t>
            </w:r>
          </w:p>
        </w:tc>
        <w:tc>
          <w:tcPr>
            <w:tcW w:w="2268" w:type="dxa"/>
            <w:vMerge w:val="restart"/>
            <w:shd w:val="clear" w:color="auto" w:fill="F2F2F2" w:themeFill="background1" w:themeFillShade="F2"/>
          </w:tcPr>
          <w:p w14:paraId="0D28C3B8" w14:textId="77777777" w:rsidR="00C42E13" w:rsidRPr="00175D8B" w:rsidRDefault="00C42E13" w:rsidP="00C42E13">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Asbestos</w:t>
            </w:r>
          </w:p>
        </w:tc>
        <w:tc>
          <w:tcPr>
            <w:tcW w:w="4111" w:type="dxa"/>
            <w:shd w:val="clear" w:color="auto" w:fill="F2F2F2" w:themeFill="background1" w:themeFillShade="F2"/>
            <w:vAlign w:val="center"/>
          </w:tcPr>
          <w:p w14:paraId="63550579" w14:textId="36F6A010" w:rsidR="00C42E13" w:rsidRPr="00175D8B" w:rsidRDefault="00C42E13" w:rsidP="00C42E13">
            <w:pPr>
              <w:spacing w:before="80" w:after="80"/>
              <w:jc w:val="left"/>
              <w:rPr>
                <w:rFonts w:eastAsia="Aptos" w:cs="Aptos"/>
                <w:i/>
                <w:sz w:val="20"/>
                <w:szCs w:val="20"/>
              </w:rPr>
            </w:pPr>
            <w:r w:rsidRPr="00175D8B">
              <w:rPr>
                <w:rFonts w:eastAsia="Aptos" w:cs="Aptos"/>
                <w:i/>
                <w:sz w:val="20"/>
                <w:szCs w:val="20"/>
              </w:rPr>
              <w:t xml:space="preserve">Implementation of the Asbestos Management Plan provided in Annex </w:t>
            </w:r>
            <w:r w:rsidR="00E02444">
              <w:rPr>
                <w:rFonts w:eastAsia="Aptos" w:cs="Aptos"/>
                <w:i/>
                <w:sz w:val="20"/>
                <w:szCs w:val="20"/>
              </w:rPr>
              <w:t>9</w:t>
            </w:r>
            <w:r w:rsidRPr="00175D8B">
              <w:rPr>
                <w:rFonts w:eastAsia="Aptos" w:cs="Aptos"/>
                <w:i/>
                <w:sz w:val="20"/>
                <w:szCs w:val="20"/>
              </w:rPr>
              <w:t xml:space="preserve">, at least performing the following actions: </w:t>
            </w:r>
          </w:p>
          <w:p w14:paraId="712C00E3" w14:textId="77777777" w:rsidR="00C42E13" w:rsidRPr="00175D8B" w:rsidRDefault="00C42E13">
            <w:pPr>
              <w:numPr>
                <w:ilvl w:val="0"/>
                <w:numId w:val="144"/>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Carrying out the Asbestos Inventory Study by an accredited company.</w:t>
            </w:r>
          </w:p>
          <w:p w14:paraId="29680F90" w14:textId="4BD97A0C" w:rsidR="00C42E13" w:rsidRPr="00175D8B" w:rsidRDefault="00C42E13">
            <w:pPr>
              <w:numPr>
                <w:ilvl w:val="0"/>
                <w:numId w:val="144"/>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Performing the asbestos removal work, before demolition, by persons or institutions that have a license for asbestos removal, if asbestos is found in the building, and managing the asbestos waste in agreement with the licensed waste transport and disposal company(s) within the scope of asbestos waste, if asbestos is found in the building and it is removed.</w:t>
            </w:r>
          </w:p>
        </w:tc>
        <w:tc>
          <w:tcPr>
            <w:tcW w:w="1417" w:type="dxa"/>
            <w:shd w:val="clear" w:color="auto" w:fill="F2F2F2" w:themeFill="background1" w:themeFillShade="F2"/>
          </w:tcPr>
          <w:p w14:paraId="1829D58A" w14:textId="77777777" w:rsidR="00C42E13" w:rsidRPr="00175D8B" w:rsidRDefault="00C42E13" w:rsidP="00C42E13">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Contractor</w:t>
            </w:r>
          </w:p>
        </w:tc>
      </w:tr>
      <w:tr w:rsidR="00C42E13" w:rsidRPr="00175D8B" w14:paraId="21DCFB87" w14:textId="77777777" w:rsidTr="002550A6">
        <w:trPr>
          <w:trHeight w:val="300"/>
          <w:jc w:val="center"/>
        </w:trPr>
        <w:tc>
          <w:tcPr>
            <w:tcW w:w="1276" w:type="dxa"/>
            <w:vMerge/>
          </w:tcPr>
          <w:p w14:paraId="34670271" w14:textId="77777777" w:rsidR="00C42E13" w:rsidRPr="00175D8B" w:rsidRDefault="00C42E13" w:rsidP="00C42E13">
            <w:pPr>
              <w:spacing w:before="120" w:after="24" w:line="240" w:lineRule="auto"/>
              <w:ind w:left="567"/>
              <w:rPr>
                <w:rFonts w:eastAsia="Aptos" w:cs="Aptos"/>
                <w:color w:val="000000" w:themeColor="text1"/>
                <w:sz w:val="20"/>
                <w:szCs w:val="20"/>
              </w:rPr>
            </w:pPr>
          </w:p>
        </w:tc>
        <w:tc>
          <w:tcPr>
            <w:tcW w:w="2268" w:type="dxa"/>
            <w:vMerge/>
          </w:tcPr>
          <w:p w14:paraId="6ED589EE" w14:textId="77777777" w:rsidR="00C42E13" w:rsidRPr="00175D8B" w:rsidRDefault="00C42E13" w:rsidP="00C42E13">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tcPr>
          <w:p w14:paraId="3D813137" w14:textId="77777777" w:rsidR="00C42E13" w:rsidRPr="00175D8B" w:rsidRDefault="00C42E13" w:rsidP="00C42E13">
            <w:pPr>
              <w:numPr>
                <w:ilvl w:val="0"/>
                <w:numId w:val="13"/>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Ensuring proper implementation of the Asbestos Management Plan and providing support and guidance by PMU individual specialists of the provinces to contractors within that scope.</w:t>
            </w:r>
          </w:p>
          <w:p w14:paraId="1711879D" w14:textId="25976EC5" w:rsidR="00C42E13" w:rsidRPr="00175D8B" w:rsidRDefault="00C42E13" w:rsidP="00C42E13">
            <w:pPr>
              <w:numPr>
                <w:ilvl w:val="0"/>
                <w:numId w:val="13"/>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Monitoring identified responsibilities of the contractors regarding impacts related with insufficient preliminary planning.</w:t>
            </w:r>
          </w:p>
        </w:tc>
        <w:tc>
          <w:tcPr>
            <w:tcW w:w="1417" w:type="dxa"/>
            <w:shd w:val="clear" w:color="auto" w:fill="F2F2F2" w:themeFill="background1" w:themeFillShade="F2"/>
          </w:tcPr>
          <w:p w14:paraId="168C5D1E" w14:textId="77777777" w:rsidR="00C42E13" w:rsidRPr="00175D8B" w:rsidRDefault="00C42E13" w:rsidP="00C42E13">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5F0911" w:rsidRPr="00175D8B" w14:paraId="4B97B2B1" w14:textId="77777777" w:rsidTr="002550A6">
        <w:trPr>
          <w:trHeight w:val="300"/>
          <w:jc w:val="center"/>
        </w:trPr>
        <w:tc>
          <w:tcPr>
            <w:tcW w:w="1276" w:type="dxa"/>
            <w:vMerge w:val="restart"/>
            <w:shd w:val="clear" w:color="auto" w:fill="F2F2F2" w:themeFill="background1" w:themeFillShade="F2"/>
            <w:vAlign w:val="center"/>
          </w:tcPr>
          <w:p w14:paraId="35AA234A" w14:textId="6CB53207" w:rsidR="005F0911" w:rsidRPr="00175D8B" w:rsidRDefault="005F0911" w:rsidP="005F0911">
            <w:pPr>
              <w:spacing w:before="120" w:after="24" w:line="240" w:lineRule="auto"/>
            </w:pPr>
            <w:r w:rsidRPr="00175D8B">
              <w:rPr>
                <w:rFonts w:eastAsia="Aptos" w:cs="Aptos"/>
                <w:sz w:val="20"/>
                <w:szCs w:val="20"/>
              </w:rPr>
              <w:t xml:space="preserve">Preparation for Demolition </w:t>
            </w:r>
            <w:r w:rsidRPr="00175D8B">
              <w:rPr>
                <w:rFonts w:eastAsia="Aptos" w:cs="Aptos"/>
                <w:sz w:val="20"/>
                <w:szCs w:val="20"/>
              </w:rPr>
              <w:lastRenderedPageBreak/>
              <w:t>(the sub-projects which will require demolition)</w:t>
            </w:r>
          </w:p>
        </w:tc>
        <w:tc>
          <w:tcPr>
            <w:tcW w:w="2268" w:type="dxa"/>
            <w:vMerge w:val="restart"/>
            <w:shd w:val="clear" w:color="auto" w:fill="F2F2F2" w:themeFill="background1" w:themeFillShade="F2"/>
            <w:vAlign w:val="center"/>
          </w:tcPr>
          <w:p w14:paraId="5B189F07" w14:textId="1D2BF35C" w:rsidR="005F0911" w:rsidRPr="00175D8B" w:rsidRDefault="005F0911" w:rsidP="005F0911">
            <w:pPr>
              <w:spacing w:before="120" w:after="24" w:line="240" w:lineRule="auto"/>
              <w:rPr>
                <w:rFonts w:eastAsia="Calibri" w:cs="Calibri"/>
                <w:color w:val="000000" w:themeColor="text1"/>
                <w:sz w:val="20"/>
                <w:szCs w:val="20"/>
              </w:rPr>
            </w:pPr>
            <w:r w:rsidRPr="00175D8B">
              <w:rPr>
                <w:rFonts w:eastAsia="Aptos" w:cs="Aptos"/>
                <w:sz w:val="20"/>
                <w:szCs w:val="20"/>
              </w:rPr>
              <w:lastRenderedPageBreak/>
              <w:t xml:space="preserve">Occupational accidents, environmental accidents and non-compliance with </w:t>
            </w:r>
            <w:r w:rsidRPr="00175D8B">
              <w:rPr>
                <w:rFonts w:eastAsia="Aptos" w:cs="Aptos"/>
                <w:sz w:val="20"/>
                <w:szCs w:val="20"/>
              </w:rPr>
              <w:lastRenderedPageBreak/>
              <w:t xml:space="preserve">national and international legislation that may result from insufficient pre-planning. </w:t>
            </w:r>
          </w:p>
        </w:tc>
        <w:tc>
          <w:tcPr>
            <w:tcW w:w="4111" w:type="dxa"/>
            <w:shd w:val="clear" w:color="auto" w:fill="F2F2F2" w:themeFill="background1" w:themeFillShade="F2"/>
            <w:vAlign w:val="center"/>
          </w:tcPr>
          <w:p w14:paraId="5A99C4E1" w14:textId="5C2972A4" w:rsidR="005F0911" w:rsidRPr="00175D8B" w:rsidRDefault="005F0911" w:rsidP="005F0911">
            <w:pPr>
              <w:numPr>
                <w:ilvl w:val="0"/>
                <w:numId w:val="14"/>
              </w:numP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lastRenderedPageBreak/>
              <w:t>Preparation of Occupational Health and Safety Plan (see Annex 1</w:t>
            </w:r>
            <w:r w:rsidR="00DA316F">
              <w:rPr>
                <w:rFonts w:eastAsia="Aptos" w:cs="Aptos"/>
                <w:color w:val="000000"/>
                <w:sz w:val="20"/>
                <w:szCs w:val="20"/>
              </w:rPr>
              <w:t>3</w:t>
            </w:r>
            <w:r w:rsidRPr="00175D8B">
              <w:rPr>
                <w:rFonts w:eastAsia="Aptos" w:cs="Aptos"/>
                <w:color w:val="000000"/>
                <w:sz w:val="20"/>
                <w:szCs w:val="20"/>
              </w:rPr>
              <w:t xml:space="preserve">) and providing trainings to the demolition in line with the requirements of the Plan. </w:t>
            </w:r>
          </w:p>
        </w:tc>
        <w:tc>
          <w:tcPr>
            <w:tcW w:w="1417" w:type="dxa"/>
            <w:shd w:val="clear" w:color="auto" w:fill="F2F2F2" w:themeFill="background1" w:themeFillShade="F2"/>
          </w:tcPr>
          <w:p w14:paraId="5822D6CF" w14:textId="77777777" w:rsidR="005F0911" w:rsidRPr="00175D8B" w:rsidRDefault="005F0911" w:rsidP="005F0911">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Contractor</w:t>
            </w:r>
          </w:p>
        </w:tc>
      </w:tr>
      <w:tr w:rsidR="00D2329F" w:rsidRPr="00175D8B" w14:paraId="3ADF3AA8" w14:textId="77777777" w:rsidTr="002550A6">
        <w:trPr>
          <w:trHeight w:val="4960"/>
          <w:jc w:val="center"/>
        </w:trPr>
        <w:tc>
          <w:tcPr>
            <w:tcW w:w="1276" w:type="dxa"/>
            <w:vMerge/>
          </w:tcPr>
          <w:p w14:paraId="15AF14EF" w14:textId="77777777" w:rsidR="00D2329F" w:rsidRPr="00175D8B" w:rsidRDefault="00D2329F" w:rsidP="00D2329F">
            <w:pPr>
              <w:spacing w:before="120" w:after="24" w:line="240" w:lineRule="auto"/>
              <w:rPr>
                <w:rFonts w:eastAsia="Calibri" w:cs="Calibri"/>
                <w:color w:val="000000" w:themeColor="text1"/>
                <w:sz w:val="20"/>
                <w:szCs w:val="20"/>
              </w:rPr>
            </w:pPr>
          </w:p>
        </w:tc>
        <w:tc>
          <w:tcPr>
            <w:tcW w:w="2268" w:type="dxa"/>
            <w:vMerge/>
          </w:tcPr>
          <w:p w14:paraId="78C2C620" w14:textId="77777777" w:rsidR="00D2329F" w:rsidRPr="00175D8B" w:rsidRDefault="00D2329F" w:rsidP="00D2329F">
            <w:pPr>
              <w:spacing w:before="120" w:after="24" w:line="240" w:lineRule="auto"/>
              <w:rPr>
                <w:rFonts w:eastAsia="Calibri" w:cs="Calibri"/>
                <w:color w:val="000000" w:themeColor="text1"/>
                <w:sz w:val="20"/>
                <w:szCs w:val="20"/>
              </w:rPr>
            </w:pPr>
          </w:p>
        </w:tc>
        <w:tc>
          <w:tcPr>
            <w:tcW w:w="4111" w:type="dxa"/>
            <w:shd w:val="clear" w:color="auto" w:fill="F2F2F2" w:themeFill="background1" w:themeFillShade="F2"/>
            <w:vAlign w:val="center"/>
          </w:tcPr>
          <w:p w14:paraId="334BE198" w14:textId="77777777" w:rsidR="005F0911" w:rsidRPr="00175D8B" w:rsidRDefault="005F0911">
            <w:pPr>
              <w:numPr>
                <w:ilvl w:val="0"/>
                <w:numId w:val="142"/>
              </w:numPr>
              <w:pBdr>
                <w:top w:val="nil"/>
                <w:left w:val="nil"/>
                <w:bottom w:val="nil"/>
                <w:right w:val="nil"/>
                <w:between w:val="nil"/>
              </w:pBdr>
              <w:spacing w:before="80" w:after="0"/>
              <w:jc w:val="left"/>
              <w:rPr>
                <w:rFonts w:eastAsia="Aptos" w:cs="Aptos"/>
                <w:color w:val="000000"/>
                <w:sz w:val="20"/>
                <w:szCs w:val="20"/>
              </w:rPr>
            </w:pPr>
            <w:r w:rsidRPr="00175D8B">
              <w:rPr>
                <w:rFonts w:eastAsia="Aptos" w:cs="Aptos"/>
                <w:color w:val="000000"/>
                <w:sz w:val="20"/>
                <w:szCs w:val="20"/>
              </w:rPr>
              <w:t xml:space="preserve">Giving the official assurance by the contractor that it will not harm the environment and neighboring settlements. </w:t>
            </w:r>
          </w:p>
          <w:p w14:paraId="011A60C2" w14:textId="77777777" w:rsidR="005F0911" w:rsidRPr="00175D8B" w:rsidRDefault="005F0911">
            <w:pPr>
              <w:numPr>
                <w:ilvl w:val="0"/>
                <w:numId w:val="142"/>
              </w:numPr>
              <w:pBdr>
                <w:top w:val="nil"/>
                <w:left w:val="nil"/>
                <w:bottom w:val="nil"/>
                <w:right w:val="nil"/>
                <w:between w:val="nil"/>
              </w:pBdr>
              <w:spacing w:before="80" w:after="0"/>
              <w:jc w:val="left"/>
              <w:rPr>
                <w:rFonts w:eastAsia="Aptos" w:cs="Aptos"/>
                <w:color w:val="000000"/>
                <w:sz w:val="20"/>
                <w:szCs w:val="20"/>
              </w:rPr>
            </w:pPr>
            <w:r w:rsidRPr="00175D8B">
              <w:rPr>
                <w:rFonts w:eastAsia="Aptos" w:cs="Aptos"/>
                <w:color w:val="000000"/>
                <w:sz w:val="20"/>
                <w:szCs w:val="20"/>
              </w:rPr>
              <w:t xml:space="preserve">Providing the relevant demolition personnel with all Personal Protective Equipment prior to demolition within the scope of best practices and national legislation. </w:t>
            </w:r>
          </w:p>
          <w:p w14:paraId="6BFEB277" w14:textId="77777777" w:rsidR="005F0911" w:rsidRPr="00175D8B" w:rsidRDefault="005F0911">
            <w:pPr>
              <w:numPr>
                <w:ilvl w:val="0"/>
                <w:numId w:val="142"/>
              </w:numPr>
              <w:pBdr>
                <w:top w:val="nil"/>
                <w:left w:val="nil"/>
                <w:bottom w:val="nil"/>
                <w:right w:val="nil"/>
                <w:between w:val="nil"/>
              </w:pBdr>
              <w:spacing w:before="80" w:after="0"/>
              <w:jc w:val="left"/>
              <w:rPr>
                <w:rFonts w:eastAsia="Aptos" w:cs="Aptos"/>
                <w:color w:val="000000"/>
                <w:sz w:val="20"/>
                <w:szCs w:val="20"/>
              </w:rPr>
            </w:pPr>
            <w:r w:rsidRPr="00175D8B">
              <w:rPr>
                <w:rFonts w:eastAsia="Aptos" w:cs="Aptos"/>
                <w:color w:val="000000"/>
                <w:sz w:val="20"/>
                <w:szCs w:val="20"/>
              </w:rPr>
              <w:t>Giving the official assurance by the contractor that all demolition activities will be carried out in accordance with national legislation, the ESSs and World Bank Group (WBG) Environmental, Health and Safety (EHS) Guidelines.</w:t>
            </w:r>
          </w:p>
          <w:p w14:paraId="2C1ED4C1" w14:textId="25115DB8" w:rsidR="00D2329F" w:rsidRPr="00175D8B" w:rsidRDefault="005F0911">
            <w:pPr>
              <w:pStyle w:val="ListeParagraf"/>
              <w:numPr>
                <w:ilvl w:val="0"/>
                <w:numId w:val="142"/>
              </w:numPr>
              <w:spacing w:after="0"/>
              <w:rPr>
                <w:rFonts w:eastAsia="Aptos" w:cs="Aptos"/>
                <w:color w:val="000000"/>
                <w:sz w:val="20"/>
                <w:szCs w:val="20"/>
              </w:rPr>
            </w:pPr>
            <w:r w:rsidRPr="00175D8B">
              <w:rPr>
                <w:rFonts w:eastAsia="Aptos" w:cs="Aptos"/>
                <w:color w:val="000000"/>
                <w:sz w:val="20"/>
                <w:szCs w:val="20"/>
              </w:rPr>
              <w:t>Auditing identified responsibilities of the contractors regarding measures to be implemented to minimize risks related to occupational accidents, environmental accidents and non-compliance with national and international legislation due to insufficient preliminary planning.</w:t>
            </w:r>
          </w:p>
        </w:tc>
        <w:tc>
          <w:tcPr>
            <w:tcW w:w="1417" w:type="dxa"/>
            <w:shd w:val="clear" w:color="auto" w:fill="F2F2F2" w:themeFill="background1" w:themeFillShade="F2"/>
          </w:tcPr>
          <w:p w14:paraId="35D4AC35" w14:textId="77777777" w:rsidR="00D2329F" w:rsidRPr="00175D8B" w:rsidRDefault="00D2329F" w:rsidP="00D2329F">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5F0911" w:rsidRPr="00175D8B" w14:paraId="4EBF155A" w14:textId="77777777" w:rsidTr="002550A6">
        <w:trPr>
          <w:trHeight w:val="300"/>
          <w:jc w:val="center"/>
        </w:trPr>
        <w:tc>
          <w:tcPr>
            <w:tcW w:w="1276" w:type="dxa"/>
            <w:vMerge w:val="restart"/>
            <w:shd w:val="clear" w:color="auto" w:fill="F2F2F2" w:themeFill="background1" w:themeFillShade="F2"/>
            <w:vAlign w:val="center"/>
          </w:tcPr>
          <w:p w14:paraId="67DF6CDE" w14:textId="3843FC97" w:rsidR="005F0911" w:rsidRPr="00175D8B" w:rsidRDefault="005F0911" w:rsidP="005F0911">
            <w:pPr>
              <w:spacing w:before="120" w:after="24" w:line="240" w:lineRule="auto"/>
              <w:rPr>
                <w:rFonts w:eastAsia="Calibri" w:cs="Calibri"/>
                <w:color w:val="000000" w:themeColor="text1"/>
                <w:sz w:val="20"/>
                <w:szCs w:val="20"/>
              </w:rPr>
            </w:pPr>
            <w:r w:rsidRPr="00175D8B">
              <w:rPr>
                <w:rFonts w:eastAsia="Aptos" w:cs="Aptos"/>
                <w:sz w:val="20"/>
                <w:szCs w:val="20"/>
              </w:rPr>
              <w:t>Demolition Stage (the sub-projects which will require demolition)</w:t>
            </w:r>
          </w:p>
        </w:tc>
        <w:tc>
          <w:tcPr>
            <w:tcW w:w="2268" w:type="dxa"/>
            <w:vMerge w:val="restart"/>
            <w:shd w:val="clear" w:color="auto" w:fill="F2F2F2" w:themeFill="background1" w:themeFillShade="F2"/>
            <w:vAlign w:val="center"/>
          </w:tcPr>
          <w:p w14:paraId="01605D6A" w14:textId="63FE7F8A" w:rsidR="005F0911" w:rsidRPr="00175D8B" w:rsidRDefault="005F0911" w:rsidP="005F0911">
            <w:pPr>
              <w:spacing w:before="120" w:after="24" w:line="240" w:lineRule="auto"/>
              <w:rPr>
                <w:rFonts w:eastAsia="Calibri" w:cs="Calibri"/>
                <w:color w:val="000000" w:themeColor="text1"/>
                <w:sz w:val="20"/>
                <w:szCs w:val="20"/>
              </w:rPr>
            </w:pPr>
            <w:r w:rsidRPr="00175D8B">
              <w:rPr>
                <w:rFonts w:eastAsia="Aptos" w:cs="Aptos"/>
                <w:sz w:val="20"/>
                <w:szCs w:val="20"/>
              </w:rPr>
              <w:t xml:space="preserve">Negative health effects on workers, service providers and society due to accidents and incidents that may occur during the asbestos inventory, removal, transportation and disposal process. </w:t>
            </w:r>
          </w:p>
        </w:tc>
        <w:tc>
          <w:tcPr>
            <w:tcW w:w="4111" w:type="dxa"/>
            <w:shd w:val="clear" w:color="auto" w:fill="F2F2F2" w:themeFill="background1" w:themeFillShade="F2"/>
            <w:vAlign w:val="center"/>
          </w:tcPr>
          <w:p w14:paraId="5DBA0C55" w14:textId="2E675B4F" w:rsidR="005F0911" w:rsidRPr="00175D8B" w:rsidRDefault="005F0911">
            <w:pPr>
              <w:numPr>
                <w:ilvl w:val="0"/>
                <w:numId w:val="142"/>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 xml:space="preserve">In the event of an accident in this context, the Contractor will immediately inform the UTP and individual OHS/environmental specialists hired for provinces. The UTP will notify the WB of any accident/incident (if it occurs) related to asbestos immediately. An asbestos-related accident/incident investigation </w:t>
            </w:r>
            <w:r w:rsidRPr="00175D8B">
              <w:rPr>
                <w:rFonts w:eastAsia="Aptos" w:cs="Aptos"/>
                <w:color w:val="000000"/>
                <w:sz w:val="20"/>
                <w:szCs w:val="20"/>
              </w:rPr>
              <w:lastRenderedPageBreak/>
              <w:t>report will be sent to the World Bank along</w:t>
            </w:r>
            <w:r w:rsidRPr="00175D8B">
              <w:t xml:space="preserve"> </w:t>
            </w:r>
            <w:r w:rsidRPr="00175D8B">
              <w:rPr>
                <w:rFonts w:eastAsia="Aptos" w:cs="Aptos"/>
                <w:color w:val="000000"/>
                <w:sz w:val="20"/>
                <w:szCs w:val="20"/>
              </w:rPr>
              <w:t xml:space="preserve">with the Corrective Action Plan (CAP) with the guidance and the audits of the PMU. </w:t>
            </w:r>
          </w:p>
          <w:p w14:paraId="4E4703C1" w14:textId="4577FF28" w:rsidR="005F0911" w:rsidRPr="00175D8B" w:rsidRDefault="005F0911">
            <w:pPr>
              <w:numPr>
                <w:ilvl w:val="0"/>
                <w:numId w:val="142"/>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 xml:space="preserve">A regular site inspection will be conducted by the PMU to ensure and monitor that all demolition activities to be implemented are carried out in accordance with national laws and regulations and the requirements of World Bank standards. </w:t>
            </w:r>
          </w:p>
        </w:tc>
        <w:tc>
          <w:tcPr>
            <w:tcW w:w="1417" w:type="dxa"/>
            <w:shd w:val="clear" w:color="auto" w:fill="F2F2F2" w:themeFill="background1" w:themeFillShade="F2"/>
          </w:tcPr>
          <w:p w14:paraId="1567EB6B" w14:textId="77777777" w:rsidR="005F0911" w:rsidRPr="00175D8B" w:rsidRDefault="005F0911" w:rsidP="005F0911">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lastRenderedPageBreak/>
              <w:t xml:space="preserve">PMU </w:t>
            </w:r>
          </w:p>
        </w:tc>
      </w:tr>
      <w:tr w:rsidR="005F0911" w:rsidRPr="00175D8B" w14:paraId="658EA119" w14:textId="77777777" w:rsidTr="002550A6">
        <w:trPr>
          <w:trHeight w:val="300"/>
          <w:jc w:val="center"/>
        </w:trPr>
        <w:tc>
          <w:tcPr>
            <w:tcW w:w="1276" w:type="dxa"/>
            <w:vMerge/>
          </w:tcPr>
          <w:p w14:paraId="13A3015A" w14:textId="77777777" w:rsidR="005F0911" w:rsidRPr="00175D8B" w:rsidRDefault="005F0911" w:rsidP="005F0911">
            <w:pPr>
              <w:spacing w:before="120" w:after="24" w:line="240" w:lineRule="auto"/>
              <w:rPr>
                <w:rFonts w:eastAsia="Calibri" w:cs="Calibri"/>
                <w:color w:val="000000" w:themeColor="text1"/>
                <w:sz w:val="20"/>
                <w:szCs w:val="20"/>
              </w:rPr>
            </w:pPr>
          </w:p>
        </w:tc>
        <w:tc>
          <w:tcPr>
            <w:tcW w:w="2268" w:type="dxa"/>
            <w:vMerge/>
          </w:tcPr>
          <w:p w14:paraId="6F77A37F" w14:textId="77777777" w:rsidR="005F0911" w:rsidRPr="00175D8B" w:rsidRDefault="005F0911" w:rsidP="005F0911">
            <w:pPr>
              <w:spacing w:before="120" w:after="24" w:line="240" w:lineRule="auto"/>
              <w:rPr>
                <w:rFonts w:eastAsia="Calibri" w:cs="Calibri"/>
                <w:color w:val="000000" w:themeColor="text1"/>
                <w:sz w:val="20"/>
                <w:szCs w:val="20"/>
              </w:rPr>
            </w:pPr>
          </w:p>
        </w:tc>
        <w:tc>
          <w:tcPr>
            <w:tcW w:w="4111" w:type="dxa"/>
            <w:shd w:val="clear" w:color="auto" w:fill="F2F2F2" w:themeFill="background1" w:themeFillShade="F2"/>
          </w:tcPr>
          <w:p w14:paraId="425D7CCE" w14:textId="77777777" w:rsidR="005F0911" w:rsidRPr="00175D8B" w:rsidRDefault="005F0911" w:rsidP="005F0911">
            <w:pPr>
              <w:numPr>
                <w:ilvl w:val="0"/>
                <w:numId w:val="15"/>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Immediately report any accident /incident to the PMU and relevant OHS/Environmental specialists.</w:t>
            </w:r>
          </w:p>
          <w:p w14:paraId="1789D0E4" w14:textId="77777777" w:rsidR="005F0911" w:rsidRPr="00175D8B" w:rsidRDefault="005F0911" w:rsidP="005F0911">
            <w:pPr>
              <w:numPr>
                <w:ilvl w:val="0"/>
                <w:numId w:val="15"/>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In case of an asbestos-related accident, promptly inform the PMU.</w:t>
            </w:r>
          </w:p>
          <w:p w14:paraId="1D1F7D71" w14:textId="77777777" w:rsidR="005F0911" w:rsidRPr="00175D8B" w:rsidRDefault="005F0911" w:rsidP="005F0911">
            <w:pPr>
              <w:numPr>
                <w:ilvl w:val="0"/>
                <w:numId w:val="15"/>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Implement CAP as directed by the PMU and ensure necessary precautions are taken.</w:t>
            </w:r>
          </w:p>
          <w:p w14:paraId="5C1C1DE2" w14:textId="77777777" w:rsidR="005F0911" w:rsidRPr="00175D8B" w:rsidRDefault="005F0911" w:rsidP="005F0911">
            <w:pPr>
              <w:numPr>
                <w:ilvl w:val="0"/>
                <w:numId w:val="15"/>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 xml:space="preserve">Carry out demolition activities in full compliance with national regulations and WB standards. </w:t>
            </w:r>
          </w:p>
          <w:p w14:paraId="41A7D8DC" w14:textId="3DB34C08" w:rsidR="005F0911" w:rsidRPr="00175D8B" w:rsidRDefault="005F0911" w:rsidP="005F0911">
            <w:pPr>
              <w:numPr>
                <w:ilvl w:val="0"/>
                <w:numId w:val="15"/>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Cooperate with the PMU during site inspections and address any identified deficiencies.</w:t>
            </w:r>
          </w:p>
        </w:tc>
        <w:tc>
          <w:tcPr>
            <w:tcW w:w="1417" w:type="dxa"/>
            <w:shd w:val="clear" w:color="auto" w:fill="F2F2F2" w:themeFill="background1" w:themeFillShade="F2"/>
          </w:tcPr>
          <w:p w14:paraId="5F373F92" w14:textId="77777777" w:rsidR="005F0911" w:rsidRPr="00175D8B" w:rsidRDefault="005F0911" w:rsidP="005F0911">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Contractor</w:t>
            </w:r>
          </w:p>
        </w:tc>
      </w:tr>
      <w:tr w:rsidR="00BE4987" w:rsidRPr="00175D8B" w14:paraId="58108106" w14:textId="77777777" w:rsidTr="002550A6">
        <w:trPr>
          <w:trHeight w:val="300"/>
          <w:jc w:val="center"/>
        </w:trPr>
        <w:tc>
          <w:tcPr>
            <w:tcW w:w="1276" w:type="dxa"/>
            <w:vMerge w:val="restart"/>
            <w:shd w:val="clear" w:color="auto" w:fill="F2F2F2" w:themeFill="background1" w:themeFillShade="F2"/>
            <w:vAlign w:val="center"/>
          </w:tcPr>
          <w:p w14:paraId="2BC72CDA" w14:textId="468EA8F1"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Demolition Stage (the sub-projects which will require demolition)</w:t>
            </w:r>
          </w:p>
        </w:tc>
        <w:tc>
          <w:tcPr>
            <w:tcW w:w="2268" w:type="dxa"/>
            <w:vMerge w:val="restart"/>
            <w:shd w:val="clear" w:color="auto" w:fill="F2F2F2" w:themeFill="background1" w:themeFillShade="F2"/>
            <w:vAlign w:val="center"/>
          </w:tcPr>
          <w:p w14:paraId="131068D6" w14:textId="3252DABB"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 xml:space="preserve">Demolished material is harmful to the environment if it is not disposed of adequately. Especially if the material or waste is dangerous or might be dangerous. </w:t>
            </w:r>
          </w:p>
        </w:tc>
        <w:tc>
          <w:tcPr>
            <w:tcW w:w="4111" w:type="dxa"/>
            <w:shd w:val="clear" w:color="auto" w:fill="F2F2F2" w:themeFill="background1" w:themeFillShade="F2"/>
          </w:tcPr>
          <w:p w14:paraId="354FC33C" w14:textId="77777777" w:rsidR="00BE4987" w:rsidRPr="00175D8B" w:rsidRDefault="00BE4987" w:rsidP="00BE4987">
            <w:pPr>
              <w:numPr>
                <w:ilvl w:val="0"/>
                <w:numId w:val="16"/>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 xml:space="preserve">Implementing a controlled and progressive selective demolition process, in accordance with national legislation and international standards, in order to allow for recycling of demolition wastes at a high rate, and to ensure that hazardous wastes, if any, are sorted and separated before rough demolition, and that other materials can be reused and recycled at the source. </w:t>
            </w:r>
          </w:p>
          <w:p w14:paraId="50019BFA" w14:textId="23183F16" w:rsidR="00BE4987" w:rsidRPr="00175D8B" w:rsidRDefault="00BE4987" w:rsidP="00BE4987">
            <w:pPr>
              <w:numPr>
                <w:ilvl w:val="0"/>
                <w:numId w:val="16"/>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 xml:space="preserve">Implementing the Waste Management Plan (see Annex </w:t>
            </w:r>
            <w:r w:rsidR="00365CEA" w:rsidRPr="00175D8B">
              <w:rPr>
                <w:rFonts w:eastAsia="Tahoma" w:cs="Aptos"/>
                <w:color w:val="000000" w:themeColor="text1"/>
                <w:sz w:val="20"/>
                <w:szCs w:val="20"/>
              </w:rPr>
              <w:t>8</w:t>
            </w:r>
            <w:r w:rsidRPr="00175D8B">
              <w:rPr>
                <w:rFonts w:eastAsia="Tahoma" w:cs="Aptos"/>
                <w:color w:val="000000" w:themeColor="text1"/>
                <w:sz w:val="20"/>
                <w:szCs w:val="20"/>
              </w:rPr>
              <w:t xml:space="preserve">) in parallel to their responsibilities, and specifically: </w:t>
            </w:r>
          </w:p>
          <w:p w14:paraId="68C9B516" w14:textId="77777777" w:rsidR="00BE4987" w:rsidRPr="00175D8B" w:rsidRDefault="00BE4987" w:rsidP="00BE4987">
            <w:pPr>
              <w:numPr>
                <w:ilvl w:val="0"/>
                <w:numId w:val="16"/>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 xml:space="preserve">Transporting the construction and demolition wastes by licensed transfer vehicles and sending them to the licensed sites. </w:t>
            </w:r>
          </w:p>
          <w:p w14:paraId="1D350315" w14:textId="77777777" w:rsidR="00BE4987" w:rsidRPr="00175D8B" w:rsidRDefault="00BE4987" w:rsidP="00BE4987">
            <w:pPr>
              <w:numPr>
                <w:ilvl w:val="0"/>
                <w:numId w:val="16"/>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 xml:space="preserve">Transferring the inert construction &amp; demolition wastes after selective </w:t>
            </w:r>
            <w:r w:rsidRPr="00175D8B">
              <w:rPr>
                <w:rFonts w:eastAsia="Tahoma" w:cs="Aptos"/>
                <w:color w:val="000000" w:themeColor="text1"/>
                <w:sz w:val="20"/>
                <w:szCs w:val="20"/>
              </w:rPr>
              <w:lastRenderedPageBreak/>
              <w:t xml:space="preserve">demolition process to central waste material recovery facilities in available locations </w:t>
            </w:r>
          </w:p>
          <w:p w14:paraId="15C3FA4C" w14:textId="77777777" w:rsidR="00BE4987" w:rsidRPr="00175D8B" w:rsidRDefault="00BE4987" w:rsidP="00BE4987">
            <w:pPr>
              <w:numPr>
                <w:ilvl w:val="0"/>
                <w:numId w:val="16"/>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Keeping all waste disposal records.</w:t>
            </w:r>
          </w:p>
          <w:p w14:paraId="1A65FBE5" w14:textId="77777777" w:rsidR="00BE4987" w:rsidRPr="00175D8B" w:rsidRDefault="00BE4987" w:rsidP="00BE4987">
            <w:pPr>
              <w:numPr>
                <w:ilvl w:val="0"/>
                <w:numId w:val="16"/>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Storing the waste properly for reuse in the process of construction of a new structure, if possible.</w:t>
            </w:r>
          </w:p>
          <w:p w14:paraId="5019EA97" w14:textId="2CE08326" w:rsidR="00BE4987" w:rsidRPr="00175D8B" w:rsidRDefault="00BE4987" w:rsidP="00BE4987">
            <w:pPr>
              <w:numPr>
                <w:ilvl w:val="0"/>
                <w:numId w:val="16"/>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 xml:space="preserve">Storing, in sealed containers, the hazardous wastes generated during the selective demolition process. </w:t>
            </w:r>
          </w:p>
        </w:tc>
        <w:tc>
          <w:tcPr>
            <w:tcW w:w="1417" w:type="dxa"/>
            <w:shd w:val="clear" w:color="auto" w:fill="F2F2F2" w:themeFill="background1" w:themeFillShade="F2"/>
          </w:tcPr>
          <w:p w14:paraId="0D498218"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lastRenderedPageBreak/>
              <w:t>Contractor</w:t>
            </w:r>
          </w:p>
        </w:tc>
      </w:tr>
      <w:tr w:rsidR="00BE4987" w:rsidRPr="00175D8B" w14:paraId="15DAF88C" w14:textId="77777777" w:rsidTr="002550A6">
        <w:trPr>
          <w:trHeight w:val="300"/>
          <w:jc w:val="center"/>
        </w:trPr>
        <w:tc>
          <w:tcPr>
            <w:tcW w:w="1276" w:type="dxa"/>
            <w:vMerge/>
          </w:tcPr>
          <w:p w14:paraId="0C32A6C3" w14:textId="77777777" w:rsidR="00BE4987" w:rsidRPr="00175D8B" w:rsidRDefault="00BE4987" w:rsidP="00BE4987">
            <w:pPr>
              <w:spacing w:before="120" w:after="24" w:line="240" w:lineRule="auto"/>
              <w:ind w:left="567"/>
              <w:rPr>
                <w:rFonts w:eastAsia="Aptos" w:cs="Aptos"/>
                <w:color w:val="000000" w:themeColor="text1"/>
                <w:sz w:val="20"/>
                <w:szCs w:val="20"/>
              </w:rPr>
            </w:pPr>
          </w:p>
        </w:tc>
        <w:tc>
          <w:tcPr>
            <w:tcW w:w="2268" w:type="dxa"/>
            <w:vMerge/>
          </w:tcPr>
          <w:p w14:paraId="0E3449AE" w14:textId="77777777" w:rsidR="00BE4987" w:rsidRPr="00175D8B" w:rsidRDefault="00BE4987" w:rsidP="00BE4987">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tcPr>
          <w:p w14:paraId="518E9F02" w14:textId="5FEEA9A5" w:rsidR="00BE4987" w:rsidRPr="00175D8B" w:rsidRDefault="00BE4987" w:rsidP="00BE4987">
            <w:pPr>
              <w:numPr>
                <w:ilvl w:val="0"/>
                <w:numId w:val="17"/>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 xml:space="preserve">Supporting contractors for all sub-projects in </w:t>
            </w:r>
            <w:r w:rsidR="001062E7" w:rsidRPr="00175D8B">
              <w:rPr>
                <w:rFonts w:eastAsia="Aptos" w:cs="Aptos"/>
                <w:color w:val="000000"/>
                <w:sz w:val="20"/>
                <w:szCs w:val="20"/>
              </w:rPr>
              <w:t>Sakarya</w:t>
            </w:r>
            <w:r w:rsidRPr="00175D8B">
              <w:rPr>
                <w:rFonts w:eastAsia="Aptos" w:cs="Aptos"/>
                <w:color w:val="000000"/>
                <w:sz w:val="20"/>
                <w:szCs w:val="20"/>
              </w:rPr>
              <w:t xml:space="preserve"> for proper implementation of selective demolition.</w:t>
            </w:r>
          </w:p>
          <w:p w14:paraId="71B5EF0E" w14:textId="6776E25F" w:rsidR="00BE4987" w:rsidRPr="00175D8B" w:rsidRDefault="00BE4987" w:rsidP="00BE4987">
            <w:pPr>
              <w:numPr>
                <w:ilvl w:val="0"/>
                <w:numId w:val="17"/>
              </w:numP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t>Auditing identified responsibilities of the contractors regarding waste management.</w:t>
            </w:r>
          </w:p>
        </w:tc>
        <w:tc>
          <w:tcPr>
            <w:tcW w:w="1417" w:type="dxa"/>
            <w:shd w:val="clear" w:color="auto" w:fill="F2F2F2" w:themeFill="background1" w:themeFillShade="F2"/>
          </w:tcPr>
          <w:p w14:paraId="6BA0E0BF"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BE4987" w:rsidRPr="00175D8B" w14:paraId="71DF3663" w14:textId="77777777" w:rsidTr="002550A6">
        <w:trPr>
          <w:trHeight w:val="300"/>
          <w:jc w:val="center"/>
        </w:trPr>
        <w:tc>
          <w:tcPr>
            <w:tcW w:w="1276" w:type="dxa"/>
            <w:vMerge w:val="restart"/>
            <w:shd w:val="clear" w:color="auto" w:fill="F2F2F2" w:themeFill="background1" w:themeFillShade="F2"/>
            <w:vAlign w:val="center"/>
          </w:tcPr>
          <w:p w14:paraId="0C7DE1C3" w14:textId="4EFB9A45"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Demolition Stage</w:t>
            </w:r>
          </w:p>
        </w:tc>
        <w:tc>
          <w:tcPr>
            <w:tcW w:w="2268" w:type="dxa"/>
            <w:vMerge w:val="restart"/>
            <w:shd w:val="clear" w:color="auto" w:fill="F2F2F2" w:themeFill="background1" w:themeFillShade="F2"/>
            <w:vAlign w:val="center"/>
          </w:tcPr>
          <w:p w14:paraId="544AB394" w14:textId="0C8F42E2"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Temporary and Permanent Displacement due to Project activities</w:t>
            </w:r>
          </w:p>
        </w:tc>
        <w:tc>
          <w:tcPr>
            <w:tcW w:w="4111" w:type="dxa"/>
            <w:shd w:val="clear" w:color="auto" w:fill="F2F2F2" w:themeFill="background1" w:themeFillShade="F2"/>
            <w:vAlign w:val="center"/>
          </w:tcPr>
          <w:p w14:paraId="25AF8B21" w14:textId="77777777" w:rsidR="00BE4987" w:rsidRPr="00175D8B" w:rsidRDefault="00BE4987">
            <w:pPr>
              <w:numPr>
                <w:ilvl w:val="0"/>
                <w:numId w:val="142"/>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 xml:space="preserve">Prepare, consult upon, clear with the World Bank and disclose the Resettlement Plans (RPs) and implement the RPs before the commencement of any civil works </w:t>
            </w:r>
          </w:p>
          <w:p w14:paraId="5A7931E0"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Informing the Project beneficiaries and right holders about their rights, supports, application methods, and conveying the steps to be taken to benefit from the supports.</w:t>
            </w:r>
          </w:p>
          <w:p w14:paraId="767B43C0"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Providing support to vulnerable groups in this process.</w:t>
            </w:r>
          </w:p>
          <w:p w14:paraId="721B6260" w14:textId="71E313BC" w:rsidR="00BE4987" w:rsidRPr="00175D8B" w:rsidRDefault="00BE4987" w:rsidP="00BE4987">
            <w:pPr>
              <w:numPr>
                <w:ilvl w:val="0"/>
                <w:numId w:val="18"/>
              </w:numP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t>Disclosure of grievance mechanism and GM tools, communication tools.</w:t>
            </w:r>
          </w:p>
        </w:tc>
        <w:tc>
          <w:tcPr>
            <w:tcW w:w="1417" w:type="dxa"/>
            <w:shd w:val="clear" w:color="auto" w:fill="F2F2F2" w:themeFill="background1" w:themeFillShade="F2"/>
          </w:tcPr>
          <w:p w14:paraId="1F99FF2D"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 xml:space="preserve">PMU </w:t>
            </w:r>
          </w:p>
        </w:tc>
      </w:tr>
      <w:tr w:rsidR="00BE4987" w:rsidRPr="00175D8B" w14:paraId="1184B647" w14:textId="77777777" w:rsidTr="002550A6">
        <w:trPr>
          <w:trHeight w:val="300"/>
          <w:jc w:val="center"/>
        </w:trPr>
        <w:tc>
          <w:tcPr>
            <w:tcW w:w="1276" w:type="dxa"/>
            <w:vMerge/>
          </w:tcPr>
          <w:p w14:paraId="1B367A64" w14:textId="77777777" w:rsidR="00BE4987" w:rsidRPr="00175D8B" w:rsidRDefault="00BE4987" w:rsidP="00BE4987">
            <w:pPr>
              <w:spacing w:before="120" w:after="24" w:line="240" w:lineRule="auto"/>
              <w:rPr>
                <w:rFonts w:eastAsia="Calibri" w:cs="Calibri"/>
                <w:color w:val="000000" w:themeColor="text1"/>
                <w:sz w:val="20"/>
                <w:szCs w:val="20"/>
              </w:rPr>
            </w:pPr>
          </w:p>
        </w:tc>
        <w:tc>
          <w:tcPr>
            <w:tcW w:w="2268" w:type="dxa"/>
            <w:vMerge/>
          </w:tcPr>
          <w:p w14:paraId="1401FCB6" w14:textId="77777777" w:rsidR="00BE4987" w:rsidRPr="00175D8B" w:rsidRDefault="00BE4987" w:rsidP="00BE4987">
            <w:pPr>
              <w:spacing w:before="120" w:after="24" w:line="240" w:lineRule="auto"/>
              <w:rPr>
                <w:rFonts w:eastAsia="Calibri" w:cs="Calibri"/>
                <w:color w:val="000000" w:themeColor="text1"/>
                <w:sz w:val="20"/>
                <w:szCs w:val="20"/>
              </w:rPr>
            </w:pPr>
          </w:p>
        </w:tc>
        <w:tc>
          <w:tcPr>
            <w:tcW w:w="4111" w:type="dxa"/>
            <w:shd w:val="clear" w:color="auto" w:fill="F2F2F2" w:themeFill="background1" w:themeFillShade="F2"/>
            <w:vAlign w:val="center"/>
          </w:tcPr>
          <w:p w14:paraId="73618D99"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Ensure facilitation of implementation of RPs on-site by the PMU and cooperate as required Giving the official assurance by the contractor that it will not harm the environment and neighboring settlements. </w:t>
            </w:r>
          </w:p>
          <w:p w14:paraId="00821E3F"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lastRenderedPageBreak/>
              <w:t xml:space="preserve">Providing the relevant demolition personnel with all Personal Protective Equipment prior to demolition within the scope of best practices and national legislation. </w:t>
            </w:r>
          </w:p>
          <w:p w14:paraId="1ACF0D83"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Giving the official assurance by the contractor that all demolition activities will be carried out in accordance with national legislation, the ESSs and the WBG EHS Guidelines.</w:t>
            </w:r>
          </w:p>
          <w:p w14:paraId="29652314" w14:textId="14461E08" w:rsidR="00BE4987" w:rsidRPr="00175D8B" w:rsidRDefault="00BE4987" w:rsidP="00BE4987">
            <w:pPr>
              <w:numPr>
                <w:ilvl w:val="0"/>
                <w:numId w:val="18"/>
              </w:numP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t>Auditing identified responsibilities of the contractors regarding measures to be implemented to minimize risks related with occupational accidents, environmental accidents and non-compliance with national and international legislation due to insufficient preliminary planning.</w:t>
            </w:r>
          </w:p>
        </w:tc>
        <w:tc>
          <w:tcPr>
            <w:tcW w:w="1417" w:type="dxa"/>
            <w:shd w:val="clear" w:color="auto" w:fill="F2F2F2" w:themeFill="background1" w:themeFillShade="F2"/>
          </w:tcPr>
          <w:p w14:paraId="27FF8B03"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lastRenderedPageBreak/>
              <w:t>Contractor</w:t>
            </w:r>
          </w:p>
        </w:tc>
      </w:tr>
      <w:tr w:rsidR="00BE4987" w:rsidRPr="00175D8B" w14:paraId="3F6B911B" w14:textId="77777777" w:rsidTr="002550A6">
        <w:trPr>
          <w:trHeight w:val="300"/>
          <w:jc w:val="center"/>
        </w:trPr>
        <w:tc>
          <w:tcPr>
            <w:tcW w:w="1276" w:type="dxa"/>
            <w:vMerge w:val="restart"/>
            <w:shd w:val="clear" w:color="auto" w:fill="F2F2F2" w:themeFill="background1" w:themeFillShade="F2"/>
            <w:vAlign w:val="center"/>
          </w:tcPr>
          <w:p w14:paraId="2B518082" w14:textId="55B27885"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Demolition Stage</w:t>
            </w:r>
          </w:p>
        </w:tc>
        <w:tc>
          <w:tcPr>
            <w:tcW w:w="2268" w:type="dxa"/>
            <w:vMerge w:val="restart"/>
            <w:shd w:val="clear" w:color="auto" w:fill="F2F2F2" w:themeFill="background1" w:themeFillShade="F2"/>
            <w:vAlign w:val="center"/>
          </w:tcPr>
          <w:p w14:paraId="70BBD656" w14:textId="1F447EFE"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Livelihood loss</w:t>
            </w:r>
          </w:p>
        </w:tc>
        <w:tc>
          <w:tcPr>
            <w:tcW w:w="4111" w:type="dxa"/>
            <w:shd w:val="clear" w:color="auto" w:fill="F2F2F2" w:themeFill="background1" w:themeFillShade="F2"/>
            <w:vAlign w:val="center"/>
          </w:tcPr>
          <w:p w14:paraId="034D8E06" w14:textId="77777777" w:rsidR="00BE4987" w:rsidRPr="00175D8B" w:rsidRDefault="00BE4987">
            <w:pPr>
              <w:numPr>
                <w:ilvl w:val="0"/>
                <w:numId w:val="142"/>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Providing verbal and written notifications for the people and groups affected by the Project due to the resettlement.</w:t>
            </w:r>
          </w:p>
          <w:p w14:paraId="514E3EF1"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Ensuring that the PAPs are aware as to how to benefit from livelihood supports and Project benefits.</w:t>
            </w:r>
          </w:p>
          <w:p w14:paraId="480D344D"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Preparation of brochures and promotional materials for PAPs, including support, what the beneficiaries should do, relevant contact numbers and addresses, complaint mechanism information.</w:t>
            </w:r>
          </w:p>
          <w:p w14:paraId="5DFEAF9C" w14:textId="75DA0560"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Providing verbal and written notifications to all PAPs directly affected and entitled.</w:t>
            </w:r>
          </w:p>
        </w:tc>
        <w:tc>
          <w:tcPr>
            <w:tcW w:w="1417" w:type="dxa"/>
            <w:shd w:val="clear" w:color="auto" w:fill="F2F2F2" w:themeFill="background1" w:themeFillShade="F2"/>
          </w:tcPr>
          <w:p w14:paraId="0EA3DD40"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BE4987" w:rsidRPr="00175D8B" w14:paraId="224E317B" w14:textId="77777777" w:rsidTr="002550A6">
        <w:trPr>
          <w:trHeight w:val="300"/>
          <w:jc w:val="center"/>
        </w:trPr>
        <w:tc>
          <w:tcPr>
            <w:tcW w:w="1276" w:type="dxa"/>
            <w:vMerge/>
          </w:tcPr>
          <w:p w14:paraId="1CAA7CC5" w14:textId="77777777" w:rsidR="00BE4987" w:rsidRPr="00175D8B" w:rsidRDefault="00BE4987" w:rsidP="00BE4987">
            <w:pPr>
              <w:spacing w:before="120" w:after="24" w:line="240" w:lineRule="auto"/>
              <w:rPr>
                <w:rFonts w:eastAsia="Calibri" w:cs="Calibri"/>
                <w:color w:val="000000" w:themeColor="text1"/>
                <w:sz w:val="20"/>
                <w:szCs w:val="20"/>
              </w:rPr>
            </w:pPr>
          </w:p>
        </w:tc>
        <w:tc>
          <w:tcPr>
            <w:tcW w:w="2268" w:type="dxa"/>
            <w:vMerge/>
          </w:tcPr>
          <w:p w14:paraId="538161BD" w14:textId="77777777" w:rsidR="00BE4987" w:rsidRPr="00175D8B" w:rsidRDefault="00BE4987" w:rsidP="00BE4987">
            <w:pPr>
              <w:spacing w:before="120" w:after="24" w:line="240" w:lineRule="auto"/>
              <w:rPr>
                <w:rFonts w:eastAsia="Calibri" w:cs="Calibri"/>
                <w:color w:val="000000" w:themeColor="text1"/>
                <w:sz w:val="20"/>
                <w:szCs w:val="20"/>
              </w:rPr>
            </w:pPr>
          </w:p>
        </w:tc>
        <w:tc>
          <w:tcPr>
            <w:tcW w:w="4111" w:type="dxa"/>
            <w:shd w:val="clear" w:color="auto" w:fill="F2F2F2" w:themeFill="background1" w:themeFillShade="F2"/>
          </w:tcPr>
          <w:p w14:paraId="2DEDBBCD" w14:textId="77777777" w:rsidR="00BE4987" w:rsidRPr="00175D8B" w:rsidRDefault="00BE4987" w:rsidP="00BE4987">
            <w:pPr>
              <w:numPr>
                <w:ilvl w:val="0"/>
                <w:numId w:val="19"/>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Conduct verbal and written notifications in the field for individuals and groups affected by the project, as determined by the PMU.</w:t>
            </w:r>
          </w:p>
          <w:p w14:paraId="144A637E" w14:textId="77777777" w:rsidR="00BE4987" w:rsidRPr="00175D8B" w:rsidRDefault="00BE4987" w:rsidP="00BE4987">
            <w:pPr>
              <w:numPr>
                <w:ilvl w:val="0"/>
                <w:numId w:val="19"/>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lastRenderedPageBreak/>
              <w:t>Inform PAPs about how to access livelihood supports and project benefits.</w:t>
            </w:r>
          </w:p>
          <w:p w14:paraId="04D79F36" w14:textId="77777777" w:rsidR="00BE4987" w:rsidRPr="00175D8B" w:rsidRDefault="00BE4987" w:rsidP="00BE4987">
            <w:pPr>
              <w:numPr>
                <w:ilvl w:val="0"/>
                <w:numId w:val="19"/>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Distribute brochures and promotional materials prepared by the PMU, ensuring they reach the relevant individuals.</w:t>
            </w:r>
          </w:p>
          <w:p w14:paraId="69275000" w14:textId="77A77BE4" w:rsidR="00BE4987" w:rsidRPr="00175D8B" w:rsidRDefault="00BE4987" w:rsidP="00BE4987">
            <w:pPr>
              <w:numPr>
                <w:ilvl w:val="0"/>
                <w:numId w:val="19"/>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Carry out the information process for all entitled and directly affected PAPs in a timely and complete manner.</w:t>
            </w:r>
          </w:p>
        </w:tc>
        <w:tc>
          <w:tcPr>
            <w:tcW w:w="1417" w:type="dxa"/>
            <w:shd w:val="clear" w:color="auto" w:fill="F2F2F2" w:themeFill="background1" w:themeFillShade="F2"/>
          </w:tcPr>
          <w:p w14:paraId="24350D5B"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lastRenderedPageBreak/>
              <w:t>Contractor</w:t>
            </w:r>
          </w:p>
        </w:tc>
      </w:tr>
      <w:tr w:rsidR="00BE4987" w:rsidRPr="00175D8B" w14:paraId="7BF6E297" w14:textId="77777777" w:rsidTr="002550A6">
        <w:trPr>
          <w:trHeight w:val="300"/>
          <w:jc w:val="center"/>
        </w:trPr>
        <w:tc>
          <w:tcPr>
            <w:tcW w:w="1276" w:type="dxa"/>
            <w:vMerge w:val="restart"/>
            <w:shd w:val="clear" w:color="auto" w:fill="F2F2F2" w:themeFill="background1" w:themeFillShade="F2"/>
            <w:vAlign w:val="center"/>
          </w:tcPr>
          <w:p w14:paraId="2CCCF1DC" w14:textId="6093F9F5"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Demolition Stage (the sub-projects which will require demolition)</w:t>
            </w:r>
          </w:p>
        </w:tc>
        <w:tc>
          <w:tcPr>
            <w:tcW w:w="2268" w:type="dxa"/>
            <w:vMerge w:val="restart"/>
            <w:shd w:val="clear" w:color="auto" w:fill="F2F2F2" w:themeFill="background1" w:themeFillShade="F2"/>
            <w:vAlign w:val="center"/>
          </w:tcPr>
          <w:p w14:paraId="4D6744E9" w14:textId="0116F7A0"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 xml:space="preserve">Impacts on air quality, especially related with possible contribution on particulate matter concentrations, which are already high in the provinces. </w:t>
            </w:r>
          </w:p>
        </w:tc>
        <w:tc>
          <w:tcPr>
            <w:tcW w:w="4111" w:type="dxa"/>
            <w:shd w:val="clear" w:color="auto" w:fill="F2F2F2" w:themeFill="background1" w:themeFillShade="F2"/>
          </w:tcPr>
          <w:p w14:paraId="728E8C2B" w14:textId="77777777" w:rsidR="00BE4987" w:rsidRPr="00175D8B" w:rsidRDefault="00BE4987" w:rsidP="00BE4987">
            <w:pPr>
              <w:numPr>
                <w:ilvl w:val="0"/>
                <w:numId w:val="20"/>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Giving the assurance by the contractor that it will apply the dust suppression processes in order to minimize the intense dust formation that will occur during the demolition work, and that it will implement these processes.</w:t>
            </w:r>
          </w:p>
          <w:p w14:paraId="528C36B3" w14:textId="61A433D2" w:rsidR="00BE4987" w:rsidRPr="00175D8B" w:rsidRDefault="00BE4987" w:rsidP="00BE4987">
            <w:pPr>
              <w:numPr>
                <w:ilvl w:val="0"/>
                <w:numId w:val="20"/>
              </w:numP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t>Preparation and implementation of at least C-ESMP Checklists.</w:t>
            </w:r>
          </w:p>
        </w:tc>
        <w:tc>
          <w:tcPr>
            <w:tcW w:w="1417" w:type="dxa"/>
            <w:shd w:val="clear" w:color="auto" w:fill="F2F2F2" w:themeFill="background1" w:themeFillShade="F2"/>
          </w:tcPr>
          <w:p w14:paraId="681B5774"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Contractor</w:t>
            </w:r>
          </w:p>
        </w:tc>
      </w:tr>
      <w:tr w:rsidR="00BE4987" w:rsidRPr="00175D8B" w14:paraId="1CF0FABA" w14:textId="77777777" w:rsidTr="002550A6">
        <w:trPr>
          <w:trHeight w:val="300"/>
          <w:jc w:val="center"/>
        </w:trPr>
        <w:tc>
          <w:tcPr>
            <w:tcW w:w="1276" w:type="dxa"/>
            <w:vMerge/>
          </w:tcPr>
          <w:p w14:paraId="495FB8CF" w14:textId="77777777" w:rsidR="00BE4987" w:rsidRPr="00175D8B" w:rsidRDefault="00BE4987" w:rsidP="00BE4987">
            <w:pPr>
              <w:spacing w:before="120" w:after="24" w:line="240" w:lineRule="auto"/>
              <w:ind w:left="567"/>
              <w:rPr>
                <w:rFonts w:eastAsia="Aptos" w:cs="Aptos"/>
                <w:color w:val="000000" w:themeColor="text1"/>
                <w:sz w:val="20"/>
                <w:szCs w:val="20"/>
              </w:rPr>
            </w:pPr>
          </w:p>
        </w:tc>
        <w:tc>
          <w:tcPr>
            <w:tcW w:w="2268" w:type="dxa"/>
            <w:vMerge/>
          </w:tcPr>
          <w:p w14:paraId="7841C413" w14:textId="77777777" w:rsidR="00BE4987" w:rsidRPr="00175D8B" w:rsidRDefault="00BE4987" w:rsidP="00BE4987">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vAlign w:val="center"/>
          </w:tcPr>
          <w:p w14:paraId="0097E631" w14:textId="3148D216" w:rsidR="00BE4987" w:rsidRPr="00175D8B" w:rsidRDefault="00BE4987">
            <w:pPr>
              <w:numPr>
                <w:ilvl w:val="0"/>
                <w:numId w:val="142"/>
              </w:numPr>
              <w:pBdr>
                <w:top w:val="nil"/>
                <w:left w:val="nil"/>
                <w:bottom w:val="nil"/>
                <w:right w:val="nil"/>
                <w:between w:val="nil"/>
              </w:pBdr>
              <w:spacing w:before="80" w:after="0"/>
              <w:jc w:val="left"/>
              <w:rPr>
                <w:rFonts w:eastAsia="Aptos" w:cs="Aptos"/>
                <w:color w:val="000000"/>
                <w:sz w:val="20"/>
                <w:szCs w:val="20"/>
              </w:rPr>
            </w:pPr>
            <w:r w:rsidRPr="00175D8B">
              <w:rPr>
                <w:rFonts w:eastAsia="Aptos" w:cs="Aptos"/>
                <w:color w:val="000000"/>
                <w:sz w:val="20"/>
                <w:szCs w:val="20"/>
              </w:rPr>
              <w:t>Ensuring preparation of each C-ESMP checklists in compliance with Sakarya ESMP.</w:t>
            </w:r>
          </w:p>
          <w:p w14:paraId="5E6699B9" w14:textId="77777777" w:rsidR="00BE4987" w:rsidRPr="00175D8B" w:rsidRDefault="00BE4987">
            <w:pPr>
              <w:numPr>
                <w:ilvl w:val="0"/>
                <w:numId w:val="142"/>
              </w:numPr>
              <w:pBdr>
                <w:top w:val="nil"/>
                <w:left w:val="nil"/>
                <w:bottom w:val="nil"/>
                <w:right w:val="nil"/>
                <w:between w:val="nil"/>
              </w:pBdr>
              <w:spacing w:before="80" w:after="0"/>
              <w:jc w:val="left"/>
              <w:rPr>
                <w:rFonts w:eastAsia="Aptos" w:cs="Aptos"/>
                <w:color w:val="000000"/>
                <w:sz w:val="20"/>
                <w:szCs w:val="20"/>
              </w:rPr>
            </w:pPr>
            <w:r w:rsidRPr="00175D8B">
              <w:rPr>
                <w:rFonts w:eastAsia="Aptos" w:cs="Aptos"/>
                <w:color w:val="000000"/>
                <w:sz w:val="20"/>
                <w:szCs w:val="20"/>
              </w:rPr>
              <w:t>Auditing identified responsibilities of the contractors regarding air quality management.</w:t>
            </w:r>
          </w:p>
          <w:p w14:paraId="19922214" w14:textId="6967E204" w:rsidR="00BE4987" w:rsidRPr="00175D8B" w:rsidRDefault="00BE4987">
            <w:pPr>
              <w:numPr>
                <w:ilvl w:val="0"/>
                <w:numId w:val="142"/>
              </w:numPr>
              <w:pBdr>
                <w:top w:val="nil"/>
                <w:left w:val="nil"/>
                <w:bottom w:val="nil"/>
                <w:right w:val="nil"/>
                <w:between w:val="nil"/>
              </w:pBdr>
              <w:spacing w:before="80" w:after="0"/>
              <w:jc w:val="left"/>
              <w:rPr>
                <w:rFonts w:eastAsia="Aptos" w:cs="Aptos"/>
                <w:color w:val="000000"/>
                <w:sz w:val="20"/>
                <w:szCs w:val="20"/>
              </w:rPr>
            </w:pPr>
            <w:r w:rsidRPr="00175D8B">
              <w:rPr>
                <w:rFonts w:eastAsia="Aptos" w:cs="Aptos"/>
                <w:color w:val="000000"/>
                <w:sz w:val="20"/>
                <w:szCs w:val="20"/>
              </w:rPr>
              <w:t>Implementing GM for dust related grievances and closing them appropriately. Directing and auditing the contractor within that scope.</w:t>
            </w:r>
          </w:p>
        </w:tc>
        <w:tc>
          <w:tcPr>
            <w:tcW w:w="1417" w:type="dxa"/>
            <w:shd w:val="clear" w:color="auto" w:fill="F2F2F2" w:themeFill="background1" w:themeFillShade="F2"/>
          </w:tcPr>
          <w:p w14:paraId="16322638"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BE4987" w:rsidRPr="00175D8B" w14:paraId="0AC8649E" w14:textId="77777777" w:rsidTr="002550A6">
        <w:trPr>
          <w:trHeight w:val="300"/>
          <w:jc w:val="center"/>
        </w:trPr>
        <w:tc>
          <w:tcPr>
            <w:tcW w:w="1276" w:type="dxa"/>
            <w:vMerge w:val="restart"/>
            <w:shd w:val="clear" w:color="auto" w:fill="F2F2F2" w:themeFill="background1" w:themeFillShade="F2"/>
            <w:vAlign w:val="center"/>
          </w:tcPr>
          <w:p w14:paraId="63CF76E1" w14:textId="4F697C5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Demolition Stage (the sub-projects which will require demolition)</w:t>
            </w:r>
          </w:p>
        </w:tc>
        <w:tc>
          <w:tcPr>
            <w:tcW w:w="2268" w:type="dxa"/>
            <w:vMerge w:val="restart"/>
            <w:shd w:val="clear" w:color="auto" w:fill="F2F2F2" w:themeFill="background1" w:themeFillShade="F2"/>
            <w:vAlign w:val="center"/>
          </w:tcPr>
          <w:p w14:paraId="29107041" w14:textId="080A2B8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 xml:space="preserve">Blasting-Related Risks: The demolition phase can be carried out by blasting according to the demolition method. In this context, occupational and community health and safety risks will arise. -However, it should be noted here that no blasting demolition has been performed in </w:t>
            </w:r>
            <w:r w:rsidRPr="00175D8B">
              <w:rPr>
                <w:rFonts w:eastAsia="Aptos" w:cs="Aptos"/>
                <w:sz w:val="20"/>
                <w:szCs w:val="20"/>
              </w:rPr>
              <w:lastRenderedPageBreak/>
              <w:t>Türkiye since 2017 and the MoEUCC does not prefer this method. In any case, relevant mitigation measures are provided</w:t>
            </w:r>
          </w:p>
        </w:tc>
        <w:tc>
          <w:tcPr>
            <w:tcW w:w="4111" w:type="dxa"/>
            <w:shd w:val="clear" w:color="auto" w:fill="F2F2F2" w:themeFill="background1" w:themeFillShade="F2"/>
            <w:vAlign w:val="center"/>
          </w:tcPr>
          <w:p w14:paraId="5A2719FB" w14:textId="77777777" w:rsidR="00BE4987" w:rsidRPr="00175D8B" w:rsidRDefault="00BE4987">
            <w:pPr>
              <w:numPr>
                <w:ilvl w:val="0"/>
                <w:numId w:val="142"/>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lastRenderedPageBreak/>
              <w:t>The concrete strength and the reinforcement iron properties used on the columns and beams of the foundations of the buildings that are considered for blast demolition must be well determined, and a blasting pattern must be prepared accordingly.</w:t>
            </w:r>
          </w:p>
          <w:p w14:paraId="291C92B1"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Before, during and after blasting, the necessary permission must be </w:t>
            </w:r>
            <w:r w:rsidRPr="00175D8B">
              <w:rPr>
                <w:rFonts w:eastAsia="Aptos" w:cs="Aptos"/>
                <w:color w:val="000000"/>
                <w:sz w:val="20"/>
                <w:szCs w:val="20"/>
              </w:rPr>
              <w:lastRenderedPageBreak/>
              <w:t xml:space="preserve">obtained from all administrative units, and traffic and environmental safety must be ensured. The igniter to detonate must be licensed and must make the ignitions by hiding in closed areas. </w:t>
            </w:r>
          </w:p>
          <w:p w14:paraId="48346857"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In blast demolitions, the entire environment must be informed of it before blasting, and warning announcements must be made.</w:t>
            </w:r>
          </w:p>
          <w:p w14:paraId="1D93BBDB"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Watering must be performed in order to suppress the dust that will be formed in all demolition techniques, especially during demolition and crushing processes.</w:t>
            </w:r>
          </w:p>
          <w:p w14:paraId="479A89C3"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Suspended scaffolds and safety scaffolds must be installed and used in machine or mezzanine floor reduction methods. </w:t>
            </w:r>
          </w:p>
          <w:p w14:paraId="0EA3E971"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In all building demolition works, the area where the building will be demolished, and stacking and loading works will be performed must be enclosed by barricades at a height of at least 2.00 meters, and a security area must be created and isolated from the outside.</w:t>
            </w:r>
          </w:p>
          <w:p w14:paraId="413F413C"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The operators who </w:t>
            </w:r>
            <w:r w:rsidRPr="00175D8B">
              <w:rPr>
                <w:color w:val="000000"/>
                <w:sz w:val="20"/>
                <w:szCs w:val="20"/>
              </w:rPr>
              <w:t>work</w:t>
            </w:r>
            <w:r w:rsidRPr="00175D8B">
              <w:rPr>
                <w:rFonts w:eastAsia="Aptos" w:cs="Aptos"/>
                <w:color w:val="000000"/>
                <w:sz w:val="20"/>
                <w:szCs w:val="20"/>
              </w:rPr>
              <w:t xml:space="preserve"> on all heavy equipment must have a G-Class driver’s license and experience.</w:t>
            </w:r>
          </w:p>
          <w:p w14:paraId="32B66294"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Firefighters or fire extinguishers, if any, must be available during the demolition work. </w:t>
            </w:r>
          </w:p>
          <w:p w14:paraId="19F0A20F"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lastRenderedPageBreak/>
              <w:t xml:space="preserve">No demolition work must be done at night. </w:t>
            </w:r>
          </w:p>
          <w:p w14:paraId="3F85C834"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All personnel must have communication devices. </w:t>
            </w:r>
          </w:p>
          <w:p w14:paraId="0A5E59EC"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Emergency escape and emergency assembly area must be determined outside the area to be demolished, and the related trainings must be given. </w:t>
            </w:r>
          </w:p>
          <w:p w14:paraId="60AC5CD8"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In all demolition techniques, all personnel who will work in the demolition site must have and carry the Personal Protective Equipment listed below that comply with the CE brand and standards. The equipment includes the following:</w:t>
            </w:r>
          </w:p>
          <w:p w14:paraId="4F72A774" w14:textId="77777777" w:rsidR="00BE4987" w:rsidRPr="00175D8B" w:rsidRDefault="00BE4987">
            <w:pPr>
              <w:numPr>
                <w:ilvl w:val="0"/>
                <w:numId w:val="145"/>
              </w:numPr>
              <w:pBdr>
                <w:top w:val="nil"/>
                <w:left w:val="nil"/>
                <w:bottom w:val="nil"/>
                <w:right w:val="nil"/>
                <w:between w:val="nil"/>
              </w:pBdr>
              <w:spacing w:after="0"/>
              <w:ind w:left="851" w:hanging="284"/>
              <w:jc w:val="left"/>
              <w:rPr>
                <w:color w:val="000000"/>
                <w:sz w:val="20"/>
                <w:szCs w:val="20"/>
              </w:rPr>
            </w:pPr>
            <w:r w:rsidRPr="00175D8B">
              <w:rPr>
                <w:rFonts w:eastAsia="Aptos" w:cs="Aptos"/>
                <w:color w:val="000000"/>
                <w:sz w:val="20"/>
                <w:szCs w:val="20"/>
              </w:rPr>
              <w:t>Helmet (with chin protection)</w:t>
            </w:r>
          </w:p>
          <w:p w14:paraId="7C8EF6F0" w14:textId="77777777" w:rsidR="00BE4987" w:rsidRPr="00175D8B" w:rsidRDefault="00BE4987">
            <w:pPr>
              <w:numPr>
                <w:ilvl w:val="0"/>
                <w:numId w:val="145"/>
              </w:numPr>
              <w:pBdr>
                <w:top w:val="nil"/>
                <w:left w:val="nil"/>
                <w:bottom w:val="nil"/>
                <w:right w:val="nil"/>
                <w:between w:val="nil"/>
              </w:pBdr>
              <w:spacing w:after="0"/>
              <w:ind w:left="851" w:hanging="284"/>
              <w:jc w:val="left"/>
              <w:rPr>
                <w:color w:val="000000"/>
                <w:sz w:val="20"/>
                <w:szCs w:val="20"/>
              </w:rPr>
            </w:pPr>
            <w:r w:rsidRPr="00175D8B">
              <w:rPr>
                <w:rFonts w:eastAsia="Aptos" w:cs="Aptos"/>
                <w:color w:val="000000"/>
                <w:sz w:val="20"/>
                <w:szCs w:val="20"/>
              </w:rPr>
              <w:t>Warning vest</w:t>
            </w:r>
          </w:p>
          <w:p w14:paraId="13A44150" w14:textId="77777777" w:rsidR="00BE4987" w:rsidRPr="00175D8B" w:rsidRDefault="00BE4987">
            <w:pPr>
              <w:numPr>
                <w:ilvl w:val="0"/>
                <w:numId w:val="145"/>
              </w:numPr>
              <w:pBdr>
                <w:top w:val="nil"/>
                <w:left w:val="nil"/>
                <w:bottom w:val="nil"/>
                <w:right w:val="nil"/>
                <w:between w:val="nil"/>
              </w:pBdr>
              <w:spacing w:after="0"/>
              <w:ind w:left="851" w:hanging="284"/>
              <w:jc w:val="left"/>
              <w:rPr>
                <w:color w:val="000000"/>
                <w:sz w:val="20"/>
                <w:szCs w:val="20"/>
              </w:rPr>
            </w:pPr>
            <w:r w:rsidRPr="00175D8B">
              <w:rPr>
                <w:rFonts w:eastAsia="Aptos" w:cs="Aptos"/>
                <w:color w:val="000000"/>
                <w:sz w:val="20"/>
                <w:szCs w:val="20"/>
              </w:rPr>
              <w:t xml:space="preserve">Headphones or earplugs </w:t>
            </w:r>
          </w:p>
          <w:p w14:paraId="1F6A51BD" w14:textId="77777777" w:rsidR="00BE4987" w:rsidRPr="00175D8B" w:rsidRDefault="00BE4987">
            <w:pPr>
              <w:numPr>
                <w:ilvl w:val="0"/>
                <w:numId w:val="145"/>
              </w:numPr>
              <w:pBdr>
                <w:top w:val="nil"/>
                <w:left w:val="nil"/>
                <w:bottom w:val="nil"/>
                <w:right w:val="nil"/>
                <w:between w:val="nil"/>
              </w:pBdr>
              <w:spacing w:after="0"/>
              <w:ind w:left="851" w:hanging="284"/>
              <w:jc w:val="left"/>
              <w:rPr>
                <w:color w:val="000000"/>
                <w:sz w:val="20"/>
                <w:szCs w:val="20"/>
              </w:rPr>
            </w:pPr>
            <w:r w:rsidRPr="00175D8B">
              <w:rPr>
                <w:rFonts w:eastAsia="Aptos" w:cs="Aptos"/>
                <w:color w:val="000000"/>
                <w:sz w:val="20"/>
                <w:szCs w:val="20"/>
              </w:rPr>
              <w:t>Top boots with S3 steel toe and steel sole, and ankle-level boots</w:t>
            </w:r>
          </w:p>
          <w:p w14:paraId="4CCE7190" w14:textId="77777777" w:rsidR="00BE4987" w:rsidRPr="00175D8B" w:rsidRDefault="00BE4987">
            <w:pPr>
              <w:numPr>
                <w:ilvl w:val="0"/>
                <w:numId w:val="145"/>
              </w:numPr>
              <w:pBdr>
                <w:top w:val="nil"/>
                <w:left w:val="nil"/>
                <w:bottom w:val="nil"/>
                <w:right w:val="nil"/>
                <w:between w:val="nil"/>
              </w:pBdr>
              <w:spacing w:after="0"/>
              <w:ind w:left="851" w:hanging="284"/>
              <w:jc w:val="left"/>
              <w:rPr>
                <w:color w:val="000000"/>
                <w:sz w:val="20"/>
                <w:szCs w:val="20"/>
              </w:rPr>
            </w:pPr>
            <w:r w:rsidRPr="00175D8B">
              <w:rPr>
                <w:rFonts w:eastAsia="Aptos" w:cs="Aptos"/>
                <w:color w:val="000000"/>
                <w:sz w:val="20"/>
                <w:szCs w:val="20"/>
              </w:rPr>
              <w:t>Dust mask</w:t>
            </w:r>
          </w:p>
          <w:p w14:paraId="26E77A1B" w14:textId="77777777" w:rsidR="00BE4987" w:rsidRPr="00175D8B" w:rsidRDefault="00BE4987">
            <w:pPr>
              <w:numPr>
                <w:ilvl w:val="0"/>
                <w:numId w:val="145"/>
              </w:numPr>
              <w:pBdr>
                <w:top w:val="nil"/>
                <w:left w:val="nil"/>
                <w:bottom w:val="nil"/>
                <w:right w:val="nil"/>
                <w:between w:val="nil"/>
              </w:pBdr>
              <w:spacing w:after="0"/>
              <w:ind w:left="851" w:hanging="284"/>
              <w:jc w:val="left"/>
              <w:rPr>
                <w:color w:val="000000"/>
                <w:sz w:val="20"/>
                <w:szCs w:val="20"/>
              </w:rPr>
            </w:pPr>
            <w:r w:rsidRPr="00175D8B">
              <w:rPr>
                <w:rFonts w:eastAsia="Aptos" w:cs="Aptos"/>
                <w:color w:val="000000"/>
                <w:sz w:val="20"/>
                <w:szCs w:val="20"/>
              </w:rPr>
              <w:t xml:space="preserve">Occupational safety glasses </w:t>
            </w:r>
          </w:p>
          <w:p w14:paraId="19441AA7" w14:textId="77777777" w:rsidR="00BE4987" w:rsidRPr="00175D8B" w:rsidRDefault="00BE4987">
            <w:pPr>
              <w:numPr>
                <w:ilvl w:val="0"/>
                <w:numId w:val="145"/>
              </w:numPr>
              <w:pBdr>
                <w:top w:val="nil"/>
                <w:left w:val="nil"/>
                <w:bottom w:val="nil"/>
                <w:right w:val="nil"/>
                <w:between w:val="nil"/>
              </w:pBdr>
              <w:spacing w:after="0"/>
              <w:ind w:left="851" w:hanging="284"/>
              <w:jc w:val="left"/>
              <w:rPr>
                <w:color w:val="000000"/>
                <w:sz w:val="20"/>
                <w:szCs w:val="20"/>
              </w:rPr>
            </w:pPr>
            <w:r w:rsidRPr="00175D8B">
              <w:rPr>
                <w:rFonts w:eastAsia="Aptos" w:cs="Aptos"/>
                <w:color w:val="000000"/>
                <w:sz w:val="20"/>
                <w:szCs w:val="20"/>
              </w:rPr>
              <w:t xml:space="preserve">Glass visor mask </w:t>
            </w:r>
          </w:p>
          <w:p w14:paraId="64BF3F06" w14:textId="77777777" w:rsidR="00BE4987" w:rsidRPr="00175D8B" w:rsidRDefault="00BE4987">
            <w:pPr>
              <w:numPr>
                <w:ilvl w:val="0"/>
                <w:numId w:val="145"/>
              </w:numPr>
              <w:pBdr>
                <w:top w:val="nil"/>
                <w:left w:val="nil"/>
                <w:bottom w:val="nil"/>
                <w:right w:val="nil"/>
                <w:between w:val="nil"/>
              </w:pBdr>
              <w:spacing w:after="0"/>
              <w:ind w:left="851" w:hanging="284"/>
              <w:jc w:val="left"/>
              <w:rPr>
                <w:color w:val="000000"/>
                <w:sz w:val="20"/>
                <w:szCs w:val="20"/>
              </w:rPr>
            </w:pPr>
            <w:r w:rsidRPr="00175D8B">
              <w:rPr>
                <w:rFonts w:eastAsia="Aptos" w:cs="Aptos"/>
                <w:color w:val="000000"/>
                <w:sz w:val="20"/>
                <w:szCs w:val="20"/>
              </w:rPr>
              <w:t xml:space="preserve">Welding and work gloves </w:t>
            </w:r>
          </w:p>
          <w:p w14:paraId="17E1B887" w14:textId="77777777" w:rsidR="00BE4987" w:rsidRPr="00175D8B" w:rsidRDefault="00BE4987">
            <w:pPr>
              <w:numPr>
                <w:ilvl w:val="0"/>
                <w:numId w:val="145"/>
              </w:numPr>
              <w:pBdr>
                <w:top w:val="nil"/>
                <w:left w:val="nil"/>
                <w:bottom w:val="nil"/>
                <w:right w:val="nil"/>
                <w:between w:val="nil"/>
              </w:pBdr>
              <w:spacing w:after="0"/>
              <w:ind w:left="851" w:hanging="284"/>
              <w:jc w:val="left"/>
              <w:rPr>
                <w:color w:val="000000"/>
                <w:sz w:val="20"/>
                <w:szCs w:val="20"/>
              </w:rPr>
            </w:pPr>
            <w:r w:rsidRPr="00175D8B">
              <w:rPr>
                <w:rFonts w:eastAsia="Aptos" w:cs="Aptos"/>
                <w:color w:val="000000"/>
                <w:sz w:val="20"/>
                <w:szCs w:val="20"/>
              </w:rPr>
              <w:t>Parachute-type seat belt and life ropes</w:t>
            </w:r>
          </w:p>
          <w:p w14:paraId="4970C35F" w14:textId="77777777" w:rsidR="00BE4987" w:rsidRPr="00175D8B" w:rsidRDefault="00BE4987">
            <w:pPr>
              <w:numPr>
                <w:ilvl w:val="0"/>
                <w:numId w:val="145"/>
              </w:numPr>
              <w:pBdr>
                <w:top w:val="nil"/>
                <w:left w:val="nil"/>
                <w:bottom w:val="nil"/>
                <w:right w:val="nil"/>
                <w:between w:val="nil"/>
              </w:pBdr>
              <w:spacing w:after="0"/>
              <w:ind w:left="851" w:hanging="284"/>
              <w:jc w:val="left"/>
              <w:rPr>
                <w:color w:val="000000"/>
                <w:sz w:val="20"/>
                <w:szCs w:val="20"/>
              </w:rPr>
            </w:pPr>
            <w:r w:rsidRPr="00175D8B">
              <w:rPr>
                <w:rFonts w:eastAsia="Aptos" w:cs="Aptos"/>
                <w:color w:val="000000"/>
                <w:sz w:val="20"/>
                <w:szCs w:val="20"/>
              </w:rPr>
              <w:t xml:space="preserve">Work safety clothes, coats and raincoats </w:t>
            </w:r>
          </w:p>
          <w:p w14:paraId="0603F36C" w14:textId="77777777" w:rsidR="00BE4987" w:rsidRPr="00175D8B" w:rsidRDefault="00BE4987">
            <w:pPr>
              <w:numPr>
                <w:ilvl w:val="0"/>
                <w:numId w:val="145"/>
              </w:numPr>
              <w:pBdr>
                <w:top w:val="nil"/>
                <w:left w:val="nil"/>
                <w:bottom w:val="nil"/>
                <w:right w:val="nil"/>
                <w:between w:val="nil"/>
              </w:pBdr>
              <w:spacing w:after="0"/>
              <w:ind w:left="851" w:hanging="284"/>
              <w:jc w:val="left"/>
              <w:rPr>
                <w:color w:val="000000"/>
                <w:sz w:val="20"/>
                <w:szCs w:val="20"/>
              </w:rPr>
            </w:pPr>
            <w:r w:rsidRPr="00175D8B">
              <w:rPr>
                <w:rFonts w:eastAsia="Aptos" w:cs="Aptos"/>
                <w:color w:val="000000"/>
                <w:sz w:val="20"/>
                <w:szCs w:val="20"/>
              </w:rPr>
              <w:t xml:space="preserve">Light signals, funnel caution signs and orange safety barriers </w:t>
            </w:r>
          </w:p>
          <w:p w14:paraId="609E3CE4" w14:textId="77777777" w:rsidR="00BE4987" w:rsidRPr="00175D8B" w:rsidRDefault="00BE4987">
            <w:pPr>
              <w:numPr>
                <w:ilvl w:val="0"/>
                <w:numId w:val="145"/>
              </w:numPr>
              <w:pBdr>
                <w:top w:val="nil"/>
                <w:left w:val="nil"/>
                <w:bottom w:val="nil"/>
                <w:right w:val="nil"/>
                <w:between w:val="nil"/>
              </w:pBdr>
              <w:spacing w:after="0"/>
              <w:ind w:left="851" w:hanging="284"/>
              <w:jc w:val="left"/>
              <w:rPr>
                <w:color w:val="000000"/>
                <w:sz w:val="20"/>
                <w:szCs w:val="20"/>
              </w:rPr>
            </w:pPr>
            <w:r w:rsidRPr="00175D8B">
              <w:rPr>
                <w:rFonts w:eastAsia="Aptos" w:cs="Aptos"/>
                <w:color w:val="000000"/>
                <w:sz w:val="20"/>
                <w:szCs w:val="20"/>
              </w:rPr>
              <w:t>Audible sirens and loudspeakers</w:t>
            </w:r>
          </w:p>
          <w:p w14:paraId="3192DBAF"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lastRenderedPageBreak/>
              <w:t xml:space="preserve">Work must not be started before performing a Risk Analysis and Assessment. </w:t>
            </w:r>
          </w:p>
          <w:p w14:paraId="6A028EC8"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Blasting must be done under the supervision of qualified engineers, and the support, help and service from the occupational safety professionals must be obtained. </w:t>
            </w:r>
          </w:p>
          <w:p w14:paraId="7F2C700F"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Before starting the demolition work, an ambulance and sufficient number of healthcare personnel must be kept ready. </w:t>
            </w:r>
          </w:p>
          <w:p w14:paraId="66D3F4BF"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It must be ensured that the electricity, water and natural gas lines of the structures to be demolished are completely closed and discharged, and the necessary procedures must be applied. </w:t>
            </w:r>
          </w:p>
          <w:p w14:paraId="0B37802A" w14:textId="6C61229E" w:rsidR="00BE4987" w:rsidRPr="00175D8B" w:rsidRDefault="00BE4987">
            <w:pPr>
              <w:numPr>
                <w:ilvl w:val="0"/>
                <w:numId w:val="21"/>
              </w:numP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t xml:space="preserve">If there are living spaces or live houses around the structures that are planned to be demolished, people must be evacuated from these housings and living spaces and taken to safe places, according to the risk assessment to be performed, if necessary. </w:t>
            </w:r>
          </w:p>
        </w:tc>
        <w:tc>
          <w:tcPr>
            <w:tcW w:w="1417" w:type="dxa"/>
            <w:shd w:val="clear" w:color="auto" w:fill="F2F2F2" w:themeFill="background1" w:themeFillShade="F2"/>
          </w:tcPr>
          <w:p w14:paraId="6B3C7E5B"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lastRenderedPageBreak/>
              <w:t>Contractor</w:t>
            </w:r>
          </w:p>
        </w:tc>
      </w:tr>
      <w:tr w:rsidR="00BE4987" w:rsidRPr="00175D8B" w14:paraId="12993F34" w14:textId="77777777" w:rsidTr="002550A6">
        <w:trPr>
          <w:trHeight w:val="300"/>
          <w:jc w:val="center"/>
        </w:trPr>
        <w:tc>
          <w:tcPr>
            <w:tcW w:w="1276" w:type="dxa"/>
            <w:vMerge/>
          </w:tcPr>
          <w:p w14:paraId="44C8C91B" w14:textId="77777777" w:rsidR="00BE4987" w:rsidRPr="00175D8B" w:rsidRDefault="00BE4987" w:rsidP="00BE4987">
            <w:pPr>
              <w:spacing w:before="120" w:after="24" w:line="240" w:lineRule="auto"/>
              <w:ind w:left="567"/>
              <w:rPr>
                <w:rFonts w:eastAsia="Aptos" w:cs="Aptos"/>
                <w:color w:val="000000" w:themeColor="text1"/>
                <w:sz w:val="20"/>
                <w:szCs w:val="20"/>
              </w:rPr>
            </w:pPr>
          </w:p>
        </w:tc>
        <w:tc>
          <w:tcPr>
            <w:tcW w:w="2268" w:type="dxa"/>
            <w:vMerge/>
          </w:tcPr>
          <w:p w14:paraId="65D7E420" w14:textId="77777777" w:rsidR="00BE4987" w:rsidRPr="00175D8B" w:rsidRDefault="00BE4987" w:rsidP="00BE4987">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vAlign w:val="center"/>
          </w:tcPr>
          <w:p w14:paraId="26579F3B" w14:textId="320EC77A" w:rsidR="00BE4987" w:rsidRPr="00175D8B" w:rsidRDefault="00BE4987">
            <w:pPr>
              <w:numPr>
                <w:ilvl w:val="0"/>
                <w:numId w:val="22"/>
              </w:numP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t>Auditing to ensure not starting blasting demolition without taking necessary requirements.</w:t>
            </w:r>
          </w:p>
        </w:tc>
        <w:tc>
          <w:tcPr>
            <w:tcW w:w="1417" w:type="dxa"/>
            <w:shd w:val="clear" w:color="auto" w:fill="F2F2F2" w:themeFill="background1" w:themeFillShade="F2"/>
          </w:tcPr>
          <w:p w14:paraId="0A845ABA"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BE4987" w:rsidRPr="00175D8B" w14:paraId="73CDFA5E" w14:textId="77777777" w:rsidTr="002550A6">
        <w:trPr>
          <w:trHeight w:val="300"/>
          <w:jc w:val="center"/>
        </w:trPr>
        <w:tc>
          <w:tcPr>
            <w:tcW w:w="1276" w:type="dxa"/>
            <w:vMerge w:val="restart"/>
            <w:shd w:val="clear" w:color="auto" w:fill="F2F2F2" w:themeFill="background1" w:themeFillShade="F2"/>
            <w:vAlign w:val="center"/>
          </w:tcPr>
          <w:p w14:paraId="1C1A791F" w14:textId="79B7781F"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Demolition Stage (the sub-projects which will require demolition)</w:t>
            </w:r>
          </w:p>
        </w:tc>
        <w:tc>
          <w:tcPr>
            <w:tcW w:w="2268" w:type="dxa"/>
            <w:vMerge w:val="restart"/>
            <w:shd w:val="clear" w:color="auto" w:fill="F2F2F2" w:themeFill="background1" w:themeFillShade="F2"/>
            <w:vAlign w:val="center"/>
          </w:tcPr>
          <w:p w14:paraId="3EA55BD3" w14:textId="0908B59A"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Noise generation (except from blasting, for blasting details provided above)</w:t>
            </w:r>
          </w:p>
        </w:tc>
        <w:tc>
          <w:tcPr>
            <w:tcW w:w="4111" w:type="dxa"/>
            <w:shd w:val="clear" w:color="auto" w:fill="F2F2F2" w:themeFill="background1" w:themeFillShade="F2"/>
          </w:tcPr>
          <w:p w14:paraId="590F40BB" w14:textId="77777777" w:rsidR="00BE4987" w:rsidRPr="00175D8B" w:rsidRDefault="00BE4987">
            <w:pPr>
              <w:numPr>
                <w:ilvl w:val="0"/>
                <w:numId w:val="22"/>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Preparation of ESMP Checklist by taking impact level on the closest sensitive receptors into account.</w:t>
            </w:r>
          </w:p>
          <w:p w14:paraId="3CBBE2B7" w14:textId="58D26353" w:rsidR="00BE4987" w:rsidRPr="00175D8B" w:rsidRDefault="00BE4987">
            <w:pPr>
              <w:numPr>
                <w:ilvl w:val="0"/>
                <w:numId w:val="22"/>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Conducting demolition works as per the limited schedules to be defined in C-ESMPs.</w:t>
            </w:r>
          </w:p>
        </w:tc>
        <w:tc>
          <w:tcPr>
            <w:tcW w:w="1417" w:type="dxa"/>
            <w:shd w:val="clear" w:color="auto" w:fill="F2F2F2" w:themeFill="background1" w:themeFillShade="F2"/>
          </w:tcPr>
          <w:p w14:paraId="0EF54E6A"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Contractor</w:t>
            </w:r>
          </w:p>
        </w:tc>
      </w:tr>
      <w:tr w:rsidR="00BE4987" w:rsidRPr="00175D8B" w14:paraId="6DF6742D" w14:textId="77777777" w:rsidTr="002550A6">
        <w:trPr>
          <w:trHeight w:val="300"/>
          <w:jc w:val="center"/>
        </w:trPr>
        <w:tc>
          <w:tcPr>
            <w:tcW w:w="1276" w:type="dxa"/>
            <w:vMerge/>
          </w:tcPr>
          <w:p w14:paraId="400ADB63" w14:textId="77777777" w:rsidR="00BE4987" w:rsidRPr="00175D8B" w:rsidRDefault="00BE4987" w:rsidP="00BE4987">
            <w:pPr>
              <w:spacing w:before="120" w:after="24" w:line="240" w:lineRule="auto"/>
              <w:ind w:left="567"/>
              <w:rPr>
                <w:rFonts w:eastAsia="Aptos" w:cs="Aptos"/>
                <w:color w:val="000000" w:themeColor="text1"/>
                <w:sz w:val="20"/>
                <w:szCs w:val="20"/>
              </w:rPr>
            </w:pPr>
          </w:p>
        </w:tc>
        <w:tc>
          <w:tcPr>
            <w:tcW w:w="2268" w:type="dxa"/>
            <w:vMerge/>
          </w:tcPr>
          <w:p w14:paraId="7B8F4CE3" w14:textId="77777777" w:rsidR="00BE4987" w:rsidRPr="00175D8B" w:rsidRDefault="00BE4987" w:rsidP="00BE4987">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vAlign w:val="center"/>
          </w:tcPr>
          <w:p w14:paraId="41671B38" w14:textId="77777777" w:rsidR="00BE4987" w:rsidRPr="00175D8B" w:rsidRDefault="00BE4987">
            <w:pPr>
              <w:numPr>
                <w:ilvl w:val="0"/>
                <w:numId w:val="142"/>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 xml:space="preserve">Supporting contractors in the preparation of C-ESMP Checklists. </w:t>
            </w:r>
          </w:p>
          <w:p w14:paraId="7812B635" w14:textId="2B8C1B6C" w:rsidR="00BE4987" w:rsidRPr="00175D8B" w:rsidRDefault="00BE4987">
            <w:pPr>
              <w:numPr>
                <w:ilvl w:val="0"/>
                <w:numId w:val="23"/>
              </w:numP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t>Auditing identified responsibilities of the contractors regarding noise management.</w:t>
            </w:r>
          </w:p>
        </w:tc>
        <w:tc>
          <w:tcPr>
            <w:tcW w:w="1417" w:type="dxa"/>
            <w:shd w:val="clear" w:color="auto" w:fill="F2F2F2" w:themeFill="background1" w:themeFillShade="F2"/>
          </w:tcPr>
          <w:p w14:paraId="00E50B7D"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BE4987" w:rsidRPr="00175D8B" w14:paraId="327DC099" w14:textId="77777777" w:rsidTr="002550A6">
        <w:trPr>
          <w:trHeight w:val="300"/>
          <w:jc w:val="center"/>
        </w:trPr>
        <w:tc>
          <w:tcPr>
            <w:tcW w:w="1276" w:type="dxa"/>
            <w:vMerge w:val="restart"/>
            <w:shd w:val="clear" w:color="auto" w:fill="F2F2F2" w:themeFill="background1" w:themeFillShade="F2"/>
            <w:vAlign w:val="center"/>
          </w:tcPr>
          <w:p w14:paraId="22D3E447" w14:textId="1DE164F6"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lastRenderedPageBreak/>
              <w:t>Reconstruction or Retrofitting Stage</w:t>
            </w:r>
          </w:p>
        </w:tc>
        <w:tc>
          <w:tcPr>
            <w:tcW w:w="2268" w:type="dxa"/>
            <w:vMerge w:val="restart"/>
            <w:shd w:val="clear" w:color="auto" w:fill="F2F2F2" w:themeFill="background1" w:themeFillShade="F2"/>
            <w:vAlign w:val="center"/>
          </w:tcPr>
          <w:p w14:paraId="35E93576" w14:textId="648D57C1"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Risks related with improper Waste Management which may create additional pressure to waste management facilities of the provinces and may cause harm on environment.</w:t>
            </w:r>
          </w:p>
        </w:tc>
        <w:tc>
          <w:tcPr>
            <w:tcW w:w="4111" w:type="dxa"/>
            <w:shd w:val="clear" w:color="auto" w:fill="F2F2F2" w:themeFill="background1" w:themeFillShade="F2"/>
            <w:vAlign w:val="center"/>
          </w:tcPr>
          <w:p w14:paraId="5CE19A5F" w14:textId="7439054A" w:rsidR="00BE4987" w:rsidRPr="00175D8B" w:rsidRDefault="00BE4987">
            <w:pPr>
              <w:numPr>
                <w:ilvl w:val="0"/>
                <w:numId w:val="142"/>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 xml:space="preserve">Implementing the Waste Management Plan (see Annex </w:t>
            </w:r>
            <w:r w:rsidR="00365CEA" w:rsidRPr="00175D8B">
              <w:rPr>
                <w:rFonts w:eastAsia="Aptos" w:cs="Aptos"/>
                <w:color w:val="000000"/>
                <w:sz w:val="20"/>
                <w:szCs w:val="20"/>
              </w:rPr>
              <w:t>8</w:t>
            </w:r>
            <w:r w:rsidRPr="00175D8B">
              <w:rPr>
                <w:rFonts w:eastAsia="Aptos" w:cs="Aptos"/>
                <w:color w:val="000000"/>
                <w:sz w:val="20"/>
                <w:szCs w:val="20"/>
              </w:rPr>
              <w:t xml:space="preserve">) in parallel to their responsibilities, and specifically; </w:t>
            </w:r>
          </w:p>
          <w:p w14:paraId="55EC16BC" w14:textId="77777777" w:rsidR="00BE4987" w:rsidRPr="00175D8B" w:rsidRDefault="00BE4987">
            <w:pPr>
              <w:numPr>
                <w:ilvl w:val="0"/>
                <w:numId w:val="146"/>
              </w:numPr>
              <w:pBdr>
                <w:top w:val="nil"/>
                <w:left w:val="nil"/>
                <w:bottom w:val="nil"/>
                <w:right w:val="nil"/>
                <w:between w:val="nil"/>
              </w:pBdr>
              <w:spacing w:after="0"/>
              <w:ind w:left="851" w:hanging="284"/>
              <w:jc w:val="left"/>
              <w:rPr>
                <w:color w:val="000000"/>
                <w:sz w:val="20"/>
                <w:szCs w:val="20"/>
              </w:rPr>
            </w:pPr>
            <w:r w:rsidRPr="00175D8B">
              <w:rPr>
                <w:rFonts w:eastAsia="Aptos" w:cs="Aptos"/>
                <w:color w:val="000000"/>
                <w:sz w:val="20"/>
                <w:szCs w:val="20"/>
              </w:rPr>
              <w:t xml:space="preserve">Separating the waste (hazardous/non-hazardous, recyclable/non-recyclable) and storing them temporarily in the designated waste storage areas, </w:t>
            </w:r>
          </w:p>
          <w:p w14:paraId="5D311D89" w14:textId="77777777" w:rsidR="00BE4987" w:rsidRPr="00175D8B" w:rsidRDefault="00BE4987">
            <w:pPr>
              <w:numPr>
                <w:ilvl w:val="0"/>
                <w:numId w:val="146"/>
              </w:numPr>
              <w:pBdr>
                <w:top w:val="nil"/>
                <w:left w:val="nil"/>
                <w:bottom w:val="nil"/>
                <w:right w:val="nil"/>
                <w:between w:val="nil"/>
              </w:pBdr>
              <w:spacing w:after="0"/>
              <w:ind w:left="851" w:hanging="284"/>
              <w:jc w:val="left"/>
              <w:rPr>
                <w:color w:val="000000"/>
                <w:sz w:val="20"/>
                <w:szCs w:val="20"/>
              </w:rPr>
            </w:pPr>
            <w:r w:rsidRPr="00175D8B">
              <w:rPr>
                <w:rFonts w:eastAsia="Aptos" w:cs="Aptos"/>
                <w:color w:val="000000"/>
                <w:sz w:val="20"/>
                <w:szCs w:val="20"/>
              </w:rPr>
              <w:t xml:space="preserve">Ensuring that the waste storage areas meet the standards determined by the relevant national and international institutions: </w:t>
            </w:r>
          </w:p>
          <w:p w14:paraId="4046F88C" w14:textId="77777777" w:rsidR="00BE4987" w:rsidRPr="00175D8B" w:rsidRDefault="00BE4987">
            <w:pPr>
              <w:numPr>
                <w:ilvl w:val="0"/>
                <w:numId w:val="147"/>
              </w:numPr>
              <w:pBdr>
                <w:top w:val="nil"/>
                <w:left w:val="nil"/>
                <w:bottom w:val="nil"/>
                <w:right w:val="nil"/>
                <w:between w:val="nil"/>
              </w:pBdr>
              <w:spacing w:after="0"/>
              <w:ind w:left="1276" w:hanging="284"/>
              <w:jc w:val="left"/>
              <w:rPr>
                <w:color w:val="000000"/>
                <w:sz w:val="20"/>
                <w:szCs w:val="20"/>
              </w:rPr>
            </w:pPr>
            <w:r w:rsidRPr="00175D8B">
              <w:rPr>
                <w:rFonts w:eastAsia="Aptos" w:cs="Aptos"/>
                <w:color w:val="000000"/>
                <w:sz w:val="20"/>
                <w:szCs w:val="20"/>
              </w:rPr>
              <w:t xml:space="preserve">Determining the adequate temporary waste storage areas conforming to the standards, and ensuring that the conditions such as container types, labels, classifications, etc. are suitable, </w:t>
            </w:r>
          </w:p>
          <w:p w14:paraId="7DB9DC49" w14:textId="77777777" w:rsidR="00BE4987" w:rsidRPr="00175D8B" w:rsidRDefault="00BE4987">
            <w:pPr>
              <w:numPr>
                <w:ilvl w:val="0"/>
                <w:numId w:val="147"/>
              </w:numPr>
              <w:pBdr>
                <w:top w:val="nil"/>
                <w:left w:val="nil"/>
                <w:bottom w:val="nil"/>
                <w:right w:val="nil"/>
                <w:between w:val="nil"/>
              </w:pBdr>
              <w:spacing w:after="0"/>
              <w:ind w:left="1276" w:hanging="284"/>
              <w:jc w:val="left"/>
              <w:rPr>
                <w:color w:val="000000"/>
                <w:sz w:val="20"/>
                <w:szCs w:val="20"/>
              </w:rPr>
            </w:pPr>
            <w:r w:rsidRPr="00175D8B">
              <w:rPr>
                <w:rFonts w:eastAsia="Aptos" w:cs="Aptos"/>
                <w:color w:val="000000"/>
                <w:sz w:val="20"/>
                <w:szCs w:val="20"/>
              </w:rPr>
              <w:t xml:space="preserve">Providing impermeability on the grounds of the temporary waste storage areas against possible contamination of soil and groundwater, </w:t>
            </w:r>
          </w:p>
          <w:p w14:paraId="5E44DD05" w14:textId="77777777" w:rsidR="00BE4987" w:rsidRPr="00175D8B" w:rsidRDefault="00BE4987">
            <w:pPr>
              <w:numPr>
                <w:ilvl w:val="0"/>
                <w:numId w:val="147"/>
              </w:numPr>
              <w:pBdr>
                <w:top w:val="nil"/>
                <w:left w:val="nil"/>
                <w:bottom w:val="nil"/>
                <w:right w:val="nil"/>
                <w:between w:val="nil"/>
              </w:pBdr>
              <w:spacing w:after="0"/>
              <w:ind w:left="1276" w:hanging="284"/>
              <w:jc w:val="left"/>
              <w:rPr>
                <w:color w:val="000000"/>
                <w:sz w:val="20"/>
                <w:szCs w:val="20"/>
              </w:rPr>
            </w:pPr>
            <w:r w:rsidRPr="00175D8B">
              <w:rPr>
                <w:rFonts w:eastAsia="Aptos" w:cs="Aptos"/>
                <w:color w:val="000000"/>
                <w:sz w:val="20"/>
                <w:szCs w:val="20"/>
              </w:rPr>
              <w:t xml:space="preserve">Establishing a suitable drainage system against leaks, </w:t>
            </w:r>
          </w:p>
          <w:p w14:paraId="12DFF671" w14:textId="77777777" w:rsidR="00BE4987" w:rsidRPr="00175D8B" w:rsidRDefault="00BE4987">
            <w:pPr>
              <w:numPr>
                <w:ilvl w:val="0"/>
                <w:numId w:val="147"/>
              </w:numPr>
              <w:pBdr>
                <w:top w:val="nil"/>
                <w:left w:val="nil"/>
                <w:bottom w:val="nil"/>
                <w:right w:val="nil"/>
                <w:between w:val="nil"/>
              </w:pBdr>
              <w:spacing w:after="0"/>
              <w:ind w:left="1276" w:hanging="284"/>
              <w:jc w:val="left"/>
              <w:rPr>
                <w:color w:val="000000"/>
                <w:sz w:val="20"/>
                <w:szCs w:val="20"/>
              </w:rPr>
            </w:pPr>
            <w:r w:rsidRPr="00175D8B">
              <w:rPr>
                <w:rFonts w:eastAsia="Aptos" w:cs="Aptos"/>
                <w:color w:val="000000"/>
                <w:sz w:val="20"/>
                <w:szCs w:val="20"/>
              </w:rPr>
              <w:t xml:space="preserve">Restricting physical access to the temporary waste storage areas (via gates, fences, etc.) and ensuring that only authorized people enter these areas, </w:t>
            </w:r>
          </w:p>
          <w:p w14:paraId="34FDF690" w14:textId="77777777" w:rsidR="00BE4987" w:rsidRPr="00175D8B" w:rsidRDefault="00BE4987">
            <w:pPr>
              <w:numPr>
                <w:ilvl w:val="0"/>
                <w:numId w:val="147"/>
              </w:numPr>
              <w:pBdr>
                <w:top w:val="nil"/>
                <w:left w:val="nil"/>
                <w:bottom w:val="nil"/>
                <w:right w:val="nil"/>
                <w:between w:val="nil"/>
              </w:pBdr>
              <w:spacing w:after="0"/>
              <w:ind w:left="1276" w:hanging="284"/>
              <w:jc w:val="left"/>
              <w:rPr>
                <w:color w:val="000000"/>
                <w:sz w:val="20"/>
                <w:szCs w:val="20"/>
              </w:rPr>
            </w:pPr>
            <w:r w:rsidRPr="00175D8B">
              <w:rPr>
                <w:rFonts w:eastAsia="Aptos" w:cs="Aptos"/>
                <w:color w:val="000000"/>
                <w:sz w:val="20"/>
                <w:szCs w:val="20"/>
              </w:rPr>
              <w:lastRenderedPageBreak/>
              <w:t xml:space="preserve">Placing the warning signs and the boards with the name and contact number of authorized personnel in the temporary waste storage areas, </w:t>
            </w:r>
          </w:p>
          <w:p w14:paraId="0DE8BDEB" w14:textId="77777777" w:rsidR="00BE4987" w:rsidRPr="00175D8B" w:rsidRDefault="00BE4987">
            <w:pPr>
              <w:numPr>
                <w:ilvl w:val="0"/>
                <w:numId w:val="147"/>
              </w:numPr>
              <w:pBdr>
                <w:top w:val="nil"/>
                <w:left w:val="nil"/>
                <w:bottom w:val="nil"/>
                <w:right w:val="nil"/>
                <w:between w:val="nil"/>
              </w:pBdr>
              <w:spacing w:after="0"/>
              <w:ind w:left="1276" w:hanging="284"/>
              <w:jc w:val="left"/>
              <w:rPr>
                <w:color w:val="000000"/>
                <w:sz w:val="20"/>
                <w:szCs w:val="20"/>
              </w:rPr>
            </w:pPr>
            <w:r w:rsidRPr="00175D8B">
              <w:rPr>
                <w:rFonts w:eastAsia="Aptos" w:cs="Aptos"/>
                <w:color w:val="000000"/>
                <w:sz w:val="20"/>
                <w:szCs w:val="20"/>
              </w:rPr>
              <w:t xml:space="preserve">Detecting any possible spills/leaks rapidly by performing periodic visual checks in the hazardous waste areas, </w:t>
            </w:r>
          </w:p>
          <w:p w14:paraId="34CA9E6A" w14:textId="77777777" w:rsidR="00BE4987" w:rsidRPr="00175D8B" w:rsidRDefault="00BE4987">
            <w:pPr>
              <w:numPr>
                <w:ilvl w:val="0"/>
                <w:numId w:val="146"/>
              </w:numPr>
              <w:pBdr>
                <w:top w:val="nil"/>
                <w:left w:val="nil"/>
                <w:bottom w:val="nil"/>
                <w:right w:val="nil"/>
                <w:between w:val="nil"/>
              </w:pBdr>
              <w:spacing w:after="0"/>
              <w:ind w:left="851" w:hanging="284"/>
              <w:jc w:val="left"/>
              <w:rPr>
                <w:color w:val="000000"/>
                <w:sz w:val="20"/>
                <w:szCs w:val="20"/>
              </w:rPr>
            </w:pPr>
            <w:r w:rsidRPr="00175D8B">
              <w:rPr>
                <w:rFonts w:eastAsia="Aptos" w:cs="Aptos"/>
                <w:color w:val="000000"/>
                <w:sz w:val="20"/>
                <w:szCs w:val="20"/>
              </w:rPr>
              <w:t xml:space="preserve">Ensuring that wastes are not spilled on the places other than the areas allocated for this purpose, and providing the necessary trainings and all necessary waste management trainings and repeating these trainings periodically, </w:t>
            </w:r>
          </w:p>
          <w:p w14:paraId="002B9C4A" w14:textId="5C2C0B44" w:rsidR="00BE4987" w:rsidRPr="00175D8B" w:rsidRDefault="00BE4987">
            <w:pPr>
              <w:numPr>
                <w:ilvl w:val="0"/>
                <w:numId w:val="24"/>
              </w:numP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t>Avoiding the incineration of any wastes.</w:t>
            </w:r>
          </w:p>
        </w:tc>
        <w:tc>
          <w:tcPr>
            <w:tcW w:w="1417" w:type="dxa"/>
            <w:shd w:val="clear" w:color="auto" w:fill="F2F2F2" w:themeFill="background1" w:themeFillShade="F2"/>
          </w:tcPr>
          <w:p w14:paraId="24177204"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lastRenderedPageBreak/>
              <w:t>Contractor</w:t>
            </w:r>
          </w:p>
        </w:tc>
      </w:tr>
      <w:tr w:rsidR="00BE4987" w:rsidRPr="00175D8B" w14:paraId="260534FE" w14:textId="77777777" w:rsidTr="002550A6">
        <w:trPr>
          <w:trHeight w:val="960"/>
          <w:jc w:val="center"/>
        </w:trPr>
        <w:tc>
          <w:tcPr>
            <w:tcW w:w="1276" w:type="dxa"/>
            <w:vMerge/>
          </w:tcPr>
          <w:p w14:paraId="1D5277D7" w14:textId="77777777" w:rsidR="00BE4987" w:rsidRPr="00175D8B" w:rsidRDefault="00BE4987" w:rsidP="00BE4987">
            <w:pPr>
              <w:spacing w:before="120" w:after="24" w:line="240" w:lineRule="auto"/>
              <w:ind w:left="567"/>
              <w:rPr>
                <w:rFonts w:eastAsia="Aptos" w:cs="Aptos"/>
                <w:color w:val="000000" w:themeColor="text1"/>
                <w:sz w:val="20"/>
                <w:szCs w:val="20"/>
              </w:rPr>
            </w:pPr>
          </w:p>
        </w:tc>
        <w:tc>
          <w:tcPr>
            <w:tcW w:w="2268" w:type="dxa"/>
            <w:vMerge/>
          </w:tcPr>
          <w:p w14:paraId="7FCC26CD" w14:textId="77777777" w:rsidR="00BE4987" w:rsidRPr="00175D8B" w:rsidRDefault="00BE4987" w:rsidP="00BE4987">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tcPr>
          <w:p w14:paraId="55F99369" w14:textId="02F190C2" w:rsidR="00BE4987" w:rsidRPr="00175D8B" w:rsidRDefault="00BE4987">
            <w:pPr>
              <w:numPr>
                <w:ilvl w:val="0"/>
                <w:numId w:val="25"/>
              </w:numPr>
              <w:spacing w:before="120" w:after="24" w:line="240" w:lineRule="auto"/>
              <w:contextualSpacing/>
              <w:rPr>
                <w:rFonts w:eastAsia="Calibri" w:cs="Calibri"/>
                <w:color w:val="000000" w:themeColor="text1"/>
                <w:sz w:val="20"/>
                <w:szCs w:val="20"/>
              </w:rPr>
            </w:pPr>
            <w:r w:rsidRPr="00175D8B">
              <w:rPr>
                <w:sz w:val="20"/>
                <w:szCs w:val="20"/>
              </w:rPr>
              <w:t>Auditing identified responsibilities of the contractors regarding waste management.</w:t>
            </w:r>
          </w:p>
        </w:tc>
        <w:tc>
          <w:tcPr>
            <w:tcW w:w="1417" w:type="dxa"/>
            <w:shd w:val="clear" w:color="auto" w:fill="F2F2F2" w:themeFill="background1" w:themeFillShade="F2"/>
          </w:tcPr>
          <w:p w14:paraId="6299169B"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BE4987" w:rsidRPr="00175D8B" w14:paraId="69C67A47" w14:textId="77777777" w:rsidTr="002550A6">
        <w:trPr>
          <w:trHeight w:val="300"/>
          <w:jc w:val="center"/>
        </w:trPr>
        <w:tc>
          <w:tcPr>
            <w:tcW w:w="1276" w:type="dxa"/>
            <w:vMerge w:val="restart"/>
            <w:shd w:val="clear" w:color="auto" w:fill="F2F2F2" w:themeFill="background1" w:themeFillShade="F2"/>
            <w:vAlign w:val="center"/>
          </w:tcPr>
          <w:p w14:paraId="30CEB157" w14:textId="0A9FA88E"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Reconstruction or Retrofitting Stage</w:t>
            </w:r>
          </w:p>
        </w:tc>
        <w:tc>
          <w:tcPr>
            <w:tcW w:w="2268" w:type="dxa"/>
            <w:vMerge w:val="restart"/>
            <w:shd w:val="clear" w:color="auto" w:fill="F2F2F2" w:themeFill="background1" w:themeFillShade="F2"/>
            <w:vAlign w:val="center"/>
          </w:tcPr>
          <w:p w14:paraId="047631DF" w14:textId="3CCC5A9C"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Excessive Noise Generation which has possibility to impact human health and at least may cause disturbance</w:t>
            </w:r>
          </w:p>
        </w:tc>
        <w:tc>
          <w:tcPr>
            <w:tcW w:w="4111" w:type="dxa"/>
            <w:shd w:val="clear" w:color="auto" w:fill="F2F2F2" w:themeFill="background1" w:themeFillShade="F2"/>
            <w:vAlign w:val="center"/>
          </w:tcPr>
          <w:p w14:paraId="1264EF1A" w14:textId="77777777" w:rsidR="00BE4987" w:rsidRPr="00175D8B" w:rsidRDefault="00BE4987">
            <w:pPr>
              <w:numPr>
                <w:ilvl w:val="0"/>
                <w:numId w:val="142"/>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Performing the construction activities only during daylight hours.</w:t>
            </w:r>
          </w:p>
          <w:p w14:paraId="4535707E"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Selecting and using machines, equipment and vehicle models with lower sound power level and attenuated sound in accordance with the Noise Emission in the Environment by Equipment for Use Outdoors Regulations and Directive 2005/88/EC. </w:t>
            </w:r>
          </w:p>
          <w:p w14:paraId="2E296685"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Performing the regular maintenance of heavy equipment through periodic equipment maintenance and repair </w:t>
            </w:r>
            <w:r w:rsidRPr="00175D8B">
              <w:rPr>
                <w:rFonts w:eastAsia="Aptos" w:cs="Aptos"/>
                <w:color w:val="000000"/>
                <w:sz w:val="20"/>
                <w:szCs w:val="20"/>
              </w:rPr>
              <w:lastRenderedPageBreak/>
              <w:t xml:space="preserve">schedule as recommended by the manufacturer. </w:t>
            </w:r>
          </w:p>
          <w:p w14:paraId="054EC081"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Defining the speed limits for heavy equipment and complying with these limits. Giving the operators of heavy equipment the trainings and instructions on speed limits. </w:t>
            </w:r>
          </w:p>
          <w:p w14:paraId="393BD394"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Preventing the heavy equipment from passing through residential areas where possible. </w:t>
            </w:r>
          </w:p>
          <w:p w14:paraId="487EA650" w14:textId="4730AFE1" w:rsidR="00BE4987" w:rsidRPr="00175D8B" w:rsidRDefault="00BE4987">
            <w:pPr>
              <w:numPr>
                <w:ilvl w:val="0"/>
                <w:numId w:val="26"/>
              </w:numP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t xml:space="preserve">Using the designated site access routes. </w:t>
            </w:r>
          </w:p>
        </w:tc>
        <w:tc>
          <w:tcPr>
            <w:tcW w:w="1417" w:type="dxa"/>
            <w:shd w:val="clear" w:color="auto" w:fill="F2F2F2" w:themeFill="background1" w:themeFillShade="F2"/>
          </w:tcPr>
          <w:p w14:paraId="3DBF2A4C"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lastRenderedPageBreak/>
              <w:t>Contractor</w:t>
            </w:r>
          </w:p>
        </w:tc>
      </w:tr>
      <w:tr w:rsidR="00BE4987" w:rsidRPr="00175D8B" w14:paraId="75EA1FE4" w14:textId="77777777" w:rsidTr="002550A6">
        <w:trPr>
          <w:trHeight w:val="300"/>
          <w:jc w:val="center"/>
        </w:trPr>
        <w:tc>
          <w:tcPr>
            <w:tcW w:w="1276" w:type="dxa"/>
            <w:vMerge/>
          </w:tcPr>
          <w:p w14:paraId="7E4DD95F" w14:textId="77777777" w:rsidR="00BE4987" w:rsidRPr="00175D8B" w:rsidRDefault="00BE4987" w:rsidP="00BE4987">
            <w:pPr>
              <w:spacing w:before="120" w:after="24" w:line="240" w:lineRule="auto"/>
              <w:ind w:left="567"/>
              <w:rPr>
                <w:rFonts w:eastAsia="Aptos" w:cs="Aptos"/>
                <w:color w:val="000000" w:themeColor="text1"/>
                <w:sz w:val="20"/>
                <w:szCs w:val="20"/>
              </w:rPr>
            </w:pPr>
          </w:p>
        </w:tc>
        <w:tc>
          <w:tcPr>
            <w:tcW w:w="2268" w:type="dxa"/>
            <w:vMerge/>
          </w:tcPr>
          <w:p w14:paraId="0B98FAB7" w14:textId="77777777" w:rsidR="00BE4987" w:rsidRPr="00175D8B" w:rsidRDefault="00BE4987" w:rsidP="00BE4987">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vAlign w:val="center"/>
          </w:tcPr>
          <w:p w14:paraId="5454B49E" w14:textId="77777777" w:rsidR="00BE4987" w:rsidRPr="00175D8B" w:rsidRDefault="00BE4987">
            <w:pPr>
              <w:numPr>
                <w:ilvl w:val="0"/>
                <w:numId w:val="142"/>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Auditing identified responsibilities of the contractors regarding noise management.</w:t>
            </w:r>
          </w:p>
          <w:p w14:paraId="7F2F941F" w14:textId="50A1EE16" w:rsidR="00BE4987" w:rsidRPr="00175D8B" w:rsidRDefault="00BE4987">
            <w:pPr>
              <w:numPr>
                <w:ilvl w:val="0"/>
                <w:numId w:val="27"/>
              </w:numP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t xml:space="preserve">Handling grievances regarding noise through implementation of SEP and directing contractors accordingly. </w:t>
            </w:r>
          </w:p>
        </w:tc>
        <w:tc>
          <w:tcPr>
            <w:tcW w:w="1417" w:type="dxa"/>
            <w:shd w:val="clear" w:color="auto" w:fill="F2F2F2" w:themeFill="background1" w:themeFillShade="F2"/>
          </w:tcPr>
          <w:p w14:paraId="5F525DEC"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BE4987" w:rsidRPr="00175D8B" w14:paraId="2067FBCA" w14:textId="77777777" w:rsidTr="002550A6">
        <w:trPr>
          <w:trHeight w:val="300"/>
          <w:jc w:val="center"/>
        </w:trPr>
        <w:tc>
          <w:tcPr>
            <w:tcW w:w="1276" w:type="dxa"/>
            <w:vMerge w:val="restart"/>
            <w:shd w:val="clear" w:color="auto" w:fill="F2F2F2" w:themeFill="background1" w:themeFillShade="F2"/>
            <w:vAlign w:val="center"/>
          </w:tcPr>
          <w:p w14:paraId="31D66304" w14:textId="48AABDD6"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Reconstruction or Retrofitting Stage</w:t>
            </w:r>
          </w:p>
        </w:tc>
        <w:tc>
          <w:tcPr>
            <w:tcW w:w="2268" w:type="dxa"/>
            <w:vMerge w:val="restart"/>
            <w:shd w:val="clear" w:color="auto" w:fill="F2F2F2" w:themeFill="background1" w:themeFillShade="F2"/>
            <w:vAlign w:val="center"/>
          </w:tcPr>
          <w:p w14:paraId="08A16D98" w14:textId="63E7CE12"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 xml:space="preserve">Possible negative impacts on Water Quality </w:t>
            </w:r>
          </w:p>
        </w:tc>
        <w:tc>
          <w:tcPr>
            <w:tcW w:w="4111" w:type="dxa"/>
            <w:shd w:val="clear" w:color="auto" w:fill="F2F2F2" w:themeFill="background1" w:themeFillShade="F2"/>
            <w:vAlign w:val="center"/>
          </w:tcPr>
          <w:p w14:paraId="22C5F5CF" w14:textId="77777777" w:rsidR="00BE4987" w:rsidRPr="00175D8B" w:rsidRDefault="00BE4987">
            <w:pPr>
              <w:numPr>
                <w:ilvl w:val="0"/>
                <w:numId w:val="142"/>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 xml:space="preserve">Collection of the wastewater originating from the personnel to be generated during the retrofitting/reconstruction in sealed septic tanks, and then periodically transferring to the urban wastewater treatment plants through the protocol to be signed with the relevant municipality. </w:t>
            </w:r>
          </w:p>
          <w:p w14:paraId="77435018"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Implementation of the specific mitigation measures to be defined, if a sub-project is to be carried out in a location where there is a possibility of a non-wastewater related impact to any surface water or groundwater.</w:t>
            </w:r>
            <w:bookmarkStart w:id="318" w:name="_2szc72q" w:colFirst="0" w:colLast="0"/>
            <w:bookmarkEnd w:id="318"/>
          </w:p>
          <w:p w14:paraId="4D4DAFFC" w14:textId="717381B1"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Preparing the ESMP Checklists by enlarging its scope to include the issues mentioned above. </w:t>
            </w:r>
          </w:p>
        </w:tc>
        <w:tc>
          <w:tcPr>
            <w:tcW w:w="1417" w:type="dxa"/>
            <w:shd w:val="clear" w:color="auto" w:fill="F2F2F2" w:themeFill="background1" w:themeFillShade="F2"/>
          </w:tcPr>
          <w:p w14:paraId="3865472B"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Contractor</w:t>
            </w:r>
          </w:p>
        </w:tc>
      </w:tr>
      <w:tr w:rsidR="00BE4987" w:rsidRPr="00175D8B" w14:paraId="72AFE2C8" w14:textId="77777777" w:rsidTr="002550A6">
        <w:trPr>
          <w:trHeight w:val="300"/>
          <w:jc w:val="center"/>
        </w:trPr>
        <w:tc>
          <w:tcPr>
            <w:tcW w:w="1276" w:type="dxa"/>
            <w:vMerge/>
          </w:tcPr>
          <w:p w14:paraId="50332C94" w14:textId="77777777" w:rsidR="00BE4987" w:rsidRPr="00175D8B" w:rsidRDefault="00BE4987" w:rsidP="00BE4987">
            <w:pPr>
              <w:spacing w:before="120" w:after="24" w:line="240" w:lineRule="auto"/>
              <w:ind w:left="567"/>
              <w:rPr>
                <w:rFonts w:eastAsia="Aptos" w:cs="Aptos"/>
                <w:color w:val="000000" w:themeColor="text1"/>
                <w:sz w:val="20"/>
                <w:szCs w:val="20"/>
              </w:rPr>
            </w:pPr>
          </w:p>
        </w:tc>
        <w:tc>
          <w:tcPr>
            <w:tcW w:w="2268" w:type="dxa"/>
            <w:vMerge/>
          </w:tcPr>
          <w:p w14:paraId="56420C72" w14:textId="77777777" w:rsidR="00BE4987" w:rsidRPr="00175D8B" w:rsidRDefault="00BE4987" w:rsidP="00BE4987">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tcPr>
          <w:p w14:paraId="009E1018" w14:textId="77777777" w:rsidR="00BE4987" w:rsidRPr="00175D8B" w:rsidRDefault="00BE4987">
            <w:pPr>
              <w:numPr>
                <w:ilvl w:val="0"/>
                <w:numId w:val="28"/>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Ensuring preparation of ESMP Checklists in parallel to sub-project specific impacts (if any, as explained above).</w:t>
            </w:r>
          </w:p>
          <w:p w14:paraId="586C9FAC" w14:textId="2C3ECF29" w:rsidR="00BE4987" w:rsidRPr="00175D8B" w:rsidRDefault="00BE4987">
            <w:pPr>
              <w:numPr>
                <w:ilvl w:val="0"/>
                <w:numId w:val="28"/>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Auditing identified responsibilities of the contractors regarding water quality management.</w:t>
            </w:r>
          </w:p>
        </w:tc>
        <w:tc>
          <w:tcPr>
            <w:tcW w:w="1417" w:type="dxa"/>
            <w:shd w:val="clear" w:color="auto" w:fill="F2F2F2" w:themeFill="background1" w:themeFillShade="F2"/>
          </w:tcPr>
          <w:p w14:paraId="5A365D8D"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BE4987" w:rsidRPr="00175D8B" w14:paraId="7A5A9B98" w14:textId="77777777" w:rsidTr="002550A6">
        <w:trPr>
          <w:trHeight w:val="300"/>
          <w:jc w:val="center"/>
        </w:trPr>
        <w:tc>
          <w:tcPr>
            <w:tcW w:w="1276" w:type="dxa"/>
            <w:vMerge w:val="restart"/>
            <w:shd w:val="clear" w:color="auto" w:fill="F2F2F2" w:themeFill="background1" w:themeFillShade="F2"/>
            <w:vAlign w:val="center"/>
          </w:tcPr>
          <w:p w14:paraId="609BF676" w14:textId="57E0802A"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Reconstruction or Retrofitting Stage</w:t>
            </w:r>
          </w:p>
        </w:tc>
        <w:tc>
          <w:tcPr>
            <w:tcW w:w="2268" w:type="dxa"/>
            <w:vMerge w:val="restart"/>
            <w:shd w:val="clear" w:color="auto" w:fill="F2F2F2" w:themeFill="background1" w:themeFillShade="F2"/>
            <w:vAlign w:val="center"/>
          </w:tcPr>
          <w:p w14:paraId="5A4AE49B" w14:textId="14BE614E" w:rsidR="00BE4987" w:rsidRPr="00175D8B" w:rsidRDefault="00BE4987" w:rsidP="00BE4987">
            <w:pPr>
              <w:spacing w:before="120" w:after="24" w:line="240" w:lineRule="auto"/>
              <w:rPr>
                <w:rFonts w:eastAsia="Calibri" w:cs="Calibri"/>
                <w:color w:val="000000" w:themeColor="text1"/>
                <w:sz w:val="20"/>
                <w:szCs w:val="20"/>
              </w:rPr>
            </w:pPr>
            <w:r w:rsidRPr="00175D8B">
              <w:rPr>
                <w:rFonts w:eastAsia="Aptos" w:cs="Aptos"/>
                <w:sz w:val="20"/>
                <w:szCs w:val="20"/>
              </w:rPr>
              <w:t xml:space="preserve">Impacts on local traffic load </w:t>
            </w:r>
          </w:p>
        </w:tc>
        <w:tc>
          <w:tcPr>
            <w:tcW w:w="4111" w:type="dxa"/>
            <w:shd w:val="clear" w:color="auto" w:fill="F2F2F2" w:themeFill="background1" w:themeFillShade="F2"/>
            <w:vAlign w:val="center"/>
          </w:tcPr>
          <w:p w14:paraId="0AD8093B" w14:textId="77777777" w:rsidR="00BE4987" w:rsidRPr="00175D8B" w:rsidRDefault="00BE4987">
            <w:pPr>
              <w:numPr>
                <w:ilvl w:val="0"/>
                <w:numId w:val="142"/>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 xml:space="preserve">Signs, warning signs, barriers and traffic directions in the construction site will be clearly visible and the public will be warned of all potential hazards. </w:t>
            </w:r>
          </w:p>
          <w:p w14:paraId="1CE6E2F2"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The traffic management system and staff training, especially for site access and heavy traffic near the construction site, will be provided. Safe crossings and passages will be provided for pedestrians at intersections with construction site traffic. </w:t>
            </w:r>
          </w:p>
          <w:p w14:paraId="6984F96B" w14:textId="77777777"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Adjusting the working hours to local traffic patterns, e.g., avoiding major transport activities during rush hour or animal handling times </w:t>
            </w:r>
          </w:p>
          <w:p w14:paraId="69D5ED22" w14:textId="7F2C8205" w:rsidR="00BE4987" w:rsidRPr="00175D8B" w:rsidRDefault="00BE4987">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Detailing the active traffic management practices in the province based ESMPs and Community Health and Safety and Traffic Management Plan to be prepared within the scope of the sub-project by trained and visible personnel at the sub-project site, if necessary, for safe and comfortable crossing of the public</w:t>
            </w:r>
          </w:p>
        </w:tc>
        <w:tc>
          <w:tcPr>
            <w:tcW w:w="1417" w:type="dxa"/>
            <w:shd w:val="clear" w:color="auto" w:fill="F2F2F2" w:themeFill="background1" w:themeFillShade="F2"/>
          </w:tcPr>
          <w:p w14:paraId="4EF72531" w14:textId="77777777" w:rsidR="00BE4987" w:rsidRPr="00175D8B" w:rsidRDefault="00BE4987" w:rsidP="00BE4987">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Contractor</w:t>
            </w:r>
          </w:p>
        </w:tc>
      </w:tr>
      <w:tr w:rsidR="00761B9B" w:rsidRPr="00175D8B" w14:paraId="4E5831D7" w14:textId="77777777" w:rsidTr="002550A6">
        <w:trPr>
          <w:trHeight w:val="300"/>
          <w:jc w:val="center"/>
        </w:trPr>
        <w:tc>
          <w:tcPr>
            <w:tcW w:w="1276" w:type="dxa"/>
            <w:vMerge/>
          </w:tcPr>
          <w:p w14:paraId="01100B69" w14:textId="77777777" w:rsidR="00761B9B" w:rsidRPr="00175D8B" w:rsidRDefault="00761B9B" w:rsidP="00761B9B">
            <w:pPr>
              <w:spacing w:before="120" w:after="24" w:line="240" w:lineRule="auto"/>
              <w:ind w:left="567"/>
              <w:rPr>
                <w:rFonts w:eastAsia="Aptos" w:cs="Aptos"/>
                <w:color w:val="000000" w:themeColor="text1"/>
                <w:sz w:val="20"/>
                <w:szCs w:val="20"/>
              </w:rPr>
            </w:pPr>
          </w:p>
        </w:tc>
        <w:tc>
          <w:tcPr>
            <w:tcW w:w="2268" w:type="dxa"/>
            <w:vMerge/>
          </w:tcPr>
          <w:p w14:paraId="5F9271EA" w14:textId="77777777" w:rsidR="00761B9B" w:rsidRPr="00175D8B" w:rsidRDefault="00761B9B" w:rsidP="00761B9B">
            <w:pPr>
              <w:spacing w:before="120" w:after="24" w:line="240" w:lineRule="auto"/>
              <w:ind w:left="567"/>
              <w:rPr>
                <w:rFonts w:eastAsia="Aptos" w:cs="Aptos"/>
                <w:color w:val="000000" w:themeColor="text1"/>
                <w:sz w:val="20"/>
                <w:szCs w:val="20"/>
              </w:rPr>
            </w:pPr>
          </w:p>
        </w:tc>
        <w:tc>
          <w:tcPr>
            <w:tcW w:w="4111" w:type="dxa"/>
            <w:shd w:val="clear" w:color="auto" w:fill="F2F2F2" w:themeFill="background1" w:themeFillShade="F2"/>
            <w:vAlign w:val="center"/>
          </w:tcPr>
          <w:p w14:paraId="102915BF" w14:textId="19201080" w:rsidR="00761B9B" w:rsidRPr="00175D8B" w:rsidRDefault="00761B9B">
            <w:pPr>
              <w:numPr>
                <w:ilvl w:val="0"/>
                <w:numId w:val="28"/>
              </w:numP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t xml:space="preserve">Auditing identified responsibilities of the contractors regarding impacts on local traffic load. </w:t>
            </w:r>
          </w:p>
        </w:tc>
        <w:tc>
          <w:tcPr>
            <w:tcW w:w="1417" w:type="dxa"/>
            <w:shd w:val="clear" w:color="auto" w:fill="F2F2F2" w:themeFill="background1" w:themeFillShade="F2"/>
          </w:tcPr>
          <w:p w14:paraId="1334095F" w14:textId="77777777" w:rsidR="00761B9B" w:rsidRPr="00175D8B" w:rsidRDefault="00761B9B" w:rsidP="00761B9B">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761B9B" w:rsidRPr="00175D8B" w14:paraId="0A546FD1" w14:textId="77777777" w:rsidTr="002550A6">
        <w:trPr>
          <w:trHeight w:val="300"/>
          <w:jc w:val="center"/>
        </w:trPr>
        <w:tc>
          <w:tcPr>
            <w:tcW w:w="1276" w:type="dxa"/>
            <w:vMerge w:val="restart"/>
            <w:shd w:val="clear" w:color="auto" w:fill="F2F2F2" w:themeFill="background1" w:themeFillShade="F2"/>
            <w:vAlign w:val="center"/>
          </w:tcPr>
          <w:p w14:paraId="287CE504" w14:textId="3023A2D7" w:rsidR="00761B9B" w:rsidRPr="00175D8B" w:rsidRDefault="00761B9B" w:rsidP="00761B9B">
            <w:pPr>
              <w:spacing w:before="120" w:after="24" w:line="240" w:lineRule="auto"/>
              <w:rPr>
                <w:rFonts w:eastAsia="Calibri" w:cs="Calibri"/>
                <w:color w:val="000000" w:themeColor="text1"/>
                <w:sz w:val="20"/>
                <w:szCs w:val="20"/>
              </w:rPr>
            </w:pPr>
            <w:r w:rsidRPr="00175D8B">
              <w:rPr>
                <w:rFonts w:eastAsia="Aptos" w:cs="Aptos"/>
                <w:sz w:val="20"/>
                <w:szCs w:val="20"/>
              </w:rPr>
              <w:t>Reconstruction or Retrofitting Stage</w:t>
            </w:r>
          </w:p>
        </w:tc>
        <w:tc>
          <w:tcPr>
            <w:tcW w:w="2268" w:type="dxa"/>
            <w:vMerge w:val="restart"/>
            <w:shd w:val="clear" w:color="auto" w:fill="F2F2F2" w:themeFill="background1" w:themeFillShade="F2"/>
            <w:vAlign w:val="center"/>
          </w:tcPr>
          <w:p w14:paraId="5A6A911C" w14:textId="6B758C75" w:rsidR="00761B9B" w:rsidRPr="00175D8B" w:rsidRDefault="00761B9B" w:rsidP="00761B9B">
            <w:pPr>
              <w:spacing w:before="120" w:after="24" w:line="240" w:lineRule="auto"/>
              <w:rPr>
                <w:rFonts w:eastAsia="Calibri" w:cs="Calibri"/>
                <w:color w:val="000000" w:themeColor="text1"/>
                <w:sz w:val="20"/>
                <w:szCs w:val="20"/>
              </w:rPr>
            </w:pPr>
            <w:r w:rsidRPr="00175D8B">
              <w:rPr>
                <w:rFonts w:eastAsia="Aptos" w:cs="Aptos"/>
                <w:sz w:val="20"/>
                <w:szCs w:val="20"/>
              </w:rPr>
              <w:t>Livelihood loss</w:t>
            </w:r>
          </w:p>
        </w:tc>
        <w:tc>
          <w:tcPr>
            <w:tcW w:w="4111" w:type="dxa"/>
            <w:shd w:val="clear" w:color="auto" w:fill="F2F2F2" w:themeFill="background1" w:themeFillShade="F2"/>
          </w:tcPr>
          <w:p w14:paraId="02FFD1A6" w14:textId="77777777" w:rsidR="00761B9B" w:rsidRPr="00175D8B" w:rsidRDefault="00761B9B">
            <w:pPr>
              <w:numPr>
                <w:ilvl w:val="0"/>
                <w:numId w:val="28"/>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Ensuring that people and groups affected by the Project due to resettlement have access to livelihood supports,</w:t>
            </w:r>
          </w:p>
          <w:p w14:paraId="2B1A776A" w14:textId="77777777" w:rsidR="00761B9B" w:rsidRPr="00175D8B" w:rsidRDefault="00761B9B">
            <w:pPr>
              <w:numPr>
                <w:ilvl w:val="0"/>
                <w:numId w:val="28"/>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Monitoring the related complaints to the grievance mechanism and solving delays or problems that may cause livelihoods in a timely manner by ensuring that they are closed within the required time limit,</w:t>
            </w:r>
          </w:p>
          <w:p w14:paraId="3163FA7F" w14:textId="77777777" w:rsidR="00761B9B" w:rsidRPr="00175D8B" w:rsidRDefault="00761B9B">
            <w:pPr>
              <w:numPr>
                <w:ilvl w:val="0"/>
                <w:numId w:val="28"/>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Providing information about the grievance mechanism and its functioning processes</w:t>
            </w:r>
          </w:p>
          <w:p w14:paraId="638DB493" w14:textId="77777777" w:rsidR="00761B9B" w:rsidRPr="00175D8B" w:rsidRDefault="00761B9B">
            <w:pPr>
              <w:numPr>
                <w:ilvl w:val="0"/>
                <w:numId w:val="28"/>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 xml:space="preserve">Ensure that all employees are trained in the grievance mechanism and awareness is raised on this issue. </w:t>
            </w:r>
          </w:p>
          <w:p w14:paraId="4E554E75" w14:textId="77777777" w:rsidR="00761B9B" w:rsidRPr="00175D8B" w:rsidRDefault="00761B9B">
            <w:pPr>
              <w:numPr>
                <w:ilvl w:val="0"/>
                <w:numId w:val="28"/>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Ensuring that the grievance mechanism is easily accessible to all stakeholders</w:t>
            </w:r>
          </w:p>
          <w:p w14:paraId="39AFBD4A" w14:textId="77777777" w:rsidR="00761B9B" w:rsidRPr="00175D8B" w:rsidRDefault="00761B9B">
            <w:pPr>
              <w:numPr>
                <w:ilvl w:val="0"/>
                <w:numId w:val="28"/>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Ensuring that the grievance process operates in an open and transparent manner</w:t>
            </w:r>
          </w:p>
          <w:p w14:paraId="25FD911B" w14:textId="77777777" w:rsidR="00761B9B" w:rsidRPr="00175D8B" w:rsidRDefault="00761B9B">
            <w:pPr>
              <w:numPr>
                <w:ilvl w:val="0"/>
                <w:numId w:val="28"/>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Evaluate complaints in an impartial and fair manner</w:t>
            </w:r>
          </w:p>
          <w:p w14:paraId="0BB48EC1" w14:textId="77777777" w:rsidR="00761B9B" w:rsidRPr="00175D8B" w:rsidRDefault="00761B9B">
            <w:pPr>
              <w:numPr>
                <w:ilvl w:val="0"/>
                <w:numId w:val="28"/>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To ensure that complaints are resolved quickly and effectively</w:t>
            </w:r>
          </w:p>
          <w:p w14:paraId="28D542B4" w14:textId="77777777" w:rsidR="00761B9B" w:rsidRPr="00175D8B" w:rsidRDefault="00761B9B">
            <w:pPr>
              <w:numPr>
                <w:ilvl w:val="0"/>
                <w:numId w:val="28"/>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Protecting the confidentiality of complaints</w:t>
            </w:r>
          </w:p>
          <w:p w14:paraId="186CBCE6" w14:textId="77777777" w:rsidR="00761B9B" w:rsidRPr="00175D8B" w:rsidRDefault="00761B9B">
            <w:pPr>
              <w:numPr>
                <w:ilvl w:val="0"/>
                <w:numId w:val="28"/>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Providing feedback on process-related complaints</w:t>
            </w:r>
          </w:p>
          <w:p w14:paraId="1E977E4D" w14:textId="77777777" w:rsidR="00761B9B" w:rsidRPr="00175D8B" w:rsidRDefault="00761B9B">
            <w:pPr>
              <w:numPr>
                <w:ilvl w:val="0"/>
                <w:numId w:val="28"/>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Ensuring a detailed record of all complaints and how they are handled</w:t>
            </w:r>
          </w:p>
          <w:p w14:paraId="0C5B8BBC" w14:textId="6D48098C" w:rsidR="00761B9B" w:rsidRPr="00175D8B" w:rsidRDefault="00761B9B">
            <w:pPr>
              <w:numPr>
                <w:ilvl w:val="0"/>
                <w:numId w:val="28"/>
              </w:numPr>
              <w:spacing w:before="120" w:after="24" w:line="240" w:lineRule="auto"/>
              <w:contextualSpacing/>
              <w:rPr>
                <w:rFonts w:eastAsia="Tahoma" w:cs="Aptos"/>
                <w:color w:val="000000" w:themeColor="text1"/>
                <w:sz w:val="20"/>
                <w:szCs w:val="20"/>
              </w:rPr>
            </w:pPr>
            <w:r w:rsidRPr="00175D8B">
              <w:rPr>
                <w:rFonts w:eastAsia="Tahoma" w:cs="Aptos"/>
                <w:color w:val="000000" w:themeColor="text1"/>
                <w:sz w:val="20"/>
                <w:szCs w:val="20"/>
              </w:rPr>
              <w:t>Ensure that the Contractor establish and operate a grievance mechanism to address internal and external stakeholders’ complaints. This GM shall include receiving, recording and assessing complaints, providing solutions in line with the relevant provisions of the ESMP, and communicating outcomes as feedback.</w:t>
            </w:r>
          </w:p>
        </w:tc>
        <w:tc>
          <w:tcPr>
            <w:tcW w:w="1417" w:type="dxa"/>
            <w:shd w:val="clear" w:color="auto" w:fill="F2F2F2" w:themeFill="background1" w:themeFillShade="F2"/>
          </w:tcPr>
          <w:p w14:paraId="2F0C6A3D" w14:textId="77777777" w:rsidR="00761B9B" w:rsidRPr="00175D8B" w:rsidRDefault="00761B9B" w:rsidP="00761B9B">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PMU</w:t>
            </w:r>
          </w:p>
        </w:tc>
      </w:tr>
      <w:tr w:rsidR="00761B9B" w:rsidRPr="00175D8B" w14:paraId="3BB73813" w14:textId="77777777" w:rsidTr="002550A6">
        <w:trPr>
          <w:trHeight w:val="300"/>
          <w:jc w:val="center"/>
        </w:trPr>
        <w:tc>
          <w:tcPr>
            <w:tcW w:w="1276" w:type="dxa"/>
            <w:vMerge/>
          </w:tcPr>
          <w:p w14:paraId="64526D9B" w14:textId="77777777" w:rsidR="00761B9B" w:rsidRPr="00175D8B" w:rsidRDefault="00761B9B" w:rsidP="00761B9B">
            <w:pPr>
              <w:spacing w:before="120" w:after="24" w:line="240" w:lineRule="auto"/>
              <w:rPr>
                <w:rFonts w:eastAsia="Calibri" w:cs="Calibri"/>
                <w:color w:val="000000" w:themeColor="text1"/>
                <w:sz w:val="20"/>
                <w:szCs w:val="20"/>
              </w:rPr>
            </w:pPr>
          </w:p>
        </w:tc>
        <w:tc>
          <w:tcPr>
            <w:tcW w:w="2268" w:type="dxa"/>
            <w:vMerge/>
          </w:tcPr>
          <w:p w14:paraId="4943B47E" w14:textId="77777777" w:rsidR="00761B9B" w:rsidRPr="00175D8B" w:rsidRDefault="00761B9B" w:rsidP="00761B9B">
            <w:pPr>
              <w:spacing w:before="120" w:after="24" w:line="240" w:lineRule="auto"/>
              <w:rPr>
                <w:rFonts w:eastAsia="Calibri" w:cs="Calibri"/>
                <w:color w:val="000000" w:themeColor="text1"/>
                <w:sz w:val="20"/>
                <w:szCs w:val="20"/>
              </w:rPr>
            </w:pPr>
          </w:p>
        </w:tc>
        <w:tc>
          <w:tcPr>
            <w:tcW w:w="4111" w:type="dxa"/>
            <w:shd w:val="clear" w:color="auto" w:fill="F2F2F2" w:themeFill="background1" w:themeFillShade="F2"/>
            <w:vAlign w:val="center"/>
          </w:tcPr>
          <w:p w14:paraId="08B45D08" w14:textId="77777777" w:rsidR="00761B9B" w:rsidRPr="00175D8B" w:rsidRDefault="00761B9B">
            <w:pPr>
              <w:numPr>
                <w:ilvl w:val="0"/>
                <w:numId w:val="142"/>
              </w:numPr>
              <w:pBdr>
                <w:top w:val="nil"/>
                <w:left w:val="nil"/>
                <w:bottom w:val="nil"/>
                <w:right w:val="nil"/>
                <w:between w:val="nil"/>
              </w:pBdr>
              <w:spacing w:before="80" w:after="0"/>
              <w:jc w:val="left"/>
              <w:rPr>
                <w:color w:val="000000"/>
                <w:sz w:val="20"/>
                <w:szCs w:val="20"/>
              </w:rPr>
            </w:pPr>
            <w:r w:rsidRPr="00175D8B">
              <w:rPr>
                <w:rFonts w:eastAsia="Aptos" w:cs="Aptos"/>
                <w:color w:val="000000"/>
                <w:sz w:val="20"/>
                <w:szCs w:val="20"/>
              </w:rPr>
              <w:t xml:space="preserve">Ensure </w:t>
            </w:r>
            <w:r w:rsidRPr="00175D8B">
              <w:rPr>
                <w:color w:val="000000"/>
                <w:sz w:val="20"/>
                <w:szCs w:val="20"/>
              </w:rPr>
              <w:t>PAPs</w:t>
            </w:r>
            <w:r w:rsidRPr="00175D8B">
              <w:rPr>
                <w:rFonts w:eastAsia="Aptos" w:cs="Aptos"/>
                <w:color w:val="000000"/>
                <w:sz w:val="20"/>
                <w:szCs w:val="20"/>
              </w:rPr>
              <w:t xml:space="preserve"> have access to livelihood support as determined by the PMU.</w:t>
            </w:r>
          </w:p>
          <w:p w14:paraId="0A61BFA5" w14:textId="77777777" w:rsidR="00761B9B" w:rsidRPr="00175D8B" w:rsidRDefault="00761B9B">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 xml:space="preserve">Monitor complaints submitted to the grievance mechanism and address any delays or issues that may affect </w:t>
            </w:r>
            <w:r w:rsidRPr="00175D8B">
              <w:rPr>
                <w:rFonts w:eastAsia="Aptos" w:cs="Aptos"/>
                <w:color w:val="000000"/>
                <w:sz w:val="20"/>
                <w:szCs w:val="20"/>
              </w:rPr>
              <w:lastRenderedPageBreak/>
              <w:t>livelihoods, ensuring their resolution within the required timeframe.</w:t>
            </w:r>
          </w:p>
          <w:p w14:paraId="6301D835" w14:textId="77777777" w:rsidR="00761B9B" w:rsidRPr="00175D8B" w:rsidRDefault="00761B9B">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Provide information about the grievance mechanism and its operational processes.</w:t>
            </w:r>
          </w:p>
          <w:p w14:paraId="58D05D18" w14:textId="77777777" w:rsidR="00761B9B" w:rsidRPr="00175D8B" w:rsidRDefault="00761B9B">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Train all employees on the grievance mechanism and raise awareness on the subject.</w:t>
            </w:r>
          </w:p>
          <w:p w14:paraId="4C903484" w14:textId="77777777" w:rsidR="00761B9B" w:rsidRPr="00175D8B" w:rsidRDefault="00761B9B">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Ensure that the grievance mechanism is easily accessible to all stakeholders.</w:t>
            </w:r>
          </w:p>
          <w:p w14:paraId="533B7AC7" w14:textId="77777777" w:rsidR="00761B9B" w:rsidRPr="00175D8B" w:rsidRDefault="00761B9B">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Ensure that the grievance process operates in an open and transparent manner.</w:t>
            </w:r>
          </w:p>
          <w:p w14:paraId="2BE2016E" w14:textId="77777777" w:rsidR="00761B9B" w:rsidRPr="00175D8B" w:rsidRDefault="00761B9B">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Evaluate complaints in an impartial and fair manner.</w:t>
            </w:r>
          </w:p>
          <w:p w14:paraId="185DAA56" w14:textId="77777777" w:rsidR="00761B9B" w:rsidRPr="00175D8B" w:rsidRDefault="00761B9B">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Ensure that complaints are resolved quickly and effectively.</w:t>
            </w:r>
          </w:p>
          <w:p w14:paraId="5C5C62C2" w14:textId="77777777" w:rsidR="00761B9B" w:rsidRPr="00175D8B" w:rsidRDefault="00761B9B">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Maintain confidentiality of complaints.</w:t>
            </w:r>
          </w:p>
          <w:p w14:paraId="5F458B2F" w14:textId="77777777" w:rsidR="00761B9B" w:rsidRPr="00175D8B" w:rsidRDefault="00761B9B">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Provide feedback on process-related complaints.</w:t>
            </w:r>
          </w:p>
          <w:p w14:paraId="6F5B75B7" w14:textId="77777777" w:rsidR="00761B9B" w:rsidRPr="00175D8B" w:rsidRDefault="00761B9B">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Maintain a detailed record of all complaints and how they are handled.</w:t>
            </w:r>
          </w:p>
          <w:p w14:paraId="0E4031BE" w14:textId="1781F332" w:rsidR="00761B9B" w:rsidRPr="00175D8B" w:rsidRDefault="00761B9B">
            <w:pPr>
              <w:numPr>
                <w:ilvl w:val="0"/>
                <w:numId w:val="142"/>
              </w:numPr>
              <w:pBdr>
                <w:top w:val="nil"/>
                <w:left w:val="nil"/>
                <w:bottom w:val="nil"/>
                <w:right w:val="nil"/>
                <w:between w:val="nil"/>
              </w:pBdr>
              <w:spacing w:after="0"/>
              <w:jc w:val="left"/>
              <w:rPr>
                <w:color w:val="000000"/>
                <w:sz w:val="20"/>
                <w:szCs w:val="20"/>
              </w:rPr>
            </w:pPr>
            <w:r w:rsidRPr="00175D8B">
              <w:rPr>
                <w:rFonts w:eastAsia="Aptos" w:cs="Aptos"/>
                <w:color w:val="000000"/>
                <w:sz w:val="20"/>
                <w:szCs w:val="20"/>
              </w:rPr>
              <w:t>Establish and operate a grievance mechanism to address internal and external stakeholders’ complaints. This mechanism should include receiving, recording, and assessing complaints, providing solutions in line with the relevant provisions of the ESMP, and communicating outcomes as feedback.</w:t>
            </w:r>
          </w:p>
        </w:tc>
        <w:tc>
          <w:tcPr>
            <w:tcW w:w="1417" w:type="dxa"/>
            <w:shd w:val="clear" w:color="auto" w:fill="F2F2F2" w:themeFill="background1" w:themeFillShade="F2"/>
          </w:tcPr>
          <w:p w14:paraId="4FC10A5B" w14:textId="77777777" w:rsidR="00761B9B" w:rsidRPr="00175D8B" w:rsidRDefault="00761B9B" w:rsidP="00761B9B">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lastRenderedPageBreak/>
              <w:t>Contractor</w:t>
            </w:r>
          </w:p>
        </w:tc>
      </w:tr>
      <w:tr w:rsidR="00761B9B" w:rsidRPr="00175D8B" w14:paraId="5896E1CA" w14:textId="77777777" w:rsidTr="002550A6">
        <w:trPr>
          <w:trHeight w:val="300"/>
          <w:jc w:val="center"/>
        </w:trPr>
        <w:tc>
          <w:tcPr>
            <w:tcW w:w="1276" w:type="dxa"/>
            <w:shd w:val="clear" w:color="auto" w:fill="F2F2F2" w:themeFill="background1" w:themeFillShade="F2"/>
            <w:vAlign w:val="center"/>
          </w:tcPr>
          <w:p w14:paraId="7EEF03C5" w14:textId="62A961C2" w:rsidR="00761B9B" w:rsidRPr="00175D8B" w:rsidRDefault="00761B9B" w:rsidP="00761B9B">
            <w:pPr>
              <w:spacing w:before="120" w:after="24" w:line="240" w:lineRule="auto"/>
              <w:rPr>
                <w:rFonts w:eastAsia="Calibri" w:cs="Calibri"/>
                <w:color w:val="000000" w:themeColor="text1"/>
                <w:sz w:val="20"/>
                <w:szCs w:val="20"/>
              </w:rPr>
            </w:pPr>
            <w:r w:rsidRPr="00175D8B">
              <w:rPr>
                <w:rFonts w:eastAsia="Aptos" w:cs="Aptos"/>
                <w:sz w:val="20"/>
                <w:szCs w:val="20"/>
              </w:rPr>
              <w:t>Demolition, reconstruction and retrofitting stages</w:t>
            </w:r>
          </w:p>
        </w:tc>
        <w:tc>
          <w:tcPr>
            <w:tcW w:w="2268" w:type="dxa"/>
            <w:shd w:val="clear" w:color="auto" w:fill="F2F2F2" w:themeFill="background1" w:themeFillShade="F2"/>
            <w:vAlign w:val="center"/>
          </w:tcPr>
          <w:p w14:paraId="327098B9" w14:textId="51EAC6B9" w:rsidR="00761B9B" w:rsidRPr="00175D8B" w:rsidRDefault="00761B9B" w:rsidP="00761B9B">
            <w:pPr>
              <w:spacing w:before="120" w:after="24" w:line="240" w:lineRule="auto"/>
              <w:rPr>
                <w:rFonts w:eastAsia="Calibri" w:cs="Calibri"/>
                <w:color w:val="000000" w:themeColor="text1"/>
                <w:sz w:val="20"/>
                <w:szCs w:val="20"/>
              </w:rPr>
            </w:pPr>
            <w:r w:rsidRPr="00175D8B">
              <w:rPr>
                <w:rFonts w:eastAsia="Aptos" w:cs="Aptos"/>
                <w:sz w:val="20"/>
                <w:szCs w:val="20"/>
              </w:rPr>
              <w:t>Harm on Cultural Heritage</w:t>
            </w:r>
          </w:p>
        </w:tc>
        <w:tc>
          <w:tcPr>
            <w:tcW w:w="4111" w:type="dxa"/>
            <w:shd w:val="clear" w:color="auto" w:fill="F2F2F2" w:themeFill="background1" w:themeFillShade="F2"/>
          </w:tcPr>
          <w:p w14:paraId="5C71BD12" w14:textId="1E7F3780" w:rsidR="00761B9B" w:rsidRPr="00175D8B" w:rsidRDefault="00761B9B">
            <w:pPr>
              <w:numPr>
                <w:ilvl w:val="0"/>
                <w:numId w:val="29"/>
              </w:numPr>
              <w:pBdr>
                <w:top w:val="nil"/>
                <w:left w:val="nil"/>
                <w:bottom w:val="nil"/>
                <w:right w:val="nil"/>
                <w:between w:val="nil"/>
              </w:pBdr>
              <w:spacing w:before="80" w:after="80"/>
              <w:jc w:val="left"/>
              <w:rPr>
                <w:color w:val="000000"/>
                <w:sz w:val="20"/>
                <w:szCs w:val="20"/>
              </w:rPr>
            </w:pPr>
            <w:r w:rsidRPr="00175D8B">
              <w:rPr>
                <w:rFonts w:eastAsia="Aptos" w:cs="Aptos"/>
                <w:color w:val="000000"/>
                <w:sz w:val="20"/>
                <w:szCs w:val="20"/>
              </w:rPr>
              <w:t>In the cases of excavation chance find procedure shall apply in line with the details outlined in Annex 1</w:t>
            </w:r>
            <w:r w:rsidR="00C7270C">
              <w:rPr>
                <w:rFonts w:eastAsia="Aptos" w:cs="Aptos"/>
                <w:color w:val="000000"/>
                <w:sz w:val="20"/>
                <w:szCs w:val="20"/>
              </w:rPr>
              <w:t>0</w:t>
            </w:r>
            <w:r w:rsidRPr="00175D8B">
              <w:rPr>
                <w:rFonts w:eastAsia="Aptos" w:cs="Aptos"/>
                <w:color w:val="000000"/>
                <w:sz w:val="20"/>
                <w:szCs w:val="20"/>
              </w:rPr>
              <w:t xml:space="preserve">.  Report </w:t>
            </w:r>
            <w:r w:rsidRPr="00175D8B">
              <w:rPr>
                <w:rFonts w:eastAsia="Aptos" w:cs="Aptos"/>
                <w:color w:val="000000"/>
                <w:sz w:val="20"/>
                <w:szCs w:val="20"/>
              </w:rPr>
              <w:lastRenderedPageBreak/>
              <w:t>the find immediately to UTP PMU and WB.</w:t>
            </w:r>
          </w:p>
          <w:p w14:paraId="126F4916" w14:textId="77777777" w:rsidR="00761B9B" w:rsidRPr="00175D8B" w:rsidRDefault="00761B9B">
            <w:pPr>
              <w:pStyle w:val="ListeParagraf"/>
              <w:numPr>
                <w:ilvl w:val="0"/>
                <w:numId w:val="29"/>
              </w:numPr>
              <w:spacing w:after="0"/>
              <w:rPr>
                <w:rFonts w:eastAsia="Aptos" w:cs="Aptos"/>
                <w:color w:val="000000"/>
                <w:sz w:val="20"/>
                <w:szCs w:val="20"/>
              </w:rPr>
            </w:pPr>
            <w:r w:rsidRPr="00175D8B">
              <w:rPr>
                <w:rFonts w:eastAsia="Aptos" w:cs="Aptos"/>
                <w:color w:val="000000"/>
                <w:sz w:val="20"/>
                <w:szCs w:val="20"/>
              </w:rPr>
              <w:t>Inform and seek consultation with the relevant Regional Council on Protection of Cultural Assets and get permits in cases of working near registered cultural heritage assets.</w:t>
            </w:r>
          </w:p>
          <w:p w14:paraId="525399E6" w14:textId="77777777" w:rsidR="00761B9B" w:rsidRPr="00175D8B" w:rsidRDefault="00761B9B">
            <w:pPr>
              <w:numPr>
                <w:ilvl w:val="0"/>
                <w:numId w:val="29"/>
              </w:numPr>
              <w:pBdr>
                <w:top w:val="nil"/>
                <w:left w:val="nil"/>
                <w:bottom w:val="nil"/>
                <w:right w:val="nil"/>
                <w:between w:val="nil"/>
              </w:pBdr>
              <w:spacing w:before="80" w:after="80"/>
              <w:rPr>
                <w:rFonts w:eastAsia="Aptos" w:cs="Aptos"/>
                <w:color w:val="000000"/>
                <w:sz w:val="20"/>
                <w:szCs w:val="20"/>
              </w:rPr>
            </w:pPr>
            <w:r w:rsidRPr="00175D8B">
              <w:rPr>
                <w:rFonts w:eastAsia="Aptos" w:cs="Aptos"/>
                <w:color w:val="000000"/>
                <w:sz w:val="20"/>
                <w:szCs w:val="20"/>
              </w:rPr>
              <w:t>Seeking consultation with the museum directorates in the area.</w:t>
            </w:r>
          </w:p>
          <w:p w14:paraId="2DD670CF" w14:textId="6C43DC47" w:rsidR="00761B9B" w:rsidRPr="00175D8B" w:rsidRDefault="00761B9B">
            <w:pPr>
              <w:numPr>
                <w:ilvl w:val="0"/>
                <w:numId w:val="29"/>
              </w:numPr>
              <w:spacing w:before="120" w:after="24" w:line="240" w:lineRule="auto"/>
              <w:contextualSpacing/>
              <w:rPr>
                <w:rFonts w:eastAsia="Tahoma" w:cs="Aptos"/>
                <w:color w:val="000000" w:themeColor="text1"/>
                <w:sz w:val="20"/>
                <w:szCs w:val="20"/>
              </w:rPr>
            </w:pPr>
            <w:r w:rsidRPr="00175D8B">
              <w:rPr>
                <w:rFonts w:eastAsia="Aptos" w:cs="Aptos"/>
                <w:color w:val="000000"/>
                <w:sz w:val="20"/>
                <w:szCs w:val="20"/>
              </w:rPr>
              <w:t>Train staff responsible for excavation works for possible historic objects underground.</w:t>
            </w:r>
          </w:p>
        </w:tc>
        <w:tc>
          <w:tcPr>
            <w:tcW w:w="1417" w:type="dxa"/>
            <w:shd w:val="clear" w:color="auto" w:fill="F2F2F2" w:themeFill="background1" w:themeFillShade="F2"/>
          </w:tcPr>
          <w:p w14:paraId="16B27DF5" w14:textId="77777777" w:rsidR="00761B9B" w:rsidRPr="00175D8B" w:rsidRDefault="00761B9B" w:rsidP="00761B9B">
            <w:pPr>
              <w:spacing w:before="120" w:after="24" w:line="240" w:lineRule="auto"/>
              <w:rPr>
                <w:rFonts w:eastAsia="Aptos" w:cs="Aptos"/>
                <w:color w:val="000000" w:themeColor="text1"/>
                <w:sz w:val="20"/>
                <w:szCs w:val="20"/>
              </w:rPr>
            </w:pPr>
            <w:r w:rsidRPr="00175D8B">
              <w:rPr>
                <w:rFonts w:eastAsia="Calibri" w:cs="Calibri"/>
                <w:color w:val="000000" w:themeColor="text1"/>
                <w:sz w:val="20"/>
                <w:szCs w:val="20"/>
              </w:rPr>
              <w:lastRenderedPageBreak/>
              <w:t>Contractor</w:t>
            </w:r>
          </w:p>
        </w:tc>
      </w:tr>
      <w:tr w:rsidR="00761B9B" w:rsidRPr="00175D8B" w14:paraId="77515396" w14:textId="77777777" w:rsidTr="002550A6">
        <w:trPr>
          <w:trHeight w:val="300"/>
          <w:jc w:val="center"/>
        </w:trPr>
        <w:tc>
          <w:tcPr>
            <w:tcW w:w="1276" w:type="dxa"/>
            <w:shd w:val="clear" w:color="auto" w:fill="F2F2F2" w:themeFill="background1" w:themeFillShade="F2"/>
          </w:tcPr>
          <w:p w14:paraId="2F60EEA8" w14:textId="6E92DF17" w:rsidR="00761B9B" w:rsidRPr="00175D8B" w:rsidRDefault="00761B9B" w:rsidP="00761B9B">
            <w:pPr>
              <w:spacing w:before="120" w:after="24" w:line="240" w:lineRule="auto"/>
              <w:rPr>
                <w:rFonts w:eastAsia="Calibri" w:cs="Calibri"/>
                <w:color w:val="000000" w:themeColor="text1"/>
                <w:sz w:val="20"/>
                <w:szCs w:val="20"/>
              </w:rPr>
            </w:pPr>
            <w:r w:rsidRPr="00175D8B">
              <w:rPr>
                <w:color w:val="000000"/>
                <w:sz w:val="20"/>
                <w:szCs w:val="20"/>
              </w:rPr>
              <w:t>Demolition, Reconstruction and Retrofitting Stages</w:t>
            </w:r>
          </w:p>
        </w:tc>
        <w:tc>
          <w:tcPr>
            <w:tcW w:w="2268" w:type="dxa"/>
            <w:shd w:val="clear" w:color="auto" w:fill="F2F2F2" w:themeFill="background1" w:themeFillShade="F2"/>
          </w:tcPr>
          <w:p w14:paraId="34B06891" w14:textId="29D3D938" w:rsidR="00761B9B" w:rsidRPr="00175D8B" w:rsidRDefault="00761B9B" w:rsidP="00761B9B">
            <w:pPr>
              <w:spacing w:before="120" w:after="24" w:line="240" w:lineRule="auto"/>
              <w:rPr>
                <w:rFonts w:eastAsia="Calibri" w:cs="Calibri"/>
                <w:color w:val="000000" w:themeColor="text1"/>
                <w:sz w:val="20"/>
                <w:szCs w:val="20"/>
              </w:rPr>
            </w:pPr>
            <w:r w:rsidRPr="00175D8B">
              <w:rPr>
                <w:color w:val="000000"/>
                <w:sz w:val="20"/>
                <w:szCs w:val="20"/>
              </w:rPr>
              <w:t>Harm On Trees and Flora in Project Site</w:t>
            </w:r>
          </w:p>
        </w:tc>
        <w:tc>
          <w:tcPr>
            <w:tcW w:w="4111" w:type="dxa"/>
            <w:shd w:val="clear" w:color="auto" w:fill="F2F2F2" w:themeFill="background1" w:themeFillShade="F2"/>
          </w:tcPr>
          <w:p w14:paraId="07922E6F" w14:textId="77777777" w:rsidR="00761B9B" w:rsidRPr="00175D8B" w:rsidRDefault="00761B9B">
            <w:pPr>
              <w:pStyle w:val="ListeParagraf"/>
              <w:numPr>
                <w:ilvl w:val="0"/>
                <w:numId w:val="142"/>
              </w:numPr>
              <w:spacing w:after="0"/>
              <w:rPr>
                <w:rFonts w:eastAsia="Aptos" w:cs="Aptos"/>
                <w:color w:val="000000"/>
                <w:sz w:val="20"/>
                <w:szCs w:val="20"/>
              </w:rPr>
            </w:pPr>
            <w:r w:rsidRPr="00175D8B">
              <w:rPr>
                <w:rFonts w:eastAsia="Aptos" w:cs="Aptos"/>
                <w:color w:val="000000"/>
                <w:sz w:val="20"/>
                <w:szCs w:val="20"/>
              </w:rPr>
              <w:t>Seeking consultation with the relevant regional branch of the Directorate General of Nature Conservation and National Parks in case of protected flora and trees.</w:t>
            </w:r>
          </w:p>
          <w:p w14:paraId="0E0C0D87" w14:textId="77777777" w:rsidR="00761B9B" w:rsidRPr="00175D8B" w:rsidRDefault="00761B9B">
            <w:pPr>
              <w:pStyle w:val="ListeParagraf"/>
              <w:numPr>
                <w:ilvl w:val="0"/>
                <w:numId w:val="142"/>
              </w:numPr>
              <w:spacing w:after="0"/>
              <w:rPr>
                <w:rFonts w:eastAsia="Aptos" w:cs="Aptos"/>
                <w:color w:val="000000"/>
                <w:sz w:val="20"/>
                <w:szCs w:val="20"/>
              </w:rPr>
            </w:pPr>
            <w:r w:rsidRPr="00175D8B">
              <w:rPr>
                <w:rFonts w:eastAsia="Aptos" w:cs="Aptos"/>
                <w:color w:val="000000"/>
                <w:sz w:val="20"/>
                <w:szCs w:val="20"/>
              </w:rPr>
              <w:t>Project revisions to preserve green spaces in urban areas when possible.</w:t>
            </w:r>
          </w:p>
          <w:p w14:paraId="2131FD28" w14:textId="7F6FA62B" w:rsidR="00761B9B" w:rsidRPr="00175D8B" w:rsidRDefault="00761B9B">
            <w:pPr>
              <w:pStyle w:val="ListeParagraf"/>
              <w:numPr>
                <w:ilvl w:val="0"/>
                <w:numId w:val="29"/>
              </w:numPr>
              <w:spacing w:after="0"/>
              <w:rPr>
                <w:rFonts w:eastAsia="Aptos" w:cs="Aptos"/>
                <w:color w:val="000000"/>
                <w:sz w:val="20"/>
                <w:szCs w:val="20"/>
              </w:rPr>
            </w:pPr>
            <w:r w:rsidRPr="00175D8B">
              <w:rPr>
                <w:rFonts w:eastAsia="Aptos" w:cs="Aptos"/>
                <w:color w:val="000000"/>
                <w:sz w:val="20"/>
                <w:szCs w:val="20"/>
              </w:rPr>
              <w:t>Apply physical measures to ensure protection of identified trees, species and/or areas.</w:t>
            </w:r>
          </w:p>
        </w:tc>
        <w:tc>
          <w:tcPr>
            <w:tcW w:w="1417" w:type="dxa"/>
            <w:shd w:val="clear" w:color="auto" w:fill="F2F2F2" w:themeFill="background1" w:themeFillShade="F2"/>
          </w:tcPr>
          <w:p w14:paraId="15C9BC81" w14:textId="77777777" w:rsidR="00761B9B" w:rsidRPr="00175D8B" w:rsidRDefault="00761B9B" w:rsidP="00761B9B">
            <w:pPr>
              <w:spacing w:before="120" w:after="24" w:line="240" w:lineRule="auto"/>
              <w:rPr>
                <w:rFonts w:eastAsia="Calibri" w:cs="Calibri"/>
                <w:color w:val="000000" w:themeColor="text1"/>
                <w:sz w:val="20"/>
                <w:szCs w:val="20"/>
              </w:rPr>
            </w:pPr>
            <w:r w:rsidRPr="00175D8B">
              <w:rPr>
                <w:rFonts w:eastAsia="Calibri" w:cs="Calibri"/>
                <w:color w:val="000000" w:themeColor="text1"/>
                <w:sz w:val="20"/>
                <w:szCs w:val="20"/>
              </w:rPr>
              <w:t>Contractor</w:t>
            </w:r>
          </w:p>
        </w:tc>
      </w:tr>
    </w:tbl>
    <w:p w14:paraId="0600A093" w14:textId="77777777" w:rsidR="00A13841" w:rsidRPr="00175D8B" w:rsidRDefault="00A13841" w:rsidP="00A13841">
      <w:pPr>
        <w:spacing w:before="120" w:after="0" w:line="278" w:lineRule="auto"/>
        <w:rPr>
          <w:rFonts w:eastAsia="Aptos" w:cs="Aptos"/>
          <w:color w:val="000000" w:themeColor="text1"/>
          <w:szCs w:val="22"/>
        </w:rPr>
      </w:pPr>
    </w:p>
    <w:p w14:paraId="3353EF34" w14:textId="561BD16A" w:rsidR="00681F8D" w:rsidRPr="00175D8B" w:rsidRDefault="00681F8D" w:rsidP="002550A6">
      <w:pPr>
        <w:pStyle w:val="Balk2"/>
        <w:numPr>
          <w:ilvl w:val="1"/>
          <w:numId w:val="154"/>
        </w:numPr>
      </w:pPr>
      <w:bookmarkStart w:id="319" w:name="_Toc209525746"/>
      <w:bookmarkStart w:id="320" w:name="_Toc209525786"/>
      <w:bookmarkStart w:id="321" w:name="_Toc209527672"/>
      <w:bookmarkStart w:id="322" w:name="_Toc212541890"/>
      <w:bookmarkStart w:id="323" w:name="_Toc212542401"/>
      <w:bookmarkStart w:id="324" w:name="_Toc220672804"/>
      <w:r w:rsidRPr="00175D8B">
        <w:t>Roles and Responsibilities</w:t>
      </w:r>
      <w:bookmarkEnd w:id="319"/>
      <w:bookmarkEnd w:id="320"/>
      <w:bookmarkEnd w:id="321"/>
      <w:bookmarkEnd w:id="322"/>
      <w:bookmarkEnd w:id="323"/>
      <w:bookmarkEnd w:id="324"/>
    </w:p>
    <w:p w14:paraId="333B3176" w14:textId="601B1702" w:rsidR="00681F8D" w:rsidRPr="00175D8B" w:rsidRDefault="00681F8D" w:rsidP="00681F8D">
      <w:pPr>
        <w:spacing w:before="120" w:after="0"/>
        <w:rPr>
          <w:rFonts w:eastAsia="Aptos" w:cs="Aptos"/>
          <w:color w:val="000000" w:themeColor="text1"/>
          <w:szCs w:val="22"/>
        </w:rPr>
      </w:pPr>
      <w:r w:rsidRPr="00175D8B">
        <w:rPr>
          <w:rFonts w:eastAsia="Aptos" w:cs="Aptos"/>
          <w:color w:val="000000" w:themeColor="text1"/>
          <w:szCs w:val="22"/>
        </w:rPr>
        <w:t xml:space="preserve">All of the sub-projects to be realized under Project Component 2 will be exempt from the requirements of the National Regulation on Environmental Impact Assessment as per relevant Law. In addition, sub-projects under Component 2 have potential difficulties that have been mentioned before, such as </w:t>
      </w:r>
      <w:r w:rsidR="00761B9B" w:rsidRPr="00175D8B">
        <w:rPr>
          <w:rFonts w:eastAsia="Aptos" w:cs="Aptos"/>
          <w:color w:val="000000" w:themeColor="text1"/>
          <w:szCs w:val="22"/>
        </w:rPr>
        <w:t xml:space="preserve">uncertainty about the exact </w:t>
      </w:r>
      <w:r w:rsidRPr="00175D8B">
        <w:rPr>
          <w:rFonts w:eastAsia="Aptos" w:cs="Aptos"/>
          <w:color w:val="000000" w:themeColor="text1"/>
          <w:szCs w:val="22"/>
        </w:rPr>
        <w:t xml:space="preserve">location of sub-projects within the provinces, possibility of implementation of several sub-projects at the same time and the fact that UTP has no previous Project experience that was financed by World Bank. For this reason, UTP, MoEUCC recruited and will continue to recruit individual Environmental, Social and OHS Specialists as specific to the Project to meet the requirements of the World Bank's ESF and related environmental and social standards. Additionally, the individual </w:t>
      </w:r>
      <w:r w:rsidRPr="00175D8B">
        <w:rPr>
          <w:rFonts w:eastAsia="Aptos" w:cs="Aptos"/>
          <w:color w:val="000000" w:themeColor="text1"/>
          <w:szCs w:val="22"/>
        </w:rPr>
        <w:lastRenderedPageBreak/>
        <w:t>specialists to be recruited in Sakarya as part of the PMU will especially be responsible for continuous monitoring of demolition/ retrofitting/ reconstruction works.</w:t>
      </w:r>
      <w:r w:rsidR="00CE53E9" w:rsidRPr="00175D8B">
        <w:rPr>
          <w:rFonts w:eastAsia="Aptos" w:cs="Aptos"/>
          <w:color w:val="000000" w:themeColor="text1"/>
          <w:szCs w:val="22"/>
        </w:rPr>
        <w:t xml:space="preserve"> The roles and responsibilities of the parties involved in the implementation of the ESMP are presented in </w:t>
      </w:r>
      <w:r w:rsidR="004E3228" w:rsidRPr="004E3228">
        <w:rPr>
          <w:rFonts w:eastAsia="Aptos" w:cs="Aptos"/>
          <w:color w:val="000000" w:themeColor="text1"/>
          <w:szCs w:val="22"/>
        </w:rPr>
        <w:fldChar w:fldCharType="begin"/>
      </w:r>
      <w:r w:rsidR="004E3228" w:rsidRPr="004E3228">
        <w:rPr>
          <w:rFonts w:eastAsia="Aptos" w:cs="Aptos"/>
          <w:color w:val="000000" w:themeColor="text1"/>
          <w:szCs w:val="22"/>
        </w:rPr>
        <w:instrText xml:space="preserve"> REF _Ref214637429 \h  \* MERGEFORMAT </w:instrText>
      </w:r>
      <w:r w:rsidR="004E3228" w:rsidRPr="004E3228">
        <w:rPr>
          <w:rFonts w:eastAsia="Aptos" w:cs="Aptos"/>
          <w:color w:val="000000" w:themeColor="text1"/>
          <w:szCs w:val="22"/>
        </w:rPr>
      </w:r>
      <w:r w:rsidR="004E3228" w:rsidRPr="004E3228">
        <w:rPr>
          <w:rFonts w:eastAsia="Aptos" w:cs="Aptos"/>
          <w:color w:val="000000" w:themeColor="text1"/>
          <w:szCs w:val="22"/>
        </w:rPr>
        <w:fldChar w:fldCharType="separate"/>
      </w:r>
      <w:r w:rsidR="004E3228" w:rsidRPr="004E3228">
        <w:t xml:space="preserve">Table </w:t>
      </w:r>
      <w:r w:rsidR="004E3228" w:rsidRPr="004E3228">
        <w:rPr>
          <w:noProof/>
        </w:rPr>
        <w:t>31</w:t>
      </w:r>
      <w:r w:rsidR="004E3228" w:rsidRPr="004E3228">
        <w:rPr>
          <w:rFonts w:eastAsia="Aptos" w:cs="Aptos"/>
          <w:color w:val="000000" w:themeColor="text1"/>
          <w:szCs w:val="22"/>
        </w:rPr>
        <w:fldChar w:fldCharType="end"/>
      </w:r>
      <w:r w:rsidR="00CE53E9" w:rsidRPr="00175D8B">
        <w:rPr>
          <w:rFonts w:eastAsia="Aptos" w:cs="Aptos"/>
          <w:color w:val="000000" w:themeColor="text1"/>
          <w:szCs w:val="22"/>
        </w:rPr>
        <w:t xml:space="preserve">. </w:t>
      </w:r>
      <w:r w:rsidRPr="00175D8B">
        <w:rPr>
          <w:rFonts w:eastAsia="Aptos" w:cs="Aptos"/>
          <w:color w:val="000000" w:themeColor="text1"/>
          <w:szCs w:val="22"/>
        </w:rPr>
        <w:t xml:space="preserve">In respect to overall CDRC project management roles and responsibilities, please consult the Project level ESMF. </w:t>
      </w:r>
    </w:p>
    <w:p w14:paraId="17B2E1D9" w14:textId="316A5550" w:rsidR="007D0884" w:rsidRPr="00175D8B" w:rsidRDefault="00681F8D" w:rsidP="00761B9B">
      <w:pPr>
        <w:pBdr>
          <w:top w:val="nil"/>
          <w:left w:val="nil"/>
          <w:bottom w:val="nil"/>
          <w:right w:val="nil"/>
          <w:between w:val="nil"/>
        </w:pBdr>
        <w:spacing w:after="200"/>
        <w:rPr>
          <w:rFonts w:eastAsia="Aptos" w:cs="Aptos"/>
          <w:color w:val="000000" w:themeColor="text1"/>
          <w:szCs w:val="22"/>
        </w:rPr>
        <w:sectPr w:rsidR="007D0884" w:rsidRPr="00175D8B" w:rsidSect="007C6114">
          <w:pgSz w:w="11906" w:h="16838" w:code="9"/>
          <w:pgMar w:top="1418" w:right="1418" w:bottom="1418" w:left="1418" w:header="709" w:footer="709" w:gutter="0"/>
          <w:cols w:space="708"/>
          <w:docGrid w:linePitch="360"/>
        </w:sectPr>
      </w:pPr>
      <w:r w:rsidRPr="00175D8B">
        <w:rPr>
          <w:rFonts w:eastAsia="Aptos" w:cs="Aptos"/>
          <w:color w:val="000000" w:themeColor="text1"/>
          <w:szCs w:val="22"/>
        </w:rPr>
        <w:t xml:space="preserve"> </w:t>
      </w:r>
    </w:p>
    <w:p w14:paraId="12CE1852" w14:textId="486486FF" w:rsidR="00FE5FDE" w:rsidRPr="00175D8B" w:rsidRDefault="00FE5FDE" w:rsidP="006C58C5">
      <w:pPr>
        <w:pStyle w:val="ResimYazs"/>
        <w:keepNext/>
        <w:jc w:val="center"/>
      </w:pPr>
      <w:bookmarkStart w:id="325" w:name="_Ref214637429"/>
      <w:bookmarkStart w:id="326" w:name="_Toc216344448"/>
      <w:r w:rsidRPr="006C58C5">
        <w:rPr>
          <w:b/>
          <w:bCs/>
        </w:rPr>
        <w:lastRenderedPageBreak/>
        <w:t xml:space="preserve">Table </w:t>
      </w:r>
      <w:r w:rsidRPr="006C58C5">
        <w:rPr>
          <w:b/>
          <w:bCs/>
        </w:rPr>
        <w:fldChar w:fldCharType="begin"/>
      </w:r>
      <w:r w:rsidRPr="006C58C5">
        <w:rPr>
          <w:b/>
          <w:bCs/>
        </w:rPr>
        <w:instrText xml:space="preserve"> SEQ Table \* ARABIC </w:instrText>
      </w:r>
      <w:r w:rsidRPr="006C58C5">
        <w:rPr>
          <w:b/>
          <w:bCs/>
        </w:rPr>
        <w:fldChar w:fldCharType="separate"/>
      </w:r>
      <w:r w:rsidRPr="00175D8B">
        <w:rPr>
          <w:b/>
          <w:bCs/>
          <w:noProof/>
        </w:rPr>
        <w:t>31</w:t>
      </w:r>
      <w:r w:rsidRPr="006C58C5">
        <w:rPr>
          <w:b/>
          <w:bCs/>
        </w:rPr>
        <w:fldChar w:fldCharType="end"/>
      </w:r>
      <w:bookmarkEnd w:id="325"/>
      <w:r w:rsidRPr="006C58C5">
        <w:rPr>
          <w:b/>
          <w:bCs/>
        </w:rPr>
        <w:t>:</w:t>
      </w:r>
      <w:r w:rsidRPr="00175D8B">
        <w:t xml:space="preserve"> </w:t>
      </w:r>
      <w:r w:rsidRPr="00175D8B">
        <w:rPr>
          <w:rFonts w:eastAsia="Aptos" w:cs="Aptos"/>
          <w:bCs/>
          <w:szCs w:val="20"/>
        </w:rPr>
        <w:t>Roles and Responsibilities within the Scope of Sakarya Province ESMP Implementation</w:t>
      </w:r>
      <w:bookmarkEnd w:id="326"/>
    </w:p>
    <w:tbl>
      <w:tblPr>
        <w:tblStyle w:val="TabloKlavuzu"/>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25"/>
        <w:gridCol w:w="11859"/>
      </w:tblGrid>
      <w:tr w:rsidR="00681F8D" w:rsidRPr="00175D8B" w14:paraId="477A5498" w14:textId="77777777" w:rsidTr="007D0884">
        <w:trPr>
          <w:trHeight w:val="300"/>
          <w:tblHeader/>
          <w:jc w:val="center"/>
        </w:trPr>
        <w:tc>
          <w:tcPr>
            <w:tcW w:w="2025" w:type="dxa"/>
            <w:shd w:val="clear" w:color="auto" w:fill="ABB7C1"/>
            <w:tcMar>
              <w:left w:w="105" w:type="dxa"/>
              <w:right w:w="105" w:type="dxa"/>
            </w:tcMar>
          </w:tcPr>
          <w:p w14:paraId="5BFE6B44" w14:textId="77777777" w:rsidR="00681F8D" w:rsidRPr="00175D8B" w:rsidRDefault="00681F8D" w:rsidP="00681F8D">
            <w:pPr>
              <w:keepLines/>
              <w:spacing w:before="120" w:afterLines="120" w:after="288" w:line="240" w:lineRule="auto"/>
              <w:rPr>
                <w:rFonts w:eastAsia="Calibri" w:cs="Calibri"/>
                <w:color w:val="000000" w:themeColor="text1"/>
                <w:sz w:val="20"/>
                <w:szCs w:val="20"/>
              </w:rPr>
            </w:pPr>
            <w:r w:rsidRPr="00175D8B">
              <w:rPr>
                <w:rFonts w:eastAsia="Calibri" w:cs="Calibri"/>
                <w:b/>
                <w:bCs/>
                <w:color w:val="000000" w:themeColor="text1"/>
                <w:sz w:val="20"/>
                <w:szCs w:val="20"/>
              </w:rPr>
              <w:t>Responsible Party</w:t>
            </w:r>
          </w:p>
        </w:tc>
        <w:tc>
          <w:tcPr>
            <w:tcW w:w="11859" w:type="dxa"/>
            <w:shd w:val="clear" w:color="auto" w:fill="ABB7C1"/>
            <w:tcMar>
              <w:left w:w="105" w:type="dxa"/>
              <w:right w:w="105" w:type="dxa"/>
            </w:tcMar>
          </w:tcPr>
          <w:p w14:paraId="4A660929" w14:textId="77777777" w:rsidR="00681F8D" w:rsidRPr="00175D8B" w:rsidRDefault="00681F8D" w:rsidP="00681F8D">
            <w:pPr>
              <w:keepLines/>
              <w:spacing w:before="120" w:afterLines="120" w:after="288" w:line="240" w:lineRule="auto"/>
              <w:rPr>
                <w:rFonts w:eastAsia="Calibri" w:cs="Calibri"/>
                <w:color w:val="000000" w:themeColor="text1"/>
                <w:sz w:val="20"/>
                <w:szCs w:val="20"/>
              </w:rPr>
            </w:pPr>
            <w:r w:rsidRPr="00175D8B">
              <w:rPr>
                <w:rFonts w:eastAsia="Calibri" w:cs="Calibri"/>
                <w:b/>
                <w:bCs/>
                <w:color w:val="000000" w:themeColor="text1"/>
                <w:sz w:val="20"/>
                <w:szCs w:val="20"/>
              </w:rPr>
              <w:t>Responsibilities</w:t>
            </w:r>
          </w:p>
        </w:tc>
      </w:tr>
      <w:tr w:rsidR="00681F8D" w:rsidRPr="00175D8B" w14:paraId="274492DA" w14:textId="77777777" w:rsidTr="007D0884">
        <w:trPr>
          <w:trHeight w:val="300"/>
          <w:jc w:val="center"/>
        </w:trPr>
        <w:tc>
          <w:tcPr>
            <w:tcW w:w="2025" w:type="dxa"/>
            <w:shd w:val="clear" w:color="auto" w:fill="F2F2F2" w:themeFill="background1" w:themeFillShade="F2"/>
            <w:tcMar>
              <w:left w:w="105" w:type="dxa"/>
              <w:right w:w="105" w:type="dxa"/>
            </w:tcMar>
          </w:tcPr>
          <w:p w14:paraId="3B0C17DF" w14:textId="77777777" w:rsidR="00681F8D" w:rsidRPr="00175D8B" w:rsidRDefault="00681F8D" w:rsidP="00681F8D">
            <w:pPr>
              <w:spacing w:before="120" w:afterLines="120" w:after="288" w:line="240" w:lineRule="auto"/>
              <w:rPr>
                <w:rFonts w:eastAsia="Calibri" w:cs="Calibri"/>
                <w:color w:val="000000" w:themeColor="text1"/>
                <w:sz w:val="20"/>
                <w:szCs w:val="20"/>
              </w:rPr>
            </w:pPr>
            <w:r w:rsidRPr="00175D8B">
              <w:rPr>
                <w:rFonts w:eastAsia="Calibri" w:cs="Calibri"/>
                <w:color w:val="000000" w:themeColor="text1"/>
                <w:sz w:val="20"/>
                <w:szCs w:val="20"/>
              </w:rPr>
              <w:t>Contractors</w:t>
            </w:r>
          </w:p>
        </w:tc>
        <w:tc>
          <w:tcPr>
            <w:tcW w:w="11859" w:type="dxa"/>
            <w:shd w:val="clear" w:color="auto" w:fill="F2F2F2" w:themeFill="background1" w:themeFillShade="F2"/>
            <w:tcMar>
              <w:left w:w="105" w:type="dxa"/>
              <w:right w:w="105" w:type="dxa"/>
            </w:tcMar>
          </w:tcPr>
          <w:p w14:paraId="59FC98E2"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Preparing and implementing the subproject-specific C-ESMP Checklist (along with its sub-management plans), based on the Sakarya ESMP developed by the PMU. Meeting mitigation requirements and management actions to be defined neighborhood-level ESIAs, if needed</w:t>
            </w:r>
          </w:p>
          <w:p w14:paraId="4A81EBE5"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 xml:space="preserve">Ensuring that environmental, social, occupational health and safety, community health and safety measures are taken and implemented during the activities. </w:t>
            </w:r>
          </w:p>
          <w:p w14:paraId="75438934" w14:textId="77777777" w:rsidR="00681F8D" w:rsidRPr="00175D8B" w:rsidRDefault="00681F8D">
            <w:pPr>
              <w:keepLines/>
              <w:numPr>
                <w:ilvl w:val="0"/>
                <w:numId w:val="31"/>
              </w:numPr>
              <w:spacing w:before="120" w:afterLines="120" w:after="288" w:line="240" w:lineRule="auto"/>
              <w:contextualSpacing/>
              <w:rPr>
                <w:rFonts w:eastAsia="Aptos" w:cs="Aptos"/>
                <w:color w:val="000000" w:themeColor="text1"/>
                <w:sz w:val="18"/>
                <w:szCs w:val="18"/>
                <w:lang w:val="tr-TR"/>
              </w:rPr>
            </w:pPr>
            <w:r w:rsidRPr="00175D8B">
              <w:rPr>
                <w:rFonts w:eastAsia="Aptos" w:cs="Aptos"/>
                <w:color w:val="000000" w:themeColor="text1"/>
                <w:sz w:val="18"/>
                <w:szCs w:val="18"/>
              </w:rPr>
              <w:t>Ensure that all sub-contractors follow the ESMP and all related plans.</w:t>
            </w:r>
          </w:p>
          <w:p w14:paraId="3AF38800"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Implementing corrective actions for the grievances directed to the Contractors as per the GM. If the Contractor is not in a position to resolve the grievance received, they are responsible to inform the PIU/PMU immediately.</w:t>
            </w:r>
          </w:p>
          <w:p w14:paraId="2BB5486F"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Implementation and fulfillment of stakeholder engagement and grievance mechanism obligations specified in the Project SEP</w:t>
            </w:r>
          </w:p>
          <w:p w14:paraId="64A89B65"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Implementation and fulfillment of workforce issues specified in the Project LMP’s.</w:t>
            </w:r>
          </w:p>
          <w:p w14:paraId="335E6010"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Implementation and fulfillment of resettlement and livelihood loss considerations specified in the Project RF</w:t>
            </w:r>
          </w:p>
          <w:p w14:paraId="46980EA5" w14:textId="4E26A2D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 xml:space="preserve">Recruiting an OHS focal point whose competencies </w:t>
            </w:r>
            <w:r w:rsidR="0015176F" w:rsidRPr="00175D8B">
              <w:rPr>
                <w:rFonts w:eastAsia="Aptos" w:cs="Aptos"/>
                <w:color w:val="000000" w:themeColor="text1"/>
                <w:sz w:val="18"/>
                <w:szCs w:val="18"/>
              </w:rPr>
              <w:t>meet</w:t>
            </w:r>
            <w:r w:rsidRPr="00175D8B">
              <w:rPr>
                <w:rFonts w:eastAsia="Aptos" w:cs="Aptos"/>
                <w:color w:val="000000" w:themeColor="text1"/>
                <w:sz w:val="18"/>
                <w:szCs w:val="18"/>
              </w:rPr>
              <w:t xml:space="preserve"> the requirements described in Section 5.2, </w:t>
            </w:r>
          </w:p>
          <w:p w14:paraId="527698B2"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Regularly carrying out the monitoring on the site, defined in the Sakarya ESMP, C-ESMP Checklists, and neighborhood-level ESIAs (if needed) through the Contractor’s OHS focal point,</w:t>
            </w:r>
          </w:p>
          <w:p w14:paraId="2ACCCCD1" w14:textId="2B41A242"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 xml:space="preserve">Performing the monthly reporting activities described in </w:t>
            </w:r>
            <w:r w:rsidR="004E3228" w:rsidRPr="004E3228">
              <w:rPr>
                <w:rFonts w:eastAsia="Aptos" w:cs="Aptos"/>
                <w:color w:val="000000" w:themeColor="text1"/>
                <w:sz w:val="18"/>
                <w:szCs w:val="18"/>
              </w:rPr>
              <w:fldChar w:fldCharType="begin"/>
            </w:r>
            <w:r w:rsidR="004E3228" w:rsidRPr="004E3228">
              <w:rPr>
                <w:rFonts w:eastAsia="Aptos" w:cs="Aptos"/>
                <w:color w:val="000000" w:themeColor="text1"/>
                <w:sz w:val="18"/>
                <w:szCs w:val="18"/>
              </w:rPr>
              <w:instrText xml:space="preserve"> REF _Ref214637527 \h  \* MERGEFORMAT </w:instrText>
            </w:r>
            <w:r w:rsidR="004E3228" w:rsidRPr="004E3228">
              <w:rPr>
                <w:rFonts w:eastAsia="Aptos" w:cs="Aptos"/>
                <w:color w:val="000000" w:themeColor="text1"/>
                <w:sz w:val="18"/>
                <w:szCs w:val="18"/>
              </w:rPr>
            </w:r>
            <w:r w:rsidR="004E3228" w:rsidRPr="004E3228">
              <w:rPr>
                <w:rFonts w:eastAsia="Aptos" w:cs="Aptos"/>
                <w:color w:val="000000" w:themeColor="text1"/>
                <w:sz w:val="18"/>
                <w:szCs w:val="18"/>
              </w:rPr>
              <w:fldChar w:fldCharType="separate"/>
            </w:r>
            <w:r w:rsidR="004E3228" w:rsidRPr="004E3228">
              <w:rPr>
                <w:sz w:val="18"/>
                <w:szCs w:val="18"/>
              </w:rPr>
              <w:t>Table</w:t>
            </w:r>
            <w:r w:rsidR="004E3228" w:rsidRPr="004E3228">
              <w:rPr>
                <w:b/>
                <w:bCs/>
                <w:sz w:val="18"/>
                <w:szCs w:val="18"/>
              </w:rPr>
              <w:t xml:space="preserve"> </w:t>
            </w:r>
            <w:r w:rsidR="004E3228" w:rsidRPr="004E3228">
              <w:rPr>
                <w:noProof/>
                <w:sz w:val="18"/>
                <w:szCs w:val="18"/>
              </w:rPr>
              <w:t>32</w:t>
            </w:r>
            <w:r w:rsidR="004E3228" w:rsidRPr="004E3228">
              <w:rPr>
                <w:rFonts w:eastAsia="Aptos" w:cs="Aptos"/>
                <w:color w:val="000000" w:themeColor="text1"/>
                <w:sz w:val="18"/>
                <w:szCs w:val="18"/>
              </w:rPr>
              <w:fldChar w:fldCharType="end"/>
            </w:r>
            <w:r w:rsidRPr="004E3228">
              <w:rPr>
                <w:rFonts w:eastAsia="Aptos" w:cs="Aptos"/>
                <w:color w:val="000000" w:themeColor="text1"/>
                <w:sz w:val="18"/>
                <w:szCs w:val="18"/>
              </w:rPr>
              <w:t>,</w:t>
            </w:r>
          </w:p>
          <w:p w14:paraId="0DDA33D6" w14:textId="77777777" w:rsidR="00681F8D" w:rsidRPr="00175D8B" w:rsidRDefault="00681F8D">
            <w:pPr>
              <w:keepLines/>
              <w:numPr>
                <w:ilvl w:val="0"/>
                <w:numId w:val="31"/>
              </w:numPr>
              <w:spacing w:before="120" w:afterLines="120" w:after="288" w:line="240" w:lineRule="auto"/>
              <w:contextualSpacing/>
              <w:rPr>
                <w:rFonts w:eastAsia="Aptos" w:cs="Aptos"/>
                <w:color w:val="000000" w:themeColor="text1"/>
                <w:sz w:val="18"/>
                <w:szCs w:val="18"/>
                <w:lang w:val="tr-TR"/>
              </w:rPr>
            </w:pPr>
            <w:r w:rsidRPr="00175D8B">
              <w:rPr>
                <w:rFonts w:eastAsia="Aptos" w:cs="Aptos"/>
                <w:color w:val="000000" w:themeColor="text1"/>
                <w:sz w:val="18"/>
                <w:szCs w:val="18"/>
              </w:rPr>
              <w:t>Carrying out the environmental and social monitoring activities described in Section 8 under its own responsibility.</w:t>
            </w:r>
          </w:p>
          <w:p w14:paraId="07035E48"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Immediately notifying UTP and individual Environmental Specialists and OHS Specialists hired for provinces in case of an accident that may affect / threaten the environment, occupational health and safety &amp; community health and safety - fatal work accident, environmental spills and accidents that will put community and environmental health at risk, a work accident that may cause disability etc. In such a case, the incident report, which includes (1) Root Cause Analysis studies, (2) measures to prevent the accident / incident from happening again, and specific compensation actions / corrective actions, will be submitted to UTP within 30 working days with the guidance and controls of PMU individual specialists.</w:t>
            </w:r>
          </w:p>
        </w:tc>
      </w:tr>
      <w:tr w:rsidR="00681F8D" w:rsidRPr="00175D8B" w14:paraId="55A0FBA5" w14:textId="77777777" w:rsidTr="007D0884">
        <w:trPr>
          <w:trHeight w:val="300"/>
          <w:jc w:val="center"/>
        </w:trPr>
        <w:tc>
          <w:tcPr>
            <w:tcW w:w="2025" w:type="dxa"/>
            <w:shd w:val="clear" w:color="auto" w:fill="F2F2F2" w:themeFill="background1" w:themeFillShade="F2"/>
            <w:tcMar>
              <w:left w:w="105" w:type="dxa"/>
              <w:right w:w="105" w:type="dxa"/>
            </w:tcMar>
          </w:tcPr>
          <w:p w14:paraId="0CC26C7F" w14:textId="77777777" w:rsidR="00681F8D" w:rsidRPr="00175D8B" w:rsidRDefault="00681F8D" w:rsidP="00681F8D">
            <w:pPr>
              <w:spacing w:before="120" w:afterLines="120" w:after="288" w:line="240" w:lineRule="auto"/>
              <w:rPr>
                <w:rFonts w:eastAsia="Calibri" w:cs="Calibri"/>
                <w:color w:val="000000" w:themeColor="text1"/>
                <w:sz w:val="20"/>
                <w:szCs w:val="20"/>
              </w:rPr>
            </w:pPr>
            <w:r w:rsidRPr="00175D8B">
              <w:rPr>
                <w:rFonts w:eastAsia="Calibri" w:cs="Calibri"/>
                <w:color w:val="000000" w:themeColor="text1"/>
                <w:sz w:val="20"/>
                <w:szCs w:val="20"/>
              </w:rPr>
              <w:t>Site Supervisors</w:t>
            </w:r>
          </w:p>
        </w:tc>
        <w:tc>
          <w:tcPr>
            <w:tcW w:w="11859" w:type="dxa"/>
            <w:shd w:val="clear" w:color="auto" w:fill="F2F2F2" w:themeFill="background1" w:themeFillShade="F2"/>
            <w:tcMar>
              <w:left w:w="105" w:type="dxa"/>
              <w:right w:w="105" w:type="dxa"/>
            </w:tcMar>
          </w:tcPr>
          <w:p w14:paraId="19C8F990"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Planning, organizing, and coordinating the construction project.</w:t>
            </w:r>
          </w:p>
          <w:p w14:paraId="4E1AD058"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Ensuring the project meets specified quality standards.</w:t>
            </w:r>
          </w:p>
          <w:p w14:paraId="75B7A14C"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 xml:space="preserve">Enforcing safety regulations and ensuring the safety of all workers on site.  </w:t>
            </w:r>
          </w:p>
          <w:p w14:paraId="20B3DEF1"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Procuring and efficiently utilizing necessary materials and equipment.</w:t>
            </w:r>
          </w:p>
          <w:p w14:paraId="2F7C809E"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Creating and implementing a work schedule to ensure the project is completed on time.</w:t>
            </w:r>
          </w:p>
          <w:p w14:paraId="565F08A9"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 xml:space="preserve">Maintaining communication and coordination with engineers, architects, subcontractors, and other stakeholders. </w:t>
            </w:r>
          </w:p>
          <w:p w14:paraId="16DC1E61"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Quickly and effectively resolving issues that arise on site.</w:t>
            </w:r>
          </w:p>
          <w:p w14:paraId="158620B2"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contextualSpacing/>
              <w:jc w:val="left"/>
              <w:rPr>
                <w:rFonts w:eastAsia="Aptos" w:cs="Aptos"/>
                <w:color w:val="000000" w:themeColor="text1"/>
                <w:sz w:val="18"/>
                <w:szCs w:val="18"/>
                <w:lang w:val="tr-TR"/>
              </w:rPr>
            </w:pPr>
            <w:r w:rsidRPr="00175D8B">
              <w:rPr>
                <w:rFonts w:eastAsia="Aptos" w:cs="Aptos"/>
                <w:color w:val="000000" w:themeColor="text1"/>
                <w:sz w:val="18"/>
                <w:szCs w:val="18"/>
              </w:rPr>
              <w:t>Preparing regular progress reports and presenting them to upper management</w:t>
            </w:r>
          </w:p>
        </w:tc>
      </w:tr>
      <w:tr w:rsidR="00681F8D" w:rsidRPr="00175D8B" w14:paraId="665BE29B" w14:textId="77777777" w:rsidTr="007D0884">
        <w:trPr>
          <w:trHeight w:val="300"/>
          <w:jc w:val="center"/>
        </w:trPr>
        <w:tc>
          <w:tcPr>
            <w:tcW w:w="2025" w:type="dxa"/>
            <w:shd w:val="clear" w:color="auto" w:fill="F2F2F2" w:themeFill="background1" w:themeFillShade="F2"/>
            <w:tcMar>
              <w:left w:w="105" w:type="dxa"/>
              <w:right w:w="105" w:type="dxa"/>
            </w:tcMar>
          </w:tcPr>
          <w:p w14:paraId="1BE2BE83" w14:textId="77777777" w:rsidR="00681F8D" w:rsidRPr="00175D8B" w:rsidRDefault="00681F8D" w:rsidP="00681F8D">
            <w:pPr>
              <w:spacing w:before="120" w:afterLines="120" w:after="288" w:line="240" w:lineRule="auto"/>
              <w:rPr>
                <w:rFonts w:eastAsia="Calibri" w:cs="Calibri"/>
                <w:color w:val="000000" w:themeColor="text1"/>
                <w:sz w:val="20"/>
                <w:szCs w:val="20"/>
              </w:rPr>
            </w:pPr>
            <w:r w:rsidRPr="00175D8B">
              <w:rPr>
                <w:rFonts w:eastAsia="Calibri" w:cs="Calibri"/>
                <w:color w:val="000000" w:themeColor="text1"/>
                <w:sz w:val="20"/>
                <w:szCs w:val="20"/>
              </w:rPr>
              <w:t>PMU</w:t>
            </w:r>
          </w:p>
        </w:tc>
        <w:tc>
          <w:tcPr>
            <w:tcW w:w="11859" w:type="dxa"/>
            <w:shd w:val="clear" w:color="auto" w:fill="F2F2F2" w:themeFill="background1" w:themeFillShade="F2"/>
            <w:tcMar>
              <w:left w:w="105" w:type="dxa"/>
              <w:right w:w="105" w:type="dxa"/>
            </w:tcMar>
          </w:tcPr>
          <w:p w14:paraId="7BB989EE" w14:textId="034F3C08" w:rsidR="00851C18" w:rsidRPr="00D8459F"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Ensuring the recruitment of a total of eleven (</w:t>
            </w:r>
            <w:r w:rsidR="002E501F">
              <w:rPr>
                <w:rFonts w:eastAsia="Aptos" w:cs="Aptos"/>
                <w:color w:val="000000" w:themeColor="text1"/>
                <w:sz w:val="18"/>
                <w:szCs w:val="18"/>
              </w:rPr>
              <w:t>11</w:t>
            </w:r>
            <w:r w:rsidRPr="00175D8B">
              <w:rPr>
                <w:rFonts w:eastAsia="Aptos" w:cs="Aptos"/>
                <w:color w:val="000000" w:themeColor="text1"/>
                <w:sz w:val="18"/>
                <w:szCs w:val="18"/>
              </w:rPr>
              <w:t>) individual experts, including three (</w:t>
            </w:r>
            <w:r w:rsidR="00C52F93">
              <w:rPr>
                <w:rFonts w:eastAsia="Aptos" w:cs="Aptos"/>
                <w:color w:val="000000" w:themeColor="text1"/>
                <w:sz w:val="18"/>
                <w:szCs w:val="18"/>
              </w:rPr>
              <w:t>3</w:t>
            </w:r>
            <w:r w:rsidRPr="00175D8B">
              <w:rPr>
                <w:rFonts w:eastAsia="Aptos" w:cs="Aptos"/>
                <w:color w:val="000000" w:themeColor="text1"/>
                <w:sz w:val="18"/>
                <w:szCs w:val="18"/>
              </w:rPr>
              <w:t>) experts for the head office and eight (</w:t>
            </w:r>
            <w:r w:rsidR="00C52F93">
              <w:rPr>
                <w:rFonts w:eastAsia="Aptos" w:cs="Aptos"/>
                <w:color w:val="000000" w:themeColor="text1"/>
                <w:sz w:val="18"/>
                <w:szCs w:val="18"/>
              </w:rPr>
              <w:t>8</w:t>
            </w:r>
            <w:r w:rsidRPr="00175D8B">
              <w:rPr>
                <w:rFonts w:eastAsia="Aptos" w:cs="Aptos"/>
                <w:color w:val="000000" w:themeColor="text1"/>
                <w:sz w:val="18"/>
                <w:szCs w:val="18"/>
              </w:rPr>
              <w:t xml:space="preserve">) experts (three experts for each province) as defined in the Chapter 6 Sub-section 6.1.2 of the ESMF. </w:t>
            </w:r>
          </w:p>
          <w:p w14:paraId="64B36BB3" w14:textId="5659CFB5"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 xml:space="preserve">Following the progress of the Project and reporting it as described in </w:t>
            </w:r>
            <w:r w:rsidR="004E3228" w:rsidRPr="004E3228">
              <w:rPr>
                <w:rFonts w:eastAsia="Aptos" w:cs="Aptos"/>
                <w:color w:val="000000" w:themeColor="text1"/>
                <w:sz w:val="18"/>
                <w:szCs w:val="18"/>
              </w:rPr>
              <w:fldChar w:fldCharType="begin"/>
            </w:r>
            <w:r w:rsidR="004E3228" w:rsidRPr="004E3228">
              <w:rPr>
                <w:rFonts w:eastAsia="Aptos" w:cs="Aptos"/>
                <w:color w:val="000000" w:themeColor="text1"/>
                <w:sz w:val="18"/>
                <w:szCs w:val="18"/>
              </w:rPr>
              <w:instrText xml:space="preserve"> REF _Ref216104279 \h  \* MERGEFORMAT </w:instrText>
            </w:r>
            <w:r w:rsidR="004E3228" w:rsidRPr="004E3228">
              <w:rPr>
                <w:rFonts w:eastAsia="Aptos" w:cs="Aptos"/>
                <w:color w:val="000000" w:themeColor="text1"/>
                <w:sz w:val="18"/>
                <w:szCs w:val="18"/>
              </w:rPr>
            </w:r>
            <w:r w:rsidR="004E3228" w:rsidRPr="004E3228">
              <w:rPr>
                <w:rFonts w:eastAsia="Aptos" w:cs="Aptos"/>
                <w:color w:val="000000" w:themeColor="text1"/>
                <w:sz w:val="18"/>
                <w:szCs w:val="18"/>
              </w:rPr>
              <w:fldChar w:fldCharType="separate"/>
            </w:r>
            <w:r w:rsidR="004E3228" w:rsidRPr="004E3228">
              <w:rPr>
                <w:sz w:val="18"/>
                <w:szCs w:val="18"/>
              </w:rPr>
              <w:t xml:space="preserve">Table </w:t>
            </w:r>
            <w:r w:rsidR="004E3228" w:rsidRPr="004E3228">
              <w:rPr>
                <w:noProof/>
                <w:sz w:val="18"/>
                <w:szCs w:val="18"/>
              </w:rPr>
              <w:t>33</w:t>
            </w:r>
            <w:r w:rsidR="004E3228" w:rsidRPr="004E3228">
              <w:rPr>
                <w:rFonts w:eastAsia="Aptos" w:cs="Aptos"/>
                <w:color w:val="000000" w:themeColor="text1"/>
                <w:sz w:val="18"/>
                <w:szCs w:val="18"/>
              </w:rPr>
              <w:fldChar w:fldCharType="end"/>
            </w:r>
            <w:r w:rsidRPr="004E3228">
              <w:rPr>
                <w:rFonts w:eastAsia="Aptos" w:cs="Aptos"/>
                <w:color w:val="000000" w:themeColor="text1"/>
                <w:sz w:val="18"/>
                <w:szCs w:val="18"/>
              </w:rPr>
              <w:t xml:space="preserve">. </w:t>
            </w:r>
          </w:p>
          <w:p w14:paraId="52379023"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lastRenderedPageBreak/>
              <w:t>Preparing province-based ESMPs.</w:t>
            </w:r>
          </w:p>
          <w:p w14:paraId="38A16DF3"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 xml:space="preserve">Preparing neighborhood-level ESIAs, if needed. </w:t>
            </w:r>
          </w:p>
          <w:p w14:paraId="2403D7F3"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 xml:space="preserve">Taking part in the evaluation of the proposed sub-project within the scope of Non-Eligible Projects. </w:t>
            </w:r>
          </w:p>
          <w:p w14:paraId="4280427E"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Managing Grievance Mechanism.</w:t>
            </w:r>
          </w:p>
          <w:p w14:paraId="4D83C4F9"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Notifying the WB of accidents and incidents within 48 hours,</w:t>
            </w:r>
            <w:r w:rsidRPr="00175D8B">
              <w:rPr>
                <w:rFonts w:eastAsia="Aptos" w:cs="Aptos"/>
                <w:strike/>
                <w:color w:val="0078D4"/>
                <w:sz w:val="18"/>
                <w:szCs w:val="18"/>
              </w:rPr>
              <w:t xml:space="preserve"> </w:t>
            </w:r>
            <w:r w:rsidRPr="00175D8B">
              <w:rPr>
                <w:rFonts w:eastAsia="Aptos" w:cs="Aptos"/>
                <w:color w:val="000000" w:themeColor="text1"/>
                <w:sz w:val="18"/>
                <w:szCs w:val="18"/>
              </w:rPr>
              <w:t>and sending the incident investigation report to the WB within 30 working days.</w:t>
            </w:r>
          </w:p>
          <w:p w14:paraId="53285F32"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 xml:space="preserve">Evaluating and approving the Environmental and Social Screening studies carried out on the site by the PMU individual specialists in the provinces. </w:t>
            </w:r>
          </w:p>
          <w:p w14:paraId="4ED8D9BB"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Providing the results of the first five screening studies to the WB just for information.</w:t>
            </w:r>
          </w:p>
          <w:p w14:paraId="7025A93B"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Performing the monitoring and reporting activities by working in coordination with the PMU individual specialists in the provinces.</w:t>
            </w:r>
          </w:p>
          <w:p w14:paraId="6FDA3584" w14:textId="63AF2899"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 xml:space="preserve">Monitoring the execution of the contractors' activities within the scope of province-based ESMPs, </w:t>
            </w:r>
            <w:r w:rsidR="00761B9B" w:rsidRPr="00175D8B">
              <w:rPr>
                <w:rFonts w:eastAsia="Aptos" w:cs="Aptos"/>
                <w:color w:val="000000" w:themeColor="text1"/>
                <w:sz w:val="18"/>
                <w:szCs w:val="18"/>
              </w:rPr>
              <w:t>C-</w:t>
            </w:r>
            <w:r w:rsidRPr="00175D8B">
              <w:rPr>
                <w:rFonts w:eastAsia="Aptos" w:cs="Aptos"/>
                <w:color w:val="000000" w:themeColor="text1"/>
                <w:sz w:val="18"/>
                <w:szCs w:val="18"/>
              </w:rPr>
              <w:t>ESMP Checklists, neighborhood-level ESIAs (if needed), and relevant sub-plans, by working in coordination with the PMU individual specialists in the provinces.</w:t>
            </w:r>
          </w:p>
          <w:p w14:paraId="2143F72D"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 xml:space="preserve">Review and approval of the ESMPs, and </w:t>
            </w:r>
          </w:p>
          <w:p w14:paraId="476E3451"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Providing the detailed feedback to the WB when requested and required.</w:t>
            </w:r>
          </w:p>
          <w:p w14:paraId="69D9DF64"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Managing contractors and overseeing contract implementation and provide written reports to that effect.</w:t>
            </w:r>
          </w:p>
        </w:tc>
      </w:tr>
      <w:tr w:rsidR="00681F8D" w:rsidRPr="00175D8B" w14:paraId="481CFDFA" w14:textId="77777777" w:rsidTr="007D0884">
        <w:trPr>
          <w:trHeight w:val="300"/>
          <w:jc w:val="center"/>
        </w:trPr>
        <w:tc>
          <w:tcPr>
            <w:tcW w:w="2025" w:type="dxa"/>
            <w:shd w:val="clear" w:color="auto" w:fill="F2F2F2" w:themeFill="background1" w:themeFillShade="F2"/>
            <w:tcMar>
              <w:left w:w="105" w:type="dxa"/>
              <w:right w:w="105" w:type="dxa"/>
            </w:tcMar>
          </w:tcPr>
          <w:p w14:paraId="6E1147FF" w14:textId="77777777" w:rsidR="00681F8D" w:rsidRPr="00175D8B" w:rsidRDefault="00681F8D" w:rsidP="00681F8D">
            <w:pPr>
              <w:spacing w:before="120" w:afterLines="120" w:after="288"/>
              <w:rPr>
                <w:rFonts w:eastAsia="Aptos" w:cs="Aptos"/>
                <w:color w:val="000000" w:themeColor="text1"/>
                <w:sz w:val="20"/>
                <w:szCs w:val="20"/>
                <w:lang w:val="tr-TR"/>
              </w:rPr>
            </w:pPr>
            <w:r w:rsidRPr="00175D8B">
              <w:rPr>
                <w:rFonts w:eastAsia="Aptos" w:cs="Aptos"/>
                <w:color w:val="000000" w:themeColor="text1"/>
                <w:sz w:val="18"/>
                <w:szCs w:val="18"/>
              </w:rPr>
              <w:lastRenderedPageBreak/>
              <w:t>PMU Individual Social Specialists in Provinces</w:t>
            </w:r>
          </w:p>
        </w:tc>
        <w:tc>
          <w:tcPr>
            <w:tcW w:w="11859" w:type="dxa"/>
            <w:shd w:val="clear" w:color="auto" w:fill="F2F2F2" w:themeFill="background1" w:themeFillShade="F2"/>
            <w:tcMar>
              <w:left w:w="105" w:type="dxa"/>
              <w:right w:w="105" w:type="dxa"/>
            </w:tcMar>
          </w:tcPr>
          <w:p w14:paraId="2803ECDC"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18"/>
              <w:contextualSpacing/>
              <w:rPr>
                <w:rFonts w:eastAsia="Aptos" w:cs="Aptos"/>
                <w:color w:val="000000" w:themeColor="text1"/>
                <w:sz w:val="18"/>
                <w:szCs w:val="18"/>
                <w:lang w:val="tr-TR"/>
              </w:rPr>
            </w:pPr>
            <w:r w:rsidRPr="00175D8B">
              <w:rPr>
                <w:rFonts w:eastAsia="Aptos" w:cs="Aptos"/>
                <w:color w:val="000000" w:themeColor="text1"/>
                <w:sz w:val="18"/>
                <w:szCs w:val="18"/>
              </w:rPr>
              <w:t>Ensures that the contractor informs the affected communities about the Project construction activities and other Project issues (Grievance mechanism, trainings etc.)</w:t>
            </w:r>
          </w:p>
          <w:p w14:paraId="39A28B10" w14:textId="1DC2A201" w:rsidR="00681F8D" w:rsidRPr="00175D8B" w:rsidRDefault="00681F8D">
            <w:pPr>
              <w:keepLines/>
              <w:numPr>
                <w:ilvl w:val="0"/>
                <w:numId w:val="31"/>
              </w:numPr>
              <w:pBdr>
                <w:top w:val="nil"/>
                <w:left w:val="nil"/>
                <w:bottom w:val="nil"/>
                <w:right w:val="nil"/>
                <w:between w:val="nil"/>
              </w:pBdr>
              <w:spacing w:before="120" w:afterLines="120" w:after="288" w:line="240" w:lineRule="auto"/>
              <w:ind w:left="418"/>
              <w:contextualSpacing/>
              <w:rPr>
                <w:rFonts w:eastAsia="Aptos" w:cs="Aptos"/>
                <w:color w:val="000000" w:themeColor="text1"/>
                <w:sz w:val="18"/>
                <w:szCs w:val="18"/>
                <w:lang w:val="tr-TR"/>
              </w:rPr>
            </w:pPr>
            <w:r w:rsidRPr="00175D8B">
              <w:rPr>
                <w:rFonts w:eastAsia="Aptos" w:cs="Aptos"/>
                <w:color w:val="000000" w:themeColor="text1"/>
                <w:sz w:val="18"/>
                <w:szCs w:val="18"/>
              </w:rPr>
              <w:t xml:space="preserve">Implementing SEP and Grievance Mechanism at provinces on sub-project basis. Receives and records applications/complaints/ requests from rights holders within the scope of the Grievance Mechanism related to social issues. Provide Daily reports on issues related to the SEP and the community. </w:t>
            </w:r>
          </w:p>
          <w:p w14:paraId="4ECDB650" w14:textId="1CEFDD45" w:rsidR="00CE53E9" w:rsidRPr="00175D8B" w:rsidRDefault="00CE53E9">
            <w:pPr>
              <w:keepLines/>
              <w:numPr>
                <w:ilvl w:val="0"/>
                <w:numId w:val="31"/>
              </w:numPr>
              <w:pBdr>
                <w:top w:val="nil"/>
                <w:left w:val="nil"/>
                <w:bottom w:val="nil"/>
                <w:right w:val="nil"/>
                <w:between w:val="nil"/>
              </w:pBdr>
              <w:spacing w:before="120" w:afterLines="120" w:after="288" w:line="240" w:lineRule="auto"/>
              <w:ind w:left="418"/>
              <w:contextualSpacing/>
              <w:rPr>
                <w:rFonts w:eastAsia="Aptos" w:cs="Aptos"/>
                <w:color w:val="000000" w:themeColor="text1"/>
                <w:sz w:val="18"/>
                <w:szCs w:val="18"/>
                <w:lang w:val="tr-TR"/>
              </w:rPr>
            </w:pPr>
            <w:r w:rsidRPr="00175D8B">
              <w:rPr>
                <w:rFonts w:eastAsia="Aptos" w:cs="Aptos"/>
                <w:color w:val="000000" w:themeColor="text1"/>
                <w:sz w:val="18"/>
                <w:szCs w:val="18"/>
              </w:rPr>
              <w:t>To provide guidance for the preparation and implementation processes of the C-ESMP Checklists to be developed by subproject contractors, support the assurance of the quality of these documents, and verify the competency of the contractor’s social liaison personnel responsible for the continuous implementation of the C-ESMPs at the subproject site.</w:t>
            </w:r>
          </w:p>
          <w:p w14:paraId="2AB4EDEB"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18"/>
              <w:contextualSpacing/>
              <w:rPr>
                <w:rFonts w:eastAsia="Aptos" w:cs="Aptos"/>
                <w:color w:val="000000" w:themeColor="text1"/>
                <w:sz w:val="18"/>
                <w:szCs w:val="18"/>
                <w:lang w:val="tr-TR"/>
              </w:rPr>
            </w:pPr>
            <w:r w:rsidRPr="00175D8B">
              <w:rPr>
                <w:rFonts w:eastAsia="Aptos" w:cs="Aptos"/>
                <w:color w:val="000000" w:themeColor="text1"/>
                <w:sz w:val="18"/>
                <w:szCs w:val="18"/>
              </w:rPr>
              <w:t xml:space="preserve">Serving as primary point of contact for affected communities and other stakeholders. </w:t>
            </w:r>
          </w:p>
          <w:p w14:paraId="7A18111B"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18"/>
              <w:contextualSpacing/>
              <w:rPr>
                <w:rFonts w:eastAsia="Aptos" w:cs="Aptos"/>
                <w:color w:val="000000" w:themeColor="text1"/>
                <w:sz w:val="18"/>
                <w:szCs w:val="18"/>
                <w:lang w:val="tr-TR"/>
              </w:rPr>
            </w:pPr>
            <w:r w:rsidRPr="00175D8B">
              <w:rPr>
                <w:rFonts w:eastAsia="Aptos" w:cs="Aptos"/>
                <w:color w:val="000000" w:themeColor="text1"/>
                <w:sz w:val="18"/>
                <w:szCs w:val="18"/>
              </w:rPr>
              <w:t>Maintaining records and reporting of complaints and participation activities.</w:t>
            </w:r>
          </w:p>
          <w:p w14:paraId="0855369E" w14:textId="3B41F456" w:rsidR="00681F8D" w:rsidRPr="00175D8B" w:rsidRDefault="00681F8D">
            <w:pPr>
              <w:keepLines/>
              <w:numPr>
                <w:ilvl w:val="0"/>
                <w:numId w:val="31"/>
              </w:numPr>
              <w:pBdr>
                <w:top w:val="nil"/>
                <w:left w:val="nil"/>
                <w:bottom w:val="nil"/>
                <w:right w:val="nil"/>
                <w:between w:val="nil"/>
              </w:pBdr>
              <w:spacing w:before="120" w:afterLines="120" w:after="288" w:line="240" w:lineRule="auto"/>
              <w:ind w:left="418"/>
              <w:contextualSpacing/>
              <w:rPr>
                <w:rFonts w:eastAsia="Aptos" w:cs="Aptos"/>
                <w:color w:val="000000" w:themeColor="text1"/>
                <w:sz w:val="18"/>
                <w:szCs w:val="18"/>
                <w:lang w:val="tr-TR"/>
              </w:rPr>
            </w:pPr>
            <w:r w:rsidRPr="00175D8B">
              <w:rPr>
                <w:rFonts w:eastAsia="Aptos" w:cs="Aptos"/>
                <w:color w:val="000000" w:themeColor="text1"/>
                <w:sz w:val="18"/>
                <w:szCs w:val="18"/>
              </w:rPr>
              <w:t>Performing E&amp;S Audits</w:t>
            </w:r>
            <w:r w:rsidR="00761B9B" w:rsidRPr="00175D8B">
              <w:rPr>
                <w:rFonts w:eastAsia="Aptos" w:cs="Aptos"/>
                <w:color w:val="000000" w:themeColor="text1"/>
                <w:sz w:val="18"/>
                <w:szCs w:val="18"/>
              </w:rPr>
              <w:t xml:space="preserve"> (see Annex </w:t>
            </w:r>
            <w:r w:rsidR="00E02444">
              <w:rPr>
                <w:rFonts w:eastAsia="Aptos" w:cs="Aptos"/>
                <w:color w:val="000000" w:themeColor="text1"/>
                <w:sz w:val="18"/>
                <w:szCs w:val="18"/>
              </w:rPr>
              <w:t>15</w:t>
            </w:r>
            <w:r w:rsidR="00E02444" w:rsidRPr="00175D8B">
              <w:rPr>
                <w:rFonts w:eastAsia="Aptos" w:cs="Aptos"/>
                <w:color w:val="000000" w:themeColor="text1"/>
                <w:sz w:val="18"/>
                <w:szCs w:val="18"/>
              </w:rPr>
              <w:t xml:space="preserve"> </w:t>
            </w:r>
            <w:r w:rsidR="00761B9B" w:rsidRPr="00175D8B">
              <w:rPr>
                <w:rFonts w:eastAsia="Aptos" w:cs="Aptos"/>
                <w:color w:val="000000" w:themeColor="text1"/>
                <w:sz w:val="18"/>
                <w:szCs w:val="18"/>
              </w:rPr>
              <w:t xml:space="preserve">for the template) </w:t>
            </w:r>
            <w:r w:rsidRPr="00175D8B">
              <w:rPr>
                <w:rFonts w:eastAsia="Aptos" w:cs="Aptos"/>
                <w:color w:val="000000" w:themeColor="text1"/>
                <w:sz w:val="18"/>
                <w:szCs w:val="18"/>
              </w:rPr>
              <w:t>for Type-III sub-projects and following implementation of ESAPs to be prepared for Type-III sub-projects in accordance with the outcomes of the audit, if needed.</w:t>
            </w:r>
          </w:p>
        </w:tc>
      </w:tr>
      <w:tr w:rsidR="00681F8D" w:rsidRPr="00175D8B" w14:paraId="68EE3259" w14:textId="77777777" w:rsidTr="007D0884">
        <w:trPr>
          <w:trHeight w:val="300"/>
          <w:jc w:val="center"/>
        </w:trPr>
        <w:tc>
          <w:tcPr>
            <w:tcW w:w="2025" w:type="dxa"/>
            <w:shd w:val="clear" w:color="auto" w:fill="F2F2F2" w:themeFill="background1" w:themeFillShade="F2"/>
            <w:tcMar>
              <w:left w:w="105" w:type="dxa"/>
              <w:right w:w="105" w:type="dxa"/>
            </w:tcMar>
          </w:tcPr>
          <w:p w14:paraId="1B482A9A" w14:textId="77777777" w:rsidR="00681F8D" w:rsidRPr="00175D8B" w:rsidRDefault="00681F8D" w:rsidP="00681F8D">
            <w:pPr>
              <w:spacing w:before="120" w:afterLines="120" w:after="288"/>
              <w:rPr>
                <w:rFonts w:eastAsia="Aptos" w:cs="Aptos"/>
                <w:color w:val="000000" w:themeColor="text1"/>
                <w:sz w:val="18"/>
                <w:szCs w:val="18"/>
              </w:rPr>
            </w:pPr>
            <w:r w:rsidRPr="00175D8B">
              <w:rPr>
                <w:rFonts w:eastAsia="Aptos" w:cs="Aptos"/>
                <w:color w:val="000000" w:themeColor="text1"/>
                <w:sz w:val="18"/>
                <w:szCs w:val="18"/>
              </w:rPr>
              <w:t>PMU Individual Occupational Health and Safety Specialists in Provinces</w:t>
            </w:r>
          </w:p>
          <w:p w14:paraId="3A971410" w14:textId="77777777" w:rsidR="00681F8D" w:rsidRPr="00175D8B" w:rsidRDefault="00681F8D" w:rsidP="00681F8D">
            <w:pPr>
              <w:spacing w:before="120" w:afterLines="120" w:after="288"/>
              <w:rPr>
                <w:rFonts w:eastAsia="Aptos" w:cs="Aptos"/>
                <w:color w:val="000000" w:themeColor="text1"/>
                <w:sz w:val="18"/>
                <w:szCs w:val="18"/>
              </w:rPr>
            </w:pPr>
          </w:p>
        </w:tc>
        <w:tc>
          <w:tcPr>
            <w:tcW w:w="11859" w:type="dxa"/>
            <w:shd w:val="clear" w:color="auto" w:fill="F2F2F2" w:themeFill="background1" w:themeFillShade="F2"/>
            <w:tcMar>
              <w:left w:w="105" w:type="dxa"/>
              <w:right w:w="105" w:type="dxa"/>
            </w:tcMar>
          </w:tcPr>
          <w:p w14:paraId="50E9738B"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lastRenderedPageBreak/>
              <w:t>Guiding and supporting the contractor and the contractor's OHS liaison officer during the preparation of ESMP Checklists</w:t>
            </w:r>
          </w:p>
          <w:p w14:paraId="27026B26"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Assessing the documents related to issues such as permits to be obtained, protocols to be made, personnel to be assigned within the scope of OHS legislation.</w:t>
            </w:r>
          </w:p>
          <w:p w14:paraId="22D54781"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Supervising the compliance of safety measures taken in the workplace with Occupational Health and Safety legislation and general occupational safety rules</w:t>
            </w:r>
          </w:p>
          <w:p w14:paraId="6B24EA44"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Examination of records regarding Occupational Health and Safety Training provided to personnel</w:t>
            </w:r>
          </w:p>
          <w:p w14:paraId="023C1AB5"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Supervision of periodic maintenance, control and measurements to be carried out in accordance with Occupational Health and Safety legislation in construction</w:t>
            </w:r>
          </w:p>
          <w:p w14:paraId="56D949B9" w14:textId="77777777" w:rsidR="00681F8D" w:rsidRPr="00175D8B" w:rsidRDefault="00681F8D">
            <w:pPr>
              <w:keepLines/>
              <w:numPr>
                <w:ilvl w:val="0"/>
                <w:numId w:val="31"/>
              </w:numPr>
              <w:pBdr>
                <w:top w:val="nil"/>
                <w:left w:val="nil"/>
                <w:bottom w:val="nil"/>
                <w:right w:val="nil"/>
                <w:between w:val="nil"/>
              </w:pBdr>
              <w:spacing w:before="120" w:afterLines="120" w:after="288" w:line="240" w:lineRule="auto"/>
              <w:ind w:left="426" w:hanging="284"/>
              <w:contextualSpacing/>
              <w:jc w:val="left"/>
              <w:rPr>
                <w:rFonts w:eastAsia="Aptos" w:cs="Aptos"/>
                <w:color w:val="000000" w:themeColor="text1"/>
                <w:sz w:val="18"/>
                <w:szCs w:val="18"/>
                <w:lang w:val="tr-TR"/>
              </w:rPr>
            </w:pPr>
            <w:r w:rsidRPr="00175D8B">
              <w:rPr>
                <w:rFonts w:eastAsia="Aptos" w:cs="Aptos"/>
                <w:color w:val="000000" w:themeColor="text1"/>
                <w:sz w:val="18"/>
                <w:szCs w:val="18"/>
              </w:rPr>
              <w:t>During the project reporting all accidents, incidents and near-miss events to the PMU.</w:t>
            </w:r>
          </w:p>
        </w:tc>
      </w:tr>
      <w:tr w:rsidR="00681F8D" w:rsidRPr="00175D8B" w14:paraId="073FE749" w14:textId="77777777" w:rsidTr="007D0884">
        <w:trPr>
          <w:trHeight w:val="300"/>
          <w:jc w:val="center"/>
        </w:trPr>
        <w:tc>
          <w:tcPr>
            <w:tcW w:w="2025" w:type="dxa"/>
            <w:shd w:val="clear" w:color="auto" w:fill="F2F2F2" w:themeFill="background1" w:themeFillShade="F2"/>
            <w:tcMar>
              <w:left w:w="105" w:type="dxa"/>
              <w:right w:w="105" w:type="dxa"/>
            </w:tcMar>
          </w:tcPr>
          <w:p w14:paraId="150E5FA5" w14:textId="77777777" w:rsidR="00681F8D" w:rsidRPr="00175D8B" w:rsidRDefault="00681F8D" w:rsidP="00681F8D">
            <w:pPr>
              <w:spacing w:before="120" w:afterLines="120" w:after="288"/>
              <w:rPr>
                <w:rFonts w:eastAsia="Aptos" w:cs="Aptos"/>
                <w:color w:val="000000" w:themeColor="text1"/>
                <w:sz w:val="20"/>
                <w:szCs w:val="20"/>
                <w:lang w:val="tr-TR"/>
              </w:rPr>
            </w:pPr>
            <w:r w:rsidRPr="00175D8B">
              <w:rPr>
                <w:rFonts w:eastAsia="Aptos" w:cs="Aptos"/>
                <w:color w:val="000000" w:themeColor="text1"/>
                <w:sz w:val="18"/>
                <w:szCs w:val="18"/>
              </w:rPr>
              <w:t>PMU Individual Environment Specialist in Provinces</w:t>
            </w:r>
          </w:p>
          <w:p w14:paraId="6377F237" w14:textId="77777777" w:rsidR="00681F8D" w:rsidRPr="00175D8B" w:rsidRDefault="00681F8D" w:rsidP="00681F8D">
            <w:pPr>
              <w:spacing w:before="120" w:afterLines="120" w:after="288" w:line="240" w:lineRule="auto"/>
              <w:rPr>
                <w:rFonts w:eastAsia="Calibri" w:cs="Calibri"/>
                <w:color w:val="000000" w:themeColor="text1"/>
                <w:sz w:val="20"/>
                <w:szCs w:val="20"/>
              </w:rPr>
            </w:pPr>
          </w:p>
        </w:tc>
        <w:tc>
          <w:tcPr>
            <w:tcW w:w="11859" w:type="dxa"/>
            <w:shd w:val="clear" w:color="auto" w:fill="F2F2F2" w:themeFill="background1" w:themeFillShade="F2"/>
            <w:tcMar>
              <w:left w:w="105" w:type="dxa"/>
              <w:right w:w="105" w:type="dxa"/>
            </w:tcMar>
          </w:tcPr>
          <w:p w14:paraId="29FD219F" w14:textId="77777777" w:rsidR="00761B9B" w:rsidRPr="00175D8B" w:rsidRDefault="00761B9B">
            <w:pPr>
              <w:pStyle w:val="ListeParagraf"/>
              <w:numPr>
                <w:ilvl w:val="0"/>
                <w:numId w:val="148"/>
              </w:numPr>
              <w:rPr>
                <w:rFonts w:eastAsia="Aptos" w:cs="Aptos"/>
                <w:color w:val="000000" w:themeColor="text1"/>
                <w:sz w:val="18"/>
                <w:szCs w:val="18"/>
              </w:rPr>
            </w:pPr>
            <w:r w:rsidRPr="00175D8B">
              <w:rPr>
                <w:rFonts w:eastAsia="Aptos" w:cs="Aptos"/>
                <w:color w:val="000000" w:themeColor="text1"/>
                <w:sz w:val="18"/>
                <w:szCs w:val="18"/>
              </w:rPr>
              <w:t>Guiding and supporting the preparation and implementation of the C-ESMP Checklists to be developed by sub-project contractors, ensuring the quality of these documents, and verifying the adequacy of the contractors’ social focal point personnel, who will be responsible for the continuous implementation of the C-ESMP Checklists at the sub-project site.</w:t>
            </w:r>
          </w:p>
          <w:p w14:paraId="226CECCD" w14:textId="77777777" w:rsidR="00761B9B" w:rsidRPr="00175D8B" w:rsidRDefault="00681F8D">
            <w:pPr>
              <w:pStyle w:val="ListeParagraf"/>
              <w:numPr>
                <w:ilvl w:val="0"/>
                <w:numId w:val="148"/>
              </w:numPr>
              <w:rPr>
                <w:rFonts w:eastAsia="Aptos" w:cs="Aptos"/>
                <w:color w:val="000000" w:themeColor="text1"/>
                <w:sz w:val="18"/>
                <w:szCs w:val="18"/>
              </w:rPr>
            </w:pPr>
            <w:r w:rsidRPr="00175D8B">
              <w:rPr>
                <w:rFonts w:eastAsia="Aptos" w:cs="Aptos"/>
                <w:color w:val="000000" w:themeColor="text1"/>
                <w:sz w:val="18"/>
                <w:szCs w:val="18"/>
              </w:rPr>
              <w:t>Ensures that the contractor informs the affected communities about the Project construction activities and other Project issues (Grievance mechanism, trainings etc.)</w:t>
            </w:r>
          </w:p>
          <w:p w14:paraId="0E260966" w14:textId="77777777" w:rsidR="00761B9B" w:rsidRPr="00175D8B" w:rsidRDefault="00681F8D">
            <w:pPr>
              <w:pStyle w:val="ListeParagraf"/>
              <w:numPr>
                <w:ilvl w:val="0"/>
                <w:numId w:val="148"/>
              </w:numPr>
              <w:rPr>
                <w:rFonts w:eastAsia="Aptos" w:cs="Aptos"/>
                <w:color w:val="000000" w:themeColor="text1"/>
                <w:sz w:val="18"/>
                <w:szCs w:val="18"/>
              </w:rPr>
            </w:pPr>
            <w:r w:rsidRPr="00175D8B">
              <w:rPr>
                <w:rFonts w:eastAsia="Aptos" w:cs="Aptos"/>
                <w:color w:val="000000" w:themeColor="text1"/>
                <w:sz w:val="18"/>
                <w:szCs w:val="18"/>
              </w:rPr>
              <w:t xml:space="preserve">Serving as primary point of contact for affected communities and other stakeholders. </w:t>
            </w:r>
          </w:p>
          <w:p w14:paraId="555A38CD" w14:textId="77777777" w:rsidR="00761B9B" w:rsidRPr="00175D8B" w:rsidRDefault="00681F8D">
            <w:pPr>
              <w:pStyle w:val="ListeParagraf"/>
              <w:numPr>
                <w:ilvl w:val="0"/>
                <w:numId w:val="148"/>
              </w:numPr>
              <w:rPr>
                <w:rFonts w:eastAsia="Aptos" w:cs="Aptos"/>
                <w:color w:val="000000" w:themeColor="text1"/>
                <w:sz w:val="18"/>
                <w:szCs w:val="18"/>
              </w:rPr>
            </w:pPr>
            <w:r w:rsidRPr="00175D8B">
              <w:rPr>
                <w:rFonts w:eastAsia="Aptos" w:cs="Aptos"/>
                <w:color w:val="000000" w:themeColor="text1"/>
                <w:sz w:val="18"/>
                <w:szCs w:val="18"/>
              </w:rPr>
              <w:t>Maintaining records and reporting of complaints and participation activities.</w:t>
            </w:r>
          </w:p>
          <w:p w14:paraId="3B0FEC0D" w14:textId="77777777" w:rsidR="00761B9B" w:rsidRPr="00175D8B" w:rsidRDefault="00681F8D">
            <w:pPr>
              <w:pStyle w:val="ListeParagraf"/>
              <w:numPr>
                <w:ilvl w:val="0"/>
                <w:numId w:val="148"/>
              </w:numPr>
              <w:rPr>
                <w:rFonts w:eastAsia="Aptos" w:cs="Aptos"/>
                <w:color w:val="000000" w:themeColor="text1"/>
                <w:sz w:val="18"/>
                <w:szCs w:val="18"/>
              </w:rPr>
            </w:pPr>
            <w:r w:rsidRPr="00175D8B">
              <w:rPr>
                <w:rFonts w:eastAsia="Aptos" w:cs="Aptos"/>
                <w:color w:val="000000" w:themeColor="text1"/>
                <w:sz w:val="18"/>
                <w:szCs w:val="18"/>
              </w:rPr>
              <w:t>Performing E&amp;S Audits for Type-III sub-projects and following implementation of ESAPs to be prepared for Type-III sub-projects in accordance with the outcomes of the audit, if needed.</w:t>
            </w:r>
          </w:p>
          <w:p w14:paraId="060D58BC" w14:textId="77777777" w:rsidR="00761B9B" w:rsidRPr="00175D8B" w:rsidRDefault="00681F8D">
            <w:pPr>
              <w:pStyle w:val="ListeParagraf"/>
              <w:numPr>
                <w:ilvl w:val="0"/>
                <w:numId w:val="148"/>
              </w:numPr>
              <w:rPr>
                <w:rFonts w:eastAsia="Aptos" w:cs="Aptos"/>
                <w:color w:val="000000" w:themeColor="text1"/>
                <w:sz w:val="18"/>
                <w:szCs w:val="18"/>
              </w:rPr>
            </w:pPr>
            <w:r w:rsidRPr="00175D8B">
              <w:rPr>
                <w:rFonts w:eastAsia="Aptos" w:cs="Aptos"/>
                <w:color w:val="000000" w:themeColor="text1"/>
                <w:sz w:val="18"/>
                <w:szCs w:val="18"/>
              </w:rPr>
              <w:t>Ensures that the contractor informs the affected communities about the Project construction activities and other Project issues (Grievance mechanism, trainings etc.)</w:t>
            </w:r>
          </w:p>
          <w:p w14:paraId="563696B1" w14:textId="70158E9F" w:rsidR="00681F8D" w:rsidRPr="00175D8B" w:rsidRDefault="00681F8D">
            <w:pPr>
              <w:pStyle w:val="ListeParagraf"/>
              <w:numPr>
                <w:ilvl w:val="0"/>
                <w:numId w:val="148"/>
              </w:numPr>
              <w:rPr>
                <w:rFonts w:eastAsia="Aptos" w:cs="Aptos"/>
                <w:color w:val="000000" w:themeColor="text1"/>
                <w:sz w:val="18"/>
                <w:szCs w:val="18"/>
              </w:rPr>
            </w:pPr>
            <w:r w:rsidRPr="00175D8B">
              <w:rPr>
                <w:rFonts w:eastAsia="Aptos" w:cs="Aptos"/>
                <w:color w:val="000000" w:themeColor="text1"/>
                <w:sz w:val="18"/>
                <w:szCs w:val="18"/>
              </w:rPr>
              <w:t>Serving as primary point of contact for affected communities and other stakeholders.</w:t>
            </w:r>
          </w:p>
        </w:tc>
      </w:tr>
    </w:tbl>
    <w:p w14:paraId="39988CF9" w14:textId="77777777" w:rsidR="00681F8D" w:rsidRPr="00175D8B" w:rsidRDefault="00681F8D" w:rsidP="00681F8D">
      <w:pPr>
        <w:spacing w:before="120" w:after="0" w:line="278" w:lineRule="auto"/>
        <w:rPr>
          <w:rFonts w:eastAsia="Aptos" w:cs="Aptos"/>
          <w:color w:val="000000" w:themeColor="text1"/>
          <w:szCs w:val="22"/>
        </w:rPr>
        <w:sectPr w:rsidR="00681F8D" w:rsidRPr="00175D8B" w:rsidSect="007D0884">
          <w:pgSz w:w="16838" w:h="11906" w:orient="landscape" w:code="9"/>
          <w:pgMar w:top="1418" w:right="1418" w:bottom="1418" w:left="1418" w:header="709" w:footer="709" w:gutter="0"/>
          <w:cols w:space="708"/>
          <w:docGrid w:linePitch="360"/>
        </w:sectPr>
      </w:pPr>
    </w:p>
    <w:p w14:paraId="31EC9C83" w14:textId="50156274" w:rsidR="00F435C6" w:rsidRPr="00175D8B" w:rsidRDefault="00F435C6" w:rsidP="002550A6">
      <w:pPr>
        <w:pStyle w:val="Balk1"/>
        <w:numPr>
          <w:ilvl w:val="0"/>
          <w:numId w:val="154"/>
        </w:numPr>
        <w:rPr>
          <w:b/>
          <w:sz w:val="28"/>
          <w:szCs w:val="28"/>
        </w:rPr>
      </w:pPr>
      <w:bookmarkStart w:id="327" w:name="_Toc209525747"/>
      <w:bookmarkStart w:id="328" w:name="_Toc209525787"/>
      <w:bookmarkStart w:id="329" w:name="_Toc209527673"/>
      <w:bookmarkStart w:id="330" w:name="_Toc212541891"/>
      <w:bookmarkStart w:id="331" w:name="_Toc212542402"/>
      <w:bookmarkStart w:id="332" w:name="_Toc220672805"/>
      <w:r w:rsidRPr="00175D8B">
        <w:rPr>
          <w:b/>
          <w:sz w:val="28"/>
          <w:szCs w:val="28"/>
        </w:rPr>
        <w:lastRenderedPageBreak/>
        <w:t>STAKEHOLDER ENGAGEMENT</w:t>
      </w:r>
      <w:bookmarkEnd w:id="327"/>
      <w:bookmarkEnd w:id="328"/>
      <w:bookmarkEnd w:id="329"/>
      <w:bookmarkEnd w:id="330"/>
      <w:bookmarkEnd w:id="331"/>
      <w:bookmarkEnd w:id="332"/>
    </w:p>
    <w:p w14:paraId="4ECA4E6F" w14:textId="77777777" w:rsidR="00F435C6" w:rsidRPr="00175D8B" w:rsidRDefault="00F435C6" w:rsidP="002550A6">
      <w:pPr>
        <w:spacing w:before="120" w:after="0"/>
        <w:rPr>
          <w:rFonts w:eastAsia="Aptos" w:cs="Aptos"/>
          <w:color w:val="000000" w:themeColor="text1"/>
          <w:szCs w:val="22"/>
        </w:rPr>
      </w:pPr>
      <w:r w:rsidRPr="00175D8B">
        <w:rPr>
          <w:rFonts w:eastAsia="Aptos" w:cs="Aptos"/>
          <w:color w:val="000000" w:themeColor="text1"/>
          <w:szCs w:val="22"/>
        </w:rPr>
        <w:t>The main objective of the Stakeholder Engagement is to ensure that all relevant stakeholders (individuals, groups and organizations) affected by and/or interested in the Project are involved in the Project activities and the flow of information to and from these stakeholders is continuous throughout the Project. Stakeholder engagement is an important activity for such Projects; because it enables the stakeholders to be informed at every stage of the Project, to express their expectations and concerns, and to establish an open communication channel with the stakeholders in the activities carried out by the investor. The objectives of the stakeholder engagement are generally as follows:</w:t>
      </w:r>
    </w:p>
    <w:p w14:paraId="422FCF51" w14:textId="7F9D7CD9" w:rsidR="00F435C6" w:rsidRPr="00175D8B" w:rsidRDefault="00F435C6" w:rsidP="002550A6">
      <w:pPr>
        <w:pStyle w:val="ListeParagraf"/>
        <w:numPr>
          <w:ilvl w:val="0"/>
          <w:numId w:val="75"/>
        </w:numPr>
        <w:spacing w:before="120" w:after="0"/>
        <w:rPr>
          <w:rFonts w:eastAsia="Aptos" w:cs="Aptos"/>
          <w:color w:val="000000" w:themeColor="text1"/>
          <w:szCs w:val="22"/>
        </w:rPr>
      </w:pPr>
      <w:r w:rsidRPr="00175D8B">
        <w:rPr>
          <w:rFonts w:eastAsia="Aptos" w:cs="Aptos"/>
          <w:color w:val="000000" w:themeColor="text1"/>
          <w:szCs w:val="22"/>
        </w:rPr>
        <w:t>Identifying stakeholders directly or indirectly affected by the Project and/or are interested in the Project.</w:t>
      </w:r>
    </w:p>
    <w:p w14:paraId="3F312BD8" w14:textId="755F1B75" w:rsidR="00F435C6" w:rsidRPr="00175D8B" w:rsidRDefault="00F435C6" w:rsidP="002550A6">
      <w:pPr>
        <w:pStyle w:val="ListeParagraf"/>
        <w:numPr>
          <w:ilvl w:val="0"/>
          <w:numId w:val="75"/>
        </w:numPr>
        <w:spacing w:before="120" w:after="0"/>
        <w:rPr>
          <w:rFonts w:eastAsia="Aptos" w:cs="Aptos"/>
          <w:color w:val="000000" w:themeColor="text1"/>
          <w:szCs w:val="22"/>
        </w:rPr>
      </w:pPr>
      <w:r w:rsidRPr="00175D8B">
        <w:rPr>
          <w:rFonts w:eastAsia="Aptos" w:cs="Aptos"/>
          <w:color w:val="000000" w:themeColor="text1"/>
          <w:szCs w:val="22"/>
        </w:rPr>
        <w:t>Identification and planning of stakeholder engagement activities that will begin during Project preparation and planning and continue with the implementation of the Project.</w:t>
      </w:r>
    </w:p>
    <w:p w14:paraId="5C6BDA01" w14:textId="640F25D4" w:rsidR="00F435C6" w:rsidRPr="00175D8B" w:rsidRDefault="00F435C6" w:rsidP="002550A6">
      <w:pPr>
        <w:pStyle w:val="ListeParagraf"/>
        <w:numPr>
          <w:ilvl w:val="0"/>
          <w:numId w:val="75"/>
        </w:numPr>
        <w:spacing w:before="120" w:after="0"/>
        <w:rPr>
          <w:rFonts w:eastAsia="Aptos" w:cs="Aptos"/>
          <w:color w:val="000000" w:themeColor="text1"/>
          <w:szCs w:val="22"/>
        </w:rPr>
      </w:pPr>
      <w:r w:rsidRPr="00175D8B">
        <w:rPr>
          <w:rFonts w:eastAsia="Aptos" w:cs="Aptos"/>
          <w:color w:val="000000" w:themeColor="text1"/>
          <w:szCs w:val="22"/>
        </w:rPr>
        <w:t>Determining the frequency, content, information sharing and level of participation of consultation activities</w:t>
      </w:r>
    </w:p>
    <w:p w14:paraId="30973EB7" w14:textId="70414485" w:rsidR="00F435C6" w:rsidRPr="00175D8B" w:rsidRDefault="00F435C6" w:rsidP="002550A6">
      <w:pPr>
        <w:pStyle w:val="ListeParagraf"/>
        <w:numPr>
          <w:ilvl w:val="0"/>
          <w:numId w:val="75"/>
        </w:numPr>
        <w:spacing w:before="120" w:after="0"/>
        <w:rPr>
          <w:rFonts w:eastAsia="Aptos" w:cs="Aptos"/>
          <w:color w:val="000000" w:themeColor="text1"/>
          <w:szCs w:val="22"/>
        </w:rPr>
      </w:pPr>
      <w:r w:rsidRPr="00175D8B">
        <w:rPr>
          <w:rFonts w:eastAsia="Aptos" w:cs="Aptos"/>
          <w:color w:val="000000" w:themeColor="text1"/>
          <w:szCs w:val="22"/>
        </w:rPr>
        <w:t>Establishment of Grievance Mechanism that will create an open communication channel for stakeholders at every stage of the Project.</w:t>
      </w:r>
    </w:p>
    <w:p w14:paraId="427166C1" w14:textId="41C30409" w:rsidR="00A13841" w:rsidRPr="00175D8B" w:rsidRDefault="00F435C6" w:rsidP="002550A6">
      <w:pPr>
        <w:pStyle w:val="ListeParagraf"/>
        <w:numPr>
          <w:ilvl w:val="0"/>
          <w:numId w:val="75"/>
        </w:numPr>
        <w:spacing w:before="120" w:after="0"/>
      </w:pPr>
      <w:r w:rsidRPr="00175D8B">
        <w:rPr>
          <w:rFonts w:eastAsia="Aptos" w:cs="Aptos"/>
          <w:color w:val="000000" w:themeColor="text1"/>
          <w:szCs w:val="22"/>
        </w:rPr>
        <w:t>Ensuring that concerns and expectations expressed by stakeholders are addressed during the decision-making and planning stages of the Project.</w:t>
      </w:r>
    </w:p>
    <w:p w14:paraId="44A12CE7" w14:textId="0BB0E2FA" w:rsidR="004360D4" w:rsidRPr="00175D8B" w:rsidRDefault="004360D4" w:rsidP="00456032">
      <w:pPr>
        <w:pStyle w:val="Balk2"/>
        <w:numPr>
          <w:ilvl w:val="1"/>
          <w:numId w:val="160"/>
        </w:numPr>
      </w:pPr>
      <w:bookmarkStart w:id="333" w:name="_Toc212541892"/>
      <w:bookmarkStart w:id="334" w:name="_Toc212542403"/>
      <w:bookmarkStart w:id="335" w:name="_Toc220672806"/>
      <w:bookmarkStart w:id="336" w:name="_Toc209525748"/>
      <w:bookmarkStart w:id="337" w:name="_Toc209525788"/>
      <w:bookmarkStart w:id="338" w:name="_Toc209527674"/>
      <w:r w:rsidRPr="00175D8B">
        <w:t>Stakeholder Engagement Plan</w:t>
      </w:r>
      <w:bookmarkEnd w:id="333"/>
      <w:bookmarkEnd w:id="334"/>
      <w:bookmarkEnd w:id="335"/>
      <w:r w:rsidRPr="00175D8B">
        <w:t xml:space="preserve"> </w:t>
      </w:r>
      <w:bookmarkEnd w:id="336"/>
      <w:bookmarkEnd w:id="337"/>
      <w:bookmarkEnd w:id="338"/>
    </w:p>
    <w:p w14:paraId="676020F6" w14:textId="5184A0AE" w:rsidR="004360D4" w:rsidRPr="00175D8B" w:rsidRDefault="00761B9B" w:rsidP="00A13841">
      <w:r w:rsidRPr="00175D8B">
        <w:t xml:space="preserve">A separate Stakeholder Engagement Plan (SEP) has been prepared for the CDRC Project, based on the World Bank's Environmental </w:t>
      </w:r>
      <w:r w:rsidR="004360D4" w:rsidRPr="00175D8B">
        <w:t>and Social Standard 10 on Stakeholder Engagement and Disclosure</w:t>
      </w:r>
      <w:r w:rsidR="00251F8F" w:rsidRPr="00175D8B">
        <w:rPr>
          <w:rStyle w:val="DipnotBavurusu"/>
        </w:rPr>
        <w:footnoteReference w:id="31"/>
      </w:r>
      <w:r w:rsidR="00251F8F" w:rsidRPr="00175D8B">
        <w:t>.</w:t>
      </w:r>
    </w:p>
    <w:p w14:paraId="21A38DD4" w14:textId="1C91FCF9" w:rsidR="002561E6" w:rsidRDefault="008F2721" w:rsidP="00A13841">
      <w:r w:rsidRPr="00175D8B">
        <w:t xml:space="preserve">Public consultation and information dissemination will be conducted by the Urban Transformation Presidency 's Project Management Unit Social Experts in accordance with the SEP. The Sakarya ESMP, sub-project specific </w:t>
      </w:r>
      <w:r w:rsidR="00761B9B" w:rsidRPr="00175D8B">
        <w:t>C-</w:t>
      </w:r>
      <w:r w:rsidRPr="00175D8B">
        <w:t>ESMP Checklists, and other environmental and social documents (such as neighborhood-level ESIAs and ESAPs, if they are required to be prepared) will</w:t>
      </w:r>
      <w:r w:rsidR="0075293D" w:rsidRPr="00175D8B">
        <w:t xml:space="preserve"> </w:t>
      </w:r>
      <w:r w:rsidRPr="00175D8B">
        <w:t>be disclosed in the UTP webpage</w:t>
      </w:r>
      <w:r w:rsidRPr="00175D8B">
        <w:rPr>
          <w:rStyle w:val="DipnotBavurusu"/>
        </w:rPr>
        <w:footnoteReference w:id="32"/>
      </w:r>
      <w:r w:rsidRPr="00175D8B">
        <w:t xml:space="preserve"> created specifically for the Project. Stakeholders will be able to provide feedback on these documents.</w:t>
      </w:r>
    </w:p>
    <w:p w14:paraId="27A28D63" w14:textId="2216D9E5" w:rsidR="00E70F77" w:rsidRDefault="00E70F77" w:rsidP="00A13841"/>
    <w:p w14:paraId="61B1F23E" w14:textId="45D24986" w:rsidR="00E70F77" w:rsidRPr="00BB59E0" w:rsidRDefault="00E70F77" w:rsidP="00456032">
      <w:pPr>
        <w:pStyle w:val="Balk2"/>
        <w:numPr>
          <w:ilvl w:val="0"/>
          <w:numId w:val="0"/>
        </w:numPr>
        <w:ind w:left="720"/>
      </w:pPr>
      <w:bookmarkStart w:id="339" w:name="_Toc220672807"/>
      <w:r w:rsidRPr="00BB59E0">
        <w:lastRenderedPageBreak/>
        <w:t>6.2. Consultation of This ESMP</w:t>
      </w:r>
      <w:bookmarkEnd w:id="339"/>
    </w:p>
    <w:p w14:paraId="2D13D903" w14:textId="453A5055" w:rsidR="00B817CC" w:rsidRDefault="00B817CC" w:rsidP="00B817CC">
      <w:r>
        <w:t>On January 16, 2026, a consultation meeting regarding the Sakarya draft ESMP for the CDRC Project was held at the Sakarya Social Development Center. Organized by the UTP PMU, the session aimed to inform stakeholders about potential environmental and social risks</w:t>
      </w:r>
      <w:r w:rsidR="00AA7CD9">
        <w:t xml:space="preserve"> and impacts</w:t>
      </w:r>
      <w:r>
        <w:t>, the Grievance Mechanism, and the roles of various implementation parties. A total of 163 participants, including rights holders, contractors, neighborhood muhtars, and municipal representatives, attended the event. UTP PMU specialists delivered presentations covering the Environmental and Social</w:t>
      </w:r>
      <w:r w:rsidR="004F0CCC">
        <w:t xml:space="preserve"> Management Plan of the Sakarya Province</w:t>
      </w:r>
      <w:r>
        <w:t>,</w:t>
      </w:r>
      <w:r w:rsidR="00F83B7D">
        <w:t xml:space="preserve"> SEP, LMP, RF as well as the project site specific RPs to be prepared</w:t>
      </w:r>
      <w:r>
        <w:t>, occupational health and safety aiming to facilitate the upcoming process in Sakarya.</w:t>
      </w:r>
    </w:p>
    <w:p w14:paraId="2F5B6D87" w14:textId="17D24F1A" w:rsidR="00E70F77" w:rsidRPr="00175D8B" w:rsidRDefault="00B817CC" w:rsidP="00B817CC">
      <w:r>
        <w:t>Following the presentations, a Q&amp;A session addressed approximately written questions submitted by attendees regarding the technical and legal aspects of the project.</w:t>
      </w:r>
      <w:r w:rsidR="004F0CCC">
        <w:t xml:space="preserve"> Check out Annex 16 to see the Minutes of the Meeting including all the questions and answers.</w:t>
      </w:r>
      <w:r>
        <w:t xml:space="preserve"> The UTP PM</w:t>
      </w:r>
      <w:r w:rsidR="004F0CCC">
        <w:t>U</w:t>
      </w:r>
      <w:r>
        <w:t xml:space="preserve"> team provided clarifications on critical issues such as safeguards for rights holders during construction, loan eligibility criteria for heirs and land title owners, and the application process via the ARAAD system. Significant attention was given to financial concerns, including rental assistance, interest rate discounts for vulnerable groups (such as retirees and female-headed households), and the specifics of contractor termination and building inspection.</w:t>
      </w:r>
    </w:p>
    <w:p w14:paraId="216C39B3" w14:textId="787A2DA9" w:rsidR="00FE5FDE" w:rsidRPr="00175D8B" w:rsidRDefault="00FE5FDE">
      <w:pPr>
        <w:spacing w:after="160" w:line="278" w:lineRule="auto"/>
        <w:jc w:val="left"/>
      </w:pPr>
      <w:r w:rsidRPr="00175D8B">
        <w:br w:type="page"/>
      </w:r>
    </w:p>
    <w:p w14:paraId="5DFABD9F" w14:textId="3A1C47BD" w:rsidR="006611AA" w:rsidRPr="00175D8B" w:rsidRDefault="0024404D" w:rsidP="002550A6">
      <w:pPr>
        <w:pStyle w:val="Balk1"/>
        <w:numPr>
          <w:ilvl w:val="0"/>
          <w:numId w:val="154"/>
        </w:numPr>
        <w:rPr>
          <w:b/>
          <w:sz w:val="28"/>
          <w:szCs w:val="28"/>
        </w:rPr>
      </w:pPr>
      <w:bookmarkStart w:id="340" w:name="_Toc209527675"/>
      <w:bookmarkStart w:id="341" w:name="_Toc212541893"/>
      <w:bookmarkStart w:id="342" w:name="_Toc212542404"/>
      <w:bookmarkStart w:id="343" w:name="_Toc220672808"/>
      <w:r w:rsidRPr="00175D8B">
        <w:rPr>
          <w:b/>
          <w:sz w:val="28"/>
          <w:szCs w:val="28"/>
        </w:rPr>
        <w:lastRenderedPageBreak/>
        <w:t>GRIEVANCE MECHANISM</w:t>
      </w:r>
      <w:bookmarkEnd w:id="340"/>
      <w:bookmarkEnd w:id="341"/>
      <w:bookmarkEnd w:id="342"/>
      <w:bookmarkEnd w:id="343"/>
    </w:p>
    <w:p w14:paraId="20D6AE9C" w14:textId="62B83E0C" w:rsidR="0024404D" w:rsidRPr="00175D8B" w:rsidRDefault="0024404D" w:rsidP="0024404D">
      <w:r w:rsidRPr="00175D8B">
        <w:t>The Grievance Mechanism (GM) is an arrangement that provides channels for Project stakeholders to provide feedback and/or voice their concerns and grievances about Project activities.</w:t>
      </w:r>
    </w:p>
    <w:p w14:paraId="66F555D6" w14:textId="77777777" w:rsidR="0024404D" w:rsidRPr="00175D8B" w:rsidRDefault="0024404D" w:rsidP="0024404D">
      <w:r w:rsidRPr="00175D8B">
        <w:t>In accordance with the international requirements, a GM has been established to receive, resolve and follow up the concerns and complaints of the Project-affected and relevant stakeholders within the scope of the Project.</w:t>
      </w:r>
    </w:p>
    <w:p w14:paraId="01D944D7" w14:textId="60DA1C87" w:rsidR="00C37BE9" w:rsidRPr="00175D8B" w:rsidRDefault="0024404D" w:rsidP="0024404D">
      <w:r w:rsidRPr="00175D8B">
        <w:t>The PMU, established under the Urban Transformation Presidency of the Ministry of Environment, Urbanization and Climate Change (MoEUCC), will be accessible to stakeholders through various grievance channels, ALO 181, Presidential Communications Center (CIMER), the project hotline, face-to-face meetings, grievance registration forms, email, phone, and the contact form on the project website. All complaints will be addressed in compliance with the timeframe and details described in the Project’s SEP. Stakeholders also have the right to submit complaints anonymously. (For further details, see Section 7, Subsection 7.4.1: Registration and Evaluation of Anonymous Complaints</w:t>
      </w:r>
      <w:r w:rsidR="00032A05" w:rsidRPr="00175D8B">
        <w:t xml:space="preserve"> of SEP</w:t>
      </w:r>
      <w:r w:rsidRPr="00175D8B">
        <w:t>.) In addition, grievances may be submitted through the World Bank’s own Grievance Redress Service (GRS).</w:t>
      </w:r>
    </w:p>
    <w:p w14:paraId="1637D0F6" w14:textId="1620F5A6" w:rsidR="007F1549" w:rsidRPr="00175D8B" w:rsidRDefault="00275290" w:rsidP="002550A6">
      <w:pPr>
        <w:pStyle w:val="Balk2"/>
        <w:keepNext w:val="0"/>
        <w:keepLines w:val="0"/>
        <w:numPr>
          <w:ilvl w:val="1"/>
          <w:numId w:val="154"/>
        </w:numPr>
        <w:ind w:left="1134"/>
      </w:pPr>
      <w:bookmarkStart w:id="344" w:name="_Toc209527676"/>
      <w:bookmarkStart w:id="345" w:name="_Toc212541894"/>
      <w:bookmarkStart w:id="346" w:name="_Toc212542405"/>
      <w:bookmarkStart w:id="347" w:name="_Toc220672809"/>
      <w:r w:rsidRPr="00175D8B">
        <w:t>Worker’s Grievance Mechanism</w:t>
      </w:r>
      <w:bookmarkEnd w:id="344"/>
      <w:bookmarkEnd w:id="345"/>
      <w:bookmarkEnd w:id="346"/>
      <w:bookmarkEnd w:id="347"/>
    </w:p>
    <w:p w14:paraId="56B92240" w14:textId="77777777" w:rsidR="00275290" w:rsidRPr="00175D8B" w:rsidRDefault="00275290" w:rsidP="00275290">
      <w:r w:rsidRPr="00175D8B">
        <w:t>Contractors undertaking any construction work will be required to develop a Grievance Mechanism (GM) and will be responsible for collecting, recording, evaluating, and, where possible, resolving grievances raised by any stakeholder regarding the construction activities. Grievances shall be recorded using the Grievance Registration Form and the Grievance Closure Form provided in Annex-1 and Annex-2 of the Project’s Labor Management Procedures (LMP). (See the Project SEP for further details on the grievance mechanism.) Verbal grievances will be documented by the designated personnel of the contractor through the completion of the Grievance Registration Form. Unresolved grievances must be escalated to the relevant persons or institutions. Contractors are also required to submit all grievance records—both resolved and unresolved—to the PMU at the beginning of each week.</w:t>
      </w:r>
    </w:p>
    <w:p w14:paraId="1763E5FE" w14:textId="77777777" w:rsidR="00275290" w:rsidRPr="00175D8B" w:rsidRDefault="00275290" w:rsidP="00275290">
      <w:r w:rsidRPr="00175D8B">
        <w:t>Internal stakeholders include workers (direct and contracted), managers, representatives, and suppliers working for the contractor and subcontractors. The contractors and subcontractors will provide all direct employees and contract workers (and their organizations, where relevant) with access to a grievance mechanism to raise workplace-related concerns.</w:t>
      </w:r>
    </w:p>
    <w:p w14:paraId="6E7AF499" w14:textId="77777777" w:rsidR="00275290" w:rsidRPr="00175D8B" w:rsidRDefault="00275290" w:rsidP="00275290">
      <w:r w:rsidRPr="00175D8B">
        <w:lastRenderedPageBreak/>
        <w:t>Necessary induction and training programs will be provided during the hiring process for all direct and subcontractor employees. These trainings will cover environmental, social, occupational health and safety (OHS), community health and safety, and the grievance mechanisms. Workers will also be informed about the grievance mechanism during recruitment, including measures in place to protect them against any retaliation for its use.</w:t>
      </w:r>
    </w:p>
    <w:p w14:paraId="7E067BAD" w14:textId="55DD46D9" w:rsidR="00275290" w:rsidRPr="00175D8B" w:rsidRDefault="00275290" w:rsidP="00275290">
      <w:r w:rsidRPr="00175D8B">
        <w:t xml:space="preserve">The requirements of the </w:t>
      </w:r>
      <w:r w:rsidR="0045148E" w:rsidRPr="00175D8B">
        <w:t xml:space="preserve">Sakarya </w:t>
      </w:r>
      <w:r w:rsidR="00150B3B" w:rsidRPr="00175D8B">
        <w:t>Environmental and Social Management Plan (</w:t>
      </w:r>
      <w:r w:rsidR="0045148E" w:rsidRPr="00175D8B">
        <w:t>ESMP</w:t>
      </w:r>
      <w:r w:rsidR="00150B3B" w:rsidRPr="00175D8B">
        <w:t xml:space="preserve">) and </w:t>
      </w:r>
      <w:r w:rsidR="0045148E" w:rsidRPr="00175D8B">
        <w:t xml:space="preserve">SEP </w:t>
      </w:r>
      <w:r w:rsidRPr="00175D8B">
        <w:t>and other relevant documents will be clearly communicated through toolbox trainings. Informational posters about the grievance process and grievance/suggestion boxes will be placed in common work areas.</w:t>
      </w:r>
    </w:p>
    <w:p w14:paraId="59C3A3D7" w14:textId="77777777" w:rsidR="00275290" w:rsidRPr="00175D8B" w:rsidRDefault="00275290" w:rsidP="00275290">
      <w:r w:rsidRPr="00175D8B">
        <w:t>Contractors will ensure that employees are informed about the anonymous grievance procedure and will encourage them to raise concerns in a safe environment by guaranteeing anonymity and confidentiality. Anonymous grievances will be evaluated in accordance with the steps outlined in the Project SEP. These will go through investigation/review processes, and each stage will be documented in the grievance mechanism system. Complaints requiring confidentiality will not be disclosed to third parties, and no official notifications or responses will be issued in such cases.</w:t>
      </w:r>
    </w:p>
    <w:p w14:paraId="0C16C650" w14:textId="41716305" w:rsidR="00275290" w:rsidRPr="00175D8B" w:rsidRDefault="00275290" w:rsidP="00251F8F">
      <w:r w:rsidRPr="00175D8B">
        <w:t>The key principles of the grievance and feedback mechanism are as follows:</w:t>
      </w:r>
    </w:p>
    <w:p w14:paraId="67771093" w14:textId="77777777" w:rsidR="00275290" w:rsidRPr="00175D8B" w:rsidRDefault="00275290">
      <w:pPr>
        <w:numPr>
          <w:ilvl w:val="0"/>
          <w:numId w:val="39"/>
        </w:numPr>
        <w:spacing w:before="120" w:after="0"/>
        <w:contextualSpacing/>
        <w:rPr>
          <w:rFonts w:eastAsia="Aptos" w:cs="Aptos"/>
          <w:color w:val="000000" w:themeColor="text1"/>
          <w:szCs w:val="22"/>
        </w:rPr>
      </w:pPr>
      <w:r w:rsidRPr="00175D8B">
        <w:rPr>
          <w:rFonts w:eastAsia="Aptos" w:cs="Aptos"/>
          <w:color w:val="000000" w:themeColor="text1"/>
          <w:szCs w:val="22"/>
        </w:rPr>
        <w:t>Ensure impartiality, confidentiality, and free of coercion or intimidation.</w:t>
      </w:r>
    </w:p>
    <w:p w14:paraId="5DC3D2A8" w14:textId="77777777" w:rsidR="00275290" w:rsidRPr="00175D8B" w:rsidRDefault="00275290">
      <w:pPr>
        <w:numPr>
          <w:ilvl w:val="0"/>
          <w:numId w:val="39"/>
        </w:numPr>
        <w:spacing w:before="120" w:after="0"/>
        <w:contextualSpacing/>
        <w:rPr>
          <w:rFonts w:eastAsia="Aptos" w:cs="Aptos"/>
          <w:color w:val="000000" w:themeColor="text1"/>
          <w:szCs w:val="22"/>
        </w:rPr>
      </w:pPr>
      <w:r w:rsidRPr="00175D8B">
        <w:rPr>
          <w:rFonts w:eastAsia="Aptos" w:cs="Aptos"/>
          <w:color w:val="000000" w:themeColor="text1"/>
          <w:szCs w:val="22"/>
        </w:rPr>
        <w:t>Resolve concerns within the time frames specified in the Project SEP.</w:t>
      </w:r>
    </w:p>
    <w:p w14:paraId="3C756F84" w14:textId="77777777" w:rsidR="00275290" w:rsidRPr="00175D8B" w:rsidRDefault="00275290">
      <w:pPr>
        <w:numPr>
          <w:ilvl w:val="0"/>
          <w:numId w:val="39"/>
        </w:numPr>
        <w:spacing w:before="120" w:after="0"/>
        <w:contextualSpacing/>
        <w:rPr>
          <w:rFonts w:eastAsia="Aptos" w:cs="Aptos"/>
          <w:color w:val="000000" w:themeColor="text1"/>
          <w:szCs w:val="22"/>
        </w:rPr>
      </w:pPr>
      <w:r w:rsidRPr="00175D8B">
        <w:rPr>
          <w:rFonts w:eastAsia="Aptos" w:cs="Aptos"/>
          <w:color w:val="000000" w:themeColor="text1"/>
          <w:szCs w:val="22"/>
        </w:rPr>
        <w:t>Provide a transparent and understandable consultative process that is appropriate and easily accessible.</w:t>
      </w:r>
    </w:p>
    <w:p w14:paraId="0043F7CB" w14:textId="77777777" w:rsidR="00275290" w:rsidRPr="00175D8B" w:rsidRDefault="00275290">
      <w:pPr>
        <w:numPr>
          <w:ilvl w:val="0"/>
          <w:numId w:val="39"/>
        </w:numPr>
        <w:spacing w:before="120" w:after="0"/>
        <w:contextualSpacing/>
        <w:rPr>
          <w:rFonts w:eastAsia="Aptos" w:cs="Aptos"/>
          <w:color w:val="000000" w:themeColor="text1"/>
          <w:szCs w:val="22"/>
        </w:rPr>
      </w:pPr>
      <w:r w:rsidRPr="00175D8B">
        <w:rPr>
          <w:rFonts w:eastAsia="Aptos" w:cs="Aptos"/>
          <w:color w:val="000000" w:themeColor="text1"/>
          <w:szCs w:val="22"/>
        </w:rPr>
        <w:t>Offer the option to submit grievances and feedback anonymously.</w:t>
      </w:r>
    </w:p>
    <w:p w14:paraId="4A85DC3F" w14:textId="77777777" w:rsidR="00275290" w:rsidRPr="00175D8B" w:rsidRDefault="00275290">
      <w:pPr>
        <w:numPr>
          <w:ilvl w:val="0"/>
          <w:numId w:val="39"/>
        </w:numPr>
        <w:spacing w:before="120" w:after="0"/>
        <w:contextualSpacing/>
        <w:rPr>
          <w:rFonts w:eastAsia="Aptos" w:cs="Aptos"/>
          <w:color w:val="000000" w:themeColor="text1"/>
          <w:szCs w:val="22"/>
        </w:rPr>
      </w:pPr>
      <w:r w:rsidRPr="00175D8B">
        <w:rPr>
          <w:rFonts w:eastAsia="Aptos" w:cs="Aptos"/>
          <w:color w:val="000000" w:themeColor="text1"/>
          <w:szCs w:val="22"/>
        </w:rPr>
        <w:t>Ensure access to the mechanism is free of charge and without retaliation against the complainant.</w:t>
      </w:r>
    </w:p>
    <w:p w14:paraId="492C9759" w14:textId="3C619A0D" w:rsidR="00001B6A" w:rsidRPr="00175D8B" w:rsidRDefault="00275290">
      <w:pPr>
        <w:numPr>
          <w:ilvl w:val="0"/>
          <w:numId w:val="39"/>
        </w:numPr>
        <w:spacing w:before="120" w:after="0"/>
        <w:contextualSpacing/>
        <w:rPr>
          <w:rFonts w:eastAsia="Aptos" w:cs="Aptos"/>
          <w:color w:val="000000" w:themeColor="text1"/>
          <w:szCs w:val="22"/>
        </w:rPr>
      </w:pPr>
      <w:r w:rsidRPr="00175D8B">
        <w:rPr>
          <w:rFonts w:eastAsia="Aptos" w:cs="Aptos"/>
          <w:color w:val="000000" w:themeColor="text1"/>
          <w:szCs w:val="22"/>
        </w:rPr>
        <w:t>Not restrict access to judicial or administrative remedies.</w:t>
      </w:r>
    </w:p>
    <w:p w14:paraId="71DACF03" w14:textId="061AFA5E" w:rsidR="006611AA" w:rsidRPr="00175D8B" w:rsidRDefault="00275290" w:rsidP="002550A6">
      <w:pPr>
        <w:pStyle w:val="Balk2"/>
        <w:numPr>
          <w:ilvl w:val="1"/>
          <w:numId w:val="154"/>
        </w:numPr>
        <w:ind w:left="1276"/>
      </w:pPr>
      <w:bookmarkStart w:id="348" w:name="_Toc212541895"/>
      <w:bookmarkStart w:id="349" w:name="_Toc212542406"/>
      <w:bookmarkStart w:id="350" w:name="_Toc212711951"/>
      <w:bookmarkStart w:id="351" w:name="_Toc212541896"/>
      <w:bookmarkStart w:id="352" w:name="_Toc212542407"/>
      <w:bookmarkStart w:id="353" w:name="_Toc220672810"/>
      <w:bookmarkEnd w:id="348"/>
      <w:bookmarkEnd w:id="349"/>
      <w:bookmarkEnd w:id="350"/>
      <w:r w:rsidRPr="00175D8B">
        <w:t>Receiving &amp; Registering Grievance</w:t>
      </w:r>
      <w:bookmarkEnd w:id="351"/>
      <w:bookmarkEnd w:id="352"/>
      <w:bookmarkEnd w:id="353"/>
    </w:p>
    <w:p w14:paraId="75F1219F" w14:textId="0C815BA3" w:rsidR="001545CA" w:rsidRPr="00175D8B" w:rsidRDefault="001545CA" w:rsidP="00251F8F">
      <w:r w:rsidRPr="00175D8B">
        <w:t xml:space="preserve">All complaints received by the relevant administration through the telephone line, contact form or other channels are recorded using the Grievance Registration Form (GRF) (See Annex </w:t>
      </w:r>
      <w:r w:rsidR="00365CEA" w:rsidRPr="00175D8B">
        <w:t>3</w:t>
      </w:r>
      <w:r w:rsidRPr="00175D8B">
        <w:t>) and a hard copy of the form is given to the Complainant. The completed form is entered into the PMU grievance registration system of the MoEUCC within the same business day.</w:t>
      </w:r>
    </w:p>
    <w:p w14:paraId="575346A9" w14:textId="756A9A74" w:rsidR="001545CA" w:rsidRPr="00175D8B" w:rsidRDefault="001545CA" w:rsidP="00251F8F">
      <w:r w:rsidRPr="00175D8B">
        <w:t>If the GRF cannot be filled, the following basic information is recorded:</w:t>
      </w:r>
    </w:p>
    <w:p w14:paraId="54A8CCA3" w14:textId="77777777" w:rsidR="001545CA" w:rsidRPr="00175D8B" w:rsidRDefault="001545CA">
      <w:pPr>
        <w:numPr>
          <w:ilvl w:val="0"/>
          <w:numId w:val="40"/>
        </w:numPr>
        <w:spacing w:before="120" w:after="0"/>
        <w:contextualSpacing/>
        <w:rPr>
          <w:rFonts w:eastAsia="Aptos" w:cs="Aptos"/>
          <w:color w:val="000000" w:themeColor="text1"/>
          <w:szCs w:val="22"/>
        </w:rPr>
      </w:pPr>
      <w:r w:rsidRPr="00175D8B">
        <w:rPr>
          <w:rFonts w:eastAsia="Aptos" w:cs="Aptos"/>
          <w:color w:val="000000" w:themeColor="text1"/>
          <w:szCs w:val="22"/>
        </w:rPr>
        <w:lastRenderedPageBreak/>
        <w:t>Complainant's full name (complaints may also be submitted anonymously);</w:t>
      </w:r>
    </w:p>
    <w:p w14:paraId="6ABF6227" w14:textId="77777777" w:rsidR="001545CA" w:rsidRPr="00175D8B" w:rsidRDefault="001545CA">
      <w:pPr>
        <w:numPr>
          <w:ilvl w:val="0"/>
          <w:numId w:val="40"/>
        </w:numPr>
        <w:spacing w:before="120" w:after="0"/>
        <w:contextualSpacing/>
        <w:rPr>
          <w:rFonts w:eastAsia="Aptos" w:cs="Aptos"/>
          <w:color w:val="000000" w:themeColor="text1"/>
          <w:szCs w:val="22"/>
        </w:rPr>
      </w:pPr>
      <w:r w:rsidRPr="00175D8B">
        <w:rPr>
          <w:rFonts w:eastAsia="Aptos" w:cs="Aptos"/>
          <w:color w:val="000000" w:themeColor="text1"/>
          <w:szCs w:val="22"/>
        </w:rPr>
        <w:t>Subject of the grievance;</w:t>
      </w:r>
    </w:p>
    <w:p w14:paraId="4B25634F" w14:textId="77777777" w:rsidR="001545CA" w:rsidRPr="00175D8B" w:rsidRDefault="001545CA">
      <w:pPr>
        <w:numPr>
          <w:ilvl w:val="0"/>
          <w:numId w:val="40"/>
        </w:numPr>
        <w:spacing w:before="120" w:after="0"/>
        <w:contextualSpacing/>
        <w:rPr>
          <w:rFonts w:eastAsia="Aptos" w:cs="Aptos"/>
          <w:color w:val="000000" w:themeColor="text1"/>
          <w:szCs w:val="22"/>
        </w:rPr>
      </w:pPr>
      <w:r w:rsidRPr="00175D8B">
        <w:rPr>
          <w:rFonts w:eastAsia="Aptos" w:cs="Aptos"/>
          <w:color w:val="000000" w:themeColor="text1"/>
          <w:szCs w:val="22"/>
        </w:rPr>
        <w:t>Location of the grievance;</w:t>
      </w:r>
    </w:p>
    <w:p w14:paraId="745FB22D" w14:textId="77777777" w:rsidR="001545CA" w:rsidRPr="00175D8B" w:rsidRDefault="001545CA">
      <w:pPr>
        <w:numPr>
          <w:ilvl w:val="0"/>
          <w:numId w:val="40"/>
        </w:numPr>
        <w:spacing w:before="120" w:after="0"/>
        <w:contextualSpacing/>
        <w:rPr>
          <w:rFonts w:eastAsia="Aptos" w:cs="Aptos"/>
          <w:color w:val="000000" w:themeColor="text1"/>
          <w:szCs w:val="22"/>
        </w:rPr>
      </w:pPr>
      <w:r w:rsidRPr="00175D8B">
        <w:rPr>
          <w:rFonts w:eastAsia="Aptos" w:cs="Aptos"/>
          <w:color w:val="000000" w:themeColor="text1"/>
          <w:szCs w:val="22"/>
        </w:rPr>
        <w:t>Contact information (phone number, address, e-mail, etc.);</w:t>
      </w:r>
    </w:p>
    <w:p w14:paraId="16435871" w14:textId="77777777" w:rsidR="001545CA" w:rsidRPr="00175D8B" w:rsidRDefault="001545CA">
      <w:pPr>
        <w:numPr>
          <w:ilvl w:val="0"/>
          <w:numId w:val="40"/>
        </w:numPr>
        <w:spacing w:before="120" w:after="0"/>
        <w:contextualSpacing/>
        <w:rPr>
          <w:rFonts w:eastAsia="Aptos" w:cs="Aptos"/>
          <w:color w:val="000000" w:themeColor="text1"/>
          <w:szCs w:val="22"/>
        </w:rPr>
      </w:pPr>
      <w:r w:rsidRPr="00175D8B">
        <w:rPr>
          <w:rFonts w:eastAsia="Aptos" w:cs="Aptos"/>
          <w:color w:val="000000" w:themeColor="text1"/>
          <w:szCs w:val="22"/>
        </w:rPr>
        <w:t>Name of the organization name (if applicable);</w:t>
      </w:r>
    </w:p>
    <w:p w14:paraId="30A4B6B3" w14:textId="77777777" w:rsidR="001545CA" w:rsidRPr="00175D8B" w:rsidRDefault="001545CA">
      <w:pPr>
        <w:numPr>
          <w:ilvl w:val="0"/>
          <w:numId w:val="40"/>
        </w:numPr>
        <w:spacing w:before="120" w:after="0"/>
        <w:contextualSpacing/>
        <w:rPr>
          <w:rFonts w:eastAsia="Aptos" w:cs="Aptos"/>
          <w:color w:val="000000" w:themeColor="text1"/>
          <w:szCs w:val="22"/>
        </w:rPr>
      </w:pPr>
      <w:r w:rsidRPr="00175D8B">
        <w:rPr>
          <w:rFonts w:eastAsia="Aptos" w:cs="Aptos"/>
          <w:color w:val="000000" w:themeColor="text1"/>
          <w:szCs w:val="22"/>
        </w:rPr>
        <w:t>Date and time</w:t>
      </w:r>
    </w:p>
    <w:p w14:paraId="11CB0BE6" w14:textId="066166F0" w:rsidR="00B34106" w:rsidRPr="00175D8B" w:rsidRDefault="001545CA" w:rsidP="00251F8F">
      <w:pPr>
        <w:keepLines/>
        <w:spacing w:afterLines="120" w:after="288"/>
        <w:rPr>
          <w:rFonts w:eastAsia="Calibri" w:cs="Calibri"/>
          <w:color w:val="000000" w:themeColor="text1"/>
          <w:szCs w:val="22"/>
        </w:rPr>
      </w:pPr>
      <w:r w:rsidRPr="00175D8B">
        <w:rPr>
          <w:rFonts w:eastAsia="Calibri" w:cs="Calibri"/>
          <w:color w:val="000000" w:themeColor="text1"/>
          <w:szCs w:val="22"/>
        </w:rPr>
        <w:t>Based on the information provided, project teams complete the GRF and register the grievance accordingly. Any corrective actions suggested by the complainant are also recorded in the GR</w:t>
      </w:r>
      <w:r w:rsidR="008153E8" w:rsidRPr="00175D8B">
        <w:rPr>
          <w:rFonts w:eastAsia="Calibri" w:cs="Calibri"/>
          <w:color w:val="000000" w:themeColor="text1"/>
          <w:szCs w:val="22"/>
        </w:rPr>
        <w:t>F.</w:t>
      </w:r>
    </w:p>
    <w:p w14:paraId="318D1B2B" w14:textId="738DA615" w:rsidR="00B34106" w:rsidRPr="00175D8B" w:rsidRDefault="00B34106" w:rsidP="002550A6">
      <w:pPr>
        <w:pStyle w:val="Balk2"/>
        <w:numPr>
          <w:ilvl w:val="1"/>
          <w:numId w:val="154"/>
        </w:numPr>
        <w:ind w:left="1276"/>
      </w:pPr>
      <w:bookmarkStart w:id="354" w:name="_Toc209525752"/>
      <w:bookmarkStart w:id="355" w:name="_Toc209525792"/>
      <w:bookmarkStart w:id="356" w:name="_Toc209527678"/>
      <w:bookmarkStart w:id="357" w:name="_Toc212541897"/>
      <w:bookmarkStart w:id="358" w:name="_Toc212542408"/>
      <w:bookmarkStart w:id="359" w:name="_Toc220672811"/>
      <w:r w:rsidRPr="00175D8B">
        <w:rPr>
          <w:rFonts w:eastAsia="Aptos"/>
        </w:rPr>
        <w:t>Assessment of the Grievance</w:t>
      </w:r>
      <w:bookmarkEnd w:id="354"/>
      <w:bookmarkEnd w:id="355"/>
      <w:bookmarkEnd w:id="356"/>
      <w:bookmarkEnd w:id="357"/>
      <w:bookmarkEnd w:id="358"/>
      <w:bookmarkEnd w:id="359"/>
    </w:p>
    <w:p w14:paraId="0D5801BD" w14:textId="77777777" w:rsidR="00B34106" w:rsidRPr="00175D8B" w:rsidRDefault="00B34106">
      <w:pPr>
        <w:numPr>
          <w:ilvl w:val="0"/>
          <w:numId w:val="41"/>
        </w:numPr>
        <w:spacing w:before="120" w:after="0"/>
        <w:contextualSpacing/>
        <w:rPr>
          <w:rFonts w:eastAsia="Aptos" w:cs="Aptos"/>
          <w:color w:val="000000" w:themeColor="text1"/>
          <w:szCs w:val="22"/>
        </w:rPr>
      </w:pPr>
      <w:r w:rsidRPr="00175D8B">
        <w:rPr>
          <w:rFonts w:eastAsia="Aptos" w:cs="Aptos"/>
          <w:color w:val="000000" w:themeColor="text1"/>
          <w:szCs w:val="22"/>
        </w:rPr>
        <w:t>All grievances are reviewed to be classified to determine whether they are genuine or related to Project activities. If the issues/disputes raised are not related to the Project, the complainant is guided to contact the relevant institution or authority. Eligible complaints will be addressed in accordance with the Project's social and environmental standards.</w:t>
      </w:r>
    </w:p>
    <w:p w14:paraId="04475D38" w14:textId="77777777" w:rsidR="00B34106" w:rsidRPr="00175D8B" w:rsidRDefault="00B34106">
      <w:pPr>
        <w:numPr>
          <w:ilvl w:val="0"/>
          <w:numId w:val="41"/>
        </w:numPr>
        <w:spacing w:before="120" w:after="0"/>
        <w:contextualSpacing/>
        <w:rPr>
          <w:rFonts w:eastAsia="Aptos" w:cs="Aptos"/>
          <w:color w:val="000000" w:themeColor="text1"/>
          <w:szCs w:val="22"/>
        </w:rPr>
      </w:pPr>
      <w:r w:rsidRPr="00175D8B">
        <w:rPr>
          <w:rFonts w:eastAsia="Aptos" w:cs="Aptos"/>
          <w:color w:val="000000" w:themeColor="text1"/>
          <w:szCs w:val="22"/>
        </w:rPr>
        <w:t>All grievances received through the hotline, email, or face-to-face communication are recorded, and the Project team contacts the complainant within two (2) business days of registration to explain the grievance response process.</w:t>
      </w:r>
    </w:p>
    <w:p w14:paraId="40CFF19B" w14:textId="77777777" w:rsidR="00B34106" w:rsidRPr="00175D8B" w:rsidRDefault="00B34106">
      <w:pPr>
        <w:numPr>
          <w:ilvl w:val="0"/>
          <w:numId w:val="41"/>
        </w:numPr>
        <w:spacing w:before="120" w:after="0"/>
        <w:contextualSpacing/>
        <w:rPr>
          <w:rFonts w:eastAsia="Aptos" w:cs="Aptos"/>
          <w:color w:val="000000" w:themeColor="text1"/>
          <w:szCs w:val="22"/>
        </w:rPr>
      </w:pPr>
      <w:r w:rsidRPr="00175D8B">
        <w:rPr>
          <w:rFonts w:eastAsia="Aptos" w:cs="Aptos"/>
          <w:color w:val="000000" w:themeColor="text1"/>
          <w:szCs w:val="22"/>
        </w:rPr>
        <w:t>The GM will include a dedicated channel receiving and addressing confidential complaints related to Sexual Exploitation and Abuse/Sexual Harassment (SEA/SH). Special measures will be in place to ensure the confidentiality and sensitive handling of such complaints, and these will be managed in accordance with applicable national laws.</w:t>
      </w:r>
    </w:p>
    <w:p w14:paraId="0665D86D" w14:textId="77777777" w:rsidR="0045148E" w:rsidRPr="00175D8B" w:rsidRDefault="0045148E">
      <w:pPr>
        <w:numPr>
          <w:ilvl w:val="0"/>
          <w:numId w:val="41"/>
        </w:numPr>
        <w:spacing w:before="120" w:after="0"/>
      </w:pPr>
      <w:r w:rsidRPr="00175D8B">
        <w:t>The PMU will have investigated and responded to the grievance within fifteen (15) business days after the complaint’s submission. If the issue requires a more complex investigation, the complainant will be informed of the steps being taken and provided with an updated timeline for resolution.</w:t>
      </w:r>
    </w:p>
    <w:p w14:paraId="46246D07" w14:textId="0362406C" w:rsidR="00B34106" w:rsidRPr="00175D8B" w:rsidRDefault="00B34106" w:rsidP="002550A6">
      <w:pPr>
        <w:pStyle w:val="Balk2"/>
        <w:numPr>
          <w:ilvl w:val="1"/>
          <w:numId w:val="154"/>
        </w:numPr>
        <w:ind w:left="1418"/>
      </w:pPr>
      <w:bookmarkStart w:id="360" w:name="_Toc209525753"/>
      <w:bookmarkStart w:id="361" w:name="_Toc209525793"/>
      <w:bookmarkStart w:id="362" w:name="_Toc209527679"/>
      <w:bookmarkStart w:id="363" w:name="_Toc212541898"/>
      <w:bookmarkStart w:id="364" w:name="_Toc212542409"/>
      <w:bookmarkStart w:id="365" w:name="_Toc220672812"/>
      <w:r w:rsidRPr="00175D8B">
        <w:t>Complaint Resolution</w:t>
      </w:r>
      <w:bookmarkEnd w:id="360"/>
      <w:bookmarkEnd w:id="361"/>
      <w:bookmarkEnd w:id="362"/>
      <w:bookmarkEnd w:id="363"/>
      <w:bookmarkEnd w:id="364"/>
      <w:bookmarkEnd w:id="365"/>
    </w:p>
    <w:p w14:paraId="7E777410" w14:textId="77777777" w:rsidR="00B34106" w:rsidRPr="00175D8B" w:rsidRDefault="00B34106">
      <w:pPr>
        <w:numPr>
          <w:ilvl w:val="0"/>
          <w:numId w:val="42"/>
        </w:numPr>
        <w:spacing w:before="120" w:after="0"/>
        <w:contextualSpacing/>
        <w:rPr>
          <w:rFonts w:eastAsia="Aptos" w:cs="Aptos"/>
          <w:color w:val="000000" w:themeColor="text1"/>
          <w:szCs w:val="22"/>
        </w:rPr>
      </w:pPr>
      <w:r w:rsidRPr="00175D8B">
        <w:rPr>
          <w:rFonts w:eastAsia="Aptos" w:cs="Aptos"/>
          <w:color w:val="000000" w:themeColor="text1"/>
          <w:szCs w:val="22"/>
        </w:rPr>
        <w:t>Necessary corrective actions will be taken to satisfy the complainant.</w:t>
      </w:r>
    </w:p>
    <w:p w14:paraId="47AC97CD" w14:textId="77777777" w:rsidR="00B34106" w:rsidRPr="00175D8B" w:rsidRDefault="00B34106">
      <w:pPr>
        <w:numPr>
          <w:ilvl w:val="0"/>
          <w:numId w:val="42"/>
        </w:numPr>
        <w:spacing w:before="120" w:after="0"/>
        <w:contextualSpacing/>
        <w:rPr>
          <w:rFonts w:eastAsia="Aptos" w:cs="Aptos"/>
          <w:color w:val="000000" w:themeColor="text1"/>
          <w:szCs w:val="22"/>
        </w:rPr>
      </w:pPr>
      <w:r w:rsidRPr="00175D8B">
        <w:rPr>
          <w:rFonts w:eastAsia="Aptos" w:cs="Aptos"/>
          <w:color w:val="000000" w:themeColor="text1"/>
          <w:szCs w:val="22"/>
        </w:rPr>
        <w:t>All parties involved will agree on the corrective actions during the resolution process.</w:t>
      </w:r>
    </w:p>
    <w:p w14:paraId="43487567" w14:textId="77777777" w:rsidR="00B34106" w:rsidRPr="00175D8B" w:rsidRDefault="00B34106">
      <w:pPr>
        <w:numPr>
          <w:ilvl w:val="0"/>
          <w:numId w:val="42"/>
        </w:numPr>
        <w:spacing w:before="120" w:after="0"/>
        <w:contextualSpacing/>
        <w:rPr>
          <w:rFonts w:eastAsia="Aptos" w:cs="Aptos"/>
          <w:color w:val="000000" w:themeColor="text1"/>
          <w:szCs w:val="22"/>
        </w:rPr>
      </w:pPr>
      <w:r w:rsidRPr="00175D8B">
        <w:rPr>
          <w:rFonts w:eastAsia="Aptos" w:cs="Aptos"/>
          <w:color w:val="000000" w:themeColor="text1"/>
          <w:szCs w:val="22"/>
        </w:rPr>
        <w:t xml:space="preserve">The PMU aims to resolve each complaint within thirty (30) Business Days following its initial response. This period may be extended by a written order from the Ministry. Complainants have the right to appeal the decision of the GM. The processing, hearing and communication </w:t>
      </w:r>
      <w:r w:rsidRPr="00175D8B">
        <w:rPr>
          <w:rFonts w:eastAsia="Aptos" w:cs="Aptos"/>
          <w:color w:val="000000" w:themeColor="text1"/>
          <w:szCs w:val="22"/>
        </w:rPr>
        <w:lastRenderedPageBreak/>
        <w:t>of the appeal outcome will be completed within 30 business days from the date and appeal is received.</w:t>
      </w:r>
    </w:p>
    <w:p w14:paraId="4DCCD9C4" w14:textId="77777777" w:rsidR="00B34106" w:rsidRPr="00175D8B" w:rsidRDefault="00B34106">
      <w:pPr>
        <w:numPr>
          <w:ilvl w:val="0"/>
          <w:numId w:val="42"/>
        </w:numPr>
        <w:spacing w:before="120" w:after="0"/>
        <w:contextualSpacing/>
        <w:rPr>
          <w:rFonts w:eastAsia="Aptos" w:cs="Aptos"/>
          <w:color w:val="000000" w:themeColor="text1"/>
          <w:szCs w:val="22"/>
        </w:rPr>
      </w:pPr>
      <w:r w:rsidRPr="00175D8B">
        <w:rPr>
          <w:rFonts w:eastAsia="Aptos" w:cs="Aptos"/>
          <w:color w:val="000000" w:themeColor="text1"/>
          <w:szCs w:val="22"/>
        </w:rPr>
        <w:t>If complainants are not satisfied with the decision of the PMU or the Ministry, they may pursue legal remedies through the court system.</w:t>
      </w:r>
    </w:p>
    <w:p w14:paraId="46CB1CE1" w14:textId="1DDF5F61" w:rsidR="00B34106" w:rsidRPr="00175D8B" w:rsidRDefault="00B34106" w:rsidP="002550A6">
      <w:pPr>
        <w:pStyle w:val="Balk2"/>
        <w:numPr>
          <w:ilvl w:val="1"/>
          <w:numId w:val="154"/>
        </w:numPr>
        <w:ind w:left="1418" w:hanging="709"/>
      </w:pPr>
      <w:bookmarkStart w:id="366" w:name="_Toc209525754"/>
      <w:bookmarkStart w:id="367" w:name="_Toc209525794"/>
      <w:bookmarkStart w:id="368" w:name="_Toc209527680"/>
      <w:bookmarkStart w:id="369" w:name="_Toc212541899"/>
      <w:bookmarkStart w:id="370" w:name="_Toc212542410"/>
      <w:bookmarkStart w:id="371" w:name="_Toc220672813"/>
      <w:r w:rsidRPr="00175D8B">
        <w:rPr>
          <w:rFonts w:eastAsia="Aptos"/>
        </w:rPr>
        <w:t>Close out of the Grievance</w:t>
      </w:r>
      <w:bookmarkEnd w:id="366"/>
      <w:bookmarkEnd w:id="367"/>
      <w:bookmarkEnd w:id="368"/>
      <w:bookmarkEnd w:id="369"/>
      <w:bookmarkEnd w:id="370"/>
      <w:bookmarkEnd w:id="371"/>
    </w:p>
    <w:p w14:paraId="791FB40F" w14:textId="59A54292" w:rsidR="00B34106" w:rsidRPr="00175D8B" w:rsidRDefault="00B34106" w:rsidP="00251F8F">
      <w:pPr>
        <w:spacing w:before="120" w:after="0"/>
        <w:rPr>
          <w:rFonts w:eastAsia="Aptos" w:cs="Aptos"/>
          <w:color w:val="000000" w:themeColor="text1"/>
          <w:szCs w:val="22"/>
        </w:rPr>
      </w:pPr>
      <w:r w:rsidRPr="00175D8B">
        <w:rPr>
          <w:rFonts w:eastAsia="Aptos" w:cs="Aptos"/>
          <w:color w:val="000000" w:themeColor="text1"/>
          <w:szCs w:val="22"/>
        </w:rPr>
        <w:t xml:space="preserve">Evidence of the corrective actions taken (such as photographs or other relevant documentation from the Site) is collected and a “Grievance Closure Form (See Annex </w:t>
      </w:r>
      <w:r w:rsidR="00365CEA" w:rsidRPr="00175D8B">
        <w:rPr>
          <w:rFonts w:eastAsia="Aptos" w:cs="Aptos"/>
          <w:color w:val="000000" w:themeColor="text1"/>
          <w:szCs w:val="22"/>
        </w:rPr>
        <w:t>4</w:t>
      </w:r>
      <w:r w:rsidRPr="00175D8B">
        <w:rPr>
          <w:rFonts w:eastAsia="Aptos" w:cs="Aptos"/>
          <w:color w:val="000000" w:themeColor="text1"/>
          <w:szCs w:val="22"/>
        </w:rPr>
        <w:t>) is signed between the PMU and the Complainant.</w:t>
      </w:r>
    </w:p>
    <w:p w14:paraId="504B98DC" w14:textId="77777777" w:rsidR="00B34106" w:rsidRPr="00175D8B" w:rsidRDefault="00B34106" w:rsidP="00251F8F">
      <w:pPr>
        <w:spacing w:before="120" w:after="0"/>
        <w:rPr>
          <w:rFonts w:eastAsia="Aptos" w:cs="Aptos"/>
          <w:color w:val="000000" w:themeColor="text1"/>
          <w:szCs w:val="22"/>
        </w:rPr>
      </w:pPr>
      <w:r w:rsidRPr="00175D8B">
        <w:rPr>
          <w:rFonts w:eastAsia="Aptos" w:cs="Aptos"/>
          <w:color w:val="000000" w:themeColor="text1"/>
          <w:szCs w:val="22"/>
        </w:rPr>
        <w:t>The grievance table will be prepared by the sub-project contractors will contribute to the effective management of the resolution process by ensuring that grievances are recorded and monitored.</w:t>
      </w:r>
    </w:p>
    <w:p w14:paraId="7F342209" w14:textId="7EEF847F" w:rsidR="00B34106" w:rsidRPr="00175D8B" w:rsidRDefault="00B34106" w:rsidP="002550A6">
      <w:pPr>
        <w:pStyle w:val="Balk2"/>
        <w:numPr>
          <w:ilvl w:val="1"/>
          <w:numId w:val="154"/>
        </w:numPr>
        <w:ind w:left="1418"/>
      </w:pPr>
      <w:bookmarkStart w:id="372" w:name="_Toc209525755"/>
      <w:bookmarkStart w:id="373" w:name="_Toc209525795"/>
      <w:bookmarkStart w:id="374" w:name="_Toc209527681"/>
      <w:bookmarkStart w:id="375" w:name="_Toc212541900"/>
      <w:bookmarkStart w:id="376" w:name="_Toc212542411"/>
      <w:bookmarkStart w:id="377" w:name="_Toc220672814"/>
      <w:r w:rsidRPr="00175D8B">
        <w:rPr>
          <w:rFonts w:eastAsia="Aptos"/>
        </w:rPr>
        <w:t>Registration and Evaluation of Anonymous Complaints</w:t>
      </w:r>
      <w:bookmarkEnd w:id="372"/>
      <w:bookmarkEnd w:id="373"/>
      <w:bookmarkEnd w:id="374"/>
      <w:bookmarkEnd w:id="375"/>
      <w:bookmarkEnd w:id="376"/>
      <w:bookmarkEnd w:id="377"/>
    </w:p>
    <w:p w14:paraId="0E0AA59D" w14:textId="77777777" w:rsidR="00B34106" w:rsidRPr="00175D8B" w:rsidRDefault="00B34106" w:rsidP="00B34106">
      <w:pPr>
        <w:spacing w:before="120" w:after="0"/>
        <w:rPr>
          <w:rFonts w:eastAsia="Aptos" w:cs="Aptos"/>
          <w:color w:val="000000" w:themeColor="text1"/>
          <w:szCs w:val="22"/>
        </w:rPr>
      </w:pPr>
      <w:r w:rsidRPr="00175D8B">
        <w:rPr>
          <w:rFonts w:eastAsia="Aptos" w:cs="Aptos"/>
          <w:color w:val="000000" w:themeColor="text1"/>
          <w:szCs w:val="22"/>
        </w:rPr>
        <w:t>When both external and internal stakeholders face issues, concerns or difficulties in providing their contact information and identity information, the complaints they submit will initially be evaluated and recorded as anonymous complaints/suggestions. Stakeholders may submit their concerns and feedback to the request (complaint hotlines without providing their names). Alternatively, they may use any of the defined communication tools to submit complaints about the Project anonymously, without sharing their names or contact address.</w:t>
      </w:r>
    </w:p>
    <w:p w14:paraId="498032B4" w14:textId="77777777" w:rsidR="00B34106" w:rsidRPr="00175D8B" w:rsidRDefault="00B34106" w:rsidP="00B34106">
      <w:pPr>
        <w:spacing w:before="120" w:after="0"/>
        <w:rPr>
          <w:rFonts w:eastAsia="Aptos" w:cs="Aptos"/>
          <w:color w:val="000000" w:themeColor="text1"/>
          <w:szCs w:val="22"/>
        </w:rPr>
      </w:pPr>
      <w:r w:rsidRPr="00175D8B">
        <w:rPr>
          <w:rFonts w:eastAsia="Aptos" w:cs="Aptos"/>
          <w:color w:val="000000" w:themeColor="text1"/>
          <w:szCs w:val="22"/>
        </w:rPr>
        <w:t>Anonymous complaints will be evaluated in accordance with the steps outlined in the grievance workflow. Each case will go through the investigation and examination processes, and every stage will be documented in the grievance mechanism system. Complaints requiring confidentiality will not be disclosed to third parties, and no official notifications or responses will be issued.</w:t>
      </w:r>
    </w:p>
    <w:p w14:paraId="397BA956" w14:textId="6C476619" w:rsidR="003524FF" w:rsidRPr="00175D8B" w:rsidRDefault="00B34106" w:rsidP="003524FF">
      <w:pPr>
        <w:spacing w:before="120" w:after="0"/>
        <w:rPr>
          <w:rFonts w:eastAsia="Aptos" w:cs="Aptos"/>
          <w:color w:val="000000" w:themeColor="text1"/>
          <w:szCs w:val="22"/>
        </w:rPr>
      </w:pPr>
      <w:r w:rsidRPr="00175D8B">
        <w:rPr>
          <w:rFonts w:eastAsia="Aptos" w:cs="Aptos"/>
          <w:color w:val="000000" w:themeColor="text1"/>
          <w:szCs w:val="22"/>
        </w:rPr>
        <w:t>Although no direct feedback will be provided for anonymous complaints, if the issue is of public relevance and it is deemed necessary, the resolution or general response may be communicated to stakeholders via public notice boards or other general communication tools.</w:t>
      </w:r>
      <w:r w:rsidR="00923DF9">
        <w:rPr>
          <w:rFonts w:eastAsia="Aptos" w:cs="Aptos"/>
          <w:color w:val="000000" w:themeColor="text1"/>
          <w:szCs w:val="22"/>
        </w:rPr>
        <w:t xml:space="preserve"> </w:t>
      </w:r>
      <w:r w:rsidRPr="00175D8B">
        <w:rPr>
          <w:rFonts w:eastAsia="Aptos" w:cs="Aptos"/>
          <w:color w:val="000000" w:themeColor="text1"/>
          <w:szCs w:val="22"/>
        </w:rPr>
        <w:t xml:space="preserve">A grievance registration log is prepared for the recording, tracking </w:t>
      </w:r>
      <w:r w:rsidR="004E7654" w:rsidRPr="00175D8B">
        <w:rPr>
          <w:rFonts w:eastAsia="Aptos" w:cs="Aptos"/>
          <w:color w:val="000000" w:themeColor="text1"/>
          <w:szCs w:val="22"/>
        </w:rPr>
        <w:t>(See Annex 5)</w:t>
      </w:r>
      <w:r w:rsidR="004E7654">
        <w:rPr>
          <w:rFonts w:eastAsia="Aptos" w:cs="Aptos"/>
          <w:color w:val="000000" w:themeColor="text1"/>
          <w:szCs w:val="22"/>
        </w:rPr>
        <w:t xml:space="preserve"> </w:t>
      </w:r>
      <w:r w:rsidRPr="00175D8B">
        <w:rPr>
          <w:rFonts w:eastAsia="Aptos" w:cs="Aptos"/>
          <w:color w:val="000000" w:themeColor="text1"/>
          <w:szCs w:val="22"/>
        </w:rPr>
        <w:t xml:space="preserve">and resolution processes of complaints. </w:t>
      </w:r>
    </w:p>
    <w:p w14:paraId="29AA4D13" w14:textId="2EDFC24A" w:rsidR="00B34106" w:rsidRPr="00175D8B" w:rsidRDefault="00B34106" w:rsidP="002550A6">
      <w:pPr>
        <w:pStyle w:val="Balk2"/>
        <w:numPr>
          <w:ilvl w:val="1"/>
          <w:numId w:val="154"/>
        </w:numPr>
        <w:ind w:left="1134"/>
        <w:rPr>
          <w:bCs/>
        </w:rPr>
      </w:pPr>
      <w:bookmarkStart w:id="378" w:name="_Toc209525756"/>
      <w:bookmarkStart w:id="379" w:name="_Toc209525796"/>
      <w:bookmarkStart w:id="380" w:name="_Toc209527682"/>
      <w:bookmarkStart w:id="381" w:name="_Toc212541901"/>
      <w:bookmarkStart w:id="382" w:name="_Toc212542412"/>
      <w:bookmarkStart w:id="383" w:name="_Toc220672815"/>
      <w:r w:rsidRPr="00175D8B">
        <w:rPr>
          <w:rFonts w:eastAsia="Aptos"/>
          <w:bCs/>
        </w:rPr>
        <w:t>GM Contact Information</w:t>
      </w:r>
      <w:bookmarkEnd w:id="378"/>
      <w:bookmarkEnd w:id="379"/>
      <w:bookmarkEnd w:id="380"/>
      <w:bookmarkEnd w:id="381"/>
      <w:bookmarkEnd w:id="382"/>
      <w:bookmarkEnd w:id="383"/>
    </w:p>
    <w:p w14:paraId="055B884E" w14:textId="77777777" w:rsidR="00B34106" w:rsidRPr="00175D8B" w:rsidRDefault="00B34106" w:rsidP="00B34106">
      <w:pPr>
        <w:spacing w:before="120" w:after="0"/>
        <w:rPr>
          <w:rFonts w:eastAsia="Aptos" w:cs="Aptos"/>
          <w:color w:val="000000" w:themeColor="text1"/>
          <w:szCs w:val="22"/>
        </w:rPr>
      </w:pPr>
      <w:r w:rsidRPr="00175D8B">
        <w:rPr>
          <w:rFonts w:eastAsia="Aptos" w:cs="Aptos"/>
          <w:color w:val="000000" w:themeColor="text1"/>
          <w:szCs w:val="22"/>
        </w:rPr>
        <w:t xml:space="preserve">Stakeholders may use the following channels to formally submit grievances, requests, or suggestions regarding the Project: </w:t>
      </w:r>
    </w:p>
    <w:p w14:paraId="7B4FAD4B" w14:textId="77777777" w:rsidR="0045148E" w:rsidRPr="00175D8B" w:rsidRDefault="00B34106" w:rsidP="00B34106">
      <w:pPr>
        <w:spacing w:before="120" w:after="0"/>
        <w:rPr>
          <w:rFonts w:eastAsia="Aptos" w:cs="Aptos"/>
          <w:color w:val="000000" w:themeColor="text1"/>
          <w:szCs w:val="22"/>
        </w:rPr>
      </w:pPr>
      <w:r w:rsidRPr="00175D8B">
        <w:rPr>
          <w:rFonts w:eastAsia="Aptos" w:cs="Aptos"/>
          <w:b/>
          <w:bCs/>
          <w:color w:val="000000" w:themeColor="text1"/>
          <w:szCs w:val="22"/>
        </w:rPr>
        <w:t>ALO 181 (Ministry of Environment, Urbanization and Climate Change Call Center):</w:t>
      </w:r>
      <w:r w:rsidRPr="00175D8B">
        <w:rPr>
          <w:rFonts w:eastAsia="Aptos" w:cs="Aptos"/>
          <w:color w:val="000000" w:themeColor="text1"/>
          <w:szCs w:val="22"/>
        </w:rPr>
        <w:t xml:space="preserve"> </w:t>
      </w:r>
    </w:p>
    <w:p w14:paraId="6CBDD666" w14:textId="20CC5045" w:rsidR="00B34106" w:rsidRPr="00175D8B" w:rsidRDefault="00B34106" w:rsidP="00B34106">
      <w:pPr>
        <w:spacing w:before="120" w:after="0"/>
        <w:rPr>
          <w:rFonts w:eastAsia="Aptos" w:cs="Aptos"/>
          <w:color w:val="000000" w:themeColor="text1"/>
          <w:szCs w:val="22"/>
        </w:rPr>
      </w:pPr>
      <w:r w:rsidRPr="00175D8B">
        <w:rPr>
          <w:rFonts w:eastAsia="Aptos" w:cs="Aptos"/>
          <w:color w:val="000000" w:themeColor="text1"/>
          <w:szCs w:val="22"/>
        </w:rPr>
        <w:lastRenderedPageBreak/>
        <w:t>The MoEUCC receives and examines complaints, notices and information requests from all 81 provinces of Türkiye via ALO 181. Citizens can report issues related to environmental problems, including air, water, soil, radioactive pollution, urban transformation, noise and waste.</w:t>
      </w:r>
      <w:r w:rsidR="00251F8F" w:rsidRPr="00175D8B">
        <w:rPr>
          <w:rFonts w:eastAsia="Aptos" w:cs="Aptos"/>
          <w:color w:val="000000" w:themeColor="text1"/>
          <w:szCs w:val="22"/>
        </w:rPr>
        <w:t xml:space="preserve"> </w:t>
      </w:r>
      <w:r w:rsidRPr="00175D8B">
        <w:rPr>
          <w:rFonts w:eastAsia="Aptos" w:cs="Aptos"/>
          <w:color w:val="000000" w:themeColor="text1"/>
          <w:szCs w:val="22"/>
        </w:rPr>
        <w:t>All notifications received through the call center are forwarded to the relevant General Directorates within the MoEUCC based on the issue’s subject matter. Responses from these units are communicated back to the complainant by call center staff via phone, ensuring prompt feedback. Stakeholder may also contact the Urban Transformation Project (UTP) using this number for any project-related concerns.</w:t>
      </w:r>
      <w:r w:rsidR="00150B3B" w:rsidRPr="00175D8B">
        <w:rPr>
          <w:rFonts w:eastAsia="Aptos" w:cs="Aptos"/>
          <w:color w:val="000000" w:themeColor="text1"/>
          <w:szCs w:val="22"/>
        </w:rPr>
        <w:t xml:space="preserve"> </w:t>
      </w:r>
      <w:r w:rsidR="00032A05" w:rsidRPr="00175D8B">
        <w:t>Stakeholders may also call the phone number 0 (312) 410 10 00 and request to speak with a contact person from the PMU.</w:t>
      </w:r>
    </w:p>
    <w:p w14:paraId="41D7DBD2" w14:textId="77777777" w:rsidR="0045148E" w:rsidRPr="00175D8B" w:rsidRDefault="00B34106" w:rsidP="00B34106">
      <w:pPr>
        <w:spacing w:before="120" w:after="0"/>
        <w:rPr>
          <w:rFonts w:eastAsia="Aptos" w:cs="Aptos"/>
          <w:color w:val="000000" w:themeColor="text1"/>
          <w:szCs w:val="22"/>
        </w:rPr>
      </w:pPr>
      <w:r w:rsidRPr="00175D8B">
        <w:rPr>
          <w:rFonts w:eastAsia="Aptos" w:cs="Aptos"/>
          <w:b/>
          <w:bCs/>
          <w:color w:val="000000" w:themeColor="text1"/>
          <w:szCs w:val="22"/>
        </w:rPr>
        <w:t>CIMER (Presidency’s Communication Center):</w:t>
      </w:r>
      <w:r w:rsidRPr="00175D8B">
        <w:rPr>
          <w:rFonts w:eastAsia="Aptos" w:cs="Aptos"/>
          <w:color w:val="000000" w:themeColor="text1"/>
          <w:szCs w:val="22"/>
        </w:rPr>
        <w:t xml:space="preserve"> </w:t>
      </w:r>
    </w:p>
    <w:p w14:paraId="598BDD4E" w14:textId="3AB80D02" w:rsidR="00B34106" w:rsidRPr="00175D8B" w:rsidRDefault="00B34106" w:rsidP="00B34106">
      <w:pPr>
        <w:spacing w:before="120" w:after="0"/>
        <w:rPr>
          <w:rFonts w:eastAsia="Aptos" w:cs="Aptos"/>
          <w:color w:val="000000" w:themeColor="text1"/>
          <w:szCs w:val="22"/>
        </w:rPr>
      </w:pPr>
      <w:r w:rsidRPr="00175D8B">
        <w:rPr>
          <w:rFonts w:eastAsia="Aptos" w:cs="Aptos"/>
          <w:color w:val="000000" w:themeColor="text1"/>
          <w:szCs w:val="22"/>
        </w:rPr>
        <w:t xml:space="preserve">Stakeholders may use CIMER to submit all types of requests, complaints, notices, opinions, suggestions, or information requests related to the Project. CIMER enables communication through multiple channels and ensures transparency and accessibility for all citizens. </w:t>
      </w:r>
    </w:p>
    <w:p w14:paraId="4169C64C" w14:textId="5D6C5FE4" w:rsidR="00032A05" w:rsidRPr="00175D8B" w:rsidRDefault="00B34106" w:rsidP="00B34106">
      <w:pPr>
        <w:spacing w:before="120" w:after="0"/>
        <w:rPr>
          <w:rFonts w:eastAsia="Aptos" w:cs="Aptos"/>
          <w:color w:val="000000" w:themeColor="text1"/>
          <w:szCs w:val="22"/>
        </w:rPr>
      </w:pPr>
      <w:r w:rsidRPr="00175D8B">
        <w:rPr>
          <w:rFonts w:eastAsia="Aptos" w:cs="Aptos"/>
          <w:b/>
          <w:bCs/>
          <w:color w:val="000000" w:themeColor="text1"/>
          <w:szCs w:val="22"/>
        </w:rPr>
        <w:t>Face to face</w:t>
      </w:r>
      <w:r w:rsidR="00032A05" w:rsidRPr="00175D8B">
        <w:rPr>
          <w:rFonts w:eastAsia="Aptos" w:cs="Aptos"/>
          <w:b/>
          <w:bCs/>
          <w:color w:val="000000" w:themeColor="text1"/>
          <w:szCs w:val="22"/>
        </w:rPr>
        <w:t xml:space="preserve"> Communication</w:t>
      </w:r>
      <w:r w:rsidRPr="00175D8B">
        <w:rPr>
          <w:rFonts w:eastAsia="Aptos" w:cs="Aptos"/>
          <w:b/>
          <w:bCs/>
          <w:color w:val="000000" w:themeColor="text1"/>
          <w:szCs w:val="22"/>
        </w:rPr>
        <w:t>:</w:t>
      </w:r>
      <w:r w:rsidRPr="00175D8B">
        <w:rPr>
          <w:rFonts w:eastAsia="Aptos" w:cs="Aptos"/>
          <w:color w:val="000000" w:themeColor="text1"/>
          <w:szCs w:val="22"/>
        </w:rPr>
        <w:t xml:space="preserve"> </w:t>
      </w:r>
    </w:p>
    <w:p w14:paraId="2227CFEC" w14:textId="72B268C2" w:rsidR="00251F8F" w:rsidRPr="00175D8B" w:rsidRDefault="00B34106" w:rsidP="00B34106">
      <w:pPr>
        <w:spacing w:before="120" w:after="0"/>
        <w:rPr>
          <w:rFonts w:eastAsia="Aptos" w:cs="Aptos"/>
          <w:color w:val="000000" w:themeColor="text1"/>
          <w:szCs w:val="22"/>
        </w:rPr>
      </w:pPr>
      <w:r w:rsidRPr="00175D8B">
        <w:rPr>
          <w:rFonts w:eastAsia="Aptos" w:cs="Aptos"/>
          <w:color w:val="000000" w:themeColor="text1"/>
          <w:szCs w:val="22"/>
        </w:rPr>
        <w:t>Complaints may be submitted in person directly to PMU staff during office hours.</w:t>
      </w:r>
    </w:p>
    <w:p w14:paraId="24416309" w14:textId="77777777" w:rsidR="00B823FA" w:rsidRPr="00175D8B" w:rsidRDefault="00B34106" w:rsidP="00B34106">
      <w:pPr>
        <w:spacing w:before="120" w:after="0"/>
        <w:rPr>
          <w:rFonts w:eastAsia="Aptos" w:cs="Aptos"/>
          <w:color w:val="000000" w:themeColor="text1"/>
          <w:szCs w:val="22"/>
          <w:u w:val="single"/>
        </w:rPr>
      </w:pPr>
      <w:r w:rsidRPr="00175D8B">
        <w:rPr>
          <w:rFonts w:eastAsia="Aptos" w:cs="Aptos"/>
          <w:b/>
          <w:bCs/>
          <w:color w:val="000000" w:themeColor="text1"/>
          <w:szCs w:val="22"/>
        </w:rPr>
        <w:t>Project Web Page and Contact Form:</w:t>
      </w:r>
      <w:r w:rsidRPr="00175D8B">
        <w:rPr>
          <w:rFonts w:eastAsia="Aptos" w:cs="Aptos"/>
          <w:color w:val="000000" w:themeColor="text1"/>
          <w:szCs w:val="22"/>
          <w:u w:val="single"/>
        </w:rPr>
        <w:t xml:space="preserve"> </w:t>
      </w:r>
    </w:p>
    <w:p w14:paraId="03A8E252" w14:textId="6F261D5D" w:rsidR="00B34106" w:rsidRPr="00175D8B" w:rsidRDefault="00B34106" w:rsidP="00B34106">
      <w:pPr>
        <w:spacing w:before="120" w:after="0"/>
        <w:rPr>
          <w:rFonts w:eastAsia="Aptos" w:cs="Aptos"/>
          <w:color w:val="000000" w:themeColor="text1"/>
          <w:szCs w:val="22"/>
        </w:rPr>
      </w:pPr>
      <w:r w:rsidRPr="00175D8B">
        <w:rPr>
          <w:rFonts w:eastAsia="Aptos" w:cs="Aptos"/>
          <w:color w:val="000000" w:themeColor="text1"/>
          <w:szCs w:val="22"/>
        </w:rPr>
        <w:t>Project specific website is established</w:t>
      </w:r>
      <w:r w:rsidR="00251F8F" w:rsidRPr="00175D8B">
        <w:rPr>
          <w:rFonts w:eastAsia="Aptos" w:cs="Aptos"/>
          <w:color w:val="000000" w:themeColor="text1"/>
          <w:szCs w:val="22"/>
        </w:rPr>
        <w:t>.</w:t>
      </w:r>
      <w:r w:rsidR="00251F8F" w:rsidRPr="00175D8B">
        <w:rPr>
          <w:rStyle w:val="DipnotBavurusu"/>
          <w:rFonts w:eastAsia="Aptos" w:cs="Aptos"/>
          <w:color w:val="000000" w:themeColor="text1"/>
          <w:szCs w:val="22"/>
        </w:rPr>
        <w:footnoteReference w:id="33"/>
      </w:r>
    </w:p>
    <w:p w14:paraId="00FF27AE" w14:textId="4AD72E01" w:rsidR="00B34106" w:rsidRPr="00175D8B" w:rsidRDefault="00B34106" w:rsidP="00B34106">
      <w:pPr>
        <w:spacing w:before="120" w:after="0"/>
        <w:rPr>
          <w:rFonts w:eastAsia="Aptos" w:cs="Aptos"/>
          <w:color w:val="000000" w:themeColor="text1"/>
          <w:szCs w:val="22"/>
        </w:rPr>
      </w:pPr>
      <w:r w:rsidRPr="00175D8B">
        <w:rPr>
          <w:rFonts w:eastAsia="Aptos" w:cs="Aptos"/>
          <w:color w:val="000000" w:themeColor="text1"/>
          <w:szCs w:val="22"/>
        </w:rPr>
        <w:t xml:space="preserve">A dedicated project website has been established to facilitate access to project-related information and grievance submission. Stakeholders can use the email address </w:t>
      </w:r>
      <w:hyperlink r:id="rId35" w:history="1">
        <w:r w:rsidR="00F336D4" w:rsidRPr="00175D8B">
          <w:rPr>
            <w:rStyle w:val="Kpr"/>
            <w:rFonts w:eastAsia="Aptos" w:cs="Aptos"/>
            <w:szCs w:val="22"/>
          </w:rPr>
          <w:t>dayanikli@kdb.gov.tr</w:t>
        </w:r>
      </w:hyperlink>
      <w:r w:rsidRPr="00175D8B">
        <w:rPr>
          <w:rFonts w:eastAsia="Aptos" w:cs="Aptos"/>
          <w:color w:val="000000" w:themeColor="text1"/>
          <w:szCs w:val="22"/>
        </w:rPr>
        <w:t xml:space="preserve"> or the website contact form to submit grievances or inquiries.</w:t>
      </w:r>
    </w:p>
    <w:p w14:paraId="6233CF96" w14:textId="77777777" w:rsidR="00B823FA" w:rsidRPr="00175D8B" w:rsidRDefault="00B823FA" w:rsidP="00B823FA">
      <w:r w:rsidRPr="00175D8B">
        <w:t xml:space="preserve">The website includes: </w:t>
      </w:r>
    </w:p>
    <w:p w14:paraId="78AF8694" w14:textId="77777777" w:rsidR="00B823FA" w:rsidRPr="00175D8B" w:rsidRDefault="00B823FA" w:rsidP="00B823FA">
      <w:pPr>
        <w:pStyle w:val="ListeParagraf"/>
        <w:numPr>
          <w:ilvl w:val="0"/>
          <w:numId w:val="149"/>
        </w:numPr>
        <w:spacing w:after="160"/>
        <w:ind w:left="810"/>
      </w:pPr>
      <w:r w:rsidRPr="00175D8B">
        <w:t>Announcements and news,</w:t>
      </w:r>
    </w:p>
    <w:p w14:paraId="00CADAD9" w14:textId="77777777" w:rsidR="00B823FA" w:rsidRPr="00175D8B" w:rsidRDefault="00B823FA" w:rsidP="00B823FA">
      <w:pPr>
        <w:pStyle w:val="ListeParagraf"/>
        <w:numPr>
          <w:ilvl w:val="0"/>
          <w:numId w:val="149"/>
        </w:numPr>
        <w:spacing w:after="160"/>
        <w:ind w:left="810"/>
      </w:pPr>
      <w:r w:rsidRPr="00175D8B">
        <w:t>General project information (purpose, components),</w:t>
      </w:r>
    </w:p>
    <w:p w14:paraId="013A6CB6" w14:textId="77777777" w:rsidR="00B823FA" w:rsidRPr="00175D8B" w:rsidRDefault="00B823FA" w:rsidP="00B823FA">
      <w:pPr>
        <w:pStyle w:val="ListeParagraf"/>
        <w:numPr>
          <w:ilvl w:val="0"/>
          <w:numId w:val="149"/>
        </w:numPr>
        <w:spacing w:after="160"/>
        <w:ind w:left="810"/>
      </w:pPr>
      <w:r w:rsidRPr="00175D8B">
        <w:t>The ARAAD application link,</w:t>
      </w:r>
    </w:p>
    <w:p w14:paraId="3969263C" w14:textId="77777777" w:rsidR="00B823FA" w:rsidRPr="00175D8B" w:rsidRDefault="00B823FA" w:rsidP="00B823FA">
      <w:pPr>
        <w:pStyle w:val="ListeParagraf"/>
        <w:numPr>
          <w:ilvl w:val="0"/>
          <w:numId w:val="149"/>
        </w:numPr>
        <w:spacing w:after="160"/>
        <w:ind w:left="810"/>
      </w:pPr>
      <w:r w:rsidRPr="00175D8B">
        <w:t>Guidance for uploading contractor documents,</w:t>
      </w:r>
    </w:p>
    <w:p w14:paraId="11EC9FE8" w14:textId="77777777" w:rsidR="00B823FA" w:rsidRPr="00175D8B" w:rsidRDefault="00B823FA" w:rsidP="00B823FA">
      <w:pPr>
        <w:pStyle w:val="ListeParagraf"/>
        <w:numPr>
          <w:ilvl w:val="0"/>
          <w:numId w:val="149"/>
        </w:numPr>
        <w:spacing w:after="160"/>
        <w:ind w:left="810"/>
      </w:pPr>
      <w:r w:rsidRPr="00175D8B">
        <w:t>Contact details for the Istanbul liaison office,</w:t>
      </w:r>
    </w:p>
    <w:p w14:paraId="3DBF32D1" w14:textId="77777777" w:rsidR="00B823FA" w:rsidRPr="00175D8B" w:rsidRDefault="00B823FA" w:rsidP="00B823FA">
      <w:pPr>
        <w:pStyle w:val="ListeParagraf"/>
        <w:numPr>
          <w:ilvl w:val="0"/>
          <w:numId w:val="149"/>
        </w:numPr>
        <w:spacing w:after="160"/>
        <w:ind w:left="810"/>
      </w:pPr>
      <w:r w:rsidRPr="00175D8B">
        <w:t>Environmental and social project documents,</w:t>
      </w:r>
    </w:p>
    <w:p w14:paraId="6B0D43DB" w14:textId="77777777" w:rsidR="00B823FA" w:rsidRPr="00175D8B" w:rsidRDefault="00B823FA" w:rsidP="00B823FA">
      <w:pPr>
        <w:pStyle w:val="ListeParagraf"/>
        <w:numPr>
          <w:ilvl w:val="0"/>
          <w:numId w:val="149"/>
        </w:numPr>
        <w:spacing w:after="160"/>
        <w:ind w:left="810"/>
      </w:pPr>
      <w:r w:rsidRPr="00175D8B">
        <w:t>Application guides, and</w:t>
      </w:r>
    </w:p>
    <w:p w14:paraId="76F110C8" w14:textId="77777777" w:rsidR="00B823FA" w:rsidRPr="00175D8B" w:rsidRDefault="00B823FA" w:rsidP="00B823FA">
      <w:pPr>
        <w:pStyle w:val="ListeParagraf"/>
        <w:numPr>
          <w:ilvl w:val="0"/>
          <w:numId w:val="149"/>
        </w:numPr>
        <w:spacing w:after="160"/>
        <w:ind w:left="810"/>
      </w:pPr>
      <w:r w:rsidRPr="00175D8B">
        <w:lastRenderedPageBreak/>
        <w:t>Frequently asked questions.</w:t>
      </w:r>
    </w:p>
    <w:p w14:paraId="67F7A3CD" w14:textId="77777777" w:rsidR="00B34106" w:rsidRPr="00175D8B" w:rsidRDefault="00B34106" w:rsidP="00D414C4">
      <w:pPr>
        <w:spacing w:before="120" w:after="0"/>
        <w:ind w:right="135"/>
        <w:rPr>
          <w:rFonts w:eastAsia="Aptos" w:cs="Aptos"/>
          <w:b/>
          <w:bCs/>
          <w:color w:val="000000" w:themeColor="text1"/>
          <w:szCs w:val="22"/>
        </w:rPr>
      </w:pPr>
      <w:r w:rsidRPr="00175D8B">
        <w:rPr>
          <w:rFonts w:eastAsia="Aptos" w:cs="Aptos"/>
          <w:b/>
          <w:bCs/>
          <w:color w:val="000000" w:themeColor="text1"/>
          <w:szCs w:val="22"/>
        </w:rPr>
        <w:t xml:space="preserve">Awareness-Raising Activities: </w:t>
      </w:r>
    </w:p>
    <w:p w14:paraId="2253E1F7" w14:textId="77777777" w:rsidR="00B34106" w:rsidRPr="00175D8B" w:rsidRDefault="00B34106" w:rsidP="00B34106">
      <w:pPr>
        <w:spacing w:before="120" w:after="0"/>
        <w:ind w:right="135"/>
        <w:rPr>
          <w:rFonts w:eastAsia="Aptos" w:cs="Aptos"/>
          <w:color w:val="000000" w:themeColor="text1"/>
          <w:szCs w:val="22"/>
        </w:rPr>
      </w:pPr>
      <w:r w:rsidRPr="00175D8B">
        <w:rPr>
          <w:rFonts w:eastAsia="Aptos" w:cs="Aptos"/>
          <w:color w:val="000000" w:themeColor="text1"/>
          <w:szCs w:val="22"/>
        </w:rPr>
        <w:t>The PMU also undertakes various efforts to raise awareness among stakeholders and affected parties about the grievance mechanism. These include the use of the project website, awareness campaigns, advertisements, brochures, posters, and other outreach materials to ensure that the grievance mechanism is well-publicized and accessible to all.</w:t>
      </w:r>
    </w:p>
    <w:p w14:paraId="07108931" w14:textId="77777777" w:rsidR="00B34106" w:rsidRPr="00175D8B" w:rsidRDefault="00B34106" w:rsidP="00B34106">
      <w:pPr>
        <w:spacing w:before="120" w:after="0"/>
        <w:ind w:right="135"/>
        <w:rPr>
          <w:rFonts w:eastAsia="Aptos" w:cs="Aptos"/>
          <w:b/>
          <w:bCs/>
          <w:color w:val="000000" w:themeColor="text1"/>
          <w:szCs w:val="22"/>
        </w:rPr>
      </w:pPr>
      <w:r w:rsidRPr="00175D8B">
        <w:rPr>
          <w:rFonts w:eastAsia="Aptos" w:cs="Aptos"/>
          <w:b/>
          <w:bCs/>
          <w:color w:val="000000" w:themeColor="text1"/>
          <w:szCs w:val="22"/>
        </w:rPr>
        <w:t xml:space="preserve">World Bank Grievance Redress System: </w:t>
      </w:r>
    </w:p>
    <w:p w14:paraId="6EC2A8AB" w14:textId="77777777" w:rsidR="00606611" w:rsidRDefault="00B34106" w:rsidP="00B34106">
      <w:pPr>
        <w:spacing w:before="120" w:after="0"/>
        <w:ind w:right="135"/>
        <w:rPr>
          <w:rFonts w:eastAsia="Aptos" w:cs="Aptos"/>
          <w:color w:val="0563C1" w:themeColor="hyperlink"/>
          <w:szCs w:val="22"/>
          <w:u w:val="single"/>
        </w:rPr>
        <w:sectPr w:rsidR="00606611" w:rsidSect="003D2155">
          <w:headerReference w:type="even" r:id="rId36"/>
          <w:headerReference w:type="default" r:id="rId37"/>
          <w:footerReference w:type="default" r:id="rId38"/>
          <w:headerReference w:type="first" r:id="rId39"/>
          <w:pgSz w:w="11900" w:h="16840"/>
          <w:pgMar w:top="1417" w:right="1417" w:bottom="1417" w:left="1417" w:header="851" w:footer="851" w:gutter="0"/>
          <w:cols w:space="708"/>
        </w:sectPr>
      </w:pPr>
      <w:r w:rsidRPr="00175D8B">
        <w:rPr>
          <w:rFonts w:eastAsia="Aptos" w:cs="Aptos"/>
          <w:color w:val="000000" w:themeColor="text1"/>
          <w:szCs w:val="22"/>
        </w:rPr>
        <w:t xml:space="preserve">Communities and individuals who believe that they are adversely affected by a World Bank (WB) supported Project may submit complaints to existing Project-level grievance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w:t>
      </w:r>
      <w:hyperlink r:id="rId40">
        <w:r w:rsidRPr="00175D8B">
          <w:rPr>
            <w:rFonts w:eastAsia="Aptos" w:cs="Aptos"/>
            <w:color w:val="0563C1" w:themeColor="hyperlink"/>
            <w:szCs w:val="22"/>
            <w:u w:val="single"/>
          </w:rPr>
          <w:t>http://www.worldbank.org/en/projects-operations/products-and-services/grievance-redress-service</w:t>
        </w:r>
      </w:hyperlink>
      <w:r w:rsidRPr="00175D8B">
        <w:rPr>
          <w:rFonts w:eastAsia="Aptos" w:cs="Aptos"/>
          <w:color w:val="000000" w:themeColor="text1"/>
          <w:szCs w:val="22"/>
        </w:rPr>
        <w:t xml:space="preserve">. For information on how to submit complaints to the World Bank Inspection Panel, please visit </w:t>
      </w:r>
      <w:hyperlink r:id="rId41">
        <w:r w:rsidRPr="00D8459F">
          <w:rPr>
            <w:rFonts w:eastAsia="Aptos" w:cs="Aptos"/>
            <w:color w:val="0563C1" w:themeColor="hyperlink"/>
            <w:szCs w:val="22"/>
            <w:u w:val="single"/>
          </w:rPr>
          <w:t>www.inspectionpanel.org</w:t>
        </w:r>
      </w:hyperlink>
      <w:r w:rsidRPr="00D8459F">
        <w:rPr>
          <w:rFonts w:eastAsia="Aptos" w:cs="Aptos"/>
          <w:color w:val="0563C1" w:themeColor="hyperlink"/>
          <w:szCs w:val="22"/>
          <w:u w:val="single"/>
        </w:rPr>
        <w:t>.</w:t>
      </w:r>
    </w:p>
    <w:p w14:paraId="206BC2B7" w14:textId="5E413691" w:rsidR="00B34106" w:rsidRPr="00175D8B" w:rsidRDefault="00B34106" w:rsidP="00B34106">
      <w:pPr>
        <w:spacing w:before="120" w:after="0"/>
        <w:ind w:right="135"/>
        <w:rPr>
          <w:rFonts w:eastAsia="Aptos" w:cs="Aptos"/>
          <w:color w:val="000000" w:themeColor="text1"/>
          <w:szCs w:val="22"/>
        </w:rPr>
      </w:pPr>
    </w:p>
    <w:p w14:paraId="085AE1A3" w14:textId="77777777" w:rsidR="003D2155" w:rsidRPr="00175D8B" w:rsidRDefault="003D2155" w:rsidP="79FD7082">
      <w:pPr>
        <w:keepNext/>
        <w:keepLines/>
        <w:spacing w:before="360" w:after="80"/>
        <w:outlineLvl w:val="0"/>
        <w:rPr>
          <w:rStyle w:val="Balk1Char"/>
          <w:sz w:val="28"/>
          <w:szCs w:val="22"/>
        </w:rPr>
      </w:pPr>
      <w:bookmarkStart w:id="384" w:name="_Toc207987162"/>
      <w:bookmarkStart w:id="385" w:name="_Toc212541902"/>
      <w:bookmarkStart w:id="386" w:name="_Toc212542413"/>
      <w:bookmarkStart w:id="387" w:name="_Toc220672816"/>
      <w:r w:rsidRPr="00175D8B">
        <w:rPr>
          <w:rFonts w:eastAsia="Aptos" w:cs="Aptos"/>
          <w:b/>
          <w:bCs/>
          <w:color w:val="000000"/>
          <w:kern w:val="0"/>
          <w:sz w:val="28"/>
          <w:szCs w:val="22"/>
          <w:lang w:eastAsia="tr-TR"/>
          <w14:ligatures w14:val="none"/>
        </w:rPr>
        <w:t xml:space="preserve">8. </w:t>
      </w:r>
      <w:r w:rsidRPr="00175D8B">
        <w:rPr>
          <w:rStyle w:val="Balk1Char"/>
          <w:b/>
          <w:sz w:val="28"/>
          <w:szCs w:val="22"/>
        </w:rPr>
        <w:t>ENVIRONMENTAL &amp; SOCIAL MONITORING</w:t>
      </w:r>
      <w:bookmarkEnd w:id="384"/>
      <w:bookmarkEnd w:id="385"/>
      <w:bookmarkEnd w:id="386"/>
      <w:bookmarkEnd w:id="387"/>
      <w:r w:rsidRPr="00175D8B">
        <w:rPr>
          <w:rStyle w:val="Balk1Char"/>
          <w:sz w:val="28"/>
          <w:szCs w:val="22"/>
        </w:rPr>
        <w:t xml:space="preserve"> </w:t>
      </w:r>
    </w:p>
    <w:p w14:paraId="218EEA48" w14:textId="0EA6FAC0" w:rsidR="003D2155" w:rsidRPr="00175D8B" w:rsidRDefault="003D2155" w:rsidP="003D2155">
      <w:pPr>
        <w:spacing w:after="160"/>
        <w:rPr>
          <w:rFonts w:eastAsia="Aptos" w:cs="Aptos"/>
          <w:b/>
          <w:kern w:val="0"/>
          <w:sz w:val="32"/>
          <w:szCs w:val="32"/>
          <w:lang w:eastAsia="tr-TR"/>
          <w14:ligatures w14:val="none"/>
        </w:rPr>
      </w:pPr>
      <w:r w:rsidRPr="00175D8B">
        <w:rPr>
          <w:rFonts w:eastAsia="Aptos" w:cs="Aptos"/>
          <w:kern w:val="0"/>
          <w:szCs w:val="22"/>
          <w:lang w:eastAsia="tr-TR"/>
          <w14:ligatures w14:val="none"/>
        </w:rPr>
        <w:t>In the table below, the basic requirements and components of the environmental and social monitoring framework are presented. The Environmental and Social Monitoring Plan presented below (</w:t>
      </w:r>
      <w:r w:rsidR="004E3228" w:rsidRPr="004E3228">
        <w:rPr>
          <w:rFonts w:eastAsia="Aptos" w:cs="Aptos"/>
          <w:kern w:val="0"/>
          <w:szCs w:val="22"/>
          <w:lang w:eastAsia="tr-TR"/>
          <w14:ligatures w14:val="none"/>
        </w:rPr>
        <w:fldChar w:fldCharType="begin"/>
      </w:r>
      <w:r w:rsidR="004E3228" w:rsidRPr="004E3228">
        <w:rPr>
          <w:rFonts w:eastAsia="Aptos" w:cs="Aptos"/>
          <w:kern w:val="0"/>
          <w:szCs w:val="22"/>
          <w:lang w:eastAsia="tr-TR"/>
          <w14:ligatures w14:val="none"/>
        </w:rPr>
        <w:instrText xml:space="preserve"> REF _Ref214637527 \h  \* MERGEFORMAT </w:instrText>
      </w:r>
      <w:r w:rsidR="004E3228" w:rsidRPr="004E3228">
        <w:rPr>
          <w:rFonts w:eastAsia="Aptos" w:cs="Aptos"/>
          <w:kern w:val="0"/>
          <w:szCs w:val="22"/>
          <w:lang w:eastAsia="tr-TR"/>
          <w14:ligatures w14:val="none"/>
        </w:rPr>
      </w:r>
      <w:r w:rsidR="004E3228" w:rsidRPr="004E3228">
        <w:rPr>
          <w:rFonts w:eastAsia="Aptos" w:cs="Aptos"/>
          <w:kern w:val="0"/>
          <w:szCs w:val="22"/>
          <w:lang w:eastAsia="tr-TR"/>
          <w14:ligatures w14:val="none"/>
        </w:rPr>
        <w:fldChar w:fldCharType="separate"/>
      </w:r>
      <w:r w:rsidR="004E3228" w:rsidRPr="004E3228">
        <w:t xml:space="preserve">Table </w:t>
      </w:r>
      <w:r w:rsidR="004E3228" w:rsidRPr="004E3228">
        <w:rPr>
          <w:noProof/>
        </w:rPr>
        <w:t>32</w:t>
      </w:r>
      <w:r w:rsidR="004E3228" w:rsidRPr="004E3228">
        <w:rPr>
          <w:rFonts w:eastAsia="Aptos" w:cs="Aptos"/>
          <w:kern w:val="0"/>
          <w:szCs w:val="22"/>
          <w:lang w:eastAsia="tr-TR"/>
          <w14:ligatures w14:val="none"/>
        </w:rPr>
        <w:fldChar w:fldCharType="end"/>
      </w:r>
      <w:r w:rsidRPr="00175D8B">
        <w:rPr>
          <w:rFonts w:eastAsia="Aptos" w:cs="Aptos"/>
          <w:kern w:val="0"/>
          <w:szCs w:val="22"/>
          <w:lang w:eastAsia="tr-TR"/>
          <w14:ligatures w14:val="none"/>
        </w:rPr>
        <w:t xml:space="preserve">) can be expanded and adjusted during the screening activities to be implemented for the sub-projects. </w:t>
      </w:r>
    </w:p>
    <w:p w14:paraId="381990E5" w14:textId="6202ABB9" w:rsidR="00FE5FDE" w:rsidRPr="00175D8B" w:rsidRDefault="00FE5FDE" w:rsidP="006C58C5">
      <w:pPr>
        <w:pStyle w:val="ResimYazs"/>
        <w:keepNext/>
        <w:jc w:val="center"/>
      </w:pPr>
      <w:bookmarkStart w:id="388" w:name="_2ce457m" w:colFirst="0" w:colLast="0"/>
      <w:bookmarkStart w:id="389" w:name="_Ref214637527"/>
      <w:bookmarkStart w:id="390" w:name="_Toc216344449"/>
      <w:bookmarkEnd w:id="388"/>
      <w:r w:rsidRPr="006C58C5">
        <w:rPr>
          <w:b/>
          <w:bCs/>
        </w:rPr>
        <w:t xml:space="preserve">Table </w:t>
      </w:r>
      <w:r w:rsidRPr="006C58C5">
        <w:rPr>
          <w:b/>
          <w:bCs/>
        </w:rPr>
        <w:fldChar w:fldCharType="begin"/>
      </w:r>
      <w:r w:rsidRPr="006C58C5">
        <w:rPr>
          <w:b/>
          <w:bCs/>
        </w:rPr>
        <w:instrText xml:space="preserve"> SEQ Table \* ARABIC </w:instrText>
      </w:r>
      <w:r w:rsidRPr="006C58C5">
        <w:rPr>
          <w:b/>
          <w:bCs/>
        </w:rPr>
        <w:fldChar w:fldCharType="separate"/>
      </w:r>
      <w:r w:rsidRPr="00175D8B">
        <w:rPr>
          <w:b/>
          <w:bCs/>
          <w:noProof/>
        </w:rPr>
        <w:t>32</w:t>
      </w:r>
      <w:r w:rsidRPr="006C58C5">
        <w:rPr>
          <w:b/>
          <w:bCs/>
        </w:rPr>
        <w:fldChar w:fldCharType="end"/>
      </w:r>
      <w:bookmarkEnd w:id="389"/>
      <w:r w:rsidRPr="006C58C5">
        <w:rPr>
          <w:b/>
          <w:bCs/>
        </w:rPr>
        <w:t>:</w:t>
      </w:r>
      <w:r w:rsidRPr="00175D8B">
        <w:t xml:space="preserve"> </w:t>
      </w:r>
      <w:r w:rsidRPr="00175D8B">
        <w:rPr>
          <w:rFonts w:eastAsia="Aptos" w:cs="Aptos"/>
          <w:bCs/>
          <w:color w:val="000000"/>
          <w:kern w:val="0"/>
          <w:lang w:eastAsia="tr-TR"/>
          <w14:ligatures w14:val="none"/>
        </w:rPr>
        <w:t>Environmental and Social Monitoring of Retrofitting/Demolition/Reconstruction Works</w:t>
      </w:r>
      <w:bookmarkEnd w:id="390"/>
    </w:p>
    <w:tbl>
      <w:tblPr>
        <w:tblStyle w:val="38"/>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1275"/>
        <w:gridCol w:w="2135"/>
        <w:gridCol w:w="2251"/>
        <w:gridCol w:w="1317"/>
        <w:gridCol w:w="1668"/>
      </w:tblGrid>
      <w:tr w:rsidR="003D2155" w:rsidRPr="00175D8B" w14:paraId="070E4925" w14:textId="77777777" w:rsidTr="002550A6">
        <w:trPr>
          <w:tblHeader/>
          <w:jc w:val="center"/>
        </w:trPr>
        <w:tc>
          <w:tcPr>
            <w:tcW w:w="568" w:type="dxa"/>
            <w:shd w:val="clear" w:color="auto" w:fill="AEB9C4"/>
            <w:vAlign w:val="center"/>
          </w:tcPr>
          <w:p w14:paraId="62F0C77A" w14:textId="77777777" w:rsidR="003D2155" w:rsidRPr="00175D8B" w:rsidRDefault="003D2155" w:rsidP="003D2155">
            <w:pPr>
              <w:spacing w:after="0"/>
              <w:jc w:val="center"/>
              <w:rPr>
                <w:rFonts w:eastAsia="Aptos" w:cs="Aptos"/>
                <w:b/>
                <w:sz w:val="18"/>
                <w:szCs w:val="18"/>
              </w:rPr>
            </w:pPr>
            <w:r w:rsidRPr="00175D8B">
              <w:rPr>
                <w:rFonts w:eastAsia="Aptos" w:cs="Aptos"/>
                <w:b/>
                <w:sz w:val="18"/>
                <w:szCs w:val="18"/>
              </w:rPr>
              <w:t>No</w:t>
            </w:r>
          </w:p>
        </w:tc>
        <w:tc>
          <w:tcPr>
            <w:tcW w:w="1275" w:type="dxa"/>
            <w:shd w:val="clear" w:color="auto" w:fill="AEB9C4"/>
            <w:vAlign w:val="center"/>
          </w:tcPr>
          <w:p w14:paraId="4A217A20" w14:textId="77777777" w:rsidR="003D2155" w:rsidRPr="00175D8B" w:rsidRDefault="003D2155" w:rsidP="003D2155">
            <w:pPr>
              <w:spacing w:after="0"/>
              <w:jc w:val="center"/>
              <w:rPr>
                <w:rFonts w:eastAsia="Aptos" w:cs="Aptos"/>
                <w:b/>
                <w:sz w:val="18"/>
                <w:szCs w:val="18"/>
              </w:rPr>
            </w:pPr>
            <w:r w:rsidRPr="00175D8B">
              <w:rPr>
                <w:rFonts w:eastAsia="Aptos" w:cs="Aptos"/>
                <w:b/>
                <w:sz w:val="18"/>
                <w:szCs w:val="18"/>
              </w:rPr>
              <w:t>Parameter</w:t>
            </w:r>
          </w:p>
        </w:tc>
        <w:tc>
          <w:tcPr>
            <w:tcW w:w="2135" w:type="dxa"/>
            <w:shd w:val="clear" w:color="auto" w:fill="AEB9C4"/>
            <w:vAlign w:val="center"/>
          </w:tcPr>
          <w:p w14:paraId="0156F033" w14:textId="77777777" w:rsidR="003D2155" w:rsidRPr="00175D8B" w:rsidRDefault="003D2155" w:rsidP="003D2155">
            <w:pPr>
              <w:spacing w:after="0"/>
              <w:jc w:val="center"/>
              <w:rPr>
                <w:rFonts w:eastAsia="Aptos" w:cs="Aptos"/>
                <w:b/>
                <w:sz w:val="18"/>
                <w:szCs w:val="18"/>
              </w:rPr>
            </w:pPr>
            <w:r w:rsidRPr="00175D8B">
              <w:rPr>
                <w:rFonts w:eastAsia="Aptos" w:cs="Aptos"/>
                <w:b/>
                <w:sz w:val="18"/>
                <w:szCs w:val="18"/>
              </w:rPr>
              <w:t>Parameter Details / Mitigation</w:t>
            </w:r>
          </w:p>
        </w:tc>
        <w:tc>
          <w:tcPr>
            <w:tcW w:w="2251" w:type="dxa"/>
            <w:shd w:val="clear" w:color="auto" w:fill="AEB9C4"/>
            <w:vAlign w:val="center"/>
          </w:tcPr>
          <w:p w14:paraId="7F498E72" w14:textId="77777777" w:rsidR="003D2155" w:rsidRPr="00175D8B" w:rsidRDefault="003D2155" w:rsidP="003D2155">
            <w:pPr>
              <w:spacing w:after="0"/>
              <w:jc w:val="center"/>
              <w:rPr>
                <w:rFonts w:eastAsia="Aptos" w:cs="Aptos"/>
                <w:b/>
                <w:sz w:val="18"/>
                <w:szCs w:val="18"/>
              </w:rPr>
            </w:pPr>
            <w:r w:rsidRPr="00175D8B">
              <w:rPr>
                <w:rFonts w:eastAsia="Aptos" w:cs="Aptos"/>
                <w:b/>
                <w:sz w:val="18"/>
                <w:szCs w:val="18"/>
              </w:rPr>
              <w:t>Monitoring Method and Location</w:t>
            </w:r>
          </w:p>
        </w:tc>
        <w:tc>
          <w:tcPr>
            <w:tcW w:w="1317" w:type="dxa"/>
            <w:shd w:val="clear" w:color="auto" w:fill="AEB9C4"/>
            <w:vAlign w:val="center"/>
          </w:tcPr>
          <w:p w14:paraId="43EA94EA" w14:textId="77777777" w:rsidR="003D2155" w:rsidRPr="00175D8B" w:rsidRDefault="003D2155" w:rsidP="003D2155">
            <w:pPr>
              <w:spacing w:after="0"/>
              <w:jc w:val="center"/>
              <w:rPr>
                <w:rFonts w:eastAsia="Aptos" w:cs="Aptos"/>
                <w:b/>
                <w:sz w:val="18"/>
                <w:szCs w:val="18"/>
              </w:rPr>
            </w:pPr>
            <w:r w:rsidRPr="00175D8B">
              <w:rPr>
                <w:rFonts w:eastAsia="Aptos" w:cs="Aptos"/>
                <w:b/>
                <w:sz w:val="18"/>
                <w:szCs w:val="18"/>
              </w:rPr>
              <w:t>Frequency</w:t>
            </w:r>
          </w:p>
        </w:tc>
        <w:tc>
          <w:tcPr>
            <w:tcW w:w="1668" w:type="dxa"/>
            <w:shd w:val="clear" w:color="auto" w:fill="AEB9C4"/>
            <w:vAlign w:val="center"/>
          </w:tcPr>
          <w:p w14:paraId="195FB0CC" w14:textId="77777777" w:rsidR="003D2155" w:rsidRPr="00175D8B" w:rsidRDefault="003D2155" w:rsidP="003D2155">
            <w:pPr>
              <w:spacing w:after="0"/>
              <w:jc w:val="center"/>
              <w:rPr>
                <w:rFonts w:eastAsia="Aptos" w:cs="Aptos"/>
                <w:b/>
                <w:sz w:val="18"/>
                <w:szCs w:val="18"/>
              </w:rPr>
            </w:pPr>
            <w:r w:rsidRPr="00175D8B">
              <w:rPr>
                <w:rFonts w:eastAsia="Aptos" w:cs="Aptos"/>
                <w:b/>
                <w:sz w:val="18"/>
                <w:szCs w:val="18"/>
              </w:rPr>
              <w:t>Responsibility</w:t>
            </w:r>
          </w:p>
        </w:tc>
      </w:tr>
      <w:tr w:rsidR="003D2155" w:rsidRPr="00175D8B" w14:paraId="3440531D" w14:textId="77777777" w:rsidTr="002550A6">
        <w:trPr>
          <w:jc w:val="center"/>
        </w:trPr>
        <w:tc>
          <w:tcPr>
            <w:tcW w:w="9214" w:type="dxa"/>
            <w:gridSpan w:val="6"/>
            <w:shd w:val="clear" w:color="auto" w:fill="F2F2F2"/>
            <w:vAlign w:val="center"/>
          </w:tcPr>
          <w:p w14:paraId="4A18CB69" w14:textId="77777777" w:rsidR="003D2155" w:rsidRPr="00175D8B" w:rsidRDefault="003D2155" w:rsidP="003D2155">
            <w:pPr>
              <w:spacing w:after="0"/>
              <w:jc w:val="center"/>
              <w:rPr>
                <w:rFonts w:eastAsia="Aptos" w:cs="Aptos"/>
                <w:b/>
                <w:i/>
                <w:sz w:val="18"/>
                <w:szCs w:val="18"/>
              </w:rPr>
            </w:pPr>
            <w:r w:rsidRPr="00175D8B">
              <w:rPr>
                <w:rFonts w:eastAsia="Aptos" w:cs="Aptos"/>
                <w:b/>
                <w:i/>
                <w:sz w:val="18"/>
                <w:szCs w:val="18"/>
              </w:rPr>
              <w:t xml:space="preserve">Preparatory stage of the sub-projects whose demolition works are completed and only reconstruction works will be performed </w:t>
            </w:r>
          </w:p>
        </w:tc>
      </w:tr>
      <w:tr w:rsidR="003D2155" w:rsidRPr="00175D8B" w14:paraId="45A6AAE4" w14:textId="77777777" w:rsidTr="002550A6">
        <w:trPr>
          <w:trHeight w:val="1907"/>
          <w:jc w:val="center"/>
        </w:trPr>
        <w:tc>
          <w:tcPr>
            <w:tcW w:w="568" w:type="dxa"/>
            <w:vMerge w:val="restart"/>
            <w:shd w:val="clear" w:color="auto" w:fill="F2F2F2"/>
            <w:vAlign w:val="center"/>
          </w:tcPr>
          <w:p w14:paraId="22C13C74"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1</w:t>
            </w:r>
          </w:p>
        </w:tc>
        <w:tc>
          <w:tcPr>
            <w:tcW w:w="1275" w:type="dxa"/>
            <w:vMerge w:val="restart"/>
            <w:shd w:val="clear" w:color="auto" w:fill="F2F2F2"/>
            <w:vAlign w:val="center"/>
          </w:tcPr>
          <w:p w14:paraId="6A38FB77"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Waste Management</w:t>
            </w:r>
          </w:p>
          <w:p w14:paraId="2713EF74" w14:textId="77777777" w:rsidR="003D2155" w:rsidRPr="00175D8B" w:rsidRDefault="003D2155" w:rsidP="003D2155">
            <w:pPr>
              <w:spacing w:after="0"/>
              <w:jc w:val="center"/>
              <w:rPr>
                <w:rFonts w:eastAsia="Aptos" w:cs="Aptos"/>
                <w:sz w:val="18"/>
                <w:szCs w:val="18"/>
              </w:rPr>
            </w:pPr>
          </w:p>
          <w:p w14:paraId="42D60C35" w14:textId="77777777" w:rsidR="003D2155" w:rsidRPr="00175D8B" w:rsidRDefault="003D2155" w:rsidP="003D2155">
            <w:pPr>
              <w:spacing w:after="0" w:line="240" w:lineRule="auto"/>
              <w:jc w:val="center"/>
              <w:rPr>
                <w:rFonts w:eastAsia="Aptos" w:cs="Aptos"/>
                <w:sz w:val="18"/>
                <w:szCs w:val="18"/>
              </w:rPr>
            </w:pPr>
          </w:p>
          <w:p w14:paraId="289F29A4" w14:textId="77777777" w:rsidR="003D2155" w:rsidRPr="00175D8B" w:rsidRDefault="003D2155" w:rsidP="003D2155">
            <w:pPr>
              <w:spacing w:after="0" w:line="240" w:lineRule="auto"/>
              <w:jc w:val="center"/>
              <w:rPr>
                <w:rFonts w:eastAsia="Aptos" w:cs="Aptos"/>
                <w:sz w:val="18"/>
                <w:szCs w:val="18"/>
              </w:rPr>
            </w:pPr>
          </w:p>
          <w:p w14:paraId="7D0D50FD" w14:textId="77777777" w:rsidR="003D2155" w:rsidRPr="00175D8B" w:rsidRDefault="003D2155" w:rsidP="003D2155">
            <w:pPr>
              <w:spacing w:after="0" w:line="240" w:lineRule="auto"/>
              <w:jc w:val="center"/>
              <w:rPr>
                <w:rFonts w:eastAsia="Aptos" w:cs="Aptos"/>
                <w:sz w:val="18"/>
                <w:szCs w:val="18"/>
              </w:rPr>
            </w:pPr>
          </w:p>
          <w:p w14:paraId="02E90701" w14:textId="77777777" w:rsidR="003D2155" w:rsidRPr="00175D8B" w:rsidRDefault="003D2155" w:rsidP="003D2155">
            <w:pPr>
              <w:spacing w:after="0" w:line="240" w:lineRule="auto"/>
              <w:jc w:val="center"/>
              <w:rPr>
                <w:rFonts w:eastAsia="Aptos" w:cs="Aptos"/>
                <w:sz w:val="18"/>
                <w:szCs w:val="18"/>
              </w:rPr>
            </w:pPr>
          </w:p>
          <w:p w14:paraId="40BE660A" w14:textId="77777777" w:rsidR="003D2155" w:rsidRPr="00175D8B" w:rsidRDefault="003D2155" w:rsidP="003D2155">
            <w:pPr>
              <w:spacing w:after="0" w:line="240" w:lineRule="auto"/>
              <w:jc w:val="center"/>
              <w:rPr>
                <w:rFonts w:eastAsia="Aptos" w:cs="Aptos"/>
                <w:sz w:val="18"/>
                <w:szCs w:val="18"/>
              </w:rPr>
            </w:pPr>
          </w:p>
          <w:p w14:paraId="635D5BB5" w14:textId="77777777" w:rsidR="003D2155" w:rsidRPr="00175D8B" w:rsidRDefault="003D2155" w:rsidP="003D2155">
            <w:pPr>
              <w:spacing w:after="0" w:line="240" w:lineRule="auto"/>
              <w:jc w:val="center"/>
              <w:rPr>
                <w:rFonts w:eastAsia="Aptos" w:cs="Aptos"/>
                <w:sz w:val="18"/>
                <w:szCs w:val="18"/>
              </w:rPr>
            </w:pPr>
          </w:p>
          <w:p w14:paraId="0F9429F0" w14:textId="77777777" w:rsidR="003D2155" w:rsidRPr="00175D8B" w:rsidRDefault="003D2155" w:rsidP="003D2155">
            <w:pPr>
              <w:spacing w:after="0" w:line="240" w:lineRule="auto"/>
              <w:jc w:val="center"/>
              <w:rPr>
                <w:rFonts w:eastAsia="Aptos" w:cs="Aptos"/>
                <w:sz w:val="18"/>
                <w:szCs w:val="18"/>
              </w:rPr>
            </w:pPr>
          </w:p>
          <w:p w14:paraId="4219A757" w14:textId="77777777" w:rsidR="003D2155" w:rsidRPr="00175D8B" w:rsidRDefault="003D2155" w:rsidP="003D2155">
            <w:pPr>
              <w:spacing w:after="0" w:line="240" w:lineRule="auto"/>
              <w:jc w:val="center"/>
              <w:rPr>
                <w:rFonts w:eastAsia="Aptos" w:cs="Aptos"/>
                <w:sz w:val="18"/>
                <w:szCs w:val="18"/>
              </w:rPr>
            </w:pPr>
          </w:p>
          <w:p w14:paraId="6D35958F" w14:textId="77777777" w:rsidR="003D2155" w:rsidRPr="00175D8B" w:rsidRDefault="003D2155" w:rsidP="003D2155">
            <w:pPr>
              <w:spacing w:after="0" w:line="240" w:lineRule="auto"/>
              <w:jc w:val="center"/>
              <w:rPr>
                <w:rFonts w:eastAsia="Aptos" w:cs="Aptos"/>
                <w:sz w:val="18"/>
                <w:szCs w:val="18"/>
              </w:rPr>
            </w:pPr>
          </w:p>
          <w:p w14:paraId="3BB790CD" w14:textId="77777777" w:rsidR="003D2155" w:rsidRPr="00175D8B" w:rsidRDefault="003D2155" w:rsidP="003D2155">
            <w:pPr>
              <w:spacing w:after="0" w:line="240" w:lineRule="auto"/>
              <w:jc w:val="center"/>
              <w:rPr>
                <w:rFonts w:eastAsia="Aptos" w:cs="Aptos"/>
                <w:sz w:val="18"/>
                <w:szCs w:val="18"/>
              </w:rPr>
            </w:pPr>
          </w:p>
          <w:p w14:paraId="0C3ADA13" w14:textId="77777777" w:rsidR="003D2155" w:rsidRPr="00175D8B" w:rsidRDefault="003D2155" w:rsidP="003D2155">
            <w:pPr>
              <w:spacing w:after="0" w:line="240" w:lineRule="auto"/>
              <w:jc w:val="center"/>
              <w:rPr>
                <w:rFonts w:eastAsia="Aptos" w:cs="Aptos"/>
                <w:sz w:val="18"/>
                <w:szCs w:val="18"/>
              </w:rPr>
            </w:pPr>
          </w:p>
        </w:tc>
        <w:tc>
          <w:tcPr>
            <w:tcW w:w="2135" w:type="dxa"/>
            <w:vMerge w:val="restart"/>
            <w:shd w:val="clear" w:color="auto" w:fill="F2F2F2"/>
            <w:vAlign w:val="center"/>
          </w:tcPr>
          <w:p w14:paraId="48CCB6F6"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Reuse / recycle / disposal of hazardous &amp; non-hazardous wastes which are present in and around demolition area (if any), whose management were not carried out properly.</w:t>
            </w:r>
          </w:p>
        </w:tc>
        <w:tc>
          <w:tcPr>
            <w:tcW w:w="2251" w:type="dxa"/>
            <w:shd w:val="clear" w:color="auto" w:fill="F2F2F2"/>
            <w:vAlign w:val="center"/>
          </w:tcPr>
          <w:p w14:paraId="7093CDB6"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observations on and around of the sub-project site.</w:t>
            </w:r>
          </w:p>
          <w:p w14:paraId="7147B0DB" w14:textId="77777777" w:rsidR="003D2155" w:rsidRPr="00175D8B" w:rsidRDefault="003D2155" w:rsidP="003D2155">
            <w:pPr>
              <w:spacing w:after="0"/>
              <w:jc w:val="left"/>
              <w:rPr>
                <w:rFonts w:eastAsia="Aptos" w:cs="Aptos"/>
                <w:sz w:val="18"/>
                <w:szCs w:val="18"/>
              </w:rPr>
            </w:pPr>
          </w:p>
          <w:p w14:paraId="6658B792"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Inspection and review of the records and tools of the Grievance Mechanism such as grievance boxes, grievance forms etc. to be present on the impact area of the sub-project.</w:t>
            </w:r>
          </w:p>
          <w:p w14:paraId="7487392C" w14:textId="77777777" w:rsidR="003D2155" w:rsidRPr="00175D8B" w:rsidRDefault="003D2155" w:rsidP="003D2155">
            <w:pPr>
              <w:spacing w:after="0"/>
              <w:jc w:val="left"/>
              <w:rPr>
                <w:rFonts w:eastAsia="Aptos" w:cs="Aptos"/>
                <w:sz w:val="18"/>
                <w:szCs w:val="18"/>
              </w:rPr>
            </w:pPr>
          </w:p>
        </w:tc>
        <w:tc>
          <w:tcPr>
            <w:tcW w:w="1317" w:type="dxa"/>
            <w:shd w:val="clear" w:color="auto" w:fill="F2F2F2"/>
            <w:vAlign w:val="center"/>
          </w:tcPr>
          <w:p w14:paraId="02A944B9"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Daily</w:t>
            </w:r>
          </w:p>
          <w:p w14:paraId="32BE2AE0" w14:textId="77777777" w:rsidR="003D2155" w:rsidRPr="00175D8B" w:rsidRDefault="003D2155" w:rsidP="003D2155">
            <w:pPr>
              <w:spacing w:after="0"/>
              <w:jc w:val="center"/>
              <w:rPr>
                <w:rFonts w:eastAsia="Aptos" w:cs="Aptos"/>
                <w:sz w:val="18"/>
                <w:szCs w:val="18"/>
              </w:rPr>
            </w:pPr>
          </w:p>
        </w:tc>
        <w:tc>
          <w:tcPr>
            <w:tcW w:w="1668" w:type="dxa"/>
            <w:shd w:val="clear" w:color="auto" w:fill="F2F2F2"/>
            <w:vAlign w:val="center"/>
          </w:tcPr>
          <w:p w14:paraId="447F99A9"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Contractor / Contractor’s OHS Focal Point</w:t>
            </w:r>
          </w:p>
          <w:p w14:paraId="6E36C168" w14:textId="77777777" w:rsidR="003D2155" w:rsidRPr="00175D8B" w:rsidRDefault="003D2155" w:rsidP="003D2155">
            <w:pPr>
              <w:spacing w:after="0"/>
              <w:jc w:val="center"/>
              <w:rPr>
                <w:rFonts w:eastAsia="Aptos" w:cs="Aptos"/>
                <w:sz w:val="18"/>
                <w:szCs w:val="18"/>
              </w:rPr>
            </w:pPr>
          </w:p>
        </w:tc>
      </w:tr>
      <w:tr w:rsidR="003D2155" w:rsidRPr="00175D8B" w14:paraId="2C3FFC2D" w14:textId="77777777" w:rsidTr="002550A6">
        <w:trPr>
          <w:trHeight w:val="1995"/>
          <w:jc w:val="center"/>
        </w:trPr>
        <w:tc>
          <w:tcPr>
            <w:tcW w:w="568" w:type="dxa"/>
            <w:vMerge/>
            <w:shd w:val="clear" w:color="auto" w:fill="F2F2F2"/>
            <w:vAlign w:val="center"/>
          </w:tcPr>
          <w:p w14:paraId="25F6CD43"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082D546A"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4E0C2E83"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shd w:val="clear" w:color="auto" w:fill="F2F2F2"/>
            <w:vAlign w:val="center"/>
          </w:tcPr>
          <w:p w14:paraId="446146C9"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observations on and around of the sub-project site.</w:t>
            </w:r>
          </w:p>
          <w:p w14:paraId="62E555C6" w14:textId="77777777" w:rsidR="003D2155" w:rsidRPr="00175D8B" w:rsidRDefault="003D2155" w:rsidP="003D2155">
            <w:pPr>
              <w:spacing w:after="0"/>
              <w:jc w:val="left"/>
              <w:rPr>
                <w:rFonts w:eastAsia="Aptos" w:cs="Aptos"/>
                <w:sz w:val="18"/>
                <w:szCs w:val="18"/>
              </w:rPr>
            </w:pPr>
          </w:p>
          <w:p w14:paraId="13187515"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 xml:space="preserve">Visual Inspection and review of the records and tools of the Grievance Mechanism such as grievance boxes, grievance forms etc. to be present on </w:t>
            </w:r>
            <w:r w:rsidRPr="00175D8B">
              <w:rPr>
                <w:rFonts w:eastAsia="Aptos" w:cs="Aptos"/>
                <w:sz w:val="18"/>
                <w:szCs w:val="18"/>
              </w:rPr>
              <w:lastRenderedPageBreak/>
              <w:t>the impact area of the sub-project.</w:t>
            </w:r>
          </w:p>
        </w:tc>
        <w:tc>
          <w:tcPr>
            <w:tcW w:w="1317" w:type="dxa"/>
            <w:shd w:val="clear" w:color="auto" w:fill="F2F2F2"/>
            <w:vAlign w:val="center"/>
          </w:tcPr>
          <w:p w14:paraId="2C506C8A"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lastRenderedPageBreak/>
              <w:t>Weekly</w:t>
            </w:r>
          </w:p>
        </w:tc>
        <w:tc>
          <w:tcPr>
            <w:tcW w:w="1668" w:type="dxa"/>
            <w:shd w:val="clear" w:color="auto" w:fill="F2F2F2"/>
            <w:vAlign w:val="center"/>
          </w:tcPr>
          <w:p w14:paraId="2460AFAB"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Individual Specialists in the provinces</w:t>
            </w:r>
          </w:p>
        </w:tc>
      </w:tr>
      <w:tr w:rsidR="003D2155" w:rsidRPr="00175D8B" w14:paraId="44D12EB5" w14:textId="77777777" w:rsidTr="002550A6">
        <w:trPr>
          <w:jc w:val="center"/>
        </w:trPr>
        <w:tc>
          <w:tcPr>
            <w:tcW w:w="568" w:type="dxa"/>
            <w:shd w:val="clear" w:color="auto" w:fill="F2F2F2"/>
            <w:vAlign w:val="center"/>
          </w:tcPr>
          <w:p w14:paraId="2DBA2802"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2</w:t>
            </w:r>
          </w:p>
        </w:tc>
        <w:tc>
          <w:tcPr>
            <w:tcW w:w="1275" w:type="dxa"/>
            <w:shd w:val="clear" w:color="auto" w:fill="F2F2F2"/>
            <w:vAlign w:val="center"/>
          </w:tcPr>
          <w:p w14:paraId="599DB083"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Dust and Noise</w:t>
            </w:r>
          </w:p>
        </w:tc>
        <w:tc>
          <w:tcPr>
            <w:tcW w:w="2135" w:type="dxa"/>
            <w:shd w:val="clear" w:color="auto" w:fill="F2F2F2"/>
            <w:vAlign w:val="center"/>
          </w:tcPr>
          <w:p w14:paraId="11897EFD"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Implementation of Grievance Mechanism to the grievances (if any) had been informed against dust and noise during the performed demolition works.</w:t>
            </w:r>
          </w:p>
          <w:p w14:paraId="62D96AE0" w14:textId="35A5ACF1" w:rsidR="003D2155" w:rsidRPr="00175D8B" w:rsidRDefault="003D2155" w:rsidP="003D2155">
            <w:pPr>
              <w:spacing w:after="0"/>
              <w:jc w:val="left"/>
              <w:rPr>
                <w:rFonts w:eastAsia="Aptos" w:cs="Aptos"/>
                <w:sz w:val="18"/>
                <w:szCs w:val="18"/>
              </w:rPr>
            </w:pPr>
            <w:r w:rsidRPr="00175D8B">
              <w:rPr>
                <w:rFonts w:eastAsia="Aptos" w:cs="Aptos"/>
                <w:sz w:val="18"/>
                <w:szCs w:val="18"/>
              </w:rPr>
              <w:t xml:space="preserve">(The measures to be taken regarding these issues are presented in detail in Annex </w:t>
            </w:r>
            <w:r w:rsidR="00365CEA" w:rsidRPr="00175D8B">
              <w:rPr>
                <w:rFonts w:eastAsia="Aptos" w:cs="Aptos"/>
                <w:sz w:val="18"/>
                <w:szCs w:val="18"/>
              </w:rPr>
              <w:t>7</w:t>
            </w:r>
            <w:r w:rsidRPr="00175D8B">
              <w:rPr>
                <w:rFonts w:eastAsia="Aptos" w:cs="Aptos"/>
                <w:sz w:val="18"/>
                <w:szCs w:val="18"/>
              </w:rPr>
              <w:t>.)</w:t>
            </w:r>
          </w:p>
        </w:tc>
        <w:tc>
          <w:tcPr>
            <w:tcW w:w="2251" w:type="dxa"/>
            <w:shd w:val="clear" w:color="auto" w:fill="F2F2F2"/>
            <w:vAlign w:val="center"/>
          </w:tcPr>
          <w:p w14:paraId="49E611B4"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 xml:space="preserve">Visual Inspection and review of the records of the Grievance </w:t>
            </w:r>
          </w:p>
          <w:p w14:paraId="1A4209AC"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Mechanism to be implemented on and impact area of the sub-project.</w:t>
            </w:r>
          </w:p>
          <w:p w14:paraId="7279D8CF" w14:textId="77777777" w:rsidR="003D2155" w:rsidRPr="00175D8B" w:rsidRDefault="003D2155" w:rsidP="003D2155">
            <w:pPr>
              <w:spacing w:after="0"/>
              <w:jc w:val="left"/>
              <w:rPr>
                <w:rFonts w:eastAsia="Aptos" w:cs="Aptos"/>
                <w:sz w:val="18"/>
                <w:szCs w:val="18"/>
              </w:rPr>
            </w:pPr>
          </w:p>
        </w:tc>
        <w:tc>
          <w:tcPr>
            <w:tcW w:w="1317" w:type="dxa"/>
            <w:shd w:val="clear" w:color="auto" w:fill="F2F2F2"/>
            <w:vAlign w:val="center"/>
          </w:tcPr>
          <w:p w14:paraId="477F686C"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Weekly</w:t>
            </w:r>
          </w:p>
          <w:p w14:paraId="7DD5CE5F"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Daily</w:t>
            </w:r>
          </w:p>
          <w:p w14:paraId="0E5B1C3C" w14:textId="77777777" w:rsidR="003D2155" w:rsidRPr="00175D8B" w:rsidRDefault="003D2155" w:rsidP="003D2155">
            <w:pPr>
              <w:spacing w:after="0"/>
              <w:jc w:val="center"/>
              <w:rPr>
                <w:rFonts w:eastAsia="Aptos" w:cs="Aptos"/>
                <w:sz w:val="18"/>
                <w:szCs w:val="18"/>
              </w:rPr>
            </w:pPr>
          </w:p>
        </w:tc>
        <w:tc>
          <w:tcPr>
            <w:tcW w:w="1668" w:type="dxa"/>
            <w:shd w:val="clear" w:color="auto" w:fill="F2F2F2"/>
            <w:vAlign w:val="center"/>
          </w:tcPr>
          <w:p w14:paraId="5856D7E0"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Contractor / Contractor’s OHS Focal Point PMU Individual Specialists in the provinces</w:t>
            </w:r>
          </w:p>
          <w:p w14:paraId="16A4A16A"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Contractor / Contractor’s OHS Focal Point</w:t>
            </w:r>
          </w:p>
        </w:tc>
      </w:tr>
      <w:tr w:rsidR="003D2155" w:rsidRPr="00175D8B" w14:paraId="1D3FEC79" w14:textId="77777777" w:rsidTr="002550A6">
        <w:trPr>
          <w:trHeight w:val="3032"/>
          <w:jc w:val="center"/>
        </w:trPr>
        <w:tc>
          <w:tcPr>
            <w:tcW w:w="568" w:type="dxa"/>
            <w:shd w:val="clear" w:color="auto" w:fill="F2F2F2"/>
            <w:vAlign w:val="center"/>
          </w:tcPr>
          <w:p w14:paraId="27F9AF5F"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3</w:t>
            </w:r>
          </w:p>
        </w:tc>
        <w:tc>
          <w:tcPr>
            <w:tcW w:w="1275" w:type="dxa"/>
            <w:shd w:val="clear" w:color="auto" w:fill="F2F2F2"/>
            <w:vAlign w:val="center"/>
          </w:tcPr>
          <w:p w14:paraId="30C98C48"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Community Health and Safety / Traffic</w:t>
            </w:r>
          </w:p>
        </w:tc>
        <w:tc>
          <w:tcPr>
            <w:tcW w:w="2135" w:type="dxa"/>
            <w:shd w:val="clear" w:color="auto" w:fill="F2F2F2"/>
            <w:vAlign w:val="center"/>
          </w:tcPr>
          <w:p w14:paraId="3F17658C"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Resolving the traffic congestion problem (if any) which were caused by the demolition activities performed.</w:t>
            </w:r>
          </w:p>
          <w:p w14:paraId="7F9F78F5"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Develop Traffic Management Plan</w:t>
            </w:r>
          </w:p>
        </w:tc>
        <w:tc>
          <w:tcPr>
            <w:tcW w:w="2251" w:type="dxa"/>
            <w:shd w:val="clear" w:color="auto" w:fill="F2F2F2"/>
            <w:vAlign w:val="center"/>
          </w:tcPr>
          <w:p w14:paraId="23F04BB0"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observations on and around of the sub-project site.</w:t>
            </w:r>
          </w:p>
          <w:p w14:paraId="54945C01" w14:textId="77777777" w:rsidR="003D2155" w:rsidRPr="00175D8B" w:rsidRDefault="003D2155" w:rsidP="003D2155">
            <w:pPr>
              <w:spacing w:after="0"/>
              <w:jc w:val="left"/>
              <w:rPr>
                <w:rFonts w:eastAsia="Aptos" w:cs="Aptos"/>
                <w:sz w:val="18"/>
                <w:szCs w:val="18"/>
              </w:rPr>
            </w:pPr>
          </w:p>
          <w:p w14:paraId="5A9A6DA0"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Inspection and review of the records and tools of the Grievance Mechanism such as grievance boxes, grievance forms etc. to be present on the impact area of the sub-project.</w:t>
            </w:r>
          </w:p>
        </w:tc>
        <w:tc>
          <w:tcPr>
            <w:tcW w:w="1317" w:type="dxa"/>
            <w:shd w:val="clear" w:color="auto" w:fill="F2F2F2"/>
            <w:vAlign w:val="center"/>
          </w:tcPr>
          <w:p w14:paraId="716C761A"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Weekly</w:t>
            </w:r>
          </w:p>
        </w:tc>
        <w:tc>
          <w:tcPr>
            <w:tcW w:w="1668" w:type="dxa"/>
            <w:shd w:val="clear" w:color="auto" w:fill="F2F2F2"/>
            <w:vAlign w:val="center"/>
          </w:tcPr>
          <w:p w14:paraId="68FBC19F"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Individual Specialists in the provinces</w:t>
            </w:r>
          </w:p>
        </w:tc>
      </w:tr>
      <w:tr w:rsidR="003D2155" w:rsidRPr="00175D8B" w14:paraId="44B7485E" w14:textId="77777777" w:rsidTr="002550A6">
        <w:trPr>
          <w:jc w:val="center"/>
        </w:trPr>
        <w:tc>
          <w:tcPr>
            <w:tcW w:w="9214" w:type="dxa"/>
            <w:gridSpan w:val="6"/>
            <w:shd w:val="clear" w:color="auto" w:fill="F2F2F2"/>
            <w:vAlign w:val="center"/>
          </w:tcPr>
          <w:p w14:paraId="385F8D2A" w14:textId="77777777" w:rsidR="003D2155" w:rsidRPr="00175D8B" w:rsidRDefault="003D2155" w:rsidP="003D2155">
            <w:pPr>
              <w:spacing w:after="0"/>
              <w:jc w:val="center"/>
              <w:rPr>
                <w:rFonts w:eastAsia="Aptos" w:cs="Aptos"/>
                <w:b/>
                <w:i/>
                <w:sz w:val="18"/>
                <w:szCs w:val="18"/>
              </w:rPr>
            </w:pPr>
            <w:r w:rsidRPr="00175D8B">
              <w:rPr>
                <w:rFonts w:eastAsia="Aptos" w:cs="Aptos"/>
                <w:b/>
                <w:i/>
                <w:sz w:val="18"/>
                <w:szCs w:val="18"/>
              </w:rPr>
              <w:t>Preparatory stage of demolition/retrofitting/reconstruction sub-projects</w:t>
            </w:r>
          </w:p>
        </w:tc>
      </w:tr>
      <w:tr w:rsidR="003D2155" w:rsidRPr="00175D8B" w14:paraId="62EEE2B1" w14:textId="77777777" w:rsidTr="002550A6">
        <w:trPr>
          <w:jc w:val="center"/>
        </w:trPr>
        <w:tc>
          <w:tcPr>
            <w:tcW w:w="568" w:type="dxa"/>
            <w:vMerge w:val="restart"/>
            <w:shd w:val="clear" w:color="auto" w:fill="F2F2F2"/>
            <w:vAlign w:val="center"/>
          </w:tcPr>
          <w:p w14:paraId="46601C42"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4</w:t>
            </w:r>
          </w:p>
        </w:tc>
        <w:tc>
          <w:tcPr>
            <w:tcW w:w="1275" w:type="dxa"/>
            <w:vMerge w:val="restart"/>
            <w:shd w:val="clear" w:color="auto" w:fill="F2F2F2"/>
            <w:vAlign w:val="center"/>
          </w:tcPr>
          <w:p w14:paraId="7028EF35"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Plans, Procedures and Methods</w:t>
            </w:r>
          </w:p>
        </w:tc>
        <w:tc>
          <w:tcPr>
            <w:tcW w:w="2135" w:type="dxa"/>
            <w:vMerge w:val="restart"/>
            <w:shd w:val="clear" w:color="auto" w:fill="F2F2F2"/>
            <w:vAlign w:val="center"/>
          </w:tcPr>
          <w:p w14:paraId="6D6DBF49"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 xml:space="preserve">Prior to initialization of activities; </w:t>
            </w:r>
          </w:p>
          <w:p w14:paraId="26503740" w14:textId="77777777" w:rsidR="003D2155" w:rsidRPr="00175D8B" w:rsidRDefault="003D2155">
            <w:pPr>
              <w:numPr>
                <w:ilvl w:val="0"/>
                <w:numId w:val="130"/>
              </w:numPr>
              <w:spacing w:after="0" w:line="240" w:lineRule="auto"/>
              <w:contextualSpacing/>
              <w:rPr>
                <w:rFonts w:eastAsia="Aptos" w:cs="Aptos"/>
                <w:sz w:val="18"/>
                <w:szCs w:val="18"/>
              </w:rPr>
            </w:pPr>
            <w:r w:rsidRPr="00175D8B">
              <w:rPr>
                <w:sz w:val="18"/>
                <w:szCs w:val="18"/>
              </w:rPr>
              <w:t xml:space="preserve">Sakarya ESMP including Waste Management Plan, Resource Efficiency and </w:t>
            </w:r>
            <w:r w:rsidRPr="00175D8B">
              <w:rPr>
                <w:sz w:val="18"/>
                <w:szCs w:val="18"/>
              </w:rPr>
              <w:lastRenderedPageBreak/>
              <w:t>Pollution Prevention Plan,</w:t>
            </w:r>
          </w:p>
          <w:p w14:paraId="6E646318" w14:textId="77777777" w:rsidR="003D2155" w:rsidRPr="00175D8B" w:rsidRDefault="003D2155">
            <w:pPr>
              <w:numPr>
                <w:ilvl w:val="0"/>
                <w:numId w:val="130"/>
              </w:numPr>
              <w:spacing w:after="0" w:line="240" w:lineRule="auto"/>
              <w:contextualSpacing/>
              <w:rPr>
                <w:rFonts w:eastAsia="Aptos" w:cs="Aptos"/>
                <w:sz w:val="18"/>
                <w:szCs w:val="18"/>
              </w:rPr>
            </w:pPr>
            <w:r w:rsidRPr="00175D8B">
              <w:rPr>
                <w:sz w:val="18"/>
                <w:szCs w:val="18"/>
              </w:rPr>
              <w:t>ESMP Checklists,</w:t>
            </w:r>
          </w:p>
          <w:p w14:paraId="1C3A8F8D" w14:textId="77777777" w:rsidR="003D2155" w:rsidRPr="00175D8B" w:rsidRDefault="003D2155">
            <w:pPr>
              <w:numPr>
                <w:ilvl w:val="0"/>
                <w:numId w:val="130"/>
              </w:numPr>
              <w:spacing w:after="0" w:line="240" w:lineRule="auto"/>
              <w:contextualSpacing/>
              <w:rPr>
                <w:rFonts w:eastAsia="Aptos" w:cs="Aptos"/>
                <w:sz w:val="18"/>
                <w:szCs w:val="18"/>
              </w:rPr>
            </w:pPr>
            <w:r w:rsidRPr="00175D8B">
              <w:rPr>
                <w:sz w:val="18"/>
                <w:szCs w:val="18"/>
              </w:rPr>
              <w:t>Additional documents that should be prepared as per the sub-project’s relevant implementation (e.g., preparation of the documents within the scope of building implosion, if this is the method), and</w:t>
            </w:r>
          </w:p>
          <w:p w14:paraId="0DA1C335" w14:textId="77777777" w:rsidR="003D2155" w:rsidRPr="00175D8B" w:rsidRDefault="003D2155">
            <w:pPr>
              <w:numPr>
                <w:ilvl w:val="0"/>
                <w:numId w:val="130"/>
              </w:numPr>
              <w:spacing w:after="0" w:line="240" w:lineRule="auto"/>
              <w:contextualSpacing/>
              <w:rPr>
                <w:sz w:val="18"/>
                <w:szCs w:val="18"/>
              </w:rPr>
            </w:pPr>
            <w:r w:rsidRPr="00175D8B">
              <w:rPr>
                <w:sz w:val="18"/>
                <w:szCs w:val="18"/>
              </w:rPr>
              <w:t>Plans and procedures that should be prepared in accordance with national legislation</w:t>
            </w:r>
          </w:p>
        </w:tc>
        <w:tc>
          <w:tcPr>
            <w:tcW w:w="2251" w:type="dxa"/>
            <w:shd w:val="clear" w:color="auto" w:fill="F2F2F2"/>
            <w:vAlign w:val="center"/>
          </w:tcPr>
          <w:p w14:paraId="11CA7776"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lastRenderedPageBreak/>
              <w:t>Visual observations at sub-project’s offices and site.</w:t>
            </w:r>
          </w:p>
        </w:tc>
        <w:tc>
          <w:tcPr>
            <w:tcW w:w="1317" w:type="dxa"/>
            <w:shd w:val="clear" w:color="auto" w:fill="F2F2F2"/>
            <w:vAlign w:val="center"/>
          </w:tcPr>
          <w:p w14:paraId="1F55ADFB"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Once in three days</w:t>
            </w:r>
          </w:p>
        </w:tc>
        <w:tc>
          <w:tcPr>
            <w:tcW w:w="1668" w:type="dxa"/>
            <w:shd w:val="clear" w:color="auto" w:fill="F2F2F2"/>
            <w:vAlign w:val="center"/>
          </w:tcPr>
          <w:p w14:paraId="35002DEE"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Individual Specialists in the provinces</w:t>
            </w:r>
          </w:p>
        </w:tc>
      </w:tr>
      <w:tr w:rsidR="003D2155" w:rsidRPr="00175D8B" w14:paraId="41A3F969" w14:textId="77777777" w:rsidTr="002550A6">
        <w:trPr>
          <w:jc w:val="center"/>
        </w:trPr>
        <w:tc>
          <w:tcPr>
            <w:tcW w:w="568" w:type="dxa"/>
            <w:vMerge/>
            <w:shd w:val="clear" w:color="auto" w:fill="F2F2F2"/>
            <w:vAlign w:val="center"/>
          </w:tcPr>
          <w:p w14:paraId="017B9B56"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7E02EF75"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51A944B4"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shd w:val="clear" w:color="auto" w:fill="F2F2F2"/>
            <w:vAlign w:val="center"/>
          </w:tcPr>
          <w:p w14:paraId="65BD93AA"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Inspection of documents at PMU Head Office</w:t>
            </w:r>
          </w:p>
        </w:tc>
        <w:tc>
          <w:tcPr>
            <w:tcW w:w="1317" w:type="dxa"/>
            <w:shd w:val="clear" w:color="auto" w:fill="F2F2F2"/>
            <w:vAlign w:val="center"/>
          </w:tcPr>
          <w:p w14:paraId="34D6DEA3"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Bi-weekly</w:t>
            </w:r>
          </w:p>
        </w:tc>
        <w:tc>
          <w:tcPr>
            <w:tcW w:w="1668" w:type="dxa"/>
            <w:shd w:val="clear" w:color="auto" w:fill="F2F2F2"/>
            <w:vAlign w:val="center"/>
          </w:tcPr>
          <w:p w14:paraId="3227F30D"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Head Office</w:t>
            </w:r>
          </w:p>
        </w:tc>
      </w:tr>
      <w:tr w:rsidR="003D2155" w:rsidRPr="00175D8B" w14:paraId="621359ED" w14:textId="77777777" w:rsidTr="002550A6">
        <w:trPr>
          <w:jc w:val="center"/>
        </w:trPr>
        <w:tc>
          <w:tcPr>
            <w:tcW w:w="568" w:type="dxa"/>
            <w:vMerge/>
            <w:shd w:val="clear" w:color="auto" w:fill="F2F2F2"/>
            <w:vAlign w:val="center"/>
          </w:tcPr>
          <w:p w14:paraId="4AA41A1E"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148ADD19"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shd w:val="clear" w:color="auto" w:fill="F2F2F2"/>
            <w:vAlign w:val="center"/>
          </w:tcPr>
          <w:p w14:paraId="2E50C6A6"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Preparation of C-ESMP Checklists (prepared by the contractor) prior to the activity in line with the provincial ESMPs and the results of the screening process.</w:t>
            </w:r>
          </w:p>
        </w:tc>
        <w:tc>
          <w:tcPr>
            <w:tcW w:w="2251" w:type="dxa"/>
            <w:shd w:val="clear" w:color="auto" w:fill="F2F2F2"/>
            <w:vAlign w:val="center"/>
          </w:tcPr>
          <w:p w14:paraId="6BE19B7A"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Inspection of documents at PMU Head Office</w:t>
            </w:r>
          </w:p>
        </w:tc>
        <w:tc>
          <w:tcPr>
            <w:tcW w:w="1317" w:type="dxa"/>
            <w:shd w:val="clear" w:color="auto" w:fill="F2F2F2"/>
            <w:vAlign w:val="center"/>
          </w:tcPr>
          <w:p w14:paraId="49169AF8"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Bi-weekly</w:t>
            </w:r>
          </w:p>
        </w:tc>
        <w:tc>
          <w:tcPr>
            <w:tcW w:w="1668" w:type="dxa"/>
            <w:shd w:val="clear" w:color="auto" w:fill="F2F2F2"/>
            <w:vAlign w:val="center"/>
          </w:tcPr>
          <w:p w14:paraId="0343FB7B"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Head Office</w:t>
            </w:r>
          </w:p>
        </w:tc>
      </w:tr>
      <w:tr w:rsidR="003D2155" w:rsidRPr="00175D8B" w14:paraId="21DDC120" w14:textId="77777777" w:rsidTr="002550A6">
        <w:trPr>
          <w:jc w:val="center"/>
        </w:trPr>
        <w:tc>
          <w:tcPr>
            <w:tcW w:w="568" w:type="dxa"/>
            <w:vMerge w:val="restart"/>
            <w:shd w:val="clear" w:color="auto" w:fill="F2F2F2"/>
            <w:vAlign w:val="center"/>
          </w:tcPr>
          <w:p w14:paraId="1B6DB471"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5</w:t>
            </w:r>
          </w:p>
        </w:tc>
        <w:tc>
          <w:tcPr>
            <w:tcW w:w="1275" w:type="dxa"/>
            <w:vMerge w:val="restart"/>
            <w:shd w:val="clear" w:color="auto" w:fill="F2F2F2"/>
            <w:vAlign w:val="center"/>
          </w:tcPr>
          <w:p w14:paraId="5AB00746"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Permits and Protocols</w:t>
            </w:r>
          </w:p>
        </w:tc>
        <w:tc>
          <w:tcPr>
            <w:tcW w:w="2135" w:type="dxa"/>
            <w:vMerge w:val="restart"/>
            <w:shd w:val="clear" w:color="auto" w:fill="F2F2F2"/>
            <w:vAlign w:val="center"/>
          </w:tcPr>
          <w:p w14:paraId="2E13F96C"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Receiving &amp; signing permits &amp; protocols (e.g., protocol with relevant municipality for personnel wastewater transfer to municipality’s WWTP) within the scope of national legislation before initialization of the activities.</w:t>
            </w:r>
          </w:p>
        </w:tc>
        <w:tc>
          <w:tcPr>
            <w:tcW w:w="2251" w:type="dxa"/>
            <w:shd w:val="clear" w:color="auto" w:fill="F2F2F2"/>
            <w:vAlign w:val="center"/>
          </w:tcPr>
          <w:p w14:paraId="4F547AC7"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observations at sub-project’s offices and site.</w:t>
            </w:r>
          </w:p>
        </w:tc>
        <w:tc>
          <w:tcPr>
            <w:tcW w:w="1317" w:type="dxa"/>
            <w:shd w:val="clear" w:color="auto" w:fill="F2F2F2"/>
            <w:vAlign w:val="center"/>
          </w:tcPr>
          <w:p w14:paraId="76F6F643"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Once in three days</w:t>
            </w:r>
          </w:p>
        </w:tc>
        <w:tc>
          <w:tcPr>
            <w:tcW w:w="1668" w:type="dxa"/>
            <w:shd w:val="clear" w:color="auto" w:fill="F2F2F2"/>
            <w:vAlign w:val="center"/>
          </w:tcPr>
          <w:p w14:paraId="7B525D99"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Individual Specialists in the provinces</w:t>
            </w:r>
          </w:p>
        </w:tc>
      </w:tr>
      <w:tr w:rsidR="003D2155" w:rsidRPr="00175D8B" w14:paraId="701CFE37" w14:textId="77777777" w:rsidTr="002550A6">
        <w:trPr>
          <w:jc w:val="center"/>
        </w:trPr>
        <w:tc>
          <w:tcPr>
            <w:tcW w:w="568" w:type="dxa"/>
            <w:vMerge/>
            <w:shd w:val="clear" w:color="auto" w:fill="F2F2F2"/>
            <w:vAlign w:val="center"/>
          </w:tcPr>
          <w:p w14:paraId="5346BCEB"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5BCA6A79"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7F637B65"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shd w:val="clear" w:color="auto" w:fill="F2F2F2"/>
            <w:vAlign w:val="center"/>
          </w:tcPr>
          <w:p w14:paraId="2681D0EC"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Inspection of documents at PMU Head Office</w:t>
            </w:r>
          </w:p>
        </w:tc>
        <w:tc>
          <w:tcPr>
            <w:tcW w:w="1317" w:type="dxa"/>
            <w:shd w:val="clear" w:color="auto" w:fill="F2F2F2"/>
            <w:vAlign w:val="center"/>
          </w:tcPr>
          <w:p w14:paraId="5D38B1B1"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Weekly</w:t>
            </w:r>
          </w:p>
        </w:tc>
        <w:tc>
          <w:tcPr>
            <w:tcW w:w="1668" w:type="dxa"/>
            <w:shd w:val="clear" w:color="auto" w:fill="F2F2F2"/>
            <w:vAlign w:val="center"/>
          </w:tcPr>
          <w:p w14:paraId="6305C9D6"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Head Office</w:t>
            </w:r>
          </w:p>
        </w:tc>
      </w:tr>
      <w:tr w:rsidR="003D2155" w:rsidRPr="00175D8B" w14:paraId="5BF5E20A" w14:textId="77777777" w:rsidTr="002550A6">
        <w:trPr>
          <w:jc w:val="center"/>
        </w:trPr>
        <w:tc>
          <w:tcPr>
            <w:tcW w:w="568" w:type="dxa"/>
            <w:vMerge w:val="restart"/>
            <w:shd w:val="clear" w:color="auto" w:fill="F2F2F2"/>
            <w:vAlign w:val="center"/>
          </w:tcPr>
          <w:p w14:paraId="23517E44"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6</w:t>
            </w:r>
          </w:p>
        </w:tc>
        <w:tc>
          <w:tcPr>
            <w:tcW w:w="1275" w:type="dxa"/>
            <w:vMerge w:val="restart"/>
            <w:shd w:val="clear" w:color="auto" w:fill="F2F2F2"/>
            <w:vAlign w:val="center"/>
          </w:tcPr>
          <w:p w14:paraId="0865BAF7"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Community Health and Safety</w:t>
            </w:r>
          </w:p>
        </w:tc>
        <w:tc>
          <w:tcPr>
            <w:tcW w:w="2135" w:type="dxa"/>
            <w:vMerge w:val="restart"/>
            <w:shd w:val="clear" w:color="auto" w:fill="F2F2F2"/>
            <w:vAlign w:val="center"/>
          </w:tcPr>
          <w:p w14:paraId="41C25B6A"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 xml:space="preserve">Taking precautions regarding community health and safety (signing, </w:t>
            </w:r>
            <w:r w:rsidRPr="00175D8B">
              <w:rPr>
                <w:rFonts w:eastAsia="Aptos" w:cs="Aptos"/>
                <w:sz w:val="18"/>
                <w:szCs w:val="18"/>
              </w:rPr>
              <w:lastRenderedPageBreak/>
              <w:t>provision of safety lines, informing locals etc.).</w:t>
            </w:r>
          </w:p>
          <w:p w14:paraId="5839C880"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Implement Traffic Management Plan</w:t>
            </w:r>
          </w:p>
        </w:tc>
        <w:tc>
          <w:tcPr>
            <w:tcW w:w="2251" w:type="dxa"/>
            <w:vMerge w:val="restart"/>
            <w:shd w:val="clear" w:color="auto" w:fill="F2F2F2"/>
            <w:vAlign w:val="center"/>
          </w:tcPr>
          <w:p w14:paraId="3BCDABEB"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lastRenderedPageBreak/>
              <w:t>Visual observations on and around of the sub-project sites.</w:t>
            </w:r>
          </w:p>
          <w:p w14:paraId="5C4932E8"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lastRenderedPageBreak/>
              <w:t>Visual observations on and around of the sub-project sites.</w:t>
            </w:r>
          </w:p>
          <w:p w14:paraId="7F32D4A1" w14:textId="77777777" w:rsidR="003D2155" w:rsidRPr="00175D8B" w:rsidRDefault="003D2155" w:rsidP="003D2155">
            <w:pPr>
              <w:spacing w:after="0"/>
              <w:jc w:val="left"/>
              <w:rPr>
                <w:rFonts w:eastAsia="Aptos" w:cs="Aptos"/>
                <w:sz w:val="18"/>
                <w:szCs w:val="18"/>
              </w:rPr>
            </w:pPr>
          </w:p>
          <w:p w14:paraId="5C142956"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Inspection and review of the records and tools of the Grievance Mechanism such as grievance boxes, brochures etc. to be present on the impact area of the sub-project.</w:t>
            </w:r>
          </w:p>
          <w:p w14:paraId="0C82A408" w14:textId="77777777" w:rsidR="003D2155" w:rsidRPr="00175D8B" w:rsidRDefault="003D2155" w:rsidP="003D2155">
            <w:pPr>
              <w:spacing w:after="0"/>
              <w:jc w:val="left"/>
              <w:rPr>
                <w:rFonts w:eastAsia="Aptos" w:cs="Aptos"/>
                <w:sz w:val="18"/>
                <w:szCs w:val="18"/>
              </w:rPr>
            </w:pPr>
          </w:p>
          <w:p w14:paraId="0ADB8DF1" w14:textId="77777777" w:rsidR="003D2155" w:rsidRPr="00175D8B" w:rsidRDefault="003D2155" w:rsidP="003D2155">
            <w:pPr>
              <w:spacing w:after="0"/>
              <w:jc w:val="left"/>
              <w:rPr>
                <w:rFonts w:eastAsia="Aptos" w:cs="Aptos"/>
                <w:sz w:val="18"/>
                <w:szCs w:val="18"/>
              </w:rPr>
            </w:pPr>
          </w:p>
          <w:p w14:paraId="23E11185" w14:textId="77777777" w:rsidR="003D2155" w:rsidRPr="00175D8B" w:rsidRDefault="003D2155" w:rsidP="003D2155">
            <w:pPr>
              <w:spacing w:after="0"/>
              <w:jc w:val="left"/>
              <w:rPr>
                <w:rFonts w:eastAsia="Aptos" w:cs="Aptos"/>
                <w:sz w:val="18"/>
                <w:szCs w:val="18"/>
              </w:rPr>
            </w:pPr>
          </w:p>
          <w:p w14:paraId="0C69F349" w14:textId="77777777" w:rsidR="003D2155" w:rsidRPr="00175D8B" w:rsidRDefault="003D2155" w:rsidP="003D2155">
            <w:pPr>
              <w:spacing w:after="0"/>
              <w:jc w:val="left"/>
              <w:rPr>
                <w:rFonts w:eastAsia="Aptos" w:cs="Aptos"/>
                <w:sz w:val="18"/>
                <w:szCs w:val="18"/>
              </w:rPr>
            </w:pPr>
          </w:p>
        </w:tc>
        <w:tc>
          <w:tcPr>
            <w:tcW w:w="1317" w:type="dxa"/>
            <w:vMerge w:val="restart"/>
            <w:shd w:val="clear" w:color="auto" w:fill="F2F2F2"/>
            <w:vAlign w:val="center"/>
          </w:tcPr>
          <w:p w14:paraId="57A6F46F"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lastRenderedPageBreak/>
              <w:t>Daily</w:t>
            </w:r>
          </w:p>
          <w:p w14:paraId="3AFC3A04" w14:textId="77777777" w:rsidR="003D2155" w:rsidRPr="00175D8B" w:rsidRDefault="003D2155" w:rsidP="003D2155">
            <w:pPr>
              <w:spacing w:after="0"/>
              <w:jc w:val="center"/>
              <w:rPr>
                <w:rFonts w:eastAsia="Aptos" w:cs="Aptos"/>
                <w:sz w:val="18"/>
                <w:szCs w:val="18"/>
              </w:rPr>
            </w:pPr>
          </w:p>
          <w:p w14:paraId="794A704F" w14:textId="77777777" w:rsidR="003D2155" w:rsidRPr="00175D8B" w:rsidRDefault="003D2155" w:rsidP="003D2155">
            <w:pPr>
              <w:spacing w:after="0"/>
              <w:jc w:val="center"/>
              <w:rPr>
                <w:rFonts w:eastAsia="Aptos" w:cs="Aptos"/>
                <w:sz w:val="18"/>
                <w:szCs w:val="18"/>
              </w:rPr>
            </w:pPr>
          </w:p>
          <w:p w14:paraId="37C38421" w14:textId="77777777" w:rsidR="003D2155" w:rsidRPr="00175D8B" w:rsidRDefault="003D2155" w:rsidP="003D2155">
            <w:pPr>
              <w:spacing w:after="0"/>
              <w:jc w:val="center"/>
              <w:rPr>
                <w:rFonts w:eastAsia="Aptos" w:cs="Aptos"/>
                <w:sz w:val="18"/>
                <w:szCs w:val="18"/>
              </w:rPr>
            </w:pPr>
          </w:p>
          <w:p w14:paraId="62B0C286"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 xml:space="preserve">Weekly </w:t>
            </w:r>
          </w:p>
          <w:p w14:paraId="32237508" w14:textId="77777777" w:rsidR="003D2155" w:rsidRPr="00175D8B" w:rsidRDefault="003D2155" w:rsidP="003D2155">
            <w:pPr>
              <w:spacing w:after="0"/>
              <w:jc w:val="center"/>
              <w:rPr>
                <w:rFonts w:eastAsia="Aptos" w:cs="Aptos"/>
                <w:sz w:val="18"/>
                <w:szCs w:val="18"/>
              </w:rPr>
            </w:pPr>
          </w:p>
        </w:tc>
        <w:tc>
          <w:tcPr>
            <w:tcW w:w="1668" w:type="dxa"/>
            <w:shd w:val="clear" w:color="auto" w:fill="F2F2F2"/>
            <w:vAlign w:val="center"/>
          </w:tcPr>
          <w:p w14:paraId="154D9265"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lastRenderedPageBreak/>
              <w:t>Contractor / Contractor’s OHS Focal Point</w:t>
            </w:r>
          </w:p>
        </w:tc>
      </w:tr>
      <w:tr w:rsidR="003D2155" w:rsidRPr="00175D8B" w14:paraId="06D4E757" w14:textId="77777777" w:rsidTr="002550A6">
        <w:trPr>
          <w:jc w:val="center"/>
        </w:trPr>
        <w:tc>
          <w:tcPr>
            <w:tcW w:w="568" w:type="dxa"/>
            <w:vMerge/>
            <w:shd w:val="clear" w:color="auto" w:fill="F2F2F2"/>
            <w:vAlign w:val="center"/>
          </w:tcPr>
          <w:p w14:paraId="02ED8010"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6C56A4E6"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53010983"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vMerge/>
            <w:shd w:val="clear" w:color="auto" w:fill="F2F2F2"/>
            <w:vAlign w:val="center"/>
          </w:tcPr>
          <w:p w14:paraId="69D6BE07"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317" w:type="dxa"/>
            <w:vMerge/>
            <w:shd w:val="clear" w:color="auto" w:fill="F2F2F2"/>
            <w:vAlign w:val="center"/>
          </w:tcPr>
          <w:p w14:paraId="6E4511C5"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668" w:type="dxa"/>
            <w:shd w:val="clear" w:color="auto" w:fill="F2F2F2"/>
            <w:vAlign w:val="center"/>
          </w:tcPr>
          <w:p w14:paraId="6AC79CBD"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Individual Specialists in the provinces</w:t>
            </w:r>
          </w:p>
        </w:tc>
      </w:tr>
      <w:tr w:rsidR="003D2155" w:rsidRPr="00175D8B" w14:paraId="6169EED5" w14:textId="77777777" w:rsidTr="002550A6">
        <w:trPr>
          <w:jc w:val="center"/>
        </w:trPr>
        <w:tc>
          <w:tcPr>
            <w:tcW w:w="568" w:type="dxa"/>
            <w:vMerge w:val="restart"/>
            <w:shd w:val="clear" w:color="auto" w:fill="F2F2F2"/>
            <w:vAlign w:val="center"/>
          </w:tcPr>
          <w:p w14:paraId="30BB9EA4"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7</w:t>
            </w:r>
          </w:p>
        </w:tc>
        <w:tc>
          <w:tcPr>
            <w:tcW w:w="1275" w:type="dxa"/>
            <w:vMerge w:val="restart"/>
            <w:shd w:val="clear" w:color="auto" w:fill="F2F2F2"/>
            <w:vAlign w:val="center"/>
          </w:tcPr>
          <w:p w14:paraId="28C1CF99"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OHS</w:t>
            </w:r>
          </w:p>
        </w:tc>
        <w:tc>
          <w:tcPr>
            <w:tcW w:w="2135" w:type="dxa"/>
            <w:vMerge w:val="restart"/>
            <w:shd w:val="clear" w:color="auto" w:fill="F2F2F2"/>
            <w:vAlign w:val="center"/>
          </w:tcPr>
          <w:p w14:paraId="2E45E824"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 xml:space="preserve">Taking OHS precautions (e.g., performing risk assessments, provision of trainings to the construction personnel </w:t>
            </w:r>
            <w:r w:rsidRPr="00175D8B">
              <w:rPr>
                <w:rFonts w:eastAsia="Aptos" w:cs="Aptos"/>
                <w:sz w:val="18"/>
                <w:szCs w:val="18"/>
                <w:u w:val="single"/>
              </w:rPr>
              <w:t>before</w:t>
            </w:r>
            <w:r w:rsidRPr="00175D8B">
              <w:rPr>
                <w:rFonts w:eastAsia="Aptos" w:cs="Aptos"/>
                <w:sz w:val="18"/>
                <w:szCs w:val="18"/>
              </w:rPr>
              <w:t xml:space="preserve"> works, provision of PPEs, taking structural and non-structural precautions regarding epidemic disease etc.) before initialization of the activities.</w:t>
            </w:r>
          </w:p>
        </w:tc>
        <w:tc>
          <w:tcPr>
            <w:tcW w:w="2251" w:type="dxa"/>
            <w:shd w:val="clear" w:color="auto" w:fill="F2F2F2"/>
            <w:vAlign w:val="center"/>
          </w:tcPr>
          <w:p w14:paraId="4AE77276"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observations at sub-project’s offices and sites.</w:t>
            </w:r>
          </w:p>
        </w:tc>
        <w:tc>
          <w:tcPr>
            <w:tcW w:w="1317" w:type="dxa"/>
            <w:shd w:val="clear" w:color="auto" w:fill="F2F2F2"/>
            <w:vAlign w:val="center"/>
          </w:tcPr>
          <w:p w14:paraId="2C1EFA5A"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Daily</w:t>
            </w:r>
          </w:p>
        </w:tc>
        <w:tc>
          <w:tcPr>
            <w:tcW w:w="1668" w:type="dxa"/>
            <w:shd w:val="clear" w:color="auto" w:fill="F2F2F2"/>
            <w:vAlign w:val="center"/>
          </w:tcPr>
          <w:p w14:paraId="3B770E3C"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Contractor / Contractor’s OHS Focal Point</w:t>
            </w:r>
          </w:p>
        </w:tc>
      </w:tr>
      <w:tr w:rsidR="003D2155" w:rsidRPr="00175D8B" w14:paraId="2576874A" w14:textId="77777777" w:rsidTr="002550A6">
        <w:trPr>
          <w:jc w:val="center"/>
        </w:trPr>
        <w:tc>
          <w:tcPr>
            <w:tcW w:w="568" w:type="dxa"/>
            <w:vMerge/>
            <w:shd w:val="clear" w:color="auto" w:fill="F2F2F2"/>
            <w:vAlign w:val="center"/>
          </w:tcPr>
          <w:p w14:paraId="37FC55D1"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6675171A"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35043B07"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shd w:val="clear" w:color="auto" w:fill="F2F2F2"/>
            <w:vAlign w:val="center"/>
          </w:tcPr>
          <w:p w14:paraId="7E595BAC"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observations at sub-project’s offices and sites and inspection of relevant records.</w:t>
            </w:r>
          </w:p>
        </w:tc>
        <w:tc>
          <w:tcPr>
            <w:tcW w:w="1317" w:type="dxa"/>
            <w:shd w:val="clear" w:color="auto" w:fill="F2F2F2"/>
            <w:vAlign w:val="center"/>
          </w:tcPr>
          <w:p w14:paraId="451ED769"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Weekly</w:t>
            </w:r>
          </w:p>
        </w:tc>
        <w:tc>
          <w:tcPr>
            <w:tcW w:w="1668" w:type="dxa"/>
            <w:shd w:val="clear" w:color="auto" w:fill="F2F2F2"/>
            <w:vAlign w:val="center"/>
          </w:tcPr>
          <w:p w14:paraId="4B3AAFC9"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Individual Specialists in the provinces</w:t>
            </w:r>
          </w:p>
        </w:tc>
      </w:tr>
      <w:tr w:rsidR="003D2155" w:rsidRPr="00175D8B" w14:paraId="25A329ED" w14:textId="77777777" w:rsidTr="002550A6">
        <w:trPr>
          <w:jc w:val="center"/>
        </w:trPr>
        <w:tc>
          <w:tcPr>
            <w:tcW w:w="568" w:type="dxa"/>
            <w:vMerge w:val="restart"/>
            <w:shd w:val="clear" w:color="auto" w:fill="F2F2F2"/>
            <w:vAlign w:val="center"/>
          </w:tcPr>
          <w:p w14:paraId="4F30F07B"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8</w:t>
            </w:r>
          </w:p>
        </w:tc>
        <w:tc>
          <w:tcPr>
            <w:tcW w:w="1275" w:type="dxa"/>
            <w:vMerge w:val="restart"/>
            <w:shd w:val="clear" w:color="auto" w:fill="F2F2F2"/>
            <w:vAlign w:val="center"/>
          </w:tcPr>
          <w:p w14:paraId="23868D48"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Asbestos</w:t>
            </w:r>
          </w:p>
        </w:tc>
        <w:tc>
          <w:tcPr>
            <w:tcW w:w="2135" w:type="dxa"/>
            <w:vMerge w:val="restart"/>
            <w:shd w:val="clear" w:color="auto" w:fill="F2F2F2"/>
            <w:vAlign w:val="center"/>
          </w:tcPr>
          <w:p w14:paraId="7BE6BA86"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Performing asbestos inventories for all sub-projects include demolition and conducting removal and disposal works afterwards if needed.</w:t>
            </w:r>
          </w:p>
        </w:tc>
        <w:tc>
          <w:tcPr>
            <w:tcW w:w="2251" w:type="dxa"/>
            <w:vMerge w:val="restart"/>
            <w:shd w:val="clear" w:color="auto" w:fill="F2F2F2"/>
            <w:vAlign w:val="center"/>
          </w:tcPr>
          <w:p w14:paraId="5D8EAFCC"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observations at sub-project site -</w:t>
            </w:r>
            <w:r w:rsidRPr="00175D8B">
              <w:rPr>
                <w:rFonts w:eastAsia="Aptos" w:cs="Aptos"/>
                <w:i/>
                <w:sz w:val="18"/>
                <w:szCs w:val="18"/>
              </w:rPr>
              <w:t>with the condition of obeying asbestos safety precautions-</w:t>
            </w:r>
            <w:r w:rsidRPr="00175D8B">
              <w:rPr>
                <w:rFonts w:eastAsia="Aptos" w:cs="Aptos"/>
                <w:sz w:val="18"/>
                <w:szCs w:val="18"/>
              </w:rPr>
              <w:t>.</w:t>
            </w:r>
          </w:p>
        </w:tc>
        <w:tc>
          <w:tcPr>
            <w:tcW w:w="1317" w:type="dxa"/>
            <w:shd w:val="clear" w:color="auto" w:fill="F2F2F2"/>
            <w:vAlign w:val="center"/>
          </w:tcPr>
          <w:p w14:paraId="45FB0E89"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Daily</w:t>
            </w:r>
          </w:p>
        </w:tc>
        <w:tc>
          <w:tcPr>
            <w:tcW w:w="1668" w:type="dxa"/>
            <w:shd w:val="clear" w:color="auto" w:fill="F2F2F2"/>
            <w:vAlign w:val="center"/>
          </w:tcPr>
          <w:p w14:paraId="4B69670D"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Contractor / Contractor’s OHS Focal Point</w:t>
            </w:r>
          </w:p>
        </w:tc>
      </w:tr>
      <w:tr w:rsidR="003D2155" w:rsidRPr="00175D8B" w14:paraId="4FF51395" w14:textId="77777777" w:rsidTr="002550A6">
        <w:trPr>
          <w:jc w:val="center"/>
        </w:trPr>
        <w:tc>
          <w:tcPr>
            <w:tcW w:w="568" w:type="dxa"/>
            <w:vMerge/>
            <w:shd w:val="clear" w:color="auto" w:fill="F2F2F2"/>
            <w:vAlign w:val="center"/>
          </w:tcPr>
          <w:p w14:paraId="7F8C3885"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416134D6"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4934CC95"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vMerge/>
            <w:shd w:val="clear" w:color="auto" w:fill="F2F2F2"/>
            <w:vAlign w:val="center"/>
          </w:tcPr>
          <w:p w14:paraId="09995DFA"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317" w:type="dxa"/>
            <w:shd w:val="clear" w:color="auto" w:fill="F2F2F2"/>
            <w:vAlign w:val="center"/>
          </w:tcPr>
          <w:p w14:paraId="5BB6FE3C"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Weekly</w:t>
            </w:r>
          </w:p>
        </w:tc>
        <w:tc>
          <w:tcPr>
            <w:tcW w:w="1668" w:type="dxa"/>
            <w:shd w:val="clear" w:color="auto" w:fill="F2F2F2"/>
            <w:vAlign w:val="center"/>
          </w:tcPr>
          <w:p w14:paraId="16442967"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Individual Specialists in the provinces</w:t>
            </w:r>
          </w:p>
        </w:tc>
      </w:tr>
      <w:tr w:rsidR="003D2155" w:rsidRPr="00175D8B" w14:paraId="638C9E02" w14:textId="77777777" w:rsidTr="002550A6">
        <w:trPr>
          <w:jc w:val="center"/>
        </w:trPr>
        <w:tc>
          <w:tcPr>
            <w:tcW w:w="568" w:type="dxa"/>
            <w:vMerge/>
            <w:shd w:val="clear" w:color="auto" w:fill="F2F2F2"/>
            <w:vAlign w:val="center"/>
          </w:tcPr>
          <w:p w14:paraId="07FD19B1"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13CF579F"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14612AB5"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shd w:val="clear" w:color="auto" w:fill="F2F2F2"/>
            <w:vAlign w:val="center"/>
          </w:tcPr>
          <w:p w14:paraId="6EB02137"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Inspection of relevant records</w:t>
            </w:r>
          </w:p>
        </w:tc>
        <w:tc>
          <w:tcPr>
            <w:tcW w:w="1317" w:type="dxa"/>
            <w:shd w:val="clear" w:color="auto" w:fill="F2F2F2"/>
            <w:vAlign w:val="center"/>
          </w:tcPr>
          <w:p w14:paraId="75F73569"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Weekly</w:t>
            </w:r>
          </w:p>
        </w:tc>
        <w:tc>
          <w:tcPr>
            <w:tcW w:w="1668" w:type="dxa"/>
            <w:shd w:val="clear" w:color="auto" w:fill="F2F2F2"/>
            <w:vAlign w:val="center"/>
          </w:tcPr>
          <w:p w14:paraId="27C8F5DB"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Head Office</w:t>
            </w:r>
          </w:p>
        </w:tc>
      </w:tr>
      <w:tr w:rsidR="003D2155" w:rsidRPr="00175D8B" w14:paraId="2AEC1A8A" w14:textId="77777777" w:rsidTr="002550A6">
        <w:trPr>
          <w:jc w:val="center"/>
        </w:trPr>
        <w:tc>
          <w:tcPr>
            <w:tcW w:w="568" w:type="dxa"/>
            <w:vMerge w:val="restart"/>
            <w:shd w:val="clear" w:color="auto" w:fill="F2F2F2"/>
            <w:vAlign w:val="center"/>
          </w:tcPr>
          <w:p w14:paraId="2496AF8F"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lastRenderedPageBreak/>
              <w:t>9</w:t>
            </w:r>
          </w:p>
        </w:tc>
        <w:tc>
          <w:tcPr>
            <w:tcW w:w="1275" w:type="dxa"/>
            <w:vMerge w:val="restart"/>
            <w:shd w:val="clear" w:color="auto" w:fill="F2F2F2"/>
            <w:vAlign w:val="center"/>
          </w:tcPr>
          <w:p w14:paraId="43D9CBF4"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Waste Management</w:t>
            </w:r>
          </w:p>
        </w:tc>
        <w:tc>
          <w:tcPr>
            <w:tcW w:w="2135" w:type="dxa"/>
            <w:vMerge w:val="restart"/>
            <w:shd w:val="clear" w:color="auto" w:fill="F2F2F2"/>
            <w:vAlign w:val="center"/>
          </w:tcPr>
          <w:p w14:paraId="157222AA"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Planning of selective demolition process for the sub-projects include demolition.</w:t>
            </w:r>
          </w:p>
        </w:tc>
        <w:tc>
          <w:tcPr>
            <w:tcW w:w="2251" w:type="dxa"/>
            <w:vMerge w:val="restart"/>
            <w:shd w:val="clear" w:color="auto" w:fill="F2F2F2"/>
            <w:vAlign w:val="center"/>
          </w:tcPr>
          <w:p w14:paraId="56A8911F"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observations at sub-project’s offices and sites</w:t>
            </w:r>
          </w:p>
        </w:tc>
        <w:tc>
          <w:tcPr>
            <w:tcW w:w="1317" w:type="dxa"/>
            <w:shd w:val="clear" w:color="auto" w:fill="F2F2F2"/>
            <w:vAlign w:val="center"/>
          </w:tcPr>
          <w:p w14:paraId="1BD44966"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Daily</w:t>
            </w:r>
          </w:p>
        </w:tc>
        <w:tc>
          <w:tcPr>
            <w:tcW w:w="1668" w:type="dxa"/>
            <w:shd w:val="clear" w:color="auto" w:fill="F2F2F2"/>
            <w:vAlign w:val="center"/>
          </w:tcPr>
          <w:p w14:paraId="3A10A08D"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Contractor / Contractor’s OHS Focal Point</w:t>
            </w:r>
          </w:p>
        </w:tc>
      </w:tr>
      <w:tr w:rsidR="003D2155" w:rsidRPr="00175D8B" w14:paraId="463A9B68" w14:textId="77777777" w:rsidTr="002550A6">
        <w:trPr>
          <w:jc w:val="center"/>
        </w:trPr>
        <w:tc>
          <w:tcPr>
            <w:tcW w:w="568" w:type="dxa"/>
            <w:vMerge/>
            <w:shd w:val="clear" w:color="auto" w:fill="F2F2F2"/>
            <w:vAlign w:val="center"/>
          </w:tcPr>
          <w:p w14:paraId="3EC2E764"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5633B733"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1908117F"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vMerge/>
            <w:shd w:val="clear" w:color="auto" w:fill="F2F2F2"/>
            <w:vAlign w:val="center"/>
          </w:tcPr>
          <w:p w14:paraId="6593F32D"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317" w:type="dxa"/>
            <w:shd w:val="clear" w:color="auto" w:fill="F2F2F2"/>
            <w:vAlign w:val="center"/>
          </w:tcPr>
          <w:p w14:paraId="77E4EE78"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Weekly</w:t>
            </w:r>
          </w:p>
        </w:tc>
        <w:tc>
          <w:tcPr>
            <w:tcW w:w="1668" w:type="dxa"/>
            <w:shd w:val="clear" w:color="auto" w:fill="F2F2F2"/>
            <w:vAlign w:val="center"/>
          </w:tcPr>
          <w:p w14:paraId="249D6BBB"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Individual Specialists in the provinces</w:t>
            </w:r>
          </w:p>
        </w:tc>
      </w:tr>
      <w:tr w:rsidR="003D2155" w:rsidRPr="00175D8B" w14:paraId="3AB347F1" w14:textId="77777777" w:rsidTr="002550A6">
        <w:trPr>
          <w:jc w:val="center"/>
        </w:trPr>
        <w:tc>
          <w:tcPr>
            <w:tcW w:w="9214" w:type="dxa"/>
            <w:gridSpan w:val="6"/>
            <w:shd w:val="clear" w:color="auto" w:fill="F2F2F2"/>
            <w:vAlign w:val="center"/>
          </w:tcPr>
          <w:p w14:paraId="5168C0A5" w14:textId="77777777" w:rsidR="003D2155" w:rsidRPr="00175D8B" w:rsidRDefault="003D2155" w:rsidP="003D2155">
            <w:pPr>
              <w:spacing w:after="0"/>
              <w:jc w:val="center"/>
              <w:rPr>
                <w:rFonts w:eastAsia="Aptos" w:cs="Aptos"/>
                <w:b/>
                <w:i/>
                <w:sz w:val="18"/>
                <w:szCs w:val="18"/>
              </w:rPr>
            </w:pPr>
            <w:r w:rsidRPr="00175D8B">
              <w:rPr>
                <w:rFonts w:eastAsia="Aptos" w:cs="Aptos"/>
                <w:b/>
                <w:i/>
                <w:sz w:val="18"/>
                <w:szCs w:val="18"/>
              </w:rPr>
              <w:t>Demolition/Retrofitting/Reconstruction stage of sub-projects</w:t>
            </w:r>
          </w:p>
        </w:tc>
      </w:tr>
      <w:tr w:rsidR="003D2155" w:rsidRPr="00175D8B" w14:paraId="081A74DB" w14:textId="77777777" w:rsidTr="002550A6">
        <w:trPr>
          <w:jc w:val="center"/>
        </w:trPr>
        <w:tc>
          <w:tcPr>
            <w:tcW w:w="568" w:type="dxa"/>
            <w:vMerge w:val="restart"/>
            <w:shd w:val="clear" w:color="auto" w:fill="F2F2F2"/>
            <w:vAlign w:val="center"/>
          </w:tcPr>
          <w:p w14:paraId="0ADBC5C4"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10</w:t>
            </w:r>
          </w:p>
        </w:tc>
        <w:tc>
          <w:tcPr>
            <w:tcW w:w="1275" w:type="dxa"/>
            <w:vMerge w:val="restart"/>
            <w:shd w:val="clear" w:color="auto" w:fill="F2F2F2"/>
            <w:vAlign w:val="center"/>
          </w:tcPr>
          <w:p w14:paraId="2C3EA22F"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OHS</w:t>
            </w:r>
          </w:p>
        </w:tc>
        <w:tc>
          <w:tcPr>
            <w:tcW w:w="2135" w:type="dxa"/>
            <w:vMerge w:val="restart"/>
            <w:shd w:val="clear" w:color="auto" w:fill="F2F2F2"/>
            <w:vAlign w:val="center"/>
          </w:tcPr>
          <w:p w14:paraId="79E09E77"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Taking OHS measures (e.g., measures to be taken within the scope of national legislation in construction works such as the use of PPE, summary instructions to the site, precautions for working at height, and measures identified in the sub-project Health and Safety Plans to be prepared by including WB ESF and WBG Sectoral Guidelines and in this ESMP.</w:t>
            </w:r>
          </w:p>
        </w:tc>
        <w:tc>
          <w:tcPr>
            <w:tcW w:w="2251" w:type="dxa"/>
            <w:vMerge w:val="restart"/>
            <w:shd w:val="clear" w:color="auto" w:fill="F2F2F2"/>
            <w:vAlign w:val="center"/>
          </w:tcPr>
          <w:p w14:paraId="392C40AE"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observations and document inspections at sub-project offices and sites.</w:t>
            </w:r>
          </w:p>
        </w:tc>
        <w:tc>
          <w:tcPr>
            <w:tcW w:w="1317" w:type="dxa"/>
            <w:shd w:val="clear" w:color="auto" w:fill="F2F2F2"/>
            <w:vAlign w:val="center"/>
          </w:tcPr>
          <w:p w14:paraId="71BA1A04"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Daily</w:t>
            </w:r>
          </w:p>
        </w:tc>
        <w:tc>
          <w:tcPr>
            <w:tcW w:w="1668" w:type="dxa"/>
            <w:shd w:val="clear" w:color="auto" w:fill="F2F2F2"/>
            <w:vAlign w:val="center"/>
          </w:tcPr>
          <w:p w14:paraId="0B84FE3F"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Contractor / Contractor’s OHS Focal Point</w:t>
            </w:r>
          </w:p>
        </w:tc>
      </w:tr>
      <w:tr w:rsidR="003D2155" w:rsidRPr="00175D8B" w14:paraId="51A102A3" w14:textId="77777777" w:rsidTr="002550A6">
        <w:trPr>
          <w:jc w:val="center"/>
        </w:trPr>
        <w:tc>
          <w:tcPr>
            <w:tcW w:w="568" w:type="dxa"/>
            <w:vMerge/>
            <w:shd w:val="clear" w:color="auto" w:fill="F2F2F2"/>
            <w:vAlign w:val="center"/>
          </w:tcPr>
          <w:p w14:paraId="7A01B159"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2DFDA196"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762CD3E0"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vMerge/>
            <w:shd w:val="clear" w:color="auto" w:fill="F2F2F2"/>
            <w:vAlign w:val="center"/>
          </w:tcPr>
          <w:p w14:paraId="30C93728"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317" w:type="dxa"/>
            <w:shd w:val="clear" w:color="auto" w:fill="F2F2F2"/>
            <w:vAlign w:val="center"/>
          </w:tcPr>
          <w:p w14:paraId="3255B9E5"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Weekly</w:t>
            </w:r>
          </w:p>
        </w:tc>
        <w:tc>
          <w:tcPr>
            <w:tcW w:w="1668" w:type="dxa"/>
            <w:shd w:val="clear" w:color="auto" w:fill="F2F2F2"/>
            <w:vAlign w:val="center"/>
          </w:tcPr>
          <w:p w14:paraId="1DC96128"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Independent Specialists of the cities</w:t>
            </w:r>
          </w:p>
        </w:tc>
      </w:tr>
      <w:tr w:rsidR="003D2155" w:rsidRPr="00175D8B" w14:paraId="618900D4" w14:textId="77777777" w:rsidTr="002550A6">
        <w:trPr>
          <w:jc w:val="center"/>
        </w:trPr>
        <w:tc>
          <w:tcPr>
            <w:tcW w:w="568" w:type="dxa"/>
            <w:vMerge w:val="restart"/>
            <w:shd w:val="clear" w:color="auto" w:fill="F2F2F2"/>
            <w:vAlign w:val="center"/>
          </w:tcPr>
          <w:p w14:paraId="28EF0F84"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11</w:t>
            </w:r>
          </w:p>
        </w:tc>
        <w:tc>
          <w:tcPr>
            <w:tcW w:w="1275" w:type="dxa"/>
            <w:vMerge w:val="restart"/>
            <w:shd w:val="clear" w:color="auto" w:fill="F2F2F2"/>
            <w:vAlign w:val="center"/>
          </w:tcPr>
          <w:p w14:paraId="76330ECB"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Dust and Noise</w:t>
            </w:r>
          </w:p>
        </w:tc>
        <w:tc>
          <w:tcPr>
            <w:tcW w:w="2135" w:type="dxa"/>
            <w:vMerge w:val="restart"/>
            <w:shd w:val="clear" w:color="auto" w:fill="F2F2F2"/>
            <w:vAlign w:val="center"/>
          </w:tcPr>
          <w:p w14:paraId="1FCB8BC4"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Taking compulsory measures within the scope of national legislation and detailed in the C-ESMP Checklists and Sakarya ESMP related to dust and noise.</w:t>
            </w:r>
          </w:p>
        </w:tc>
        <w:tc>
          <w:tcPr>
            <w:tcW w:w="2251" w:type="dxa"/>
            <w:vMerge w:val="restart"/>
            <w:shd w:val="clear" w:color="auto" w:fill="F2F2F2"/>
            <w:vAlign w:val="center"/>
          </w:tcPr>
          <w:p w14:paraId="5EBDA828"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observations at sub-project sites and impact areas.</w:t>
            </w:r>
          </w:p>
        </w:tc>
        <w:tc>
          <w:tcPr>
            <w:tcW w:w="1317" w:type="dxa"/>
            <w:shd w:val="clear" w:color="auto" w:fill="F2F2F2"/>
            <w:vAlign w:val="center"/>
          </w:tcPr>
          <w:p w14:paraId="2CE8EB16"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Daily</w:t>
            </w:r>
          </w:p>
        </w:tc>
        <w:tc>
          <w:tcPr>
            <w:tcW w:w="1668" w:type="dxa"/>
            <w:shd w:val="clear" w:color="auto" w:fill="F2F2F2"/>
            <w:vAlign w:val="center"/>
          </w:tcPr>
          <w:p w14:paraId="7E8F7BB0"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Contractor / Contractor’s OHS Focal Point</w:t>
            </w:r>
          </w:p>
        </w:tc>
      </w:tr>
      <w:tr w:rsidR="003D2155" w:rsidRPr="00175D8B" w14:paraId="7B28830B" w14:textId="77777777" w:rsidTr="002550A6">
        <w:trPr>
          <w:jc w:val="center"/>
        </w:trPr>
        <w:tc>
          <w:tcPr>
            <w:tcW w:w="568" w:type="dxa"/>
            <w:vMerge/>
            <w:shd w:val="clear" w:color="auto" w:fill="F2F2F2"/>
            <w:vAlign w:val="center"/>
          </w:tcPr>
          <w:p w14:paraId="5FF1A273"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53F20306"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066AD094"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vMerge/>
            <w:shd w:val="clear" w:color="auto" w:fill="F2F2F2"/>
            <w:vAlign w:val="center"/>
          </w:tcPr>
          <w:p w14:paraId="4AD0779C"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317" w:type="dxa"/>
            <w:shd w:val="clear" w:color="auto" w:fill="F2F2F2"/>
            <w:vAlign w:val="center"/>
          </w:tcPr>
          <w:p w14:paraId="3A897E34"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Weekly</w:t>
            </w:r>
          </w:p>
        </w:tc>
        <w:tc>
          <w:tcPr>
            <w:tcW w:w="1668" w:type="dxa"/>
            <w:shd w:val="clear" w:color="auto" w:fill="F2F2F2"/>
            <w:vAlign w:val="center"/>
          </w:tcPr>
          <w:p w14:paraId="47BB6542"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Independent Specialists of the cities</w:t>
            </w:r>
          </w:p>
        </w:tc>
      </w:tr>
      <w:tr w:rsidR="003D2155" w:rsidRPr="00175D8B" w14:paraId="0B38C470" w14:textId="77777777" w:rsidTr="002550A6">
        <w:trPr>
          <w:jc w:val="center"/>
        </w:trPr>
        <w:tc>
          <w:tcPr>
            <w:tcW w:w="568" w:type="dxa"/>
            <w:vMerge/>
            <w:shd w:val="clear" w:color="auto" w:fill="F2F2F2"/>
            <w:vAlign w:val="center"/>
          </w:tcPr>
          <w:p w14:paraId="5C3836AE"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73968A73"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shd w:val="clear" w:color="auto" w:fill="F2F2F2"/>
            <w:vAlign w:val="center"/>
          </w:tcPr>
          <w:p w14:paraId="714A446D"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Performing air quality and noise measurements at nearest receptors upon complaint</w:t>
            </w:r>
          </w:p>
          <w:p w14:paraId="4930041B"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 xml:space="preserve">Performing air quality and noise measurements at </w:t>
            </w:r>
            <w:r w:rsidRPr="00175D8B">
              <w:rPr>
                <w:rFonts w:eastAsia="Aptos" w:cs="Aptos"/>
                <w:sz w:val="18"/>
                <w:szCs w:val="18"/>
              </w:rPr>
              <w:lastRenderedPageBreak/>
              <w:t>nearest receptors upon complaint</w:t>
            </w:r>
          </w:p>
        </w:tc>
        <w:tc>
          <w:tcPr>
            <w:tcW w:w="2251" w:type="dxa"/>
            <w:shd w:val="clear" w:color="auto" w:fill="F2F2F2"/>
            <w:vAlign w:val="center"/>
          </w:tcPr>
          <w:p w14:paraId="521A590C"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lastRenderedPageBreak/>
              <w:t>Measurements</w:t>
            </w:r>
          </w:p>
          <w:p w14:paraId="57D70803"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 xml:space="preserve">Visual Inspection and review of the records and tools of the Grievance Mechanism such as grievance boxes, grievance </w:t>
            </w:r>
            <w:r w:rsidRPr="00175D8B">
              <w:rPr>
                <w:rFonts w:eastAsia="Aptos" w:cs="Aptos"/>
                <w:sz w:val="18"/>
                <w:szCs w:val="18"/>
              </w:rPr>
              <w:lastRenderedPageBreak/>
              <w:t>forms etc. to be present on the impact area of the sub-project.</w:t>
            </w:r>
          </w:p>
          <w:p w14:paraId="6F5B2F15" w14:textId="77777777" w:rsidR="003D2155" w:rsidRPr="00175D8B" w:rsidRDefault="003D2155" w:rsidP="003D2155">
            <w:pPr>
              <w:spacing w:after="0"/>
              <w:jc w:val="left"/>
              <w:rPr>
                <w:rFonts w:eastAsia="Aptos" w:cs="Aptos"/>
                <w:sz w:val="18"/>
                <w:szCs w:val="18"/>
              </w:rPr>
            </w:pPr>
          </w:p>
        </w:tc>
        <w:tc>
          <w:tcPr>
            <w:tcW w:w="1317" w:type="dxa"/>
            <w:shd w:val="clear" w:color="auto" w:fill="F2F2F2"/>
            <w:vAlign w:val="center"/>
          </w:tcPr>
          <w:p w14:paraId="182A2A39"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lastRenderedPageBreak/>
              <w:t>Upon compliant</w:t>
            </w:r>
          </w:p>
        </w:tc>
        <w:tc>
          <w:tcPr>
            <w:tcW w:w="1668" w:type="dxa"/>
            <w:shd w:val="clear" w:color="auto" w:fill="F2F2F2"/>
            <w:vAlign w:val="center"/>
          </w:tcPr>
          <w:p w14:paraId="24A28E45"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Contractor / Contractor’s OHS Focal Point</w:t>
            </w:r>
          </w:p>
        </w:tc>
      </w:tr>
      <w:tr w:rsidR="003D2155" w:rsidRPr="00175D8B" w14:paraId="7F41FD00" w14:textId="77777777" w:rsidTr="002550A6">
        <w:trPr>
          <w:jc w:val="center"/>
        </w:trPr>
        <w:tc>
          <w:tcPr>
            <w:tcW w:w="568" w:type="dxa"/>
            <w:vMerge w:val="restart"/>
            <w:shd w:val="clear" w:color="auto" w:fill="F2F2F2"/>
            <w:vAlign w:val="center"/>
          </w:tcPr>
          <w:p w14:paraId="1BD4A839"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12</w:t>
            </w:r>
          </w:p>
        </w:tc>
        <w:tc>
          <w:tcPr>
            <w:tcW w:w="1275" w:type="dxa"/>
            <w:vMerge w:val="restart"/>
            <w:shd w:val="clear" w:color="auto" w:fill="F2F2F2"/>
            <w:vAlign w:val="center"/>
          </w:tcPr>
          <w:p w14:paraId="48465AA3"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Pollution Prevention</w:t>
            </w:r>
          </w:p>
        </w:tc>
        <w:tc>
          <w:tcPr>
            <w:tcW w:w="2135" w:type="dxa"/>
            <w:vMerge w:val="restart"/>
            <w:shd w:val="clear" w:color="auto" w:fill="F2F2F2"/>
            <w:vAlign w:val="center"/>
          </w:tcPr>
          <w:p w14:paraId="4E100771" w14:textId="77777777" w:rsidR="003D2155" w:rsidRPr="00175D8B" w:rsidRDefault="003D2155">
            <w:pPr>
              <w:numPr>
                <w:ilvl w:val="0"/>
                <w:numId w:val="97"/>
              </w:numPr>
              <w:pBdr>
                <w:top w:val="nil"/>
                <w:left w:val="nil"/>
                <w:bottom w:val="nil"/>
                <w:right w:val="nil"/>
                <w:between w:val="nil"/>
              </w:pBdr>
              <w:spacing w:after="0" w:line="240" w:lineRule="auto"/>
              <w:ind w:left="286" w:hanging="286"/>
              <w:jc w:val="left"/>
              <w:rPr>
                <w:color w:val="000000"/>
                <w:sz w:val="18"/>
                <w:szCs w:val="18"/>
              </w:rPr>
            </w:pPr>
            <w:r w:rsidRPr="00175D8B">
              <w:rPr>
                <w:rFonts w:eastAsia="Aptos" w:cs="Aptos"/>
                <w:color w:val="000000"/>
                <w:sz w:val="18"/>
                <w:szCs w:val="18"/>
              </w:rPr>
              <w:t>Taking pollution prevention actions except the ones regarding dust and noise which will be detailed as per the screening process.</w:t>
            </w:r>
          </w:p>
          <w:p w14:paraId="57FA46ED" w14:textId="77777777" w:rsidR="003D2155" w:rsidRPr="00175D8B" w:rsidRDefault="003D2155">
            <w:pPr>
              <w:numPr>
                <w:ilvl w:val="0"/>
                <w:numId w:val="97"/>
              </w:numPr>
              <w:pBdr>
                <w:top w:val="nil"/>
                <w:left w:val="nil"/>
                <w:bottom w:val="nil"/>
                <w:right w:val="nil"/>
                <w:between w:val="nil"/>
              </w:pBdr>
              <w:spacing w:after="160" w:line="240" w:lineRule="auto"/>
              <w:ind w:left="286" w:hanging="286"/>
              <w:jc w:val="left"/>
              <w:rPr>
                <w:color w:val="000000"/>
                <w:sz w:val="18"/>
                <w:szCs w:val="18"/>
              </w:rPr>
            </w:pPr>
            <w:r w:rsidRPr="00175D8B">
              <w:rPr>
                <w:rFonts w:eastAsia="Aptos" w:cs="Aptos"/>
                <w:color w:val="000000"/>
                <w:sz w:val="18"/>
                <w:szCs w:val="18"/>
              </w:rPr>
              <w:t>Keeping records of the generated wastewater</w:t>
            </w:r>
          </w:p>
        </w:tc>
        <w:tc>
          <w:tcPr>
            <w:tcW w:w="2251" w:type="dxa"/>
            <w:vMerge w:val="restart"/>
            <w:shd w:val="clear" w:color="auto" w:fill="F2F2F2"/>
            <w:vAlign w:val="center"/>
          </w:tcPr>
          <w:p w14:paraId="377FD9E0"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observations at sub-project sites and impact areas.</w:t>
            </w:r>
          </w:p>
        </w:tc>
        <w:tc>
          <w:tcPr>
            <w:tcW w:w="1317" w:type="dxa"/>
            <w:shd w:val="clear" w:color="auto" w:fill="F2F2F2"/>
            <w:vAlign w:val="center"/>
          </w:tcPr>
          <w:p w14:paraId="3ED62FCE"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Daily</w:t>
            </w:r>
          </w:p>
        </w:tc>
        <w:tc>
          <w:tcPr>
            <w:tcW w:w="1668" w:type="dxa"/>
            <w:shd w:val="clear" w:color="auto" w:fill="F2F2F2"/>
            <w:vAlign w:val="center"/>
          </w:tcPr>
          <w:p w14:paraId="39F4CBFA"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Contractor / Contractor’s OHS Focal Point</w:t>
            </w:r>
          </w:p>
        </w:tc>
      </w:tr>
      <w:tr w:rsidR="003D2155" w:rsidRPr="00175D8B" w14:paraId="58D7AE52" w14:textId="77777777" w:rsidTr="002550A6">
        <w:trPr>
          <w:jc w:val="center"/>
        </w:trPr>
        <w:tc>
          <w:tcPr>
            <w:tcW w:w="568" w:type="dxa"/>
            <w:vMerge/>
            <w:shd w:val="clear" w:color="auto" w:fill="F2F2F2"/>
            <w:vAlign w:val="center"/>
          </w:tcPr>
          <w:p w14:paraId="2193D845"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3FDC9EDE"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0DC76F49"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vMerge/>
            <w:shd w:val="clear" w:color="auto" w:fill="F2F2F2"/>
            <w:vAlign w:val="center"/>
          </w:tcPr>
          <w:p w14:paraId="370505AF"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317" w:type="dxa"/>
            <w:shd w:val="clear" w:color="auto" w:fill="F2F2F2"/>
            <w:vAlign w:val="center"/>
          </w:tcPr>
          <w:p w14:paraId="56B7CCF6"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Weekly</w:t>
            </w:r>
          </w:p>
        </w:tc>
        <w:tc>
          <w:tcPr>
            <w:tcW w:w="1668" w:type="dxa"/>
            <w:shd w:val="clear" w:color="auto" w:fill="F2F2F2"/>
            <w:vAlign w:val="center"/>
          </w:tcPr>
          <w:p w14:paraId="643ED0A8"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Independent Specialists of the cities</w:t>
            </w:r>
          </w:p>
        </w:tc>
      </w:tr>
      <w:tr w:rsidR="003D2155" w:rsidRPr="00175D8B" w14:paraId="7FEE14E6" w14:textId="77777777" w:rsidTr="002550A6">
        <w:trPr>
          <w:jc w:val="center"/>
        </w:trPr>
        <w:tc>
          <w:tcPr>
            <w:tcW w:w="568" w:type="dxa"/>
            <w:vMerge/>
            <w:shd w:val="clear" w:color="auto" w:fill="F2F2F2"/>
            <w:vAlign w:val="center"/>
          </w:tcPr>
          <w:p w14:paraId="65477234"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00F51CBF"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565C756C"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shd w:val="clear" w:color="auto" w:fill="F2F2F2"/>
            <w:vAlign w:val="center"/>
          </w:tcPr>
          <w:p w14:paraId="34118641"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observations at sub-project sites and impact areas.</w:t>
            </w:r>
          </w:p>
        </w:tc>
        <w:tc>
          <w:tcPr>
            <w:tcW w:w="1317" w:type="dxa"/>
            <w:shd w:val="clear" w:color="auto" w:fill="F2F2F2"/>
            <w:vAlign w:val="center"/>
          </w:tcPr>
          <w:p w14:paraId="1F583EA3"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Quarterly</w:t>
            </w:r>
          </w:p>
        </w:tc>
        <w:tc>
          <w:tcPr>
            <w:tcW w:w="1668" w:type="dxa"/>
            <w:shd w:val="clear" w:color="auto" w:fill="F2F2F2"/>
            <w:vAlign w:val="center"/>
          </w:tcPr>
          <w:p w14:paraId="1767B095"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Central Office</w:t>
            </w:r>
          </w:p>
        </w:tc>
      </w:tr>
      <w:tr w:rsidR="003D2155" w:rsidRPr="00175D8B" w14:paraId="5C568954" w14:textId="77777777" w:rsidTr="002550A6">
        <w:trPr>
          <w:jc w:val="center"/>
        </w:trPr>
        <w:tc>
          <w:tcPr>
            <w:tcW w:w="568" w:type="dxa"/>
            <w:vMerge/>
            <w:shd w:val="clear" w:color="auto" w:fill="F2F2F2"/>
            <w:vAlign w:val="center"/>
          </w:tcPr>
          <w:p w14:paraId="6BA4B469"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28AA1FE6"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shd w:val="clear" w:color="auto" w:fill="F2F2F2"/>
            <w:vAlign w:val="center"/>
          </w:tcPr>
          <w:p w14:paraId="219688DB"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Performing soil and/or water sampling measures in case of complaint and taking necessary measures if needed.</w:t>
            </w:r>
          </w:p>
        </w:tc>
        <w:tc>
          <w:tcPr>
            <w:tcW w:w="2251" w:type="dxa"/>
            <w:shd w:val="clear" w:color="auto" w:fill="F2F2F2"/>
            <w:vAlign w:val="center"/>
          </w:tcPr>
          <w:p w14:paraId="270D0C48"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Sampling and analysis</w:t>
            </w:r>
          </w:p>
        </w:tc>
        <w:tc>
          <w:tcPr>
            <w:tcW w:w="1317" w:type="dxa"/>
            <w:shd w:val="clear" w:color="auto" w:fill="F2F2F2"/>
            <w:vAlign w:val="center"/>
          </w:tcPr>
          <w:p w14:paraId="3A9CEE03"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Upon complaint</w:t>
            </w:r>
          </w:p>
        </w:tc>
        <w:tc>
          <w:tcPr>
            <w:tcW w:w="1668" w:type="dxa"/>
            <w:shd w:val="clear" w:color="auto" w:fill="F2F2F2"/>
            <w:vAlign w:val="center"/>
          </w:tcPr>
          <w:p w14:paraId="3163CA59"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Contractor / Contractor’s OHS Focal Point</w:t>
            </w:r>
          </w:p>
        </w:tc>
      </w:tr>
      <w:tr w:rsidR="003D2155" w:rsidRPr="00175D8B" w14:paraId="7ACC1040" w14:textId="77777777" w:rsidTr="002550A6">
        <w:trPr>
          <w:jc w:val="center"/>
        </w:trPr>
        <w:tc>
          <w:tcPr>
            <w:tcW w:w="568" w:type="dxa"/>
            <w:vMerge w:val="restart"/>
            <w:shd w:val="clear" w:color="auto" w:fill="F2F2F2"/>
            <w:vAlign w:val="center"/>
          </w:tcPr>
          <w:p w14:paraId="7EDF42EA"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13</w:t>
            </w:r>
          </w:p>
        </w:tc>
        <w:tc>
          <w:tcPr>
            <w:tcW w:w="1275" w:type="dxa"/>
            <w:vMerge w:val="restart"/>
            <w:shd w:val="clear" w:color="auto" w:fill="F2F2F2"/>
            <w:vAlign w:val="center"/>
          </w:tcPr>
          <w:p w14:paraId="5616FE52"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Waste Management</w:t>
            </w:r>
          </w:p>
        </w:tc>
        <w:tc>
          <w:tcPr>
            <w:tcW w:w="2135" w:type="dxa"/>
            <w:vMerge w:val="restart"/>
            <w:shd w:val="clear" w:color="auto" w:fill="F2F2F2"/>
            <w:vAlign w:val="center"/>
          </w:tcPr>
          <w:p w14:paraId="4B277E9C" w14:textId="77777777" w:rsidR="003D2155" w:rsidRPr="00175D8B" w:rsidRDefault="003D2155">
            <w:pPr>
              <w:numPr>
                <w:ilvl w:val="0"/>
                <w:numId w:val="96"/>
              </w:numPr>
              <w:pBdr>
                <w:top w:val="nil"/>
                <w:left w:val="nil"/>
                <w:bottom w:val="nil"/>
                <w:right w:val="nil"/>
                <w:between w:val="nil"/>
              </w:pBdr>
              <w:spacing w:after="0" w:line="240" w:lineRule="auto"/>
              <w:ind w:left="318" w:hanging="284"/>
              <w:jc w:val="left"/>
              <w:rPr>
                <w:color w:val="000000"/>
                <w:sz w:val="18"/>
                <w:szCs w:val="18"/>
              </w:rPr>
            </w:pPr>
            <w:r w:rsidRPr="00175D8B">
              <w:rPr>
                <w:rFonts w:eastAsia="Aptos" w:cs="Aptos"/>
                <w:color w:val="000000"/>
                <w:sz w:val="18"/>
                <w:szCs w:val="18"/>
              </w:rPr>
              <w:t>Through implementation of selective demolition, separation of inert construction &amp; demolition wastes from other waste types.</w:t>
            </w:r>
          </w:p>
          <w:p w14:paraId="4530F2F3" w14:textId="77777777" w:rsidR="003D2155" w:rsidRPr="00175D8B" w:rsidRDefault="003D2155">
            <w:pPr>
              <w:numPr>
                <w:ilvl w:val="0"/>
                <w:numId w:val="96"/>
              </w:numPr>
              <w:pBdr>
                <w:top w:val="nil"/>
                <w:left w:val="nil"/>
                <w:bottom w:val="nil"/>
                <w:right w:val="nil"/>
                <w:between w:val="nil"/>
              </w:pBdr>
              <w:spacing w:after="0" w:line="240" w:lineRule="auto"/>
              <w:ind w:left="318" w:hanging="284"/>
              <w:jc w:val="left"/>
              <w:rPr>
                <w:color w:val="000000"/>
                <w:sz w:val="18"/>
                <w:szCs w:val="18"/>
              </w:rPr>
            </w:pPr>
            <w:r w:rsidRPr="00175D8B">
              <w:rPr>
                <w:rFonts w:eastAsia="Aptos" w:cs="Aptos"/>
                <w:color w:val="000000"/>
                <w:sz w:val="18"/>
                <w:szCs w:val="18"/>
              </w:rPr>
              <w:t>Re-use / recycle /recovery of the wastes generated through selective demolition process, except the hazardous ones which are obliged to be disposed.</w:t>
            </w:r>
          </w:p>
          <w:p w14:paraId="01E52AAC" w14:textId="77777777" w:rsidR="003D2155" w:rsidRPr="00175D8B" w:rsidRDefault="003D2155">
            <w:pPr>
              <w:numPr>
                <w:ilvl w:val="0"/>
                <w:numId w:val="96"/>
              </w:numPr>
              <w:pBdr>
                <w:top w:val="nil"/>
                <w:left w:val="nil"/>
                <w:bottom w:val="nil"/>
                <w:right w:val="nil"/>
                <w:between w:val="nil"/>
              </w:pBdr>
              <w:spacing w:after="0" w:line="240" w:lineRule="auto"/>
              <w:ind w:left="318" w:hanging="284"/>
              <w:jc w:val="left"/>
              <w:rPr>
                <w:color w:val="000000"/>
                <w:sz w:val="18"/>
                <w:szCs w:val="18"/>
              </w:rPr>
            </w:pPr>
            <w:r w:rsidRPr="00175D8B">
              <w:rPr>
                <w:rFonts w:eastAsia="Aptos" w:cs="Aptos"/>
                <w:color w:val="000000"/>
                <w:sz w:val="18"/>
                <w:szCs w:val="18"/>
              </w:rPr>
              <w:t>Sending inert construction &amp; demolition wastes to material recovery facilities where available and to sanitary landfills where not available.</w:t>
            </w:r>
          </w:p>
          <w:p w14:paraId="4FA2CC85" w14:textId="77777777" w:rsidR="003D2155" w:rsidRPr="00175D8B" w:rsidRDefault="003D2155">
            <w:pPr>
              <w:numPr>
                <w:ilvl w:val="0"/>
                <w:numId w:val="96"/>
              </w:numPr>
              <w:pBdr>
                <w:top w:val="nil"/>
                <w:left w:val="nil"/>
                <w:bottom w:val="nil"/>
                <w:right w:val="nil"/>
                <w:between w:val="nil"/>
              </w:pBdr>
              <w:spacing w:after="0" w:line="240" w:lineRule="auto"/>
              <w:ind w:left="318" w:hanging="284"/>
              <w:jc w:val="left"/>
              <w:rPr>
                <w:color w:val="000000"/>
                <w:sz w:val="18"/>
                <w:szCs w:val="18"/>
              </w:rPr>
            </w:pPr>
            <w:r w:rsidRPr="00175D8B">
              <w:rPr>
                <w:rFonts w:eastAsia="Aptos" w:cs="Aptos"/>
                <w:color w:val="000000"/>
                <w:sz w:val="18"/>
                <w:szCs w:val="18"/>
              </w:rPr>
              <w:t xml:space="preserve">Implementation of waste management </w:t>
            </w:r>
            <w:r w:rsidRPr="00175D8B">
              <w:rPr>
                <w:rFonts w:eastAsia="Aptos" w:cs="Aptos"/>
                <w:color w:val="000000"/>
                <w:sz w:val="18"/>
                <w:szCs w:val="18"/>
              </w:rPr>
              <w:lastRenderedPageBreak/>
              <w:t>activities in accordance with waste management hierarchy during other retrofitting and re-construction</w:t>
            </w:r>
          </w:p>
          <w:p w14:paraId="338CE176" w14:textId="77777777" w:rsidR="003D2155" w:rsidRPr="00175D8B" w:rsidRDefault="003D2155">
            <w:pPr>
              <w:numPr>
                <w:ilvl w:val="0"/>
                <w:numId w:val="96"/>
              </w:numPr>
              <w:pBdr>
                <w:top w:val="nil"/>
                <w:left w:val="nil"/>
                <w:bottom w:val="nil"/>
                <w:right w:val="nil"/>
                <w:between w:val="nil"/>
              </w:pBdr>
              <w:spacing w:after="0" w:line="240" w:lineRule="auto"/>
              <w:ind w:left="318" w:hanging="284"/>
              <w:jc w:val="left"/>
              <w:rPr>
                <w:color w:val="000000"/>
                <w:sz w:val="18"/>
                <w:szCs w:val="18"/>
              </w:rPr>
            </w:pPr>
            <w:r w:rsidRPr="00175D8B">
              <w:rPr>
                <w:rFonts w:eastAsia="Aptos" w:cs="Aptos"/>
                <w:color w:val="000000"/>
                <w:sz w:val="18"/>
                <w:szCs w:val="18"/>
              </w:rPr>
              <w:t xml:space="preserve"> activities in compliance with WB ESF and WBG General/Sectoral Guidelines.</w:t>
            </w:r>
          </w:p>
          <w:p w14:paraId="3EB23FDD" w14:textId="77777777" w:rsidR="003D2155" w:rsidRPr="00175D8B" w:rsidRDefault="003D2155">
            <w:pPr>
              <w:numPr>
                <w:ilvl w:val="0"/>
                <w:numId w:val="96"/>
              </w:numPr>
              <w:pBdr>
                <w:top w:val="nil"/>
                <w:left w:val="nil"/>
                <w:bottom w:val="nil"/>
                <w:right w:val="nil"/>
                <w:between w:val="nil"/>
              </w:pBdr>
              <w:spacing w:after="160" w:line="240" w:lineRule="auto"/>
              <w:ind w:left="318" w:hanging="284"/>
              <w:jc w:val="left"/>
              <w:rPr>
                <w:color w:val="000000"/>
                <w:sz w:val="18"/>
                <w:szCs w:val="18"/>
              </w:rPr>
            </w:pPr>
            <w:r w:rsidRPr="00175D8B">
              <w:rPr>
                <w:rFonts w:eastAsia="Aptos" w:cs="Aptos"/>
                <w:color w:val="000000"/>
                <w:sz w:val="18"/>
                <w:szCs w:val="18"/>
              </w:rPr>
              <w:t>Tracking necessary records for the above implementations.</w:t>
            </w:r>
          </w:p>
        </w:tc>
        <w:tc>
          <w:tcPr>
            <w:tcW w:w="2251" w:type="dxa"/>
            <w:vMerge w:val="restart"/>
            <w:shd w:val="clear" w:color="auto" w:fill="F2F2F2"/>
            <w:vAlign w:val="center"/>
          </w:tcPr>
          <w:p w14:paraId="5748CC83"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lastRenderedPageBreak/>
              <w:t>Visual observations at sub-project sites and review of documents / records such as;</w:t>
            </w:r>
          </w:p>
          <w:p w14:paraId="1EDAA585" w14:textId="77777777" w:rsidR="003D2155" w:rsidRPr="00175D8B" w:rsidRDefault="003D2155">
            <w:pPr>
              <w:numPr>
                <w:ilvl w:val="0"/>
                <w:numId w:val="98"/>
              </w:numPr>
              <w:pBdr>
                <w:top w:val="nil"/>
                <w:left w:val="nil"/>
                <w:bottom w:val="nil"/>
                <w:right w:val="nil"/>
                <w:between w:val="nil"/>
              </w:pBdr>
              <w:spacing w:after="0" w:line="240" w:lineRule="auto"/>
              <w:jc w:val="left"/>
              <w:rPr>
                <w:color w:val="000000"/>
                <w:sz w:val="18"/>
                <w:szCs w:val="18"/>
              </w:rPr>
            </w:pPr>
            <w:r w:rsidRPr="00175D8B">
              <w:rPr>
                <w:rFonts w:eastAsia="Aptos" w:cs="Aptos"/>
                <w:color w:val="000000"/>
                <w:sz w:val="18"/>
                <w:szCs w:val="18"/>
              </w:rPr>
              <w:t>Waste logs,</w:t>
            </w:r>
          </w:p>
          <w:p w14:paraId="450C9052" w14:textId="77777777" w:rsidR="003D2155" w:rsidRPr="00175D8B" w:rsidRDefault="003D2155">
            <w:pPr>
              <w:numPr>
                <w:ilvl w:val="0"/>
                <w:numId w:val="98"/>
              </w:numPr>
              <w:pBdr>
                <w:top w:val="nil"/>
                <w:left w:val="nil"/>
                <w:bottom w:val="nil"/>
                <w:right w:val="nil"/>
                <w:between w:val="nil"/>
              </w:pBdr>
              <w:spacing w:after="0" w:line="240" w:lineRule="auto"/>
              <w:jc w:val="left"/>
              <w:rPr>
                <w:color w:val="000000"/>
                <w:sz w:val="18"/>
                <w:szCs w:val="18"/>
              </w:rPr>
            </w:pPr>
            <w:r w:rsidRPr="00175D8B">
              <w:rPr>
                <w:rFonts w:eastAsia="Aptos" w:cs="Aptos"/>
                <w:color w:val="000000"/>
                <w:sz w:val="18"/>
                <w:szCs w:val="18"/>
              </w:rPr>
              <w:t>Waste receipts,</w:t>
            </w:r>
          </w:p>
          <w:p w14:paraId="0E096BB0" w14:textId="77777777" w:rsidR="003D2155" w:rsidRPr="00175D8B" w:rsidRDefault="003D2155">
            <w:pPr>
              <w:numPr>
                <w:ilvl w:val="0"/>
                <w:numId w:val="98"/>
              </w:numPr>
              <w:pBdr>
                <w:top w:val="nil"/>
                <w:left w:val="nil"/>
                <w:bottom w:val="nil"/>
                <w:right w:val="nil"/>
                <w:between w:val="nil"/>
              </w:pBdr>
              <w:spacing w:after="160" w:line="240" w:lineRule="auto"/>
              <w:jc w:val="left"/>
              <w:rPr>
                <w:color w:val="000000"/>
                <w:sz w:val="18"/>
                <w:szCs w:val="18"/>
              </w:rPr>
            </w:pPr>
            <w:r w:rsidRPr="00175D8B">
              <w:rPr>
                <w:rFonts w:eastAsia="Aptos" w:cs="Aptos"/>
                <w:color w:val="000000"/>
                <w:sz w:val="18"/>
                <w:szCs w:val="18"/>
              </w:rPr>
              <w:t>Waste transfer records etc.</w:t>
            </w:r>
          </w:p>
        </w:tc>
        <w:tc>
          <w:tcPr>
            <w:tcW w:w="1317" w:type="dxa"/>
            <w:shd w:val="clear" w:color="auto" w:fill="F2F2F2"/>
            <w:vAlign w:val="center"/>
          </w:tcPr>
          <w:p w14:paraId="1A7506DF"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Daily</w:t>
            </w:r>
          </w:p>
        </w:tc>
        <w:tc>
          <w:tcPr>
            <w:tcW w:w="1668" w:type="dxa"/>
            <w:shd w:val="clear" w:color="auto" w:fill="F2F2F2"/>
            <w:vAlign w:val="center"/>
          </w:tcPr>
          <w:p w14:paraId="16955AE0"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Contractor / Contractor’s OHS Focal Point</w:t>
            </w:r>
          </w:p>
        </w:tc>
      </w:tr>
      <w:tr w:rsidR="003D2155" w:rsidRPr="00175D8B" w14:paraId="5B9CE226" w14:textId="77777777" w:rsidTr="002550A6">
        <w:trPr>
          <w:jc w:val="center"/>
        </w:trPr>
        <w:tc>
          <w:tcPr>
            <w:tcW w:w="568" w:type="dxa"/>
            <w:vMerge/>
            <w:shd w:val="clear" w:color="auto" w:fill="F2F2F2"/>
            <w:vAlign w:val="center"/>
          </w:tcPr>
          <w:p w14:paraId="01984F08"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4B1C890C"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20C27278"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vMerge/>
            <w:shd w:val="clear" w:color="auto" w:fill="F2F2F2"/>
            <w:vAlign w:val="center"/>
          </w:tcPr>
          <w:p w14:paraId="5EAE341E"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317" w:type="dxa"/>
            <w:shd w:val="clear" w:color="auto" w:fill="F2F2F2"/>
            <w:vAlign w:val="center"/>
          </w:tcPr>
          <w:p w14:paraId="5C124A86"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Weekly</w:t>
            </w:r>
          </w:p>
        </w:tc>
        <w:tc>
          <w:tcPr>
            <w:tcW w:w="1668" w:type="dxa"/>
            <w:shd w:val="clear" w:color="auto" w:fill="F2F2F2"/>
            <w:vAlign w:val="center"/>
          </w:tcPr>
          <w:p w14:paraId="44C1D889"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Individual Specialists in the provinces</w:t>
            </w:r>
          </w:p>
        </w:tc>
      </w:tr>
      <w:tr w:rsidR="003D2155" w:rsidRPr="00175D8B" w14:paraId="7BF02C6F" w14:textId="77777777" w:rsidTr="002550A6">
        <w:trPr>
          <w:jc w:val="center"/>
        </w:trPr>
        <w:tc>
          <w:tcPr>
            <w:tcW w:w="568" w:type="dxa"/>
            <w:vMerge/>
            <w:shd w:val="clear" w:color="auto" w:fill="F2F2F2"/>
            <w:vAlign w:val="center"/>
          </w:tcPr>
          <w:p w14:paraId="2C9CB89A"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1362BBE6"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4DCF12C3"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vMerge/>
            <w:shd w:val="clear" w:color="auto" w:fill="F2F2F2"/>
            <w:vAlign w:val="center"/>
          </w:tcPr>
          <w:p w14:paraId="1C0FA320"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317" w:type="dxa"/>
            <w:shd w:val="clear" w:color="auto" w:fill="F2F2F2"/>
            <w:vAlign w:val="center"/>
          </w:tcPr>
          <w:p w14:paraId="1EF1C5C3"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Quarterly</w:t>
            </w:r>
          </w:p>
        </w:tc>
        <w:tc>
          <w:tcPr>
            <w:tcW w:w="1668" w:type="dxa"/>
            <w:shd w:val="clear" w:color="auto" w:fill="F2F2F2"/>
            <w:vAlign w:val="center"/>
          </w:tcPr>
          <w:p w14:paraId="3C3C9A17"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Head Office</w:t>
            </w:r>
          </w:p>
        </w:tc>
      </w:tr>
      <w:tr w:rsidR="003D2155" w:rsidRPr="00175D8B" w14:paraId="0EC31334" w14:textId="77777777" w:rsidTr="002550A6">
        <w:trPr>
          <w:jc w:val="center"/>
        </w:trPr>
        <w:tc>
          <w:tcPr>
            <w:tcW w:w="568" w:type="dxa"/>
            <w:vMerge w:val="restart"/>
            <w:shd w:val="clear" w:color="auto" w:fill="F2F2F2"/>
            <w:vAlign w:val="center"/>
          </w:tcPr>
          <w:p w14:paraId="47E5947C"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14</w:t>
            </w:r>
          </w:p>
        </w:tc>
        <w:tc>
          <w:tcPr>
            <w:tcW w:w="1275" w:type="dxa"/>
            <w:vMerge w:val="restart"/>
            <w:shd w:val="clear" w:color="auto" w:fill="F2F2F2"/>
            <w:vAlign w:val="center"/>
          </w:tcPr>
          <w:p w14:paraId="4D7E441E"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Sub-project Traffic</w:t>
            </w:r>
          </w:p>
        </w:tc>
        <w:tc>
          <w:tcPr>
            <w:tcW w:w="2135" w:type="dxa"/>
            <w:vMerge w:val="restart"/>
            <w:shd w:val="clear" w:color="auto" w:fill="F2F2F2"/>
            <w:vAlign w:val="center"/>
          </w:tcPr>
          <w:p w14:paraId="00082265"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Implementation of mitigation measures to be defined in Community Safety and Traffic Management Plans which will be prepared for each province.</w:t>
            </w:r>
          </w:p>
        </w:tc>
        <w:tc>
          <w:tcPr>
            <w:tcW w:w="2251" w:type="dxa"/>
            <w:vMerge w:val="restart"/>
            <w:shd w:val="clear" w:color="auto" w:fill="F2F2F2"/>
            <w:vAlign w:val="center"/>
          </w:tcPr>
          <w:p w14:paraId="531C3AF5"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observations on and around of the sub-project sites.</w:t>
            </w:r>
          </w:p>
          <w:p w14:paraId="7D0EA0AB"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Review of documentation/records such as;</w:t>
            </w:r>
          </w:p>
          <w:p w14:paraId="3536BB87" w14:textId="77777777" w:rsidR="003D2155" w:rsidRPr="00175D8B" w:rsidRDefault="003D2155">
            <w:pPr>
              <w:numPr>
                <w:ilvl w:val="0"/>
                <w:numId w:val="99"/>
              </w:numPr>
              <w:pBdr>
                <w:top w:val="nil"/>
                <w:left w:val="nil"/>
                <w:bottom w:val="nil"/>
                <w:right w:val="nil"/>
                <w:between w:val="nil"/>
              </w:pBdr>
              <w:spacing w:after="0" w:line="240" w:lineRule="auto"/>
              <w:ind w:left="209" w:hanging="209"/>
              <w:jc w:val="left"/>
              <w:rPr>
                <w:color w:val="000000"/>
                <w:sz w:val="18"/>
                <w:szCs w:val="18"/>
              </w:rPr>
            </w:pPr>
            <w:r w:rsidRPr="00175D8B">
              <w:rPr>
                <w:rFonts w:eastAsia="Aptos" w:cs="Aptos"/>
                <w:color w:val="000000"/>
                <w:sz w:val="18"/>
                <w:szCs w:val="18"/>
              </w:rPr>
              <w:t>training records,</w:t>
            </w:r>
          </w:p>
          <w:p w14:paraId="0FC50A2E" w14:textId="77777777" w:rsidR="003D2155" w:rsidRPr="00175D8B" w:rsidRDefault="003D2155">
            <w:pPr>
              <w:numPr>
                <w:ilvl w:val="0"/>
                <w:numId w:val="99"/>
              </w:numPr>
              <w:pBdr>
                <w:top w:val="nil"/>
                <w:left w:val="nil"/>
                <w:bottom w:val="nil"/>
                <w:right w:val="nil"/>
                <w:between w:val="nil"/>
              </w:pBdr>
              <w:spacing w:after="0" w:line="240" w:lineRule="auto"/>
              <w:ind w:left="209" w:hanging="209"/>
              <w:jc w:val="left"/>
              <w:rPr>
                <w:color w:val="000000"/>
                <w:sz w:val="18"/>
                <w:szCs w:val="18"/>
              </w:rPr>
            </w:pPr>
            <w:r w:rsidRPr="00175D8B">
              <w:rPr>
                <w:rFonts w:eastAsia="Aptos" w:cs="Aptos"/>
                <w:color w:val="000000"/>
                <w:sz w:val="18"/>
                <w:szCs w:val="18"/>
              </w:rPr>
              <w:t>speed limit violations,</w:t>
            </w:r>
          </w:p>
          <w:p w14:paraId="15243BEA" w14:textId="77777777" w:rsidR="003D2155" w:rsidRPr="00175D8B" w:rsidRDefault="003D2155">
            <w:pPr>
              <w:numPr>
                <w:ilvl w:val="0"/>
                <w:numId w:val="99"/>
              </w:numPr>
              <w:pBdr>
                <w:top w:val="nil"/>
                <w:left w:val="nil"/>
                <w:bottom w:val="nil"/>
                <w:right w:val="nil"/>
                <w:between w:val="nil"/>
              </w:pBdr>
              <w:spacing w:after="160" w:line="240" w:lineRule="auto"/>
              <w:ind w:left="209" w:hanging="209"/>
              <w:jc w:val="left"/>
              <w:rPr>
                <w:color w:val="000000"/>
                <w:sz w:val="18"/>
                <w:szCs w:val="18"/>
              </w:rPr>
            </w:pPr>
            <w:r w:rsidRPr="00175D8B">
              <w:rPr>
                <w:rFonts w:eastAsia="Aptos" w:cs="Aptos"/>
                <w:color w:val="000000"/>
                <w:sz w:val="18"/>
                <w:szCs w:val="18"/>
              </w:rPr>
              <w:t>traffic related grievances</w:t>
            </w:r>
          </w:p>
        </w:tc>
        <w:tc>
          <w:tcPr>
            <w:tcW w:w="1317" w:type="dxa"/>
            <w:shd w:val="clear" w:color="auto" w:fill="F2F2F2"/>
            <w:vAlign w:val="center"/>
          </w:tcPr>
          <w:p w14:paraId="2A1B3223"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Daily</w:t>
            </w:r>
          </w:p>
        </w:tc>
        <w:tc>
          <w:tcPr>
            <w:tcW w:w="1668" w:type="dxa"/>
            <w:shd w:val="clear" w:color="auto" w:fill="F2F2F2"/>
            <w:vAlign w:val="center"/>
          </w:tcPr>
          <w:p w14:paraId="705F300B"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Contractor / Contractor’s OHS Focal Point</w:t>
            </w:r>
          </w:p>
        </w:tc>
      </w:tr>
      <w:tr w:rsidR="003D2155" w:rsidRPr="00175D8B" w14:paraId="562E268F" w14:textId="77777777" w:rsidTr="002550A6">
        <w:trPr>
          <w:jc w:val="center"/>
        </w:trPr>
        <w:tc>
          <w:tcPr>
            <w:tcW w:w="568" w:type="dxa"/>
            <w:vMerge/>
            <w:shd w:val="clear" w:color="auto" w:fill="F2F2F2"/>
            <w:vAlign w:val="center"/>
          </w:tcPr>
          <w:p w14:paraId="6CC47972"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4873F629"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23B76487"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vMerge/>
            <w:shd w:val="clear" w:color="auto" w:fill="F2F2F2"/>
            <w:vAlign w:val="center"/>
          </w:tcPr>
          <w:p w14:paraId="4D985C85"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317" w:type="dxa"/>
            <w:shd w:val="clear" w:color="auto" w:fill="F2F2F2"/>
            <w:vAlign w:val="center"/>
          </w:tcPr>
          <w:p w14:paraId="69222D1C"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Weekly</w:t>
            </w:r>
          </w:p>
        </w:tc>
        <w:tc>
          <w:tcPr>
            <w:tcW w:w="1668" w:type="dxa"/>
            <w:shd w:val="clear" w:color="auto" w:fill="F2F2F2"/>
            <w:vAlign w:val="center"/>
          </w:tcPr>
          <w:p w14:paraId="5F29805C"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Contractor / Contractor’s OHS Focal Point PMU Individual Specialists of the cities</w:t>
            </w:r>
          </w:p>
        </w:tc>
      </w:tr>
      <w:tr w:rsidR="003D2155" w:rsidRPr="00175D8B" w14:paraId="6BCC8E85" w14:textId="77777777" w:rsidTr="002550A6">
        <w:trPr>
          <w:jc w:val="center"/>
        </w:trPr>
        <w:tc>
          <w:tcPr>
            <w:tcW w:w="568" w:type="dxa"/>
            <w:vMerge w:val="restart"/>
            <w:shd w:val="clear" w:color="auto" w:fill="F2F2F2"/>
            <w:vAlign w:val="center"/>
          </w:tcPr>
          <w:p w14:paraId="438A0D52"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15</w:t>
            </w:r>
          </w:p>
        </w:tc>
        <w:tc>
          <w:tcPr>
            <w:tcW w:w="1275" w:type="dxa"/>
            <w:vMerge w:val="restart"/>
            <w:shd w:val="clear" w:color="auto" w:fill="F2F2F2"/>
            <w:vAlign w:val="center"/>
          </w:tcPr>
          <w:p w14:paraId="222DE6AC"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Grievance Mechanism</w:t>
            </w:r>
          </w:p>
        </w:tc>
        <w:tc>
          <w:tcPr>
            <w:tcW w:w="2135" w:type="dxa"/>
            <w:vMerge w:val="restart"/>
            <w:shd w:val="clear" w:color="auto" w:fill="F2F2F2"/>
            <w:vAlign w:val="center"/>
          </w:tcPr>
          <w:p w14:paraId="55F70CD4"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Implementation of the Grievance Mechanism during all activities for both internal and external complaints.</w:t>
            </w:r>
          </w:p>
        </w:tc>
        <w:tc>
          <w:tcPr>
            <w:tcW w:w="2251" w:type="dxa"/>
            <w:vMerge w:val="restart"/>
            <w:shd w:val="clear" w:color="auto" w:fill="F2F2F2"/>
            <w:vAlign w:val="center"/>
          </w:tcPr>
          <w:p w14:paraId="01B411A3"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Review of grievance records whose grievances received from and around sub-project site.</w:t>
            </w:r>
          </w:p>
        </w:tc>
        <w:tc>
          <w:tcPr>
            <w:tcW w:w="1317" w:type="dxa"/>
            <w:shd w:val="clear" w:color="auto" w:fill="F2F2F2"/>
            <w:vAlign w:val="center"/>
          </w:tcPr>
          <w:p w14:paraId="74154DEA"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Daily</w:t>
            </w:r>
          </w:p>
        </w:tc>
        <w:tc>
          <w:tcPr>
            <w:tcW w:w="1668" w:type="dxa"/>
            <w:shd w:val="clear" w:color="auto" w:fill="F2F2F2"/>
            <w:vAlign w:val="center"/>
          </w:tcPr>
          <w:p w14:paraId="705AF096"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Contractor / Contractor’s OHS Focal Point</w:t>
            </w:r>
          </w:p>
        </w:tc>
      </w:tr>
      <w:tr w:rsidR="003D2155" w:rsidRPr="00175D8B" w14:paraId="2EBB2E47" w14:textId="77777777" w:rsidTr="002550A6">
        <w:trPr>
          <w:jc w:val="center"/>
        </w:trPr>
        <w:tc>
          <w:tcPr>
            <w:tcW w:w="568" w:type="dxa"/>
            <w:vMerge/>
            <w:shd w:val="clear" w:color="auto" w:fill="F2F2F2"/>
            <w:vAlign w:val="center"/>
          </w:tcPr>
          <w:p w14:paraId="2184710A"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70F155AF"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75711E98"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vMerge/>
            <w:shd w:val="clear" w:color="auto" w:fill="F2F2F2"/>
            <w:vAlign w:val="center"/>
          </w:tcPr>
          <w:p w14:paraId="0FAFAF86"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317" w:type="dxa"/>
            <w:shd w:val="clear" w:color="auto" w:fill="F2F2F2"/>
            <w:vAlign w:val="center"/>
          </w:tcPr>
          <w:p w14:paraId="61ED565C"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Weekly</w:t>
            </w:r>
          </w:p>
        </w:tc>
        <w:tc>
          <w:tcPr>
            <w:tcW w:w="1668" w:type="dxa"/>
            <w:shd w:val="clear" w:color="auto" w:fill="F2F2F2"/>
            <w:vAlign w:val="center"/>
          </w:tcPr>
          <w:p w14:paraId="6916E77A"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Individual Specialists in the provinces</w:t>
            </w:r>
          </w:p>
        </w:tc>
      </w:tr>
      <w:tr w:rsidR="003D2155" w:rsidRPr="00175D8B" w14:paraId="26E878C8" w14:textId="77777777" w:rsidTr="002550A6">
        <w:trPr>
          <w:jc w:val="center"/>
        </w:trPr>
        <w:tc>
          <w:tcPr>
            <w:tcW w:w="568" w:type="dxa"/>
            <w:vMerge/>
            <w:shd w:val="clear" w:color="auto" w:fill="F2F2F2"/>
            <w:vAlign w:val="center"/>
          </w:tcPr>
          <w:p w14:paraId="5DEB3667"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2392FABE"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58A9FF06"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vMerge/>
            <w:shd w:val="clear" w:color="auto" w:fill="F2F2F2"/>
            <w:vAlign w:val="center"/>
          </w:tcPr>
          <w:p w14:paraId="0CA96545"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317" w:type="dxa"/>
            <w:shd w:val="clear" w:color="auto" w:fill="F2F2F2"/>
            <w:vAlign w:val="center"/>
          </w:tcPr>
          <w:p w14:paraId="599EC49B"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Monthly</w:t>
            </w:r>
          </w:p>
        </w:tc>
        <w:tc>
          <w:tcPr>
            <w:tcW w:w="1668" w:type="dxa"/>
            <w:shd w:val="clear" w:color="auto" w:fill="F2F2F2"/>
            <w:vAlign w:val="center"/>
          </w:tcPr>
          <w:p w14:paraId="3AE96585"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Head Office</w:t>
            </w:r>
          </w:p>
        </w:tc>
      </w:tr>
      <w:tr w:rsidR="003D2155" w:rsidRPr="00175D8B" w14:paraId="094623D5" w14:textId="77777777" w:rsidTr="002550A6">
        <w:trPr>
          <w:jc w:val="center"/>
        </w:trPr>
        <w:tc>
          <w:tcPr>
            <w:tcW w:w="9214" w:type="dxa"/>
            <w:gridSpan w:val="6"/>
            <w:shd w:val="clear" w:color="auto" w:fill="F2F2F2"/>
            <w:vAlign w:val="center"/>
          </w:tcPr>
          <w:p w14:paraId="3F6E65DA" w14:textId="77777777" w:rsidR="003D2155" w:rsidRPr="00175D8B" w:rsidRDefault="003D2155" w:rsidP="003D2155">
            <w:pPr>
              <w:spacing w:after="0"/>
              <w:jc w:val="center"/>
              <w:rPr>
                <w:rFonts w:eastAsia="Aptos" w:cs="Aptos"/>
                <w:b/>
                <w:sz w:val="18"/>
                <w:szCs w:val="18"/>
              </w:rPr>
            </w:pPr>
            <w:r w:rsidRPr="00175D8B">
              <w:rPr>
                <w:rFonts w:eastAsia="Aptos" w:cs="Aptos"/>
                <w:b/>
                <w:sz w:val="18"/>
                <w:szCs w:val="18"/>
              </w:rPr>
              <w:t>For all Stages</w:t>
            </w:r>
          </w:p>
        </w:tc>
      </w:tr>
      <w:tr w:rsidR="003D2155" w:rsidRPr="00175D8B" w14:paraId="1E54830A" w14:textId="77777777" w:rsidTr="002550A6">
        <w:trPr>
          <w:jc w:val="center"/>
        </w:trPr>
        <w:tc>
          <w:tcPr>
            <w:tcW w:w="568" w:type="dxa"/>
            <w:vMerge w:val="restart"/>
            <w:shd w:val="clear" w:color="auto" w:fill="F2F2F2"/>
            <w:vAlign w:val="center"/>
          </w:tcPr>
          <w:p w14:paraId="62D9485E"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16</w:t>
            </w:r>
          </w:p>
        </w:tc>
        <w:tc>
          <w:tcPr>
            <w:tcW w:w="1275" w:type="dxa"/>
            <w:vMerge w:val="restart"/>
            <w:shd w:val="clear" w:color="auto" w:fill="F2F2F2"/>
            <w:vAlign w:val="center"/>
          </w:tcPr>
          <w:p w14:paraId="44BA1B82"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General</w:t>
            </w:r>
          </w:p>
        </w:tc>
        <w:tc>
          <w:tcPr>
            <w:tcW w:w="2135" w:type="dxa"/>
            <w:vMerge w:val="restart"/>
            <w:shd w:val="clear" w:color="auto" w:fill="F2F2F2"/>
            <w:vAlign w:val="center"/>
          </w:tcPr>
          <w:p w14:paraId="32BE3081"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Closure of environmental, social, OHS and community health and safety related non-conformities including the ones identified through implementation of grievance mechanism.</w:t>
            </w:r>
          </w:p>
        </w:tc>
        <w:tc>
          <w:tcPr>
            <w:tcW w:w="2251" w:type="dxa"/>
            <w:vMerge w:val="restart"/>
            <w:shd w:val="clear" w:color="auto" w:fill="F2F2F2"/>
            <w:vAlign w:val="center"/>
          </w:tcPr>
          <w:p w14:paraId="45579C61"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Visual observations at sub-project sites and impact areas and documentation / record control</w:t>
            </w:r>
          </w:p>
          <w:p w14:paraId="4D171512" w14:textId="77777777" w:rsidR="003D2155" w:rsidRPr="00175D8B" w:rsidRDefault="003D2155" w:rsidP="003D2155">
            <w:pPr>
              <w:spacing w:after="0"/>
              <w:jc w:val="left"/>
              <w:rPr>
                <w:rFonts w:eastAsia="Aptos" w:cs="Aptos"/>
                <w:sz w:val="18"/>
                <w:szCs w:val="18"/>
              </w:rPr>
            </w:pPr>
          </w:p>
          <w:p w14:paraId="09903998" w14:textId="77777777" w:rsidR="003D2155" w:rsidRPr="00175D8B" w:rsidRDefault="003D2155" w:rsidP="003D2155">
            <w:pPr>
              <w:spacing w:after="0"/>
              <w:jc w:val="left"/>
              <w:rPr>
                <w:rFonts w:eastAsia="Aptos" w:cs="Aptos"/>
                <w:sz w:val="18"/>
                <w:szCs w:val="18"/>
              </w:rPr>
            </w:pPr>
            <w:r w:rsidRPr="00175D8B">
              <w:rPr>
                <w:rFonts w:eastAsia="Aptos" w:cs="Aptos"/>
                <w:sz w:val="18"/>
                <w:szCs w:val="18"/>
              </w:rPr>
              <w:t xml:space="preserve">Visual Inspection and review of the records and tools of the Grievance Mechanism such as </w:t>
            </w:r>
            <w:r w:rsidRPr="00175D8B">
              <w:rPr>
                <w:rFonts w:eastAsia="Aptos" w:cs="Aptos"/>
                <w:sz w:val="18"/>
                <w:szCs w:val="18"/>
              </w:rPr>
              <w:lastRenderedPageBreak/>
              <w:t>grievance boxes, grievance forms etc. to be present on the impact area of the sub-project.</w:t>
            </w:r>
          </w:p>
          <w:p w14:paraId="7CFE3ED4" w14:textId="77777777" w:rsidR="003D2155" w:rsidRPr="00175D8B" w:rsidRDefault="003D2155" w:rsidP="003D2155">
            <w:pPr>
              <w:spacing w:after="0"/>
              <w:rPr>
                <w:rFonts w:eastAsia="Aptos" w:cs="Aptos"/>
                <w:sz w:val="18"/>
                <w:szCs w:val="18"/>
              </w:rPr>
            </w:pPr>
          </w:p>
        </w:tc>
        <w:tc>
          <w:tcPr>
            <w:tcW w:w="1317" w:type="dxa"/>
            <w:shd w:val="clear" w:color="auto" w:fill="F2F2F2"/>
            <w:vAlign w:val="center"/>
          </w:tcPr>
          <w:p w14:paraId="40BD3736"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lastRenderedPageBreak/>
              <w:t>Daily</w:t>
            </w:r>
          </w:p>
        </w:tc>
        <w:tc>
          <w:tcPr>
            <w:tcW w:w="1668" w:type="dxa"/>
            <w:shd w:val="clear" w:color="auto" w:fill="F2F2F2"/>
            <w:vAlign w:val="center"/>
          </w:tcPr>
          <w:p w14:paraId="35FBF78C"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Contractor / Contractor’s OHS Focal Point</w:t>
            </w:r>
          </w:p>
        </w:tc>
      </w:tr>
      <w:tr w:rsidR="003D2155" w:rsidRPr="00175D8B" w14:paraId="69AB5C49" w14:textId="77777777" w:rsidTr="002550A6">
        <w:trPr>
          <w:jc w:val="center"/>
        </w:trPr>
        <w:tc>
          <w:tcPr>
            <w:tcW w:w="568" w:type="dxa"/>
            <w:vMerge/>
            <w:shd w:val="clear" w:color="auto" w:fill="F2F2F2"/>
            <w:vAlign w:val="center"/>
          </w:tcPr>
          <w:p w14:paraId="2B33CD8F"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7D619FE4"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253FEFD5"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vMerge/>
            <w:shd w:val="clear" w:color="auto" w:fill="F2F2F2"/>
            <w:vAlign w:val="center"/>
          </w:tcPr>
          <w:p w14:paraId="20E0778D"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317" w:type="dxa"/>
            <w:shd w:val="clear" w:color="auto" w:fill="F2F2F2"/>
            <w:vAlign w:val="center"/>
          </w:tcPr>
          <w:p w14:paraId="5E572666"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Weekly</w:t>
            </w:r>
          </w:p>
        </w:tc>
        <w:tc>
          <w:tcPr>
            <w:tcW w:w="1668" w:type="dxa"/>
            <w:shd w:val="clear" w:color="auto" w:fill="F2F2F2"/>
            <w:vAlign w:val="center"/>
          </w:tcPr>
          <w:p w14:paraId="50691083"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Individual Specialists in the provinces</w:t>
            </w:r>
          </w:p>
        </w:tc>
      </w:tr>
      <w:tr w:rsidR="003D2155" w:rsidRPr="00175D8B" w14:paraId="18D9CDA6" w14:textId="77777777" w:rsidTr="002550A6">
        <w:trPr>
          <w:jc w:val="center"/>
        </w:trPr>
        <w:tc>
          <w:tcPr>
            <w:tcW w:w="568" w:type="dxa"/>
            <w:vMerge/>
            <w:shd w:val="clear" w:color="auto" w:fill="F2F2F2"/>
            <w:vAlign w:val="center"/>
          </w:tcPr>
          <w:p w14:paraId="6E004F88"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275" w:type="dxa"/>
            <w:vMerge/>
            <w:shd w:val="clear" w:color="auto" w:fill="F2F2F2"/>
            <w:vAlign w:val="center"/>
          </w:tcPr>
          <w:p w14:paraId="1CF80DA5"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135" w:type="dxa"/>
            <w:vMerge/>
            <w:shd w:val="clear" w:color="auto" w:fill="F2F2F2"/>
            <w:vAlign w:val="center"/>
          </w:tcPr>
          <w:p w14:paraId="73302285"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2251" w:type="dxa"/>
            <w:vMerge/>
            <w:shd w:val="clear" w:color="auto" w:fill="F2F2F2"/>
            <w:vAlign w:val="center"/>
          </w:tcPr>
          <w:p w14:paraId="18A92F45" w14:textId="77777777" w:rsidR="003D2155" w:rsidRPr="00175D8B" w:rsidRDefault="003D2155" w:rsidP="003D2155">
            <w:pPr>
              <w:widowControl w:val="0"/>
              <w:pBdr>
                <w:top w:val="nil"/>
                <w:left w:val="nil"/>
                <w:bottom w:val="nil"/>
                <w:right w:val="nil"/>
                <w:between w:val="nil"/>
              </w:pBdr>
              <w:spacing w:after="0"/>
              <w:jc w:val="left"/>
              <w:rPr>
                <w:rFonts w:eastAsia="Aptos" w:cs="Aptos"/>
                <w:sz w:val="18"/>
                <w:szCs w:val="18"/>
              </w:rPr>
            </w:pPr>
          </w:p>
        </w:tc>
        <w:tc>
          <w:tcPr>
            <w:tcW w:w="1317" w:type="dxa"/>
            <w:shd w:val="clear" w:color="auto" w:fill="F2F2F2"/>
            <w:vAlign w:val="center"/>
          </w:tcPr>
          <w:p w14:paraId="2D8733B9"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Quarterly</w:t>
            </w:r>
          </w:p>
        </w:tc>
        <w:tc>
          <w:tcPr>
            <w:tcW w:w="1668" w:type="dxa"/>
            <w:shd w:val="clear" w:color="auto" w:fill="F2F2F2"/>
            <w:vAlign w:val="center"/>
          </w:tcPr>
          <w:p w14:paraId="36D808E3" w14:textId="77777777" w:rsidR="003D2155" w:rsidRPr="00175D8B" w:rsidRDefault="003D2155" w:rsidP="003D2155">
            <w:pPr>
              <w:spacing w:after="0"/>
              <w:jc w:val="center"/>
              <w:rPr>
                <w:rFonts w:eastAsia="Aptos" w:cs="Aptos"/>
                <w:sz w:val="18"/>
                <w:szCs w:val="18"/>
              </w:rPr>
            </w:pPr>
            <w:r w:rsidRPr="00175D8B">
              <w:rPr>
                <w:rFonts w:eastAsia="Aptos" w:cs="Aptos"/>
                <w:sz w:val="18"/>
                <w:szCs w:val="18"/>
              </w:rPr>
              <w:t>PMU Head Office</w:t>
            </w:r>
          </w:p>
        </w:tc>
      </w:tr>
    </w:tbl>
    <w:p w14:paraId="76B32355" w14:textId="77777777" w:rsidR="003D2155" w:rsidRPr="00175D8B" w:rsidRDefault="003D2155" w:rsidP="003D2155">
      <w:pPr>
        <w:spacing w:after="160"/>
        <w:rPr>
          <w:rFonts w:eastAsia="Aptos" w:cs="Aptos"/>
          <w:color w:val="FF0000"/>
          <w:kern w:val="0"/>
          <w:sz w:val="20"/>
          <w:szCs w:val="20"/>
          <w:lang w:eastAsia="tr-TR"/>
          <w14:ligatures w14:val="none"/>
        </w:rPr>
        <w:sectPr w:rsidR="003D2155" w:rsidRPr="00175D8B" w:rsidSect="003D2155">
          <w:pgSz w:w="11900" w:h="16840"/>
          <w:pgMar w:top="1417" w:right="1417" w:bottom="1417" w:left="1417" w:header="851" w:footer="851" w:gutter="0"/>
          <w:cols w:space="708"/>
        </w:sectPr>
      </w:pPr>
    </w:p>
    <w:p w14:paraId="515F5F66" w14:textId="77777777" w:rsidR="003D2155" w:rsidRPr="00175D8B" w:rsidRDefault="003D2155" w:rsidP="002B49F3">
      <w:pPr>
        <w:keepNext/>
        <w:keepLines/>
        <w:spacing w:before="160" w:after="80"/>
        <w:ind w:firstLine="708"/>
        <w:outlineLvl w:val="1"/>
        <w:rPr>
          <w:rStyle w:val="Balk2Char"/>
          <w:sz w:val="24"/>
          <w:szCs w:val="24"/>
        </w:rPr>
      </w:pPr>
      <w:bookmarkStart w:id="391" w:name="_Toc207987163"/>
      <w:bookmarkStart w:id="392" w:name="_Toc212541903"/>
      <w:bookmarkStart w:id="393" w:name="_Toc212542414"/>
      <w:bookmarkStart w:id="394" w:name="_Toc220672817"/>
      <w:r w:rsidRPr="00175D8B">
        <w:rPr>
          <w:rStyle w:val="Balk2Char"/>
          <w:sz w:val="24"/>
          <w:szCs w:val="24"/>
        </w:rPr>
        <w:t>8.1</w:t>
      </w:r>
      <w:r w:rsidRPr="00175D8B">
        <w:rPr>
          <w:rStyle w:val="Balk2Char"/>
          <w:szCs w:val="24"/>
        </w:rPr>
        <w:t>. E&amp;S Monitoring, Supervision and Reporting</w:t>
      </w:r>
      <w:bookmarkEnd w:id="391"/>
      <w:bookmarkEnd w:id="392"/>
      <w:bookmarkEnd w:id="393"/>
      <w:bookmarkEnd w:id="394"/>
    </w:p>
    <w:p w14:paraId="52DBBF12" w14:textId="5ADD3350" w:rsidR="003D2155" w:rsidRPr="00175D8B" w:rsidRDefault="002B49F3" w:rsidP="002B49F3">
      <w:pPr>
        <w:pStyle w:val="Balk3"/>
        <w:ind w:left="708" w:firstLine="708"/>
        <w:rPr>
          <w:rFonts w:eastAsia="Aptos"/>
          <w:lang w:eastAsia="tr-TR"/>
        </w:rPr>
      </w:pPr>
      <w:bookmarkStart w:id="395" w:name="_Toc207987164"/>
      <w:bookmarkStart w:id="396" w:name="_Toc212541904"/>
      <w:bookmarkStart w:id="397" w:name="_Toc212542415"/>
      <w:bookmarkStart w:id="398" w:name="_Toc220672818"/>
      <w:r w:rsidRPr="00175D8B">
        <w:rPr>
          <w:rFonts w:eastAsia="Aptos"/>
          <w:lang w:eastAsia="tr-TR"/>
        </w:rPr>
        <w:t xml:space="preserve">8.1.1. </w:t>
      </w:r>
      <w:r w:rsidR="003D2155" w:rsidRPr="00175D8B">
        <w:rPr>
          <w:rFonts w:eastAsia="Aptos"/>
          <w:lang w:eastAsia="tr-TR"/>
        </w:rPr>
        <w:t>Monitoring and Supervision</w:t>
      </w:r>
      <w:bookmarkEnd w:id="395"/>
      <w:bookmarkEnd w:id="396"/>
      <w:bookmarkEnd w:id="397"/>
      <w:bookmarkEnd w:id="398"/>
    </w:p>
    <w:p w14:paraId="533DE869" w14:textId="77777777" w:rsidR="003D2155" w:rsidRPr="00175D8B" w:rsidRDefault="003D2155" w:rsidP="003D2155">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The PMU will perform sub-project monitoring and control actions, as detailed previously, to ensure that the sub-project specific C-ESMP Checklists, neighborhood-level ESIAs (if needed) and the RF, SEP and LMP to be implemented specifically for the sub-project are properly implemented. </w:t>
      </w:r>
    </w:p>
    <w:p w14:paraId="0909D9F1" w14:textId="77777777" w:rsidR="003D2155" w:rsidRPr="00175D8B" w:rsidRDefault="003D2155" w:rsidP="003D2155">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The PMU will also hire a supervision consulting firm (with experience, qualifications, and terms of reference acceptable to the Bank) for the supervision of the environmental and OHS issues associated with the implementation of the Project’s construction activities. Specifically, within the scope of field visits, supervision consulting firm, and the PMU individual Environmental and Social Specialists located in Sakarya, will supervise and monitor the contractors and notify the contractors and the contractor's focal points about the problems they have identified on-site and decide on the steps to correct these problems. </w:t>
      </w:r>
    </w:p>
    <w:p w14:paraId="59FAA533" w14:textId="73736CDC" w:rsidR="003D2155" w:rsidRPr="00175D8B" w:rsidRDefault="003D2155" w:rsidP="003D2155">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In case of an </w:t>
      </w:r>
      <w:r w:rsidR="00732648">
        <w:rPr>
          <w:rFonts w:eastAsia="Aptos" w:cs="Aptos"/>
          <w:kern w:val="0"/>
          <w:szCs w:val="22"/>
          <w:lang w:eastAsia="tr-TR"/>
          <w14:ligatures w14:val="none"/>
        </w:rPr>
        <w:t>significant</w:t>
      </w:r>
      <w:r w:rsidR="00732648" w:rsidRPr="00175D8B">
        <w:rPr>
          <w:rFonts w:eastAsia="Aptos" w:cs="Aptos"/>
          <w:kern w:val="0"/>
          <w:szCs w:val="22"/>
          <w:lang w:eastAsia="tr-TR"/>
          <w14:ligatures w14:val="none"/>
        </w:rPr>
        <w:t xml:space="preserve"> </w:t>
      </w:r>
      <w:r w:rsidRPr="00175D8B">
        <w:rPr>
          <w:rFonts w:eastAsia="Aptos" w:cs="Aptos"/>
          <w:kern w:val="0"/>
          <w:szCs w:val="22"/>
          <w:lang w:eastAsia="tr-TR"/>
          <w14:ligatures w14:val="none"/>
        </w:rPr>
        <w:t>incident or accident that may affect / threaten the environment, OHS and community health and safety (</w:t>
      </w:r>
      <w:r w:rsidR="00D605AD" w:rsidRPr="00175D8B">
        <w:rPr>
          <w:rFonts w:eastAsia="Aptos" w:cs="Aptos"/>
          <w:kern w:val="0"/>
          <w:szCs w:val="22"/>
          <w:lang w:eastAsia="tr-TR"/>
          <w14:ligatures w14:val="none"/>
        </w:rPr>
        <w:t>such as fatal work accident or accident with 72hr or more lost time, environmental spills and accidents that will put community and environmental health at risk, a work accident that may cause disability etc.</w:t>
      </w:r>
      <w:r w:rsidRPr="00175D8B">
        <w:rPr>
          <w:rFonts w:eastAsia="Aptos" w:cs="Aptos"/>
          <w:kern w:val="0"/>
          <w:szCs w:val="22"/>
          <w:lang w:eastAsia="tr-TR"/>
          <w14:ligatures w14:val="none"/>
        </w:rPr>
        <w:t xml:space="preserve">) contractors will immediately inform the UTP and individual Environmental Specialists hired for provinces and the WB will be informed within 48 hours by the UTP. In such a case, the incident report, which includes (i) Root Cause Analysis studies, (ii) measures to prevent the accident / incident from happening again, and specific compensation actions / corrective actions, will be submitted to the UTP by the contractor within 30 working days with the guidance and controls of the PMU individual specialists and the UTP will forward the incident report to the WB. The UTP PMU will also report its findings in this context to the WB with their reporting. </w:t>
      </w:r>
    </w:p>
    <w:p w14:paraId="7FA08DA2" w14:textId="77777777" w:rsidR="003D2155" w:rsidRPr="00175D8B" w:rsidRDefault="003D2155" w:rsidP="003D2155">
      <w:pPr>
        <w:spacing w:after="160"/>
        <w:rPr>
          <w:rFonts w:eastAsia="Aptos" w:cs="Aptos"/>
          <w:kern w:val="0"/>
          <w:szCs w:val="22"/>
          <w:lang w:eastAsia="tr-TR"/>
          <w14:ligatures w14:val="none"/>
        </w:rPr>
      </w:pPr>
      <w:r w:rsidRPr="00175D8B">
        <w:rPr>
          <w:rFonts w:eastAsia="Aptos" w:cs="Aptos"/>
          <w:kern w:val="0"/>
          <w:szCs w:val="22"/>
          <w:lang w:eastAsia="tr-TR"/>
          <w14:ligatures w14:val="none"/>
        </w:rPr>
        <w:lastRenderedPageBreak/>
        <w:t>The WB Project team will also visit Project sites from time to time and/or specifically as needed as part of Project supervision.</w:t>
      </w:r>
    </w:p>
    <w:p w14:paraId="4D668692" w14:textId="0709E564" w:rsidR="003D2155" w:rsidRPr="00175D8B" w:rsidRDefault="002B49F3" w:rsidP="002B49F3">
      <w:pPr>
        <w:pStyle w:val="Balk3"/>
        <w:ind w:firstLine="708"/>
        <w:rPr>
          <w:rFonts w:eastAsia="Aptos"/>
          <w:lang w:eastAsia="tr-TR"/>
        </w:rPr>
      </w:pPr>
      <w:bookmarkStart w:id="399" w:name="_Toc207987165"/>
      <w:bookmarkStart w:id="400" w:name="_Toc212541905"/>
      <w:bookmarkStart w:id="401" w:name="_Toc212542416"/>
      <w:bookmarkStart w:id="402" w:name="_Toc220672819"/>
      <w:r w:rsidRPr="00175D8B">
        <w:rPr>
          <w:rFonts w:eastAsia="Aptos"/>
          <w:lang w:eastAsia="tr-TR"/>
        </w:rPr>
        <w:t xml:space="preserve">8.1.2. </w:t>
      </w:r>
      <w:r w:rsidR="003D2155" w:rsidRPr="00175D8B">
        <w:rPr>
          <w:rFonts w:eastAsia="Aptos"/>
          <w:lang w:eastAsia="tr-TR"/>
        </w:rPr>
        <w:t>Reporting</w:t>
      </w:r>
      <w:bookmarkEnd w:id="399"/>
      <w:bookmarkEnd w:id="400"/>
      <w:bookmarkEnd w:id="401"/>
      <w:bookmarkEnd w:id="402"/>
    </w:p>
    <w:p w14:paraId="71457FA7" w14:textId="4FF3F8DA" w:rsidR="003D2155" w:rsidRPr="00175D8B" w:rsidRDefault="003D2155" w:rsidP="003D2155">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Within the scope of the Project and sub-projects, reporting will be performed in line with the following responsibilities, scope, frequency and requirements specified in the </w:t>
      </w:r>
      <w:r w:rsidR="004E3228" w:rsidRPr="004E3228">
        <w:rPr>
          <w:rFonts w:eastAsia="Aptos" w:cs="Aptos"/>
          <w:kern w:val="0"/>
          <w:szCs w:val="22"/>
          <w:lang w:eastAsia="tr-TR"/>
          <w14:ligatures w14:val="none"/>
        </w:rPr>
        <w:fldChar w:fldCharType="begin"/>
      </w:r>
      <w:r w:rsidR="004E3228" w:rsidRPr="004E3228">
        <w:rPr>
          <w:rFonts w:eastAsia="Aptos" w:cs="Aptos"/>
          <w:kern w:val="0"/>
          <w:szCs w:val="22"/>
          <w:lang w:eastAsia="tr-TR"/>
          <w14:ligatures w14:val="none"/>
        </w:rPr>
        <w:instrText xml:space="preserve"> REF _Ref216104279 \h  \* MERGEFORMAT </w:instrText>
      </w:r>
      <w:r w:rsidR="004E3228" w:rsidRPr="004E3228">
        <w:rPr>
          <w:rFonts w:eastAsia="Aptos" w:cs="Aptos"/>
          <w:kern w:val="0"/>
          <w:szCs w:val="22"/>
          <w:lang w:eastAsia="tr-TR"/>
          <w14:ligatures w14:val="none"/>
        </w:rPr>
      </w:r>
      <w:r w:rsidR="004E3228" w:rsidRPr="004E3228">
        <w:rPr>
          <w:rFonts w:eastAsia="Aptos" w:cs="Aptos"/>
          <w:kern w:val="0"/>
          <w:szCs w:val="22"/>
          <w:lang w:eastAsia="tr-TR"/>
          <w14:ligatures w14:val="none"/>
        </w:rPr>
        <w:fldChar w:fldCharType="separate"/>
      </w:r>
      <w:r w:rsidR="004E3228" w:rsidRPr="004E3228">
        <w:t xml:space="preserve">Table </w:t>
      </w:r>
      <w:r w:rsidR="004E3228" w:rsidRPr="004E3228">
        <w:rPr>
          <w:noProof/>
        </w:rPr>
        <w:t>33</w:t>
      </w:r>
      <w:r w:rsidR="004E3228" w:rsidRPr="004E3228">
        <w:rPr>
          <w:rFonts w:eastAsia="Aptos" w:cs="Aptos"/>
          <w:kern w:val="0"/>
          <w:szCs w:val="22"/>
          <w:lang w:eastAsia="tr-TR"/>
          <w14:ligatures w14:val="none"/>
        </w:rPr>
        <w:fldChar w:fldCharType="end"/>
      </w:r>
      <w:r w:rsidRPr="00175D8B">
        <w:rPr>
          <w:rFonts w:eastAsia="Aptos" w:cs="Aptos"/>
          <w:kern w:val="0"/>
          <w:szCs w:val="22"/>
          <w:lang w:eastAsia="tr-TR"/>
          <w14:ligatures w14:val="none"/>
        </w:rPr>
        <w:t>.</w:t>
      </w:r>
    </w:p>
    <w:p w14:paraId="123F2A19" w14:textId="77777777" w:rsidR="003D2155" w:rsidRPr="00175D8B" w:rsidRDefault="003D2155" w:rsidP="003D2155">
      <w:pPr>
        <w:spacing w:after="160"/>
        <w:rPr>
          <w:rFonts w:eastAsia="Aptos" w:cs="Aptos"/>
          <w:kern w:val="0"/>
          <w:szCs w:val="22"/>
          <w:lang w:eastAsia="tr-TR"/>
          <w14:ligatures w14:val="none"/>
        </w:rPr>
      </w:pPr>
    </w:p>
    <w:p w14:paraId="3CE9154D" w14:textId="77777777" w:rsidR="003D2155" w:rsidRPr="00175D8B" w:rsidRDefault="003D2155" w:rsidP="003D2155">
      <w:pPr>
        <w:spacing w:after="160"/>
        <w:rPr>
          <w:rFonts w:eastAsia="Aptos" w:cs="Aptos"/>
          <w:kern w:val="0"/>
          <w:szCs w:val="22"/>
          <w:lang w:eastAsia="tr-TR"/>
          <w14:ligatures w14:val="none"/>
        </w:rPr>
      </w:pPr>
    </w:p>
    <w:p w14:paraId="54E2F4C7" w14:textId="77777777" w:rsidR="003D2155" w:rsidRPr="00175D8B" w:rsidRDefault="003D2155" w:rsidP="003D2155">
      <w:pPr>
        <w:spacing w:after="160" w:line="259" w:lineRule="auto"/>
        <w:jc w:val="left"/>
        <w:rPr>
          <w:rFonts w:eastAsia="Aptos" w:cs="Aptos"/>
          <w:kern w:val="0"/>
          <w:sz w:val="20"/>
          <w:szCs w:val="20"/>
          <w:lang w:eastAsia="tr-TR"/>
          <w14:ligatures w14:val="none"/>
        </w:rPr>
        <w:sectPr w:rsidR="003D2155" w:rsidRPr="00175D8B" w:rsidSect="003D2155">
          <w:type w:val="continuous"/>
          <w:pgSz w:w="11900" w:h="16840"/>
          <w:pgMar w:top="1417" w:right="1417" w:bottom="1417" w:left="1417" w:header="851" w:footer="851" w:gutter="0"/>
          <w:cols w:space="708"/>
        </w:sectPr>
      </w:pPr>
    </w:p>
    <w:p w14:paraId="0B036C73" w14:textId="73753063" w:rsidR="00FE5FDE" w:rsidRPr="00175D8B" w:rsidRDefault="00FE5FDE" w:rsidP="006C58C5">
      <w:pPr>
        <w:pStyle w:val="ResimYazs"/>
        <w:keepNext/>
        <w:jc w:val="center"/>
      </w:pPr>
      <w:bookmarkStart w:id="403" w:name="_Ref216104279"/>
      <w:bookmarkStart w:id="404" w:name="_Toc216344450"/>
      <w:r w:rsidRPr="006C58C5">
        <w:rPr>
          <w:b/>
          <w:bCs/>
        </w:rPr>
        <w:lastRenderedPageBreak/>
        <w:t xml:space="preserve">Table </w:t>
      </w:r>
      <w:r w:rsidRPr="006C58C5">
        <w:rPr>
          <w:b/>
          <w:bCs/>
        </w:rPr>
        <w:fldChar w:fldCharType="begin"/>
      </w:r>
      <w:r w:rsidRPr="006C58C5">
        <w:rPr>
          <w:b/>
          <w:bCs/>
        </w:rPr>
        <w:instrText xml:space="preserve"> SEQ Table \* ARABIC </w:instrText>
      </w:r>
      <w:r w:rsidRPr="006C58C5">
        <w:rPr>
          <w:b/>
          <w:bCs/>
        </w:rPr>
        <w:fldChar w:fldCharType="separate"/>
      </w:r>
      <w:r w:rsidRPr="006C58C5">
        <w:rPr>
          <w:b/>
          <w:bCs/>
          <w:noProof/>
        </w:rPr>
        <w:t>33</w:t>
      </w:r>
      <w:r w:rsidRPr="006C58C5">
        <w:rPr>
          <w:b/>
          <w:bCs/>
        </w:rPr>
        <w:fldChar w:fldCharType="end"/>
      </w:r>
      <w:bookmarkEnd w:id="403"/>
      <w:r w:rsidRPr="006C58C5">
        <w:rPr>
          <w:b/>
          <w:bCs/>
        </w:rPr>
        <w:t>:</w:t>
      </w:r>
      <w:r w:rsidRPr="00175D8B">
        <w:t xml:space="preserve"> </w:t>
      </w:r>
      <w:r w:rsidRPr="00175D8B">
        <w:rPr>
          <w:rFonts w:eastAsia="Aptos" w:cs="Aptos"/>
          <w:bCs/>
          <w:color w:val="000000"/>
          <w:kern w:val="0"/>
          <w:lang w:eastAsia="tr-TR"/>
          <w14:ligatures w14:val="none"/>
        </w:rPr>
        <w:t>Reporting Requirements Regarding ESMP Implementation</w:t>
      </w:r>
      <w:bookmarkEnd w:id="404"/>
    </w:p>
    <w:tbl>
      <w:tblPr>
        <w:tblStyle w:val="37"/>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655"/>
        <w:gridCol w:w="1417"/>
        <w:gridCol w:w="3260"/>
      </w:tblGrid>
      <w:tr w:rsidR="003D2155" w:rsidRPr="00175D8B" w14:paraId="469EDF81" w14:textId="77777777" w:rsidTr="002550A6">
        <w:trPr>
          <w:trHeight w:val="529"/>
          <w:tblHeader/>
          <w:jc w:val="center"/>
        </w:trPr>
        <w:tc>
          <w:tcPr>
            <w:tcW w:w="1838" w:type="dxa"/>
            <w:shd w:val="clear" w:color="auto" w:fill="AEB9C4"/>
            <w:vAlign w:val="center"/>
          </w:tcPr>
          <w:p w14:paraId="0EF45F96" w14:textId="77777777" w:rsidR="003D2155" w:rsidRPr="00175D8B" w:rsidRDefault="003D2155" w:rsidP="003D2155">
            <w:pPr>
              <w:spacing w:before="80" w:after="80"/>
              <w:jc w:val="center"/>
              <w:rPr>
                <w:rFonts w:eastAsia="Aptos" w:cs="Aptos"/>
                <w:b/>
                <w:sz w:val="20"/>
                <w:szCs w:val="20"/>
              </w:rPr>
            </w:pPr>
            <w:bookmarkStart w:id="405" w:name="_4anzqyu" w:colFirst="0" w:colLast="0"/>
            <w:bookmarkEnd w:id="405"/>
            <w:r w:rsidRPr="00175D8B">
              <w:rPr>
                <w:rFonts w:eastAsia="Aptos" w:cs="Aptos"/>
                <w:b/>
                <w:sz w:val="20"/>
                <w:szCs w:val="20"/>
              </w:rPr>
              <w:t>Reporting Party</w:t>
            </w:r>
          </w:p>
        </w:tc>
        <w:tc>
          <w:tcPr>
            <w:tcW w:w="7655" w:type="dxa"/>
            <w:shd w:val="clear" w:color="auto" w:fill="AEB9C4"/>
            <w:vAlign w:val="center"/>
          </w:tcPr>
          <w:p w14:paraId="5003C845" w14:textId="77777777" w:rsidR="003D2155" w:rsidRPr="00175D8B" w:rsidRDefault="003D2155" w:rsidP="003D2155">
            <w:pPr>
              <w:spacing w:before="80" w:after="80"/>
              <w:jc w:val="center"/>
              <w:rPr>
                <w:rFonts w:eastAsia="Aptos" w:cs="Aptos"/>
                <w:b/>
                <w:sz w:val="20"/>
                <w:szCs w:val="20"/>
              </w:rPr>
            </w:pPr>
            <w:r w:rsidRPr="00175D8B">
              <w:rPr>
                <w:rFonts w:eastAsia="Aptos" w:cs="Aptos"/>
                <w:b/>
                <w:sz w:val="20"/>
                <w:szCs w:val="20"/>
              </w:rPr>
              <w:t>Reporting Requirements</w:t>
            </w:r>
          </w:p>
        </w:tc>
        <w:tc>
          <w:tcPr>
            <w:tcW w:w="1417" w:type="dxa"/>
            <w:shd w:val="clear" w:color="auto" w:fill="AEB9C4"/>
            <w:vAlign w:val="center"/>
          </w:tcPr>
          <w:p w14:paraId="3C26E38C" w14:textId="77777777" w:rsidR="003D2155" w:rsidRPr="00175D8B" w:rsidRDefault="003D2155" w:rsidP="003D2155">
            <w:pPr>
              <w:spacing w:before="80" w:after="80"/>
              <w:jc w:val="center"/>
              <w:rPr>
                <w:rFonts w:eastAsia="Aptos" w:cs="Aptos"/>
                <w:b/>
                <w:sz w:val="20"/>
                <w:szCs w:val="20"/>
              </w:rPr>
            </w:pPr>
            <w:r w:rsidRPr="00175D8B">
              <w:rPr>
                <w:rFonts w:eastAsia="Aptos" w:cs="Aptos"/>
                <w:b/>
                <w:sz w:val="20"/>
                <w:szCs w:val="20"/>
              </w:rPr>
              <w:t>Reporting Frequency</w:t>
            </w:r>
          </w:p>
        </w:tc>
        <w:tc>
          <w:tcPr>
            <w:tcW w:w="3260" w:type="dxa"/>
            <w:shd w:val="clear" w:color="auto" w:fill="AEB9C4"/>
            <w:vAlign w:val="center"/>
          </w:tcPr>
          <w:p w14:paraId="3AF43B97" w14:textId="77777777" w:rsidR="003D2155" w:rsidRPr="00175D8B" w:rsidRDefault="003D2155" w:rsidP="003D2155">
            <w:pPr>
              <w:spacing w:before="80" w:after="80"/>
              <w:jc w:val="center"/>
              <w:rPr>
                <w:rFonts w:eastAsia="Aptos" w:cs="Aptos"/>
                <w:b/>
                <w:sz w:val="20"/>
                <w:szCs w:val="20"/>
              </w:rPr>
            </w:pPr>
            <w:r w:rsidRPr="00175D8B">
              <w:rPr>
                <w:rFonts w:eastAsia="Aptos" w:cs="Aptos"/>
                <w:b/>
                <w:sz w:val="20"/>
                <w:szCs w:val="20"/>
              </w:rPr>
              <w:t>Party To Which Reports Will Be Submitted</w:t>
            </w:r>
          </w:p>
        </w:tc>
      </w:tr>
      <w:tr w:rsidR="003D2155" w:rsidRPr="00175D8B" w14:paraId="5F77E730" w14:textId="77777777" w:rsidTr="002550A6">
        <w:trPr>
          <w:trHeight w:val="4247"/>
          <w:jc w:val="center"/>
        </w:trPr>
        <w:tc>
          <w:tcPr>
            <w:tcW w:w="1838" w:type="dxa"/>
            <w:shd w:val="clear" w:color="auto" w:fill="F2F2F2"/>
            <w:vAlign w:val="center"/>
          </w:tcPr>
          <w:p w14:paraId="57F134EC" w14:textId="77777777" w:rsidR="003D2155" w:rsidRPr="00175D8B" w:rsidRDefault="003D2155" w:rsidP="003D2155">
            <w:pPr>
              <w:spacing w:before="80" w:after="80"/>
              <w:jc w:val="left"/>
              <w:rPr>
                <w:rFonts w:eastAsia="Aptos" w:cs="Aptos"/>
                <w:sz w:val="20"/>
                <w:szCs w:val="20"/>
              </w:rPr>
            </w:pPr>
            <w:r w:rsidRPr="00175D8B">
              <w:rPr>
                <w:rFonts w:eastAsia="Aptos" w:cs="Aptos"/>
                <w:sz w:val="20"/>
                <w:szCs w:val="20"/>
              </w:rPr>
              <w:t>Contractor / Contractor's OHS Focal Point</w:t>
            </w:r>
          </w:p>
        </w:tc>
        <w:tc>
          <w:tcPr>
            <w:tcW w:w="7655" w:type="dxa"/>
            <w:shd w:val="clear" w:color="auto" w:fill="F2F2F2"/>
            <w:vAlign w:val="center"/>
          </w:tcPr>
          <w:p w14:paraId="5B883280" w14:textId="77777777" w:rsidR="003D2155" w:rsidRPr="00175D8B" w:rsidRDefault="003D2155">
            <w:pPr>
              <w:numPr>
                <w:ilvl w:val="0"/>
                <w:numId w:val="92"/>
              </w:numPr>
              <w:pBdr>
                <w:top w:val="nil"/>
                <w:left w:val="nil"/>
                <w:bottom w:val="nil"/>
                <w:right w:val="nil"/>
                <w:between w:val="nil"/>
              </w:pBdr>
              <w:spacing w:before="80" w:after="0" w:line="240" w:lineRule="auto"/>
              <w:ind w:left="426" w:hanging="284"/>
              <w:jc w:val="left"/>
              <w:rPr>
                <w:color w:val="000000"/>
                <w:sz w:val="20"/>
                <w:szCs w:val="20"/>
              </w:rPr>
            </w:pPr>
            <w:r w:rsidRPr="00175D8B">
              <w:rPr>
                <w:rFonts w:eastAsia="Aptos" w:cs="Aptos"/>
                <w:color w:val="000000"/>
                <w:sz w:val="20"/>
                <w:szCs w:val="20"/>
              </w:rPr>
              <w:t xml:space="preserve">Summary of the progress of demolition/retrofitting/construction activities schedule. </w:t>
            </w:r>
          </w:p>
          <w:p w14:paraId="13064081" w14:textId="77777777" w:rsidR="003D2155" w:rsidRPr="00175D8B" w:rsidRDefault="003D2155">
            <w:pPr>
              <w:numPr>
                <w:ilvl w:val="0"/>
                <w:numId w:val="92"/>
              </w:numPr>
              <w:pBdr>
                <w:top w:val="nil"/>
                <w:left w:val="nil"/>
                <w:bottom w:val="nil"/>
                <w:right w:val="nil"/>
                <w:between w:val="nil"/>
              </w:pBdr>
              <w:spacing w:after="0" w:line="240" w:lineRule="auto"/>
              <w:ind w:left="426" w:hanging="284"/>
              <w:jc w:val="left"/>
              <w:rPr>
                <w:color w:val="000000"/>
                <w:sz w:val="20"/>
                <w:szCs w:val="20"/>
              </w:rPr>
            </w:pPr>
            <w:r w:rsidRPr="00175D8B">
              <w:rPr>
                <w:rFonts w:eastAsia="Aptos" w:cs="Aptos"/>
                <w:color w:val="000000"/>
                <w:sz w:val="20"/>
                <w:szCs w:val="20"/>
              </w:rPr>
              <w:t xml:space="preserve">Summary of the compliance activities according to the Sakarya ESMP, neighborhood-level ESIAs (if needed) and sub-project-specific C-ESMP Checklists. </w:t>
            </w:r>
          </w:p>
          <w:p w14:paraId="71E54CD5" w14:textId="77777777" w:rsidR="003D2155" w:rsidRPr="00175D8B" w:rsidRDefault="003D2155">
            <w:pPr>
              <w:numPr>
                <w:ilvl w:val="0"/>
                <w:numId w:val="92"/>
              </w:numPr>
              <w:pBdr>
                <w:top w:val="nil"/>
                <w:left w:val="nil"/>
                <w:bottom w:val="nil"/>
                <w:right w:val="nil"/>
                <w:between w:val="nil"/>
              </w:pBdr>
              <w:spacing w:after="0" w:line="240" w:lineRule="auto"/>
              <w:ind w:left="426" w:hanging="284"/>
              <w:jc w:val="left"/>
              <w:rPr>
                <w:color w:val="000000"/>
                <w:sz w:val="20"/>
                <w:szCs w:val="20"/>
              </w:rPr>
            </w:pPr>
            <w:r w:rsidRPr="00175D8B">
              <w:rPr>
                <w:rFonts w:eastAsia="Aptos" w:cs="Aptos"/>
                <w:color w:val="000000"/>
                <w:sz w:val="20"/>
                <w:szCs w:val="20"/>
              </w:rPr>
              <w:t>Up-to-date list of all accidents, incidents and near-misses that occur during the Project.</w:t>
            </w:r>
          </w:p>
          <w:p w14:paraId="04C17B86" w14:textId="77777777" w:rsidR="003D2155" w:rsidRPr="00175D8B" w:rsidRDefault="003D2155">
            <w:pPr>
              <w:numPr>
                <w:ilvl w:val="0"/>
                <w:numId w:val="92"/>
              </w:numPr>
              <w:pBdr>
                <w:top w:val="nil"/>
                <w:left w:val="nil"/>
                <w:bottom w:val="nil"/>
                <w:right w:val="nil"/>
                <w:between w:val="nil"/>
              </w:pBdr>
              <w:spacing w:after="0" w:line="240" w:lineRule="auto"/>
              <w:ind w:left="426" w:hanging="284"/>
              <w:jc w:val="left"/>
              <w:rPr>
                <w:color w:val="000000"/>
                <w:sz w:val="20"/>
                <w:szCs w:val="20"/>
              </w:rPr>
            </w:pPr>
            <w:r w:rsidRPr="00175D8B">
              <w:rPr>
                <w:rFonts w:eastAsia="Aptos" w:cs="Aptos"/>
                <w:color w:val="000000"/>
                <w:sz w:val="20"/>
                <w:szCs w:val="20"/>
              </w:rPr>
              <w:t>Records of E&amp;S trainings provided to personnel.</w:t>
            </w:r>
          </w:p>
          <w:p w14:paraId="0DAC65C7" w14:textId="77777777" w:rsidR="003D2155" w:rsidRPr="00175D8B" w:rsidRDefault="003D2155">
            <w:pPr>
              <w:numPr>
                <w:ilvl w:val="0"/>
                <w:numId w:val="92"/>
              </w:numPr>
              <w:pBdr>
                <w:top w:val="nil"/>
                <w:left w:val="nil"/>
                <w:bottom w:val="nil"/>
                <w:right w:val="nil"/>
                <w:between w:val="nil"/>
              </w:pBdr>
              <w:spacing w:after="0" w:line="240" w:lineRule="auto"/>
              <w:ind w:left="426" w:hanging="284"/>
              <w:jc w:val="left"/>
              <w:rPr>
                <w:color w:val="000000"/>
                <w:sz w:val="20"/>
                <w:szCs w:val="20"/>
              </w:rPr>
            </w:pPr>
            <w:r w:rsidRPr="00175D8B">
              <w:rPr>
                <w:rFonts w:eastAsia="Aptos" w:cs="Aptos"/>
                <w:color w:val="000000"/>
                <w:sz w:val="20"/>
                <w:szCs w:val="20"/>
              </w:rPr>
              <w:t xml:space="preserve">Tracking information of all past issues is still being resolved. </w:t>
            </w:r>
          </w:p>
          <w:p w14:paraId="29C92935" w14:textId="77777777" w:rsidR="003D2155" w:rsidRPr="00175D8B" w:rsidRDefault="003D2155">
            <w:pPr>
              <w:numPr>
                <w:ilvl w:val="0"/>
                <w:numId w:val="92"/>
              </w:numPr>
              <w:pBdr>
                <w:top w:val="nil"/>
                <w:left w:val="nil"/>
                <w:bottom w:val="nil"/>
                <w:right w:val="nil"/>
                <w:between w:val="nil"/>
              </w:pBdr>
              <w:spacing w:after="0" w:line="240" w:lineRule="auto"/>
              <w:ind w:left="426" w:hanging="284"/>
              <w:jc w:val="left"/>
              <w:rPr>
                <w:color w:val="000000"/>
                <w:sz w:val="20"/>
                <w:szCs w:val="20"/>
              </w:rPr>
            </w:pPr>
            <w:r w:rsidRPr="00175D8B">
              <w:rPr>
                <w:rFonts w:eastAsia="Aptos" w:cs="Aptos"/>
                <w:color w:val="000000"/>
                <w:sz w:val="20"/>
                <w:szCs w:val="20"/>
              </w:rPr>
              <w:t>Photos of the Project activities related to the implementation of the C-ESMP Checklist mitigation measures.</w:t>
            </w:r>
          </w:p>
          <w:p w14:paraId="253EACA6" w14:textId="77777777" w:rsidR="003D2155" w:rsidRPr="00175D8B" w:rsidRDefault="003D2155">
            <w:pPr>
              <w:numPr>
                <w:ilvl w:val="0"/>
                <w:numId w:val="92"/>
              </w:numPr>
              <w:pBdr>
                <w:top w:val="nil"/>
                <w:left w:val="nil"/>
                <w:bottom w:val="nil"/>
                <w:right w:val="nil"/>
                <w:between w:val="nil"/>
              </w:pBdr>
              <w:spacing w:after="0" w:line="240" w:lineRule="auto"/>
              <w:ind w:left="426" w:hanging="284"/>
              <w:jc w:val="left"/>
              <w:rPr>
                <w:color w:val="000000"/>
                <w:sz w:val="20"/>
                <w:szCs w:val="20"/>
              </w:rPr>
            </w:pPr>
            <w:r w:rsidRPr="00175D8B">
              <w:rPr>
                <w:rFonts w:eastAsia="Aptos" w:cs="Aptos"/>
                <w:color w:val="000000"/>
                <w:sz w:val="20"/>
                <w:szCs w:val="20"/>
              </w:rPr>
              <w:t>Daily compliance checklist of the works that are performed every day on the site.</w:t>
            </w:r>
          </w:p>
          <w:p w14:paraId="70722056" w14:textId="77777777" w:rsidR="003D2155" w:rsidRPr="00175D8B" w:rsidRDefault="003D2155">
            <w:pPr>
              <w:numPr>
                <w:ilvl w:val="0"/>
                <w:numId w:val="92"/>
              </w:numPr>
              <w:pBdr>
                <w:top w:val="nil"/>
                <w:left w:val="nil"/>
                <w:bottom w:val="nil"/>
                <w:right w:val="nil"/>
                <w:between w:val="nil"/>
              </w:pBdr>
              <w:spacing w:after="80" w:line="240" w:lineRule="auto"/>
              <w:ind w:left="426" w:hanging="284"/>
              <w:jc w:val="left"/>
              <w:rPr>
                <w:color w:val="000000"/>
                <w:sz w:val="20"/>
                <w:szCs w:val="20"/>
              </w:rPr>
            </w:pPr>
            <w:r w:rsidRPr="00175D8B">
              <w:rPr>
                <w:rFonts w:eastAsia="Aptos" w:cs="Aptos"/>
                <w:color w:val="000000"/>
                <w:sz w:val="20"/>
                <w:szCs w:val="20"/>
              </w:rPr>
              <w:t xml:space="preserve">Outputs of the performed activities in line with the Environmental and Social Monitoring Plan presented in Section </w:t>
            </w:r>
            <w:r w:rsidRPr="00175D8B">
              <w:rPr>
                <w:rFonts w:eastAsia="Aptos" w:cs="Aptos"/>
                <w:color w:val="000000"/>
                <w:sz w:val="20"/>
                <w:szCs w:val="20"/>
                <w:shd w:val="clear" w:color="auto" w:fill="E6E6E6"/>
              </w:rPr>
              <w:t>5.</w:t>
            </w:r>
          </w:p>
        </w:tc>
        <w:tc>
          <w:tcPr>
            <w:tcW w:w="1417" w:type="dxa"/>
            <w:shd w:val="clear" w:color="auto" w:fill="F2F2F2"/>
            <w:vAlign w:val="center"/>
          </w:tcPr>
          <w:p w14:paraId="654F80BF" w14:textId="77777777" w:rsidR="003D2155" w:rsidRPr="00175D8B" w:rsidRDefault="003D2155" w:rsidP="003D2155">
            <w:pPr>
              <w:spacing w:before="80" w:after="80"/>
              <w:jc w:val="center"/>
              <w:rPr>
                <w:rFonts w:eastAsia="Aptos" w:cs="Aptos"/>
                <w:sz w:val="20"/>
                <w:szCs w:val="20"/>
              </w:rPr>
            </w:pPr>
            <w:r w:rsidRPr="00175D8B">
              <w:rPr>
                <w:rFonts w:eastAsia="Aptos" w:cs="Aptos"/>
                <w:sz w:val="20"/>
                <w:szCs w:val="20"/>
              </w:rPr>
              <w:t>Once a month</w:t>
            </w:r>
          </w:p>
        </w:tc>
        <w:tc>
          <w:tcPr>
            <w:tcW w:w="3260" w:type="dxa"/>
            <w:shd w:val="clear" w:color="auto" w:fill="F2F2F2"/>
            <w:vAlign w:val="center"/>
          </w:tcPr>
          <w:p w14:paraId="360B02D1" w14:textId="77777777" w:rsidR="003D2155" w:rsidRPr="00175D8B" w:rsidRDefault="003D2155" w:rsidP="003D2155">
            <w:pPr>
              <w:spacing w:before="80" w:after="80"/>
              <w:jc w:val="center"/>
              <w:rPr>
                <w:rFonts w:eastAsia="Aptos" w:cs="Aptos"/>
                <w:sz w:val="20"/>
                <w:szCs w:val="20"/>
              </w:rPr>
            </w:pPr>
            <w:r w:rsidRPr="00175D8B">
              <w:rPr>
                <w:rFonts w:eastAsia="Aptos" w:cs="Aptos"/>
                <w:sz w:val="20"/>
                <w:szCs w:val="20"/>
              </w:rPr>
              <w:t>The PMU individual specialists in the provinces.</w:t>
            </w:r>
          </w:p>
        </w:tc>
      </w:tr>
      <w:tr w:rsidR="003D2155" w:rsidRPr="00175D8B" w14:paraId="06D75807" w14:textId="77777777" w:rsidTr="002550A6">
        <w:trPr>
          <w:trHeight w:val="720"/>
          <w:jc w:val="center"/>
        </w:trPr>
        <w:tc>
          <w:tcPr>
            <w:tcW w:w="1838" w:type="dxa"/>
            <w:shd w:val="clear" w:color="auto" w:fill="F2F2F2"/>
            <w:vAlign w:val="center"/>
          </w:tcPr>
          <w:p w14:paraId="15ECFF6C" w14:textId="77777777" w:rsidR="003D2155" w:rsidRPr="00175D8B" w:rsidRDefault="003D2155" w:rsidP="003D2155">
            <w:pPr>
              <w:spacing w:before="80" w:after="80"/>
              <w:jc w:val="left"/>
              <w:rPr>
                <w:rFonts w:eastAsia="Aptos" w:cs="Aptos"/>
                <w:sz w:val="20"/>
                <w:szCs w:val="20"/>
              </w:rPr>
            </w:pPr>
            <w:r w:rsidRPr="00175D8B">
              <w:rPr>
                <w:rFonts w:eastAsia="Aptos" w:cs="Aptos"/>
                <w:sz w:val="20"/>
                <w:szCs w:val="20"/>
              </w:rPr>
              <w:t>PMU individual specialists in the provinces</w:t>
            </w:r>
          </w:p>
        </w:tc>
        <w:tc>
          <w:tcPr>
            <w:tcW w:w="7655" w:type="dxa"/>
            <w:shd w:val="clear" w:color="auto" w:fill="F2F2F2"/>
            <w:vAlign w:val="center"/>
          </w:tcPr>
          <w:p w14:paraId="400F83B0" w14:textId="77777777" w:rsidR="003D2155" w:rsidRPr="00175D8B" w:rsidRDefault="003D2155">
            <w:pPr>
              <w:numPr>
                <w:ilvl w:val="0"/>
                <w:numId w:val="92"/>
              </w:numPr>
              <w:pBdr>
                <w:top w:val="nil"/>
                <w:left w:val="nil"/>
                <w:bottom w:val="nil"/>
                <w:right w:val="nil"/>
                <w:between w:val="nil"/>
              </w:pBdr>
              <w:spacing w:before="80" w:after="0" w:line="240" w:lineRule="auto"/>
              <w:ind w:left="426" w:hanging="284"/>
              <w:jc w:val="left"/>
              <w:rPr>
                <w:color w:val="000000"/>
                <w:sz w:val="20"/>
                <w:szCs w:val="20"/>
              </w:rPr>
            </w:pPr>
            <w:r w:rsidRPr="00175D8B">
              <w:rPr>
                <w:rFonts w:eastAsia="Aptos" w:cs="Aptos"/>
                <w:color w:val="000000"/>
                <w:sz w:val="20"/>
                <w:szCs w:val="20"/>
              </w:rPr>
              <w:t>Important points in the monthly reports of the Contractors / Contractor's focal points</w:t>
            </w:r>
          </w:p>
          <w:p w14:paraId="2E3BCC48" w14:textId="77777777" w:rsidR="003D2155" w:rsidRPr="00175D8B" w:rsidRDefault="003D2155">
            <w:pPr>
              <w:numPr>
                <w:ilvl w:val="0"/>
                <w:numId w:val="92"/>
              </w:numPr>
              <w:pBdr>
                <w:top w:val="nil"/>
                <w:left w:val="nil"/>
                <w:bottom w:val="nil"/>
                <w:right w:val="nil"/>
                <w:between w:val="nil"/>
              </w:pBdr>
              <w:spacing w:after="0" w:line="240" w:lineRule="auto"/>
              <w:ind w:left="426" w:hanging="284"/>
              <w:jc w:val="left"/>
              <w:rPr>
                <w:color w:val="000000"/>
                <w:sz w:val="20"/>
                <w:szCs w:val="20"/>
              </w:rPr>
            </w:pPr>
            <w:r w:rsidRPr="00175D8B">
              <w:rPr>
                <w:rFonts w:eastAsia="Aptos" w:cs="Aptos"/>
                <w:color w:val="000000"/>
                <w:sz w:val="20"/>
                <w:szCs w:val="20"/>
              </w:rPr>
              <w:t>Outputs of the supervision, monitoring and auditing activities</w:t>
            </w:r>
          </w:p>
          <w:p w14:paraId="4718BBB9" w14:textId="77777777" w:rsidR="003D2155" w:rsidRPr="00175D8B" w:rsidRDefault="003D2155">
            <w:pPr>
              <w:numPr>
                <w:ilvl w:val="0"/>
                <w:numId w:val="92"/>
              </w:numPr>
              <w:pBdr>
                <w:top w:val="nil"/>
                <w:left w:val="nil"/>
                <w:bottom w:val="nil"/>
                <w:right w:val="nil"/>
                <w:between w:val="nil"/>
              </w:pBdr>
              <w:spacing w:after="80" w:line="240" w:lineRule="auto"/>
              <w:ind w:left="426" w:hanging="284"/>
              <w:jc w:val="left"/>
              <w:rPr>
                <w:color w:val="000000"/>
                <w:sz w:val="20"/>
                <w:szCs w:val="20"/>
              </w:rPr>
            </w:pPr>
            <w:r w:rsidRPr="00175D8B">
              <w:rPr>
                <w:rFonts w:eastAsia="Aptos" w:cs="Aptos"/>
                <w:color w:val="000000"/>
                <w:sz w:val="20"/>
                <w:szCs w:val="20"/>
              </w:rPr>
              <w:t xml:space="preserve">Progress of E&amp;S Audits and ESAPs to be prepared for the Type-III sub-projects, if needed </w:t>
            </w:r>
          </w:p>
        </w:tc>
        <w:tc>
          <w:tcPr>
            <w:tcW w:w="1417" w:type="dxa"/>
            <w:shd w:val="clear" w:color="auto" w:fill="F2F2F2"/>
            <w:vAlign w:val="center"/>
          </w:tcPr>
          <w:p w14:paraId="1AE692AF" w14:textId="77777777" w:rsidR="003D2155" w:rsidRPr="00175D8B" w:rsidRDefault="003D2155" w:rsidP="003D2155">
            <w:pPr>
              <w:spacing w:before="80" w:after="80"/>
              <w:jc w:val="center"/>
              <w:rPr>
                <w:rFonts w:eastAsia="Aptos" w:cs="Aptos"/>
                <w:sz w:val="20"/>
                <w:szCs w:val="20"/>
              </w:rPr>
            </w:pPr>
            <w:r w:rsidRPr="00175D8B">
              <w:rPr>
                <w:rFonts w:eastAsia="Aptos" w:cs="Aptos"/>
                <w:sz w:val="20"/>
                <w:szCs w:val="20"/>
              </w:rPr>
              <w:t>Once a month</w:t>
            </w:r>
          </w:p>
        </w:tc>
        <w:tc>
          <w:tcPr>
            <w:tcW w:w="3260" w:type="dxa"/>
            <w:shd w:val="clear" w:color="auto" w:fill="F2F2F2"/>
            <w:vAlign w:val="center"/>
          </w:tcPr>
          <w:p w14:paraId="1A95FB53" w14:textId="77777777" w:rsidR="003D2155" w:rsidRPr="00175D8B" w:rsidRDefault="003D2155" w:rsidP="003D2155">
            <w:pPr>
              <w:spacing w:before="80" w:after="80"/>
              <w:jc w:val="center"/>
              <w:rPr>
                <w:rFonts w:eastAsia="Aptos" w:cs="Aptos"/>
                <w:sz w:val="20"/>
                <w:szCs w:val="20"/>
              </w:rPr>
            </w:pPr>
            <w:r w:rsidRPr="00175D8B">
              <w:rPr>
                <w:rFonts w:eastAsia="Aptos" w:cs="Aptos"/>
                <w:sz w:val="20"/>
                <w:szCs w:val="20"/>
              </w:rPr>
              <w:t>The PMU head office</w:t>
            </w:r>
          </w:p>
        </w:tc>
      </w:tr>
      <w:tr w:rsidR="003D2155" w:rsidRPr="00175D8B" w14:paraId="16E27EB6" w14:textId="77777777" w:rsidTr="002550A6">
        <w:trPr>
          <w:trHeight w:val="3685"/>
          <w:jc w:val="center"/>
        </w:trPr>
        <w:tc>
          <w:tcPr>
            <w:tcW w:w="1838" w:type="dxa"/>
            <w:shd w:val="clear" w:color="auto" w:fill="F2F2F2"/>
            <w:vAlign w:val="center"/>
          </w:tcPr>
          <w:p w14:paraId="0E58B2DA" w14:textId="77777777" w:rsidR="003D2155" w:rsidRPr="00175D8B" w:rsidRDefault="003D2155" w:rsidP="003D2155">
            <w:pPr>
              <w:spacing w:before="80" w:after="80"/>
              <w:jc w:val="left"/>
              <w:rPr>
                <w:rFonts w:eastAsia="Aptos" w:cs="Aptos"/>
                <w:sz w:val="20"/>
                <w:szCs w:val="20"/>
              </w:rPr>
            </w:pPr>
            <w:r w:rsidRPr="00175D8B">
              <w:rPr>
                <w:rFonts w:eastAsia="Aptos" w:cs="Aptos"/>
                <w:sz w:val="20"/>
                <w:szCs w:val="20"/>
              </w:rPr>
              <w:lastRenderedPageBreak/>
              <w:t xml:space="preserve">PMU head office </w:t>
            </w:r>
          </w:p>
        </w:tc>
        <w:tc>
          <w:tcPr>
            <w:tcW w:w="7655" w:type="dxa"/>
            <w:shd w:val="clear" w:color="auto" w:fill="F2F2F2"/>
            <w:vAlign w:val="center"/>
          </w:tcPr>
          <w:p w14:paraId="7BD21269" w14:textId="77777777" w:rsidR="003D2155" w:rsidRPr="00175D8B" w:rsidRDefault="003D2155" w:rsidP="003D2155">
            <w:pPr>
              <w:spacing w:before="80" w:after="80"/>
              <w:jc w:val="left"/>
              <w:rPr>
                <w:rFonts w:eastAsia="Aptos" w:cs="Aptos"/>
                <w:sz w:val="20"/>
                <w:szCs w:val="20"/>
              </w:rPr>
            </w:pPr>
            <w:r w:rsidRPr="00175D8B">
              <w:rPr>
                <w:rFonts w:eastAsia="Aptos" w:cs="Aptos"/>
                <w:sz w:val="20"/>
                <w:szCs w:val="20"/>
              </w:rPr>
              <w:t xml:space="preserve">Using the reports of contractors and the PMU individual specialists in the provinces and their quarterly site monitoring outputs: </w:t>
            </w:r>
          </w:p>
          <w:p w14:paraId="45192F58" w14:textId="77777777" w:rsidR="003D2155" w:rsidRPr="00175D8B" w:rsidRDefault="003D2155">
            <w:pPr>
              <w:numPr>
                <w:ilvl w:val="0"/>
                <w:numId w:val="92"/>
              </w:numPr>
              <w:pBdr>
                <w:top w:val="nil"/>
                <w:left w:val="nil"/>
                <w:bottom w:val="nil"/>
                <w:right w:val="nil"/>
                <w:between w:val="nil"/>
              </w:pBdr>
              <w:spacing w:before="80" w:after="0" w:line="240" w:lineRule="auto"/>
              <w:ind w:left="426" w:hanging="284"/>
              <w:jc w:val="left"/>
              <w:rPr>
                <w:color w:val="000000"/>
                <w:sz w:val="20"/>
                <w:szCs w:val="20"/>
              </w:rPr>
            </w:pPr>
            <w:r w:rsidRPr="00175D8B">
              <w:rPr>
                <w:rFonts w:eastAsia="Aptos" w:cs="Aptos"/>
                <w:color w:val="000000"/>
                <w:sz w:val="20"/>
                <w:szCs w:val="20"/>
              </w:rPr>
              <w:t xml:space="preserve">Summary of the completed demolition/retrofitting/construction activities. </w:t>
            </w:r>
          </w:p>
          <w:p w14:paraId="723A1DB4" w14:textId="77777777" w:rsidR="003D2155" w:rsidRPr="00175D8B" w:rsidRDefault="003D2155">
            <w:pPr>
              <w:numPr>
                <w:ilvl w:val="0"/>
                <w:numId w:val="92"/>
              </w:numPr>
              <w:pBdr>
                <w:top w:val="nil"/>
                <w:left w:val="nil"/>
                <w:bottom w:val="nil"/>
                <w:right w:val="nil"/>
                <w:between w:val="nil"/>
              </w:pBdr>
              <w:spacing w:after="0" w:line="240" w:lineRule="auto"/>
              <w:ind w:left="426" w:hanging="284"/>
              <w:jc w:val="left"/>
              <w:rPr>
                <w:color w:val="000000"/>
                <w:sz w:val="20"/>
                <w:szCs w:val="20"/>
              </w:rPr>
            </w:pPr>
            <w:r w:rsidRPr="00175D8B">
              <w:rPr>
                <w:rFonts w:eastAsia="Aptos" w:cs="Aptos"/>
                <w:color w:val="000000"/>
                <w:sz w:val="20"/>
                <w:szCs w:val="20"/>
              </w:rPr>
              <w:t xml:space="preserve">Estimated remaining demolition/retrofitting/construction works and their schedule. </w:t>
            </w:r>
          </w:p>
          <w:p w14:paraId="3A928152" w14:textId="77777777" w:rsidR="003D2155" w:rsidRPr="00175D8B" w:rsidRDefault="003D2155">
            <w:pPr>
              <w:numPr>
                <w:ilvl w:val="0"/>
                <w:numId w:val="92"/>
              </w:numPr>
              <w:pBdr>
                <w:top w:val="nil"/>
                <w:left w:val="nil"/>
                <w:bottom w:val="nil"/>
                <w:right w:val="nil"/>
                <w:between w:val="nil"/>
              </w:pBdr>
              <w:spacing w:after="0" w:line="240" w:lineRule="auto"/>
              <w:ind w:left="426" w:hanging="284"/>
              <w:jc w:val="left"/>
              <w:rPr>
                <w:color w:val="000000"/>
                <w:sz w:val="20"/>
                <w:szCs w:val="20"/>
              </w:rPr>
            </w:pPr>
            <w:r w:rsidRPr="00175D8B">
              <w:rPr>
                <w:rFonts w:eastAsia="Aptos" w:cs="Aptos"/>
                <w:color w:val="000000"/>
                <w:sz w:val="20"/>
                <w:szCs w:val="20"/>
              </w:rPr>
              <w:t>Summary of the compliance activities.</w:t>
            </w:r>
          </w:p>
          <w:p w14:paraId="2177F53E" w14:textId="77777777" w:rsidR="003D2155" w:rsidRPr="00175D8B" w:rsidRDefault="003D2155">
            <w:pPr>
              <w:numPr>
                <w:ilvl w:val="0"/>
                <w:numId w:val="92"/>
              </w:numPr>
              <w:pBdr>
                <w:top w:val="nil"/>
                <w:left w:val="nil"/>
                <w:bottom w:val="nil"/>
                <w:right w:val="nil"/>
                <w:between w:val="nil"/>
              </w:pBdr>
              <w:spacing w:after="0" w:line="240" w:lineRule="auto"/>
              <w:ind w:left="426" w:hanging="284"/>
              <w:jc w:val="left"/>
              <w:rPr>
                <w:color w:val="000000"/>
                <w:sz w:val="20"/>
                <w:szCs w:val="20"/>
              </w:rPr>
            </w:pPr>
            <w:r w:rsidRPr="00175D8B">
              <w:rPr>
                <w:rFonts w:eastAsia="Aptos" w:cs="Aptos"/>
                <w:color w:val="000000"/>
                <w:sz w:val="20"/>
                <w:szCs w:val="20"/>
              </w:rPr>
              <w:t xml:space="preserve">Outputs of the activities in line with the province-based Environmental and Social Monitoring Plans, whose format is presented in Section 5. </w:t>
            </w:r>
          </w:p>
          <w:p w14:paraId="120805D2" w14:textId="77777777" w:rsidR="003D2155" w:rsidRPr="00175D8B" w:rsidRDefault="003D2155">
            <w:pPr>
              <w:numPr>
                <w:ilvl w:val="0"/>
                <w:numId w:val="92"/>
              </w:numPr>
              <w:pBdr>
                <w:top w:val="nil"/>
                <w:left w:val="nil"/>
                <w:bottom w:val="nil"/>
                <w:right w:val="nil"/>
                <w:between w:val="nil"/>
              </w:pBdr>
              <w:spacing w:after="0" w:line="240" w:lineRule="auto"/>
              <w:ind w:left="426" w:hanging="284"/>
              <w:jc w:val="left"/>
              <w:rPr>
                <w:color w:val="000000"/>
                <w:sz w:val="20"/>
                <w:szCs w:val="20"/>
              </w:rPr>
            </w:pPr>
            <w:r w:rsidRPr="00175D8B">
              <w:rPr>
                <w:rFonts w:eastAsia="Aptos" w:cs="Aptos"/>
                <w:color w:val="000000"/>
                <w:sz w:val="20"/>
                <w:szCs w:val="20"/>
              </w:rPr>
              <w:t>Environmental Social, Health and Safety Key Performance Indicators (KPIs), such as:</w:t>
            </w:r>
          </w:p>
          <w:p w14:paraId="58D408E7" w14:textId="77777777" w:rsidR="003D2155" w:rsidRPr="00175D8B" w:rsidRDefault="003D2155">
            <w:pPr>
              <w:numPr>
                <w:ilvl w:val="0"/>
                <w:numId w:val="100"/>
              </w:numPr>
              <w:pBdr>
                <w:top w:val="nil"/>
                <w:left w:val="nil"/>
                <w:bottom w:val="nil"/>
                <w:right w:val="nil"/>
                <w:between w:val="nil"/>
              </w:pBdr>
              <w:spacing w:after="0" w:line="240" w:lineRule="auto"/>
              <w:ind w:left="709" w:hanging="284"/>
              <w:jc w:val="left"/>
              <w:rPr>
                <w:color w:val="000000"/>
                <w:sz w:val="20"/>
                <w:szCs w:val="20"/>
              </w:rPr>
            </w:pPr>
            <w:r w:rsidRPr="00175D8B">
              <w:rPr>
                <w:rFonts w:eastAsia="Aptos" w:cs="Aptos"/>
                <w:color w:val="000000"/>
                <w:sz w:val="20"/>
                <w:szCs w:val="20"/>
              </w:rPr>
              <w:t>Statuses of grievances resolved per province,</w:t>
            </w:r>
          </w:p>
          <w:p w14:paraId="596667EC" w14:textId="77777777" w:rsidR="003D2155" w:rsidRPr="00175D8B" w:rsidRDefault="003D2155">
            <w:pPr>
              <w:numPr>
                <w:ilvl w:val="0"/>
                <w:numId w:val="100"/>
              </w:numPr>
              <w:pBdr>
                <w:top w:val="nil"/>
                <w:left w:val="nil"/>
                <w:bottom w:val="nil"/>
                <w:right w:val="nil"/>
                <w:between w:val="nil"/>
              </w:pBdr>
              <w:spacing w:after="0" w:line="240" w:lineRule="auto"/>
              <w:ind w:left="709" w:hanging="284"/>
              <w:jc w:val="left"/>
              <w:rPr>
                <w:color w:val="000000"/>
                <w:sz w:val="20"/>
                <w:szCs w:val="20"/>
              </w:rPr>
            </w:pPr>
            <w:r w:rsidRPr="00175D8B">
              <w:rPr>
                <w:rFonts w:eastAsia="Aptos" w:cs="Aptos"/>
                <w:color w:val="000000"/>
                <w:sz w:val="20"/>
                <w:szCs w:val="20"/>
              </w:rPr>
              <w:t>Properly prepared and approved ESMP Checklist per sub-project,</w:t>
            </w:r>
          </w:p>
          <w:p w14:paraId="48ADB90D" w14:textId="77777777" w:rsidR="003D2155" w:rsidRPr="00175D8B" w:rsidRDefault="003D2155">
            <w:pPr>
              <w:numPr>
                <w:ilvl w:val="0"/>
                <w:numId w:val="100"/>
              </w:numPr>
              <w:pBdr>
                <w:top w:val="nil"/>
                <w:left w:val="nil"/>
                <w:bottom w:val="nil"/>
                <w:right w:val="nil"/>
                <w:between w:val="nil"/>
              </w:pBdr>
              <w:spacing w:after="0" w:line="240" w:lineRule="auto"/>
              <w:ind w:left="709" w:hanging="284"/>
              <w:jc w:val="left"/>
              <w:rPr>
                <w:color w:val="000000"/>
                <w:sz w:val="20"/>
                <w:szCs w:val="20"/>
              </w:rPr>
            </w:pPr>
            <w:r w:rsidRPr="00175D8B">
              <w:rPr>
                <w:rFonts w:eastAsia="Aptos" w:cs="Aptos"/>
                <w:color w:val="000000"/>
                <w:sz w:val="20"/>
                <w:szCs w:val="20"/>
              </w:rPr>
              <w:t>Occupational accidents / incidents per province,</w:t>
            </w:r>
          </w:p>
          <w:p w14:paraId="4BA10C47" w14:textId="77777777" w:rsidR="003D2155" w:rsidRPr="00175D8B" w:rsidRDefault="003D2155">
            <w:pPr>
              <w:numPr>
                <w:ilvl w:val="0"/>
                <w:numId w:val="100"/>
              </w:numPr>
              <w:pBdr>
                <w:top w:val="nil"/>
                <w:left w:val="nil"/>
                <w:bottom w:val="nil"/>
                <w:right w:val="nil"/>
                <w:between w:val="nil"/>
              </w:pBdr>
              <w:spacing w:after="0" w:line="240" w:lineRule="auto"/>
              <w:ind w:left="709" w:hanging="284"/>
              <w:jc w:val="left"/>
              <w:rPr>
                <w:color w:val="000000"/>
                <w:sz w:val="20"/>
                <w:szCs w:val="20"/>
              </w:rPr>
            </w:pPr>
            <w:r w:rsidRPr="00175D8B">
              <w:rPr>
                <w:rFonts w:eastAsia="Aptos" w:cs="Aptos"/>
                <w:color w:val="000000"/>
                <w:sz w:val="20"/>
                <w:szCs w:val="20"/>
              </w:rPr>
              <w:t>Number of ESAPs (which are specific to Type-III sub-projects) whose actions are completed per Type-III sub-projects, and</w:t>
            </w:r>
          </w:p>
          <w:p w14:paraId="7C60D07D" w14:textId="77777777" w:rsidR="003D2155" w:rsidRPr="00175D8B" w:rsidRDefault="003D2155">
            <w:pPr>
              <w:numPr>
                <w:ilvl w:val="0"/>
                <w:numId w:val="100"/>
              </w:numPr>
              <w:pBdr>
                <w:top w:val="nil"/>
                <w:left w:val="nil"/>
                <w:bottom w:val="nil"/>
                <w:right w:val="nil"/>
                <w:between w:val="nil"/>
              </w:pBdr>
              <w:spacing w:after="0" w:line="240" w:lineRule="auto"/>
              <w:ind w:left="709" w:hanging="284"/>
              <w:jc w:val="left"/>
              <w:rPr>
                <w:color w:val="000000"/>
                <w:sz w:val="20"/>
                <w:szCs w:val="20"/>
              </w:rPr>
            </w:pPr>
            <w:r w:rsidRPr="00175D8B">
              <w:rPr>
                <w:rFonts w:eastAsia="Aptos" w:cs="Aptos"/>
                <w:color w:val="000000"/>
                <w:sz w:val="20"/>
                <w:szCs w:val="20"/>
              </w:rPr>
              <w:t xml:space="preserve">Ration of recycled construction demolition waste per province (approximately). </w:t>
            </w:r>
          </w:p>
          <w:p w14:paraId="292B3D4E" w14:textId="77777777" w:rsidR="003D2155" w:rsidRPr="00175D8B" w:rsidRDefault="003D2155">
            <w:pPr>
              <w:numPr>
                <w:ilvl w:val="0"/>
                <w:numId w:val="92"/>
              </w:numPr>
              <w:pBdr>
                <w:top w:val="nil"/>
                <w:left w:val="nil"/>
                <w:bottom w:val="nil"/>
                <w:right w:val="nil"/>
                <w:between w:val="nil"/>
              </w:pBdr>
              <w:spacing w:after="0" w:line="240" w:lineRule="auto"/>
              <w:ind w:left="426" w:hanging="284"/>
              <w:jc w:val="left"/>
              <w:rPr>
                <w:color w:val="000000"/>
                <w:sz w:val="20"/>
                <w:szCs w:val="20"/>
              </w:rPr>
            </w:pPr>
            <w:r w:rsidRPr="00175D8B">
              <w:rPr>
                <w:rFonts w:eastAsia="Aptos" w:cs="Aptos"/>
                <w:color w:val="000000"/>
                <w:sz w:val="20"/>
                <w:szCs w:val="20"/>
              </w:rPr>
              <w:t>Up-to-date list of Environmental, Social and Safety events.</w:t>
            </w:r>
          </w:p>
          <w:p w14:paraId="7ADB9068" w14:textId="77777777" w:rsidR="003D2155" w:rsidRPr="00175D8B" w:rsidRDefault="003D2155">
            <w:pPr>
              <w:numPr>
                <w:ilvl w:val="0"/>
                <w:numId w:val="92"/>
              </w:numPr>
              <w:pBdr>
                <w:top w:val="nil"/>
                <w:left w:val="nil"/>
                <w:bottom w:val="nil"/>
                <w:right w:val="nil"/>
                <w:between w:val="nil"/>
              </w:pBdr>
              <w:spacing w:after="0" w:line="240" w:lineRule="auto"/>
              <w:ind w:left="426" w:hanging="284"/>
              <w:jc w:val="left"/>
              <w:rPr>
                <w:color w:val="000000"/>
                <w:sz w:val="20"/>
                <w:szCs w:val="20"/>
              </w:rPr>
            </w:pPr>
            <w:r w:rsidRPr="00175D8B">
              <w:rPr>
                <w:rFonts w:eastAsia="Aptos" w:cs="Aptos"/>
                <w:color w:val="000000"/>
                <w:sz w:val="20"/>
                <w:szCs w:val="20"/>
              </w:rPr>
              <w:t>Up-to-date list of all accidents, incidents and near-misses that occur during the Project.</w:t>
            </w:r>
          </w:p>
          <w:p w14:paraId="543FD307" w14:textId="77777777" w:rsidR="003D2155" w:rsidRPr="00175D8B" w:rsidRDefault="003D2155">
            <w:pPr>
              <w:numPr>
                <w:ilvl w:val="0"/>
                <w:numId w:val="92"/>
              </w:numPr>
              <w:pBdr>
                <w:top w:val="nil"/>
                <w:left w:val="nil"/>
                <w:bottom w:val="nil"/>
                <w:right w:val="nil"/>
                <w:between w:val="nil"/>
              </w:pBdr>
              <w:spacing w:after="0" w:line="240" w:lineRule="auto"/>
              <w:ind w:left="426" w:hanging="284"/>
              <w:jc w:val="left"/>
              <w:rPr>
                <w:color w:val="000000"/>
                <w:sz w:val="20"/>
                <w:szCs w:val="20"/>
              </w:rPr>
            </w:pPr>
            <w:r w:rsidRPr="00175D8B">
              <w:rPr>
                <w:rFonts w:eastAsia="Aptos" w:cs="Aptos"/>
                <w:color w:val="000000"/>
                <w:sz w:val="20"/>
                <w:szCs w:val="20"/>
              </w:rPr>
              <w:t>Tracking information on all past issues is still being resolved.</w:t>
            </w:r>
          </w:p>
          <w:p w14:paraId="2F8F8717" w14:textId="77777777" w:rsidR="003D2155" w:rsidRPr="00175D8B" w:rsidRDefault="003D2155">
            <w:pPr>
              <w:numPr>
                <w:ilvl w:val="0"/>
                <w:numId w:val="92"/>
              </w:numPr>
              <w:pBdr>
                <w:top w:val="nil"/>
                <w:left w:val="nil"/>
                <w:bottom w:val="nil"/>
                <w:right w:val="nil"/>
                <w:between w:val="nil"/>
              </w:pBdr>
              <w:spacing w:after="80" w:line="240" w:lineRule="auto"/>
              <w:ind w:left="426" w:hanging="284"/>
              <w:jc w:val="left"/>
              <w:rPr>
                <w:color w:val="000000"/>
                <w:sz w:val="20"/>
                <w:szCs w:val="20"/>
              </w:rPr>
            </w:pPr>
            <w:r w:rsidRPr="00175D8B">
              <w:rPr>
                <w:rFonts w:eastAsia="Aptos" w:cs="Aptos"/>
                <w:color w:val="000000"/>
                <w:sz w:val="20"/>
                <w:szCs w:val="20"/>
              </w:rPr>
              <w:t>Photos of Project activities.</w:t>
            </w:r>
          </w:p>
          <w:p w14:paraId="303E4523" w14:textId="77777777" w:rsidR="003D2155" w:rsidRPr="00175D8B" w:rsidRDefault="003D2155" w:rsidP="003D2155">
            <w:pPr>
              <w:spacing w:before="80" w:after="80"/>
              <w:jc w:val="left"/>
              <w:rPr>
                <w:rFonts w:eastAsia="Aptos" w:cs="Aptos"/>
                <w:sz w:val="20"/>
                <w:szCs w:val="20"/>
              </w:rPr>
            </w:pPr>
            <w:r w:rsidRPr="00175D8B">
              <w:rPr>
                <w:rFonts w:eastAsia="Aptos" w:cs="Aptos"/>
                <w:sz w:val="20"/>
                <w:szCs w:val="20"/>
              </w:rPr>
              <w:t>The Project Progress Report, which will include not only the sub-project activities under Component 2, but also the activities under other components</w:t>
            </w:r>
          </w:p>
        </w:tc>
        <w:tc>
          <w:tcPr>
            <w:tcW w:w="1417" w:type="dxa"/>
            <w:shd w:val="clear" w:color="auto" w:fill="F2F2F2"/>
            <w:vAlign w:val="center"/>
          </w:tcPr>
          <w:p w14:paraId="5FEF2A00" w14:textId="77777777" w:rsidR="003D2155" w:rsidRPr="00175D8B" w:rsidRDefault="003D2155" w:rsidP="003D2155">
            <w:pPr>
              <w:spacing w:before="80" w:after="80"/>
              <w:jc w:val="center"/>
              <w:rPr>
                <w:rFonts w:eastAsia="Aptos" w:cs="Aptos"/>
                <w:sz w:val="20"/>
                <w:szCs w:val="20"/>
              </w:rPr>
            </w:pPr>
            <w:r w:rsidRPr="00175D8B">
              <w:rPr>
                <w:rFonts w:eastAsia="Aptos" w:cs="Aptos"/>
                <w:sz w:val="20"/>
                <w:szCs w:val="20"/>
              </w:rPr>
              <w:t>Quarterly</w:t>
            </w:r>
          </w:p>
        </w:tc>
        <w:tc>
          <w:tcPr>
            <w:tcW w:w="3260" w:type="dxa"/>
            <w:shd w:val="clear" w:color="auto" w:fill="F2F2F2"/>
            <w:vAlign w:val="center"/>
          </w:tcPr>
          <w:p w14:paraId="752B3D7B" w14:textId="77777777" w:rsidR="003D2155" w:rsidRPr="00175D8B" w:rsidRDefault="003D2155" w:rsidP="003D2155">
            <w:pPr>
              <w:spacing w:before="80" w:after="80"/>
              <w:jc w:val="center"/>
              <w:rPr>
                <w:rFonts w:eastAsia="Aptos" w:cs="Aptos"/>
                <w:sz w:val="20"/>
                <w:szCs w:val="20"/>
              </w:rPr>
            </w:pPr>
            <w:r w:rsidRPr="00175D8B">
              <w:rPr>
                <w:rFonts w:eastAsia="Aptos" w:cs="Aptos"/>
                <w:sz w:val="20"/>
                <w:szCs w:val="20"/>
              </w:rPr>
              <w:t>WB</w:t>
            </w:r>
          </w:p>
        </w:tc>
      </w:tr>
    </w:tbl>
    <w:p w14:paraId="54604CF6" w14:textId="77777777" w:rsidR="003D2155" w:rsidRPr="00175D8B" w:rsidRDefault="003D2155" w:rsidP="002550A6">
      <w:pPr>
        <w:spacing w:after="160" w:line="259" w:lineRule="auto"/>
        <w:jc w:val="left"/>
        <w:rPr>
          <w:rFonts w:eastAsia="Aptos" w:cs="Aptos"/>
          <w:b/>
          <w:color w:val="FF0000"/>
          <w:kern w:val="0"/>
          <w:sz w:val="28"/>
          <w:szCs w:val="28"/>
          <w:lang w:eastAsia="tr-TR"/>
          <w14:ligatures w14:val="none"/>
        </w:rPr>
        <w:sectPr w:rsidR="003D2155" w:rsidRPr="00175D8B" w:rsidSect="003D2155">
          <w:headerReference w:type="even" r:id="rId42"/>
          <w:headerReference w:type="default" r:id="rId43"/>
          <w:footerReference w:type="default" r:id="rId44"/>
          <w:headerReference w:type="first" r:id="rId45"/>
          <w:pgSz w:w="16840" w:h="11900" w:orient="landscape"/>
          <w:pgMar w:top="1418" w:right="1418" w:bottom="1418" w:left="1418" w:header="851" w:footer="851" w:gutter="0"/>
          <w:cols w:space="708"/>
          <w:docGrid w:linePitch="299"/>
        </w:sectPr>
      </w:pPr>
    </w:p>
    <w:p w14:paraId="0D755C6D" w14:textId="77777777" w:rsidR="003D2155" w:rsidRPr="00175D8B" w:rsidRDefault="003D2155" w:rsidP="002B49F3">
      <w:pPr>
        <w:pStyle w:val="Balk3"/>
        <w:ind w:firstLine="708"/>
        <w:rPr>
          <w:rFonts w:eastAsia="Aptos"/>
          <w:lang w:eastAsia="tr-TR"/>
        </w:rPr>
      </w:pPr>
      <w:bookmarkStart w:id="406" w:name="_Toc207987166"/>
      <w:bookmarkStart w:id="407" w:name="_Toc212541906"/>
      <w:bookmarkStart w:id="408" w:name="_Toc212542417"/>
      <w:bookmarkStart w:id="409" w:name="_Toc220672820"/>
      <w:r w:rsidRPr="00175D8B">
        <w:rPr>
          <w:rFonts w:eastAsia="Aptos"/>
          <w:lang w:eastAsia="tr-TR"/>
        </w:rPr>
        <w:lastRenderedPageBreak/>
        <w:t>8.1.3. Trainings for Other Staff</w:t>
      </w:r>
      <w:bookmarkEnd w:id="406"/>
      <w:bookmarkEnd w:id="407"/>
      <w:bookmarkEnd w:id="408"/>
      <w:bookmarkEnd w:id="409"/>
    </w:p>
    <w:p w14:paraId="6A67857B" w14:textId="77777777" w:rsidR="003D2155" w:rsidRPr="00175D8B" w:rsidRDefault="003D2155" w:rsidP="00D414C4">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The PMU will ensure that the following trainings will be given to the UTP personnel, who are not specialists in Environment, OHS and social issues, as well as to the personnel of the units responsible for environmental, OHS and social issues in the relevant Provincial Directorates and, if necessary, to the personnel of the infrastructure and urban transformation units of the Provincial Directorates: </w:t>
      </w:r>
    </w:p>
    <w:p w14:paraId="2078AF41" w14:textId="77777777" w:rsidR="003D2155" w:rsidRPr="00175D8B" w:rsidRDefault="003D2155">
      <w:pPr>
        <w:numPr>
          <w:ilvl w:val="0"/>
          <w:numId w:val="78"/>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World Bank Environmental and Social Framework,</w:t>
      </w:r>
    </w:p>
    <w:p w14:paraId="50E815D9" w14:textId="77777777" w:rsidR="003D2155" w:rsidRPr="00175D8B" w:rsidRDefault="003D2155">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Project-specific tools, i.e., ESMF, ESMP, LMP, SEP and RF/RP,</w:t>
      </w:r>
    </w:p>
    <w:p w14:paraId="729AF960" w14:textId="77777777" w:rsidR="003D2155" w:rsidRPr="00175D8B" w:rsidRDefault="003D2155">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Environmental and social assessment methods,</w:t>
      </w:r>
    </w:p>
    <w:p w14:paraId="3E5DC605" w14:textId="77777777" w:rsidR="003D2155" w:rsidRPr="00175D8B" w:rsidRDefault="003D2155">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Community health and safety,</w:t>
      </w:r>
    </w:p>
    <w:p w14:paraId="2E828842" w14:textId="77777777" w:rsidR="003D2155" w:rsidRPr="00175D8B" w:rsidRDefault="003D2155">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Stakeholder engagement and close out of grievances,</w:t>
      </w:r>
    </w:p>
    <w:p w14:paraId="60B208AB" w14:textId="77777777" w:rsidR="003D2155" w:rsidRPr="00175D8B" w:rsidRDefault="003D2155">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Code of conduct, and</w:t>
      </w:r>
    </w:p>
    <w:p w14:paraId="290366E8" w14:textId="77777777" w:rsidR="003D2155" w:rsidRPr="00175D8B" w:rsidRDefault="003D2155">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Measures on the SEA/SH and Gender-Based Violence </w:t>
      </w:r>
    </w:p>
    <w:p w14:paraId="028FA382" w14:textId="77777777" w:rsidR="003D2155" w:rsidRPr="00175D8B" w:rsidRDefault="003D2155" w:rsidP="002B49F3">
      <w:pPr>
        <w:pStyle w:val="Balk3"/>
        <w:ind w:firstLine="360"/>
        <w:rPr>
          <w:rFonts w:eastAsia="Aptos"/>
          <w:lang w:eastAsia="tr-TR"/>
        </w:rPr>
      </w:pPr>
      <w:bookmarkStart w:id="410" w:name="_Toc207987167"/>
      <w:bookmarkStart w:id="411" w:name="_Toc212541907"/>
      <w:bookmarkStart w:id="412" w:name="_Toc212542418"/>
      <w:bookmarkStart w:id="413" w:name="_Toc220672821"/>
      <w:r w:rsidRPr="00175D8B">
        <w:rPr>
          <w:rFonts w:eastAsia="Aptos"/>
          <w:lang w:eastAsia="tr-TR"/>
        </w:rPr>
        <w:t>8.1.4. Training for Contractors</w:t>
      </w:r>
      <w:bookmarkEnd w:id="410"/>
      <w:bookmarkEnd w:id="411"/>
      <w:bookmarkEnd w:id="412"/>
      <w:bookmarkEnd w:id="413"/>
    </w:p>
    <w:p w14:paraId="5B8061CE" w14:textId="44E3D470" w:rsidR="003D2155" w:rsidRPr="00175D8B" w:rsidRDefault="003D2155" w:rsidP="003D2155">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In the process of retrofitting/demolishing/reconstruction of the risky buildings, which are potential sub-projects under Component 2, the trainings of the inspection companies within the scope of the applicable national Construction Inspection System legislation and the practices under this legislation are quite detailed within the framework of the processes such as design, architecture and construction techniques. </w:t>
      </w:r>
      <w:r w:rsidR="00D809A1" w:rsidRPr="00175D8B">
        <w:t>In addition, the applicable OHS legislation has defined the detailed trainings for workers, occupational physicians and healthcare professionals, as well as occupational safety specialists</w:t>
      </w:r>
      <w:r w:rsidR="00D809A1" w:rsidRPr="00175D8B">
        <w:rPr>
          <w:rFonts w:eastAsia="Aptos" w:cs="Aptos"/>
          <w:kern w:val="0"/>
          <w:szCs w:val="22"/>
          <w:lang w:eastAsia="tr-TR"/>
          <w14:ligatures w14:val="none"/>
        </w:rPr>
        <w:t xml:space="preserve">, </w:t>
      </w:r>
      <w:r w:rsidRPr="00175D8B">
        <w:rPr>
          <w:rFonts w:eastAsia="Aptos" w:cs="Aptos"/>
          <w:kern w:val="0"/>
          <w:szCs w:val="22"/>
          <w:lang w:eastAsia="tr-TR"/>
          <w14:ligatures w14:val="none"/>
        </w:rPr>
        <w:t xml:space="preserve">especially for the activities to be carried out within the scope of the sub-projects of the Project. However, the trainings to be provided to contractors must also be in line with the ESF and WBG EHS General Guidelines. Therefore, for contractors and their personnel, the trainings mentioned in Section 8.1.3 should also be given. </w:t>
      </w:r>
    </w:p>
    <w:p w14:paraId="673502CA" w14:textId="77777777" w:rsidR="003D2155" w:rsidRPr="00175D8B" w:rsidRDefault="003D2155" w:rsidP="003D2155">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In addition to training on how to comply with environmental and social requirements for the sub-project as a whole, contractors should train their employees on how to comply with applicable mitigation requirements when performing their work. In addition to the Health and Safety training, other environmental and social training (e.g., the Code of Conduct, waste management and sanitation) are described in the Sakarya ESMP. The trainings will include; </w:t>
      </w:r>
    </w:p>
    <w:p w14:paraId="77B8DFE3" w14:textId="77777777" w:rsidR="003D2155" w:rsidRPr="00175D8B" w:rsidRDefault="003D2155">
      <w:pPr>
        <w:numPr>
          <w:ilvl w:val="0"/>
          <w:numId w:val="101"/>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OHS, environmental and social assessments,</w:t>
      </w:r>
    </w:p>
    <w:p w14:paraId="0A7205DF" w14:textId="77777777" w:rsidR="003D2155" w:rsidRPr="00175D8B" w:rsidRDefault="003D2155">
      <w:pPr>
        <w:numPr>
          <w:ilvl w:val="0"/>
          <w:numId w:val="101"/>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Reporting on environmental accidents and social incidents.</w:t>
      </w:r>
    </w:p>
    <w:p w14:paraId="5357FFF9" w14:textId="77777777" w:rsidR="003D2155" w:rsidRPr="00175D8B" w:rsidRDefault="003D2155">
      <w:pPr>
        <w:numPr>
          <w:ilvl w:val="0"/>
          <w:numId w:val="10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lastRenderedPageBreak/>
        <w:t>ESMP,</w:t>
      </w:r>
    </w:p>
    <w:p w14:paraId="7203C3A1" w14:textId="77777777" w:rsidR="003D2155" w:rsidRPr="00175D8B" w:rsidRDefault="003D2155">
      <w:pPr>
        <w:numPr>
          <w:ilvl w:val="0"/>
          <w:numId w:val="10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Community health and safety,</w:t>
      </w:r>
    </w:p>
    <w:p w14:paraId="1574DEF8" w14:textId="77777777" w:rsidR="003D2155" w:rsidRPr="00175D8B" w:rsidRDefault="003D2155">
      <w:pPr>
        <w:numPr>
          <w:ilvl w:val="0"/>
          <w:numId w:val="10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Stakeholder engagement and grievance mechanism,</w:t>
      </w:r>
    </w:p>
    <w:p w14:paraId="3F9A7DBA" w14:textId="77777777" w:rsidR="003D2155" w:rsidRPr="00175D8B" w:rsidRDefault="003D2155">
      <w:pPr>
        <w:numPr>
          <w:ilvl w:val="0"/>
          <w:numId w:val="10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Codes of conduct (CoC),</w:t>
      </w:r>
    </w:p>
    <w:p w14:paraId="24D613CD" w14:textId="77777777" w:rsidR="003D2155" w:rsidRPr="00175D8B" w:rsidRDefault="003D2155">
      <w:pPr>
        <w:numPr>
          <w:ilvl w:val="0"/>
          <w:numId w:val="10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Sexual Exploitation and Abuse (SEA), and Sexual Harassment (SH), </w:t>
      </w:r>
    </w:p>
    <w:p w14:paraId="43C26109" w14:textId="77777777" w:rsidR="003D2155" w:rsidRPr="00175D8B" w:rsidRDefault="003D2155">
      <w:pPr>
        <w:numPr>
          <w:ilvl w:val="0"/>
          <w:numId w:val="10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Gender-Based Violence,</w:t>
      </w:r>
    </w:p>
    <w:p w14:paraId="13116DA4" w14:textId="77777777" w:rsidR="003D2155" w:rsidRPr="00175D8B" w:rsidRDefault="003D2155">
      <w:pPr>
        <w:numPr>
          <w:ilvl w:val="0"/>
          <w:numId w:val="10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Monitoring and reporting, and</w:t>
      </w:r>
    </w:p>
    <w:p w14:paraId="1EA7D81D" w14:textId="77777777" w:rsidR="003D2155" w:rsidRPr="00175D8B" w:rsidRDefault="003D2155">
      <w:pPr>
        <w:numPr>
          <w:ilvl w:val="0"/>
          <w:numId w:val="10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Other relevant topics.</w:t>
      </w:r>
    </w:p>
    <w:p w14:paraId="281A9878" w14:textId="77777777" w:rsidR="003D2155" w:rsidRPr="00175D8B" w:rsidRDefault="003D2155" w:rsidP="00D414C4">
      <w:pPr>
        <w:spacing w:after="160"/>
        <w:rPr>
          <w:rFonts w:eastAsia="Aptos" w:cs="Aptos"/>
          <w:kern w:val="0"/>
          <w:szCs w:val="22"/>
          <w:lang w:eastAsia="tr-TR"/>
          <w14:ligatures w14:val="none"/>
        </w:rPr>
      </w:pPr>
      <w:r w:rsidRPr="00175D8B">
        <w:rPr>
          <w:rFonts w:eastAsia="Aptos" w:cs="Aptos"/>
          <w:kern w:val="0"/>
          <w:szCs w:val="22"/>
          <w:lang w:eastAsia="tr-TR"/>
          <w14:ligatures w14:val="none"/>
        </w:rPr>
        <w:t>Additionally, especially the contractor OHS focal point should be trained in the following subjects;</w:t>
      </w:r>
    </w:p>
    <w:p w14:paraId="1F57F575" w14:textId="77777777" w:rsidR="003D2155" w:rsidRPr="00175D8B" w:rsidRDefault="003D2155">
      <w:pPr>
        <w:numPr>
          <w:ilvl w:val="0"/>
          <w:numId w:val="101"/>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Reporting of environmental accidents, social incidents, OHS accidents and accidents that may affect public health and safety, and</w:t>
      </w:r>
    </w:p>
    <w:p w14:paraId="0C705662" w14:textId="4F1D3452" w:rsidR="003D2155" w:rsidRPr="00175D8B" w:rsidRDefault="003D2155">
      <w:pPr>
        <w:numPr>
          <w:ilvl w:val="0"/>
          <w:numId w:val="10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Reporting non-conformities to be identified through the implementation of ESMPs and </w:t>
      </w:r>
      <w:r w:rsidR="00D809A1" w:rsidRPr="00175D8B">
        <w:rPr>
          <w:rFonts w:eastAsia="Aptos" w:cs="Aptos"/>
          <w:color w:val="000000"/>
          <w:kern w:val="0"/>
          <w:szCs w:val="22"/>
          <w:lang w:eastAsia="tr-TR"/>
          <w14:ligatures w14:val="none"/>
        </w:rPr>
        <w:t>C-</w:t>
      </w:r>
      <w:r w:rsidRPr="00175D8B">
        <w:rPr>
          <w:rFonts w:eastAsia="Aptos" w:cs="Aptos"/>
          <w:color w:val="000000"/>
          <w:kern w:val="0"/>
          <w:szCs w:val="22"/>
          <w:lang w:eastAsia="tr-TR"/>
          <w14:ligatures w14:val="none"/>
        </w:rPr>
        <w:t>ESMP Checklists.</w:t>
      </w:r>
    </w:p>
    <w:p w14:paraId="4CAEAF03" w14:textId="77777777" w:rsidR="003D2155" w:rsidRPr="00175D8B" w:rsidRDefault="003D2155" w:rsidP="00D414C4">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The accident/incident reports of the OHS focal point must include, as a minimum, the following: </w:t>
      </w:r>
    </w:p>
    <w:p w14:paraId="647CF5E2" w14:textId="77777777" w:rsidR="003D2155" w:rsidRPr="00175D8B" w:rsidRDefault="003D2155">
      <w:pPr>
        <w:numPr>
          <w:ilvl w:val="0"/>
          <w:numId w:val="78"/>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date on which the incident takes place and, the date on which it is found out if the latter is different</w:t>
      </w:r>
    </w:p>
    <w:p w14:paraId="28F1B93E" w14:textId="77777777" w:rsidR="003D2155" w:rsidRPr="00175D8B" w:rsidRDefault="003D2155">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Description of the incident</w:t>
      </w:r>
    </w:p>
    <w:p w14:paraId="5C5C46B4" w14:textId="77777777" w:rsidR="003D2155" w:rsidRPr="00175D8B" w:rsidRDefault="003D2155">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The violated mitigation measures/environmental/social laws </w:t>
      </w:r>
    </w:p>
    <w:p w14:paraId="5B1156A8" w14:textId="77777777" w:rsidR="003D2155" w:rsidRPr="00175D8B" w:rsidRDefault="003D2155">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parties that are present at the time of the incident</w:t>
      </w:r>
    </w:p>
    <w:p w14:paraId="4336611E" w14:textId="77777777" w:rsidR="003D2155" w:rsidRPr="00175D8B" w:rsidRDefault="003D2155">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Corrective actions taken to fix the problem and prevent its recurrence</w:t>
      </w:r>
    </w:p>
    <w:p w14:paraId="18389FEE" w14:textId="77777777" w:rsidR="003D2155" w:rsidRPr="00175D8B" w:rsidRDefault="003D2155">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All necessary steps that need to be taken to remedy the situation, such as improvement</w:t>
      </w:r>
    </w:p>
    <w:p w14:paraId="4F5C33BE" w14:textId="77777777" w:rsidR="003D2155" w:rsidRPr="00175D8B" w:rsidRDefault="003D2155" w:rsidP="00D414C4">
      <w:pPr>
        <w:spacing w:after="160"/>
        <w:rPr>
          <w:rFonts w:eastAsia="Aptos" w:cs="Aptos"/>
          <w:kern w:val="0"/>
          <w:szCs w:val="22"/>
          <w:lang w:eastAsia="tr-TR"/>
          <w14:ligatures w14:val="none"/>
        </w:rPr>
      </w:pPr>
      <w:r w:rsidRPr="00175D8B">
        <w:rPr>
          <w:rFonts w:eastAsia="Aptos" w:cs="Aptos"/>
          <w:kern w:val="0"/>
          <w:szCs w:val="22"/>
          <w:lang w:eastAsia="tr-TR"/>
          <w14:ligatures w14:val="none"/>
        </w:rPr>
        <w:t>The non-conformity report must include, as a minimum, the following:</w:t>
      </w:r>
    </w:p>
    <w:p w14:paraId="1F39E867" w14:textId="77777777" w:rsidR="003D2155" w:rsidRPr="00175D8B" w:rsidRDefault="003D2155">
      <w:pPr>
        <w:numPr>
          <w:ilvl w:val="0"/>
          <w:numId w:val="78"/>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date on which the incident takes place and, the date on which it is found out if the latter is different</w:t>
      </w:r>
    </w:p>
    <w:p w14:paraId="0B956BDF" w14:textId="77777777" w:rsidR="003D2155" w:rsidRPr="00175D8B" w:rsidRDefault="003D2155">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Description of the problem</w:t>
      </w:r>
    </w:p>
    <w:p w14:paraId="7E58032E" w14:textId="77777777" w:rsidR="003D2155" w:rsidRPr="00175D8B" w:rsidRDefault="003D2155">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violated mitigation measures/environmental/social laws and the World Bank's ESF requirements</w:t>
      </w:r>
    </w:p>
    <w:p w14:paraId="117EEC42" w14:textId="77777777" w:rsidR="003D2155" w:rsidRPr="00175D8B" w:rsidRDefault="003D2155">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parties that are present at the time of the incident</w:t>
      </w:r>
    </w:p>
    <w:p w14:paraId="4D3A4CDC" w14:textId="77777777" w:rsidR="003D2155" w:rsidRPr="00175D8B" w:rsidRDefault="003D2155">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Description of the corrective steps taken</w:t>
      </w:r>
    </w:p>
    <w:p w14:paraId="50A36631" w14:textId="77777777" w:rsidR="003D2155" w:rsidRPr="00175D8B" w:rsidRDefault="003D2155">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If environmental damage occurs, a description of necessary follow-up steps or long-term improvement requirements </w:t>
      </w:r>
    </w:p>
    <w:p w14:paraId="27945093" w14:textId="77777777" w:rsidR="003D2155" w:rsidRPr="00175D8B" w:rsidRDefault="003D2155" w:rsidP="002B49F3">
      <w:pPr>
        <w:pStyle w:val="Balk3"/>
        <w:rPr>
          <w:rFonts w:eastAsia="Aptos"/>
          <w:lang w:eastAsia="tr-TR"/>
        </w:rPr>
      </w:pPr>
      <w:bookmarkStart w:id="414" w:name="_Toc207987168"/>
      <w:bookmarkStart w:id="415" w:name="_Toc212541908"/>
      <w:bookmarkStart w:id="416" w:name="_Toc212542419"/>
      <w:bookmarkStart w:id="417" w:name="_Toc220672822"/>
      <w:r w:rsidRPr="00175D8B">
        <w:rPr>
          <w:rFonts w:eastAsia="Aptos"/>
          <w:lang w:eastAsia="tr-TR"/>
        </w:rPr>
        <w:lastRenderedPageBreak/>
        <w:t>8.1.5   Application Process for the Sub-Projects</w:t>
      </w:r>
      <w:bookmarkEnd w:id="414"/>
      <w:bookmarkEnd w:id="415"/>
      <w:bookmarkEnd w:id="416"/>
      <w:bookmarkEnd w:id="417"/>
    </w:p>
    <w:p w14:paraId="7FE3EB05" w14:textId="2E2426A3" w:rsidR="003D2155" w:rsidRPr="00175D8B" w:rsidRDefault="003D2155" w:rsidP="003D2155">
      <w:pPr>
        <w:pBdr>
          <w:top w:val="nil"/>
          <w:left w:val="nil"/>
          <w:bottom w:val="nil"/>
          <w:right w:val="nil"/>
          <w:between w:val="nil"/>
        </w:pBdr>
        <w:spacing w:after="0"/>
        <w:rPr>
          <w:rFonts w:eastAsia="Aptos" w:cs="Aptos"/>
          <w:color w:val="0E0E0E"/>
          <w:kern w:val="0"/>
          <w:szCs w:val="22"/>
          <w:lang w:eastAsia="tr-TR"/>
          <w14:ligatures w14:val="none"/>
        </w:rPr>
      </w:pPr>
      <w:r w:rsidRPr="00175D8B">
        <w:rPr>
          <w:rFonts w:eastAsia="Aptos" w:cs="Aptos"/>
          <w:color w:val="0E0E0E"/>
          <w:kern w:val="0"/>
          <w:szCs w:val="22"/>
          <w:lang w:eastAsia="tr-TR"/>
          <w14:ligatures w14:val="none"/>
        </w:rPr>
        <w:t xml:space="preserve">As outlined in the flowchart below in </w:t>
      </w:r>
      <w:r w:rsidR="00F61A8D">
        <w:rPr>
          <w:rFonts w:eastAsia="Aptos" w:cs="Aptos"/>
          <w:color w:val="0E0E0E"/>
          <w:kern w:val="0"/>
          <w:szCs w:val="22"/>
          <w:lang w:eastAsia="tr-TR"/>
          <w14:ligatures w14:val="none"/>
        </w:rPr>
        <w:fldChar w:fldCharType="begin"/>
      </w:r>
      <w:r w:rsidR="00F61A8D">
        <w:rPr>
          <w:rFonts w:eastAsia="Aptos" w:cs="Aptos"/>
          <w:color w:val="0E0E0E"/>
          <w:kern w:val="0"/>
          <w:szCs w:val="22"/>
          <w:lang w:eastAsia="tr-TR"/>
          <w14:ligatures w14:val="none"/>
        </w:rPr>
        <w:instrText xml:space="preserve"> REF _Ref216099122 \h </w:instrText>
      </w:r>
      <w:r w:rsidR="00F61A8D">
        <w:rPr>
          <w:rFonts w:eastAsia="Aptos" w:cs="Aptos"/>
          <w:color w:val="0E0E0E"/>
          <w:kern w:val="0"/>
          <w:szCs w:val="22"/>
          <w:lang w:eastAsia="tr-TR"/>
          <w14:ligatures w14:val="none"/>
        </w:rPr>
      </w:r>
      <w:r w:rsidR="00F61A8D">
        <w:rPr>
          <w:rFonts w:eastAsia="Aptos" w:cs="Aptos"/>
          <w:color w:val="0E0E0E"/>
          <w:kern w:val="0"/>
          <w:szCs w:val="22"/>
          <w:lang w:eastAsia="tr-TR"/>
          <w14:ligatures w14:val="none"/>
        </w:rPr>
        <w:fldChar w:fldCharType="separate"/>
      </w:r>
      <w:r w:rsidR="00F61A8D" w:rsidRPr="00F61A8D">
        <w:rPr>
          <w:b/>
          <w:bCs/>
          <w:szCs w:val="20"/>
        </w:rPr>
        <w:t xml:space="preserve">Figure </w:t>
      </w:r>
      <w:r w:rsidR="00F61A8D" w:rsidRPr="00F61A8D">
        <w:rPr>
          <w:b/>
          <w:bCs/>
          <w:noProof/>
          <w:szCs w:val="20"/>
        </w:rPr>
        <w:t>19</w:t>
      </w:r>
      <w:r w:rsidR="00F61A8D">
        <w:rPr>
          <w:rFonts w:eastAsia="Aptos" w:cs="Aptos"/>
          <w:color w:val="0E0E0E"/>
          <w:kern w:val="0"/>
          <w:szCs w:val="22"/>
          <w:lang w:eastAsia="tr-TR"/>
          <w14:ligatures w14:val="none"/>
        </w:rPr>
        <w:fldChar w:fldCharType="end"/>
      </w:r>
      <w:r w:rsidRPr="00175D8B">
        <w:rPr>
          <w:rFonts w:eastAsia="Aptos" w:cs="Aptos"/>
          <w:color w:val="0E0E0E"/>
          <w:kern w:val="0"/>
          <w:szCs w:val="22"/>
          <w:lang w:eastAsia="tr-TR"/>
          <w14:ligatures w14:val="none"/>
        </w:rPr>
        <w:t xml:space="preserve">, the Type III sub-project application process commences with obtaining a construction permit for a building that was identified as a risky structure under Law No. 6306 and subsequently demolished in compliance with the relevant regulations. </w:t>
      </w:r>
    </w:p>
    <w:p w14:paraId="65BC13ED" w14:textId="77777777" w:rsidR="003D2155" w:rsidRPr="00175D8B" w:rsidRDefault="003D2155" w:rsidP="003D2155">
      <w:pPr>
        <w:pBdr>
          <w:top w:val="nil"/>
          <w:left w:val="nil"/>
          <w:bottom w:val="nil"/>
          <w:right w:val="nil"/>
          <w:between w:val="nil"/>
        </w:pBdr>
        <w:spacing w:after="0"/>
        <w:rPr>
          <w:rFonts w:eastAsia="Aptos" w:cs="Aptos"/>
          <w:color w:val="0E0E0E"/>
          <w:kern w:val="0"/>
          <w:szCs w:val="22"/>
          <w:lang w:eastAsia="tr-TR"/>
          <w14:ligatures w14:val="none"/>
        </w:rPr>
      </w:pPr>
      <w:r w:rsidRPr="00175D8B">
        <w:rPr>
          <w:rFonts w:eastAsia="Aptos" w:cs="Aptos"/>
          <w:color w:val="0E0E0E"/>
          <w:kern w:val="0"/>
          <w:szCs w:val="22"/>
          <w:lang w:eastAsia="tr-TR"/>
          <w14:ligatures w14:val="none"/>
        </w:rPr>
        <w:t>The Contractor is required to submit an application by uploading a comprehensive set of E&amp;S documents, demonstrating that the demolition was conducted in accordance with Turkish legislation and the World Bank’s E&amp;S standards and that the reconstruction will also adhere to these standards.</w:t>
      </w:r>
    </w:p>
    <w:p w14:paraId="7B5567B3" w14:textId="77777777" w:rsidR="003D2155" w:rsidRPr="00175D8B" w:rsidRDefault="003D2155" w:rsidP="003D2155">
      <w:pPr>
        <w:pBdr>
          <w:top w:val="nil"/>
          <w:left w:val="nil"/>
          <w:bottom w:val="nil"/>
          <w:right w:val="nil"/>
          <w:between w:val="nil"/>
        </w:pBdr>
        <w:spacing w:after="0"/>
        <w:rPr>
          <w:rFonts w:eastAsia="Aptos" w:cs="Aptos"/>
          <w:color w:val="0E0E0E"/>
          <w:kern w:val="0"/>
          <w:szCs w:val="22"/>
          <w:lang w:eastAsia="tr-TR"/>
          <w14:ligatures w14:val="none"/>
        </w:rPr>
      </w:pPr>
      <w:r w:rsidRPr="00175D8B">
        <w:rPr>
          <w:rFonts w:eastAsia="Aptos" w:cs="Aptos"/>
          <w:color w:val="0E0E0E"/>
          <w:kern w:val="0"/>
          <w:szCs w:val="22"/>
          <w:lang w:eastAsia="tr-TR"/>
          <w14:ligatures w14:val="none"/>
        </w:rPr>
        <w:t>The UTP PMU will conduct a comprehensive evaluation of the submitted documents, assessing compliance from environmental, social, OHS, and technical perspectives. If major non-compliances are identified at this stage, the sub-project may be rejected outright. In cases where applications are incomplete or contain missing documents, the UTP PMU will request the necessary revisions and completion of the required documentation before proceeding further.</w:t>
      </w:r>
    </w:p>
    <w:p w14:paraId="167840DB" w14:textId="16F6C43B" w:rsidR="003D2155" w:rsidRPr="00175D8B" w:rsidRDefault="003D2155" w:rsidP="003D2155">
      <w:pPr>
        <w:pBdr>
          <w:top w:val="nil"/>
          <w:left w:val="nil"/>
          <w:bottom w:val="nil"/>
          <w:right w:val="nil"/>
          <w:between w:val="nil"/>
        </w:pBdr>
        <w:spacing w:after="0"/>
        <w:rPr>
          <w:rFonts w:eastAsia="Aptos" w:cs="Aptos"/>
          <w:color w:val="0E0E0E"/>
          <w:kern w:val="0"/>
          <w:szCs w:val="22"/>
          <w:lang w:eastAsia="tr-TR"/>
          <w14:ligatures w14:val="none"/>
        </w:rPr>
        <w:sectPr w:rsidR="003D2155" w:rsidRPr="00175D8B" w:rsidSect="003D2155">
          <w:pgSz w:w="11900" w:h="16840"/>
          <w:pgMar w:top="1417" w:right="1417" w:bottom="1417" w:left="1417" w:header="851" w:footer="851" w:gutter="0"/>
          <w:cols w:space="708"/>
        </w:sectPr>
      </w:pPr>
      <w:r w:rsidRPr="00175D8B">
        <w:rPr>
          <w:rFonts w:eastAsia="Aptos" w:cs="Aptos"/>
          <w:color w:val="0E0E0E"/>
          <w:kern w:val="0"/>
          <w:szCs w:val="22"/>
          <w:lang w:eastAsia="tr-TR"/>
          <w14:ligatures w14:val="none"/>
        </w:rPr>
        <w:t xml:space="preserve">Once the submitted document set is deemed sufficient and appropriate, the UTP PMU will conduct an on-site E&amp;S audit </w:t>
      </w:r>
      <w:r w:rsidRPr="00175D8B">
        <w:rPr>
          <w:rFonts w:eastAsia="Aptos" w:cs="Aptos"/>
          <w:color w:val="000000"/>
          <w:kern w:val="0"/>
          <w:szCs w:val="22"/>
          <w:lang w:eastAsia="tr-TR"/>
          <w14:ligatures w14:val="none"/>
        </w:rPr>
        <w:t>(</w:t>
      </w:r>
      <w:r w:rsidR="00D809A1" w:rsidRPr="00175D8B">
        <w:rPr>
          <w:rFonts w:eastAsia="Aptos" w:cs="Aptos"/>
          <w:color w:val="000000"/>
          <w:kern w:val="0"/>
          <w:szCs w:val="22"/>
          <w:lang w:eastAsia="tr-TR"/>
          <w14:ligatures w14:val="none"/>
        </w:rPr>
        <w:t>for the template please see Annex</w:t>
      </w:r>
      <w:r w:rsidR="00E02444">
        <w:rPr>
          <w:rFonts w:eastAsia="Aptos" w:cs="Aptos"/>
          <w:color w:val="000000"/>
          <w:kern w:val="0"/>
          <w:szCs w:val="22"/>
          <w:lang w:eastAsia="tr-TR"/>
          <w14:ligatures w14:val="none"/>
        </w:rPr>
        <w:t xml:space="preserve"> </w:t>
      </w:r>
      <w:r w:rsidR="00A263B2">
        <w:rPr>
          <w:rFonts w:eastAsia="Aptos" w:cs="Aptos"/>
          <w:color w:val="000000"/>
          <w:kern w:val="0"/>
          <w:szCs w:val="22"/>
          <w:lang w:eastAsia="tr-TR"/>
          <w14:ligatures w14:val="none"/>
        </w:rPr>
        <w:t>15</w:t>
      </w:r>
      <w:r w:rsidR="00D809A1" w:rsidRPr="00175D8B">
        <w:rPr>
          <w:rFonts w:eastAsia="Aptos" w:cs="Aptos"/>
          <w:color w:val="000000"/>
          <w:kern w:val="0"/>
          <w:szCs w:val="22"/>
          <w:lang w:eastAsia="tr-TR"/>
          <w14:ligatures w14:val="none"/>
        </w:rPr>
        <w:t>)</w:t>
      </w:r>
      <w:r w:rsidRPr="00175D8B">
        <w:rPr>
          <w:rFonts w:eastAsia="Aptos" w:cs="Aptos"/>
          <w:color w:val="0E0E0E"/>
          <w:kern w:val="0"/>
          <w:szCs w:val="22"/>
          <w:lang w:eastAsia="tr-TR"/>
          <w14:ligatures w14:val="none"/>
        </w:rPr>
        <w:t xml:space="preserve"> to assess the compliance of the prior demolition process with the project’s environmental and social standards. This audit will include engagement with relevant stakeholders and the preparation of a detailed E&amp;S audit report. Following the UTP PMU’s final evaluation, and in cases where a post-review by the World Bank is not the case, the E&amp;S audit reports along with the C</w:t>
      </w:r>
      <w:r w:rsidR="00A43DB1" w:rsidRPr="00175D8B">
        <w:rPr>
          <w:rFonts w:eastAsia="Aptos" w:cs="Aptos"/>
          <w:color w:val="0E0E0E"/>
          <w:kern w:val="0"/>
          <w:szCs w:val="22"/>
          <w:lang w:eastAsia="tr-TR"/>
          <w14:ligatures w14:val="none"/>
        </w:rPr>
        <w:t>-</w:t>
      </w:r>
      <w:r w:rsidRPr="00175D8B">
        <w:rPr>
          <w:rFonts w:eastAsia="Aptos" w:cs="Aptos"/>
          <w:color w:val="0E0E0E"/>
          <w:kern w:val="0"/>
          <w:szCs w:val="22"/>
          <w:lang w:eastAsia="tr-TR"/>
          <w14:ligatures w14:val="none"/>
        </w:rPr>
        <w:t xml:space="preserve">ESMP Checklists will be submitted to the World Bank for feedback and approval. Upon receiving the Bank’s no-objection, the sub-project will be formally approved, allowing potential beneficiaries to proceed with sub-loan applications through ARAAD. </w:t>
      </w:r>
      <w:r w:rsidR="007A0A9D">
        <w:rPr>
          <w:rFonts w:eastAsia="Aptos" w:cs="Aptos"/>
          <w:color w:val="0E0E0E"/>
          <w:kern w:val="0"/>
          <w:szCs w:val="22"/>
          <w:lang w:eastAsia="tr-TR"/>
          <w14:ligatures w14:val="none"/>
        </w:rPr>
        <w:t xml:space="preserve"> </w:t>
      </w:r>
      <w:r w:rsidR="007A0A9D" w:rsidRPr="0056697A">
        <w:rPr>
          <w:color w:val="0E0E0E"/>
        </w:rPr>
        <w:t xml:space="preserve">The Sub-Project Approval Flowchart </w:t>
      </w:r>
      <w:r w:rsidR="007A0A9D">
        <w:rPr>
          <w:color w:val="0E0E0E"/>
        </w:rPr>
        <w:t>is</w:t>
      </w:r>
      <w:r w:rsidR="007A0A9D" w:rsidRPr="0056697A">
        <w:rPr>
          <w:color w:val="0E0E0E"/>
        </w:rPr>
        <w:t xml:space="preserve"> presented in</w:t>
      </w:r>
      <w:r w:rsidR="007A0A9D">
        <w:rPr>
          <w:color w:val="0E0E0E"/>
        </w:rPr>
        <w:t xml:space="preserve"> Figure </w:t>
      </w:r>
      <w:r w:rsidR="00416F54">
        <w:rPr>
          <w:color w:val="0E0E0E"/>
        </w:rPr>
        <w:t>19</w:t>
      </w:r>
      <w:r w:rsidR="007A0A9D">
        <w:rPr>
          <w:color w:val="0E0E0E"/>
        </w:rPr>
        <w:t>.</w:t>
      </w:r>
    </w:p>
    <w:p w14:paraId="60196BFD" w14:textId="6EA5CAD8" w:rsidR="00811FB5" w:rsidRPr="00F61A8D" w:rsidRDefault="00811FB5" w:rsidP="006C58C5">
      <w:pPr>
        <w:pStyle w:val="ResimYazs"/>
        <w:keepNext/>
        <w:jc w:val="center"/>
        <w:rPr>
          <w:sz w:val="22"/>
          <w:szCs w:val="20"/>
        </w:rPr>
      </w:pPr>
      <w:bookmarkStart w:id="418" w:name="_Ref216099122"/>
      <w:bookmarkStart w:id="419" w:name="_Toc221191327"/>
      <w:bookmarkStart w:id="420" w:name="_Toc201240070"/>
      <w:r w:rsidRPr="00F61A8D">
        <w:rPr>
          <w:b/>
          <w:bCs/>
          <w:sz w:val="22"/>
          <w:szCs w:val="20"/>
        </w:rPr>
        <w:lastRenderedPageBreak/>
        <w:t xml:space="preserve">Figure </w:t>
      </w:r>
      <w:r w:rsidRPr="00F61A8D">
        <w:rPr>
          <w:b/>
          <w:bCs/>
          <w:sz w:val="22"/>
          <w:szCs w:val="20"/>
        </w:rPr>
        <w:fldChar w:fldCharType="begin"/>
      </w:r>
      <w:r w:rsidRPr="00F61A8D">
        <w:rPr>
          <w:b/>
          <w:bCs/>
          <w:sz w:val="22"/>
          <w:szCs w:val="20"/>
        </w:rPr>
        <w:instrText xml:space="preserve"> SEQ Figure \* ARABIC </w:instrText>
      </w:r>
      <w:r w:rsidRPr="00F61A8D">
        <w:rPr>
          <w:b/>
          <w:bCs/>
          <w:sz w:val="22"/>
          <w:szCs w:val="20"/>
        </w:rPr>
        <w:fldChar w:fldCharType="separate"/>
      </w:r>
      <w:r w:rsidR="00EA38F6" w:rsidRPr="00F61A8D">
        <w:rPr>
          <w:b/>
          <w:bCs/>
          <w:noProof/>
          <w:sz w:val="22"/>
          <w:szCs w:val="20"/>
        </w:rPr>
        <w:t>19</w:t>
      </w:r>
      <w:r w:rsidRPr="00F61A8D">
        <w:rPr>
          <w:b/>
          <w:bCs/>
          <w:sz w:val="22"/>
          <w:szCs w:val="20"/>
        </w:rPr>
        <w:fldChar w:fldCharType="end"/>
      </w:r>
      <w:bookmarkEnd w:id="418"/>
      <w:r w:rsidRPr="00F61A8D">
        <w:rPr>
          <w:b/>
          <w:bCs/>
          <w:sz w:val="22"/>
          <w:szCs w:val="20"/>
        </w:rPr>
        <w:t>:</w:t>
      </w:r>
      <w:r w:rsidRPr="00F61A8D">
        <w:rPr>
          <w:sz w:val="22"/>
          <w:szCs w:val="20"/>
        </w:rPr>
        <w:t xml:space="preserve"> </w:t>
      </w:r>
      <w:r w:rsidRPr="00F61A8D">
        <w:rPr>
          <w:rFonts w:eastAsia="Aptos" w:cs="Aptos"/>
          <w:bCs/>
          <w:color w:val="000000"/>
          <w:kern w:val="0"/>
          <w:sz w:val="22"/>
          <w:szCs w:val="20"/>
          <w:lang w:eastAsia="tr-TR"/>
          <w14:ligatures w14:val="none"/>
        </w:rPr>
        <w:t>Sub-Project Approval Flowchart</w:t>
      </w:r>
      <w:bookmarkEnd w:id="419"/>
    </w:p>
    <w:p w14:paraId="68DA321C" w14:textId="4650F1C5" w:rsidR="003D2155" w:rsidRPr="00175D8B" w:rsidRDefault="003D2155" w:rsidP="00A43DB1">
      <w:pPr>
        <w:keepNext/>
        <w:spacing w:after="200" w:line="240" w:lineRule="auto"/>
        <w:jc w:val="center"/>
        <w:rPr>
          <w:rFonts w:eastAsia="Aptos" w:cs="Aptos"/>
          <w:kern w:val="0"/>
          <w:szCs w:val="22"/>
          <w:lang w:eastAsia="tr-TR"/>
          <w14:ligatures w14:val="none"/>
        </w:rPr>
        <w:sectPr w:rsidR="003D2155" w:rsidRPr="00175D8B" w:rsidSect="003D2155">
          <w:type w:val="continuous"/>
          <w:pgSz w:w="16840" w:h="11900" w:orient="landscape"/>
          <w:pgMar w:top="1417" w:right="1417" w:bottom="1417" w:left="1417" w:header="851" w:footer="851" w:gutter="0"/>
          <w:cols w:space="708"/>
        </w:sectPr>
      </w:pPr>
      <w:r w:rsidRPr="00175D8B">
        <w:rPr>
          <w:rFonts w:eastAsia="Aptos" w:cs="Aptos"/>
          <w:noProof/>
          <w:kern w:val="0"/>
          <w:szCs w:val="22"/>
          <w:lang w:val="tr-TR" w:eastAsia="tr-TR"/>
          <w14:ligatures w14:val="none"/>
        </w:rPr>
        <w:drawing>
          <wp:inline distT="0" distB="0" distL="0" distR="0" wp14:anchorId="2B02E474" wp14:editId="2C2298E9">
            <wp:extent cx="6922738" cy="4591050"/>
            <wp:effectExtent l="0" t="0" r="0" b="0"/>
            <wp:docPr id="1859570381" name="Picture 59" descr="metin, ekran görüntüsü, diyagram,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70381" name="Picture 59" descr="metin, ekran görüntüsü, diyagram, yazı tipi içeren bir resim&#10;&#10;Yapay zeka tarafından oluşturulmuş içerik yanlış olabilir."/>
                    <pic:cNvPicPr>
                      <a:picLocks noChangeAspect="1" noChangeArrowheads="1"/>
                    </pic:cNvPicPr>
                  </pic:nvPicPr>
                  <pic:blipFill rotWithShape="1">
                    <a:blip r:embed="rId46">
                      <a:extLst>
                        <a:ext uri="{28A0092B-C50C-407E-A947-70E740481C1C}">
                          <a14:useLocalDpi xmlns:a14="http://schemas.microsoft.com/office/drawing/2010/main" val="0"/>
                        </a:ext>
                      </a:extLst>
                    </a:blip>
                    <a:srcRect l="11600" t="4960" r="12040" b="4966"/>
                    <a:stretch/>
                  </pic:blipFill>
                  <pic:spPr bwMode="auto">
                    <a:xfrm>
                      <a:off x="0" y="0"/>
                      <a:ext cx="6927092" cy="4593938"/>
                    </a:xfrm>
                    <a:prstGeom prst="rect">
                      <a:avLst/>
                    </a:prstGeom>
                    <a:noFill/>
                    <a:ln>
                      <a:noFill/>
                    </a:ln>
                    <a:extLst>
                      <a:ext uri="{53640926-AAD7-44D8-BBD7-CCE9431645EC}">
                        <a14:shadowObscured xmlns:a14="http://schemas.microsoft.com/office/drawing/2010/main"/>
                      </a:ext>
                    </a:extLst>
                  </pic:spPr>
                </pic:pic>
              </a:graphicData>
            </a:graphic>
          </wp:inline>
        </w:drawing>
      </w:r>
      <w:bookmarkEnd w:id="420"/>
    </w:p>
    <w:p w14:paraId="7EB516AC" w14:textId="49B67DBC" w:rsidR="00A85020" w:rsidRPr="00175D8B" w:rsidRDefault="003D2155" w:rsidP="002550A6">
      <w:pPr>
        <w:pStyle w:val="Balk1"/>
        <w:spacing w:before="360" w:after="80"/>
        <w:rPr>
          <w:b/>
          <w:sz w:val="28"/>
          <w:szCs w:val="28"/>
          <w:lang w:eastAsia="tr-TR"/>
        </w:rPr>
      </w:pPr>
      <w:bookmarkStart w:id="421" w:name="_Toc207987169"/>
      <w:bookmarkStart w:id="422" w:name="_Toc212541909"/>
      <w:bookmarkStart w:id="423" w:name="_Toc212542420"/>
      <w:bookmarkStart w:id="424" w:name="_Toc220672823"/>
      <w:r w:rsidRPr="00175D8B">
        <w:rPr>
          <w:b/>
          <w:sz w:val="28"/>
          <w:szCs w:val="28"/>
          <w:lang w:eastAsia="tr-TR"/>
        </w:rPr>
        <w:lastRenderedPageBreak/>
        <w:t>ANNEX 1- LEGAL AND REGULATORY FRAMEWORK</w:t>
      </w:r>
      <w:bookmarkEnd w:id="421"/>
      <w:bookmarkEnd w:id="422"/>
      <w:bookmarkEnd w:id="423"/>
      <w:bookmarkEnd w:id="424"/>
    </w:p>
    <w:p w14:paraId="34FEEC30" w14:textId="688FB83E" w:rsidR="003D2155" w:rsidRPr="00175D8B" w:rsidRDefault="003D2155" w:rsidP="00E1528E">
      <w:pPr>
        <w:rPr>
          <w:b/>
          <w:sz w:val="24"/>
          <w:lang w:eastAsia="tr-TR"/>
        </w:rPr>
      </w:pPr>
      <w:bookmarkStart w:id="425" w:name="_Toc207987170"/>
      <w:r w:rsidRPr="00175D8B">
        <w:rPr>
          <w:b/>
          <w:sz w:val="24"/>
          <w:lang w:eastAsia="tr-TR"/>
        </w:rPr>
        <w:t>1.1. Legal Framework</w:t>
      </w:r>
      <w:bookmarkEnd w:id="425"/>
    </w:p>
    <w:p w14:paraId="32B7BA17" w14:textId="0D867931" w:rsidR="003D2155" w:rsidRPr="00175D8B" w:rsidRDefault="003D2155" w:rsidP="002550A6">
      <w:pPr>
        <w:pStyle w:val="Balk3"/>
        <w:ind w:firstLine="708"/>
        <w:rPr>
          <w:lang w:eastAsia="tr-TR"/>
        </w:rPr>
      </w:pPr>
      <w:bookmarkStart w:id="426" w:name="_338fx5o" w:colFirst="0" w:colLast="0"/>
      <w:bookmarkStart w:id="427" w:name="_Toc207987171"/>
      <w:bookmarkStart w:id="428" w:name="_Toc214639927"/>
      <w:bookmarkStart w:id="429" w:name="_Toc216099261"/>
      <w:bookmarkStart w:id="430" w:name="_Toc216102335"/>
      <w:bookmarkStart w:id="431" w:name="_Toc216107995"/>
      <w:bookmarkStart w:id="432" w:name="_Toc220672824"/>
      <w:bookmarkEnd w:id="426"/>
      <w:r w:rsidRPr="00175D8B">
        <w:rPr>
          <w:lang w:eastAsia="tr-TR"/>
        </w:rPr>
        <w:t>1.1.1</w:t>
      </w:r>
      <w:r w:rsidR="00A85020" w:rsidRPr="00175D8B">
        <w:rPr>
          <w:lang w:eastAsia="tr-TR"/>
        </w:rPr>
        <w:t xml:space="preserve">. </w:t>
      </w:r>
      <w:r w:rsidRPr="00175D8B">
        <w:rPr>
          <w:lang w:eastAsia="tr-TR"/>
        </w:rPr>
        <w:t xml:space="preserve"> Legal Framework for Environmental Protection &amp; Conservation in Türkiye</w:t>
      </w:r>
      <w:bookmarkEnd w:id="427"/>
      <w:bookmarkEnd w:id="428"/>
      <w:bookmarkEnd w:id="429"/>
      <w:bookmarkEnd w:id="430"/>
      <w:bookmarkEnd w:id="431"/>
      <w:bookmarkEnd w:id="432"/>
    </w:p>
    <w:p w14:paraId="4D6AD73A"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lang w:eastAsia="tr-TR"/>
          <w14:ligatures w14:val="none"/>
        </w:rPr>
        <w:t>Turkish environmental legislation has been developed in line with both nationally determined standards and international agreements, contracts, protocols and detailed standards, and has been revised especially in the recent years within the scope of pre-accession regulations under the framework of harmonization with the European Union (EU) Directives.</w:t>
      </w:r>
    </w:p>
    <w:p w14:paraId="16CFA1DE"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lang w:eastAsia="tr-TR"/>
          <w14:ligatures w14:val="none"/>
        </w:rPr>
        <w:t>The Ministry of Environment, Urbanization and Climate Change (MoEUCC), with its changed name in line with the Presidential Decree No. 85 published in the Official Gazette No. 31643 of October 29, 2021, is the primary responsible organization for the protection and preservation of the environment, the development of sustainable cities and settlements and the natural environment and the implementation of the policies developed on the sustainable management of resources. The central organization of the MoEUCC is located in the capital Ankara, and there are Provincial Directorates in each province. The central organization consists of the following directorates and general directorates, with the last change in the name and structure of the MoEUCC:</w:t>
      </w:r>
    </w:p>
    <w:p w14:paraId="3681744D" w14:textId="77777777" w:rsidR="003D2155" w:rsidRPr="00175D8B" w:rsidRDefault="003D2155">
      <w:pPr>
        <w:numPr>
          <w:ilvl w:val="0"/>
          <w:numId w:val="77"/>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General Directorate of European Union and Foreign Relations</w:t>
      </w:r>
    </w:p>
    <w:p w14:paraId="1F577FB9"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Directorate General for Infrastructure and Urban Transformation Services</w:t>
      </w:r>
    </w:p>
    <w:p w14:paraId="7ACB9633"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General Directorate of Environmental Management</w:t>
      </w:r>
    </w:p>
    <w:p w14:paraId="6F4E12FE"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General Directorate of Geographic Information Systems</w:t>
      </w:r>
    </w:p>
    <w:p w14:paraId="213B8CD7"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General Directorate of Environmental Impact Assessment, Permit and Inspection</w:t>
      </w:r>
    </w:p>
    <w:p w14:paraId="0496E39C"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General Directorate of Spatial Planning</w:t>
      </w:r>
    </w:p>
    <w:p w14:paraId="2BA6806F"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General Directorate of Protection of Natural Assets</w:t>
      </w:r>
    </w:p>
    <w:p w14:paraId="2D99F4F9"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General Directorate of National Real Estate</w:t>
      </w:r>
    </w:p>
    <w:p w14:paraId="0657B559"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General Directorate of Combating Desertification and Erosion</w:t>
      </w:r>
    </w:p>
    <w:p w14:paraId="6DD4D658"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Directorate of Turkish Environment Agency</w:t>
      </w:r>
    </w:p>
    <w:p w14:paraId="192FE4F5"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Directorate of Climate Change</w:t>
      </w:r>
    </w:p>
    <w:p w14:paraId="5D6F4F90"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General Directorate of Construction Works</w:t>
      </w:r>
    </w:p>
    <w:p w14:paraId="124C28DF"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General Directorate of Personnel</w:t>
      </w:r>
    </w:p>
    <w:p w14:paraId="0EC8B986"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Directorate of High Technics Board</w:t>
      </w:r>
    </w:p>
    <w:p w14:paraId="4581FA3C"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Directorate for Strategy Development</w:t>
      </w:r>
    </w:p>
    <w:p w14:paraId="26699E40"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lastRenderedPageBreak/>
        <w:t>General Directorate of Legal Services</w:t>
      </w:r>
    </w:p>
    <w:p w14:paraId="3CE8B78B"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Department of Support Services</w:t>
      </w:r>
    </w:p>
    <w:p w14:paraId="46D63579"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General Directorate of Vocational Services</w:t>
      </w:r>
    </w:p>
    <w:p w14:paraId="22CE44F7"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Department of Training and Publication</w:t>
      </w:r>
    </w:p>
    <w:p w14:paraId="5E3881AF" w14:textId="77777777" w:rsidR="003D2155" w:rsidRPr="00175D8B" w:rsidRDefault="003D2155">
      <w:pPr>
        <w:numPr>
          <w:ilvl w:val="0"/>
          <w:numId w:val="7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General Directorate of for Local Authorities</w:t>
      </w:r>
    </w:p>
    <w:p w14:paraId="38D3FB21" w14:textId="77777777" w:rsidR="003D2155" w:rsidRPr="00175D8B" w:rsidRDefault="003D2155">
      <w:pPr>
        <w:numPr>
          <w:ilvl w:val="0"/>
          <w:numId w:val="77"/>
        </w:numPr>
        <w:pBdr>
          <w:top w:val="nil"/>
          <w:left w:val="nil"/>
          <w:bottom w:val="nil"/>
          <w:right w:val="nil"/>
          <w:between w:val="nil"/>
        </w:pBdr>
        <w:spacing w:after="16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Directorate of Revolving Fund Management</w:t>
      </w:r>
    </w:p>
    <w:p w14:paraId="3755F1B0"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lang w:eastAsia="tr-TR"/>
          <w14:ligatures w14:val="none"/>
        </w:rPr>
        <w:t>In line with the above-mentioned decree, the General Directorate for Combating Desertification and Erosion, which was previously affiliated to the Ministry of Agriculture and Forestry, is included among the central units of the MoEUCC and the Directorate of Climate Change was established as an affiliated institution of the MoEUCC.</w:t>
      </w:r>
    </w:p>
    <w:p w14:paraId="7725B876"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lang w:eastAsia="tr-TR"/>
          <w14:ligatures w14:val="none"/>
        </w:rPr>
        <w:t>The duties and responsibilities of the MoEUCC can be summarized as preparing the legislation on settlement, environment and development, carrying out urban transformation works, supervising the implementations, ensuring the development of professional services, preventing environmental pollution, protecting the environment and nature, and combating climate change.</w:t>
      </w:r>
    </w:p>
    <w:p w14:paraId="7D228AAA"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lang w:eastAsia="tr-TR"/>
          <w14:ligatures w14:val="none"/>
        </w:rPr>
        <w:t>The national Environmental Law (Law No. 2872), which first came into force in 1983, addresses environmental issues in a wide scope. Under the Environmental Law, environmental regulations have been developed in line with national and international policies and standards, and as mentioned earlier, some of these regulations have been recently revised to align with EU Directives as part of Türkiye's pre-accession efforts.</w:t>
      </w:r>
    </w:p>
    <w:p w14:paraId="312E8914"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lang w:eastAsia="tr-TR"/>
          <w14:ligatures w14:val="none"/>
        </w:rPr>
        <w:t>Apart from and as complementary to the Environmental Law and regulations, the laws listed below also contain provisions on the protection of the environment, the protection/management of natural resources and cultural and natural assets, the prevention &amp; control of pollution and the implementation of measures to be taken for the prevention of pollution. The laws governing provisions relating to social impacts and provisions relating to health &amp; safety and labor matters are also listed below:</w:t>
      </w:r>
    </w:p>
    <w:p w14:paraId="614D9EB4" w14:textId="77777777" w:rsidR="003D2155" w:rsidRPr="00175D8B" w:rsidRDefault="003D2155">
      <w:pPr>
        <w:numPr>
          <w:ilvl w:val="0"/>
          <w:numId w:val="80"/>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Expropriation Law (Law No. 2942)</w:t>
      </w:r>
    </w:p>
    <w:p w14:paraId="79CE4271"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Forest Law (Law No. 6831)</w:t>
      </w:r>
    </w:p>
    <w:p w14:paraId="78D7EE32"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Law on Groundwaters (Law No. 167)</w:t>
      </w:r>
    </w:p>
    <w:p w14:paraId="0ED9EBD4"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Labor Law (Law No. 4857)</w:t>
      </w:r>
    </w:p>
    <w:p w14:paraId="5938DAA3"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Occupational Health and Safety Law (Law No. 6331)</w:t>
      </w:r>
    </w:p>
    <w:p w14:paraId="75288903"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lastRenderedPageBreak/>
        <w:t>Law on the Protection of Cultural and Natural Assets (Law No. 2863)</w:t>
      </w:r>
    </w:p>
    <w:p w14:paraId="2F1D2436"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Law on Soil Preservation and Land Utilization (Law No. 5403)</w:t>
      </w:r>
    </w:p>
    <w:p w14:paraId="0C0309A8"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Mining Law (Law No. 3213)</w:t>
      </w:r>
    </w:p>
    <w:p w14:paraId="6B9623EE"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Municipality Law (Law No. 5393)</w:t>
      </w:r>
    </w:p>
    <w:p w14:paraId="79ED609C"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Law on National Parks (Law No. 2873)</w:t>
      </w:r>
    </w:p>
    <w:p w14:paraId="22A04A51"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Law on Pastures (Law No. 4342)</w:t>
      </w:r>
    </w:p>
    <w:p w14:paraId="7A4FD2D3"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Public Health Law (Law No. 1593)</w:t>
      </w:r>
    </w:p>
    <w:p w14:paraId="6357DAD7"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Settlement Law (Law No. 5543)</w:t>
      </w:r>
    </w:p>
    <w:p w14:paraId="3C73636A"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Highway Traffic Law (Law No. 2918)</w:t>
      </w:r>
    </w:p>
    <w:p w14:paraId="31B9B645"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Electricity Market Law (Law No. 6446)</w:t>
      </w:r>
    </w:p>
    <w:p w14:paraId="3C9249F6" w14:textId="77777777" w:rsidR="003D2155" w:rsidRPr="00175D8B" w:rsidRDefault="003D2155">
      <w:pPr>
        <w:numPr>
          <w:ilvl w:val="0"/>
          <w:numId w:val="80"/>
        </w:numPr>
        <w:pBdr>
          <w:top w:val="nil"/>
          <w:left w:val="nil"/>
          <w:bottom w:val="nil"/>
          <w:right w:val="nil"/>
          <w:between w:val="nil"/>
        </w:pBdr>
        <w:spacing w:after="16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Energy Efficiency Law (Law No. 5627)</w:t>
      </w:r>
    </w:p>
    <w:p w14:paraId="27089656" w14:textId="7FF9A1A6" w:rsidR="00712A02" w:rsidRPr="00175D8B" w:rsidRDefault="003D2155" w:rsidP="00D414C4">
      <w:pPr>
        <w:spacing w:before="120"/>
        <w:rPr>
          <w:rFonts w:eastAsia="Aptos" w:cs="Aptos"/>
          <w:kern w:val="0"/>
          <w:szCs w:val="22"/>
          <w:lang w:eastAsia="tr-TR"/>
          <w14:ligatures w14:val="none"/>
        </w:rPr>
      </w:pPr>
      <w:r w:rsidRPr="00175D8B">
        <w:rPr>
          <w:rFonts w:eastAsia="Aptos" w:cs="Aptos"/>
          <w:kern w:val="0"/>
          <w:szCs w:val="22"/>
          <w:lang w:eastAsia="tr-TR"/>
          <w14:ligatures w14:val="none"/>
        </w:rPr>
        <w:t>The Urban Transformation Presidency, established with the Presidential Decree No. 153 published in the Official Gazette No. 32341 of October 16, 2023 is affiliated to the MoEUCC. The UTP is a special budget public entity and manages the transformation of areas under disaster risk and of areas / lands where risky buildings present outside of the areas under disaster risk. UTP carries out its activities in close cooperation with Turkish Housing Development Administration (TOKİ), ILBANK and other subsidiaries of the Ministry, including local authorities. UTP is responsible for ensuring the determination of urban transformation, renewal and transfer areas, as well as the fulfilment of the determination, arrangement and valuation works &amp; procedures on the risky structures;  to carry out all kinds of maps, plans, projects, land and land arrangement processes and land consolidation regarding risky areas, reserve building areas and areas with risky structures; to carry out the determination of ownership, conciliation, expropriation, valuation of properties in the transformation practices, to come to agreement with the property owners within the framework of the procedures and projects prescribed by the Presidency, to carry out the works and procedures with regards to allocation of flat ownership, registration and transfer of development rights.</w:t>
      </w:r>
    </w:p>
    <w:p w14:paraId="61E67C3F" w14:textId="77777777" w:rsidR="003D2155" w:rsidRPr="00175D8B" w:rsidRDefault="003D2155" w:rsidP="002550A6">
      <w:pPr>
        <w:spacing w:before="120"/>
        <w:rPr>
          <w:b/>
          <w:lang w:eastAsia="tr-TR"/>
        </w:rPr>
      </w:pPr>
      <w:bookmarkStart w:id="433" w:name="_Toc207987172"/>
      <w:r w:rsidRPr="00175D8B">
        <w:rPr>
          <w:b/>
          <w:lang w:eastAsia="tr-TR"/>
        </w:rPr>
        <w:t>1.1.2. National Environmental, Social &amp; Occupational Health and Safety Legislation &amp; Regulatory Requirements</w:t>
      </w:r>
      <w:bookmarkEnd w:id="433"/>
    </w:p>
    <w:p w14:paraId="623958BF"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lang w:eastAsia="tr-TR"/>
          <w14:ligatures w14:val="none"/>
        </w:rPr>
        <w:t>Within the framework of the laws listed above, the regulations, by laws and communiqués that have been enacted separately within the scope of environmental, social and occupational health and safety (OHS) matters are listed below:</w:t>
      </w:r>
    </w:p>
    <w:p w14:paraId="4D0E8BC0" w14:textId="77777777" w:rsidR="003D2155" w:rsidRPr="00175D8B" w:rsidRDefault="003D2155" w:rsidP="00D414C4">
      <w:pPr>
        <w:spacing w:before="12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Environmental Permits and Licenses</w:t>
      </w:r>
    </w:p>
    <w:p w14:paraId="421421F6" w14:textId="77777777" w:rsidR="003D2155" w:rsidRPr="00175D8B" w:rsidRDefault="003D2155">
      <w:pPr>
        <w:numPr>
          <w:ilvl w:val="0"/>
          <w:numId w:val="80"/>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lastRenderedPageBreak/>
        <w:t>Regulation on Environmental Impact Assessment</w:t>
      </w:r>
    </w:p>
    <w:p w14:paraId="1967B2B6"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Environmental Permits and License</w:t>
      </w:r>
    </w:p>
    <w:p w14:paraId="3A3FA983"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Environmental Audit</w:t>
      </w:r>
    </w:p>
    <w:p w14:paraId="3756E5AD" w14:textId="77777777" w:rsidR="003D2155" w:rsidRPr="00175D8B" w:rsidRDefault="003D2155">
      <w:pPr>
        <w:numPr>
          <w:ilvl w:val="0"/>
          <w:numId w:val="80"/>
        </w:numPr>
        <w:pBdr>
          <w:top w:val="nil"/>
          <w:left w:val="nil"/>
          <w:bottom w:val="nil"/>
          <w:right w:val="nil"/>
          <w:between w:val="nil"/>
        </w:pBdr>
        <w:spacing w:after="16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Environmental Management Services</w:t>
      </w:r>
    </w:p>
    <w:p w14:paraId="1BB5E495" w14:textId="77777777" w:rsidR="003D2155" w:rsidRPr="00175D8B" w:rsidRDefault="003D2155" w:rsidP="00D414C4">
      <w:pPr>
        <w:spacing w:before="12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Land Use and Soils</w:t>
      </w:r>
    </w:p>
    <w:p w14:paraId="2C0EED97" w14:textId="77777777" w:rsidR="003D2155" w:rsidRPr="00175D8B" w:rsidRDefault="003D2155">
      <w:pPr>
        <w:numPr>
          <w:ilvl w:val="0"/>
          <w:numId w:val="80"/>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Conservation, Use and Planning of Agricultural Land</w:t>
      </w:r>
    </w:p>
    <w:p w14:paraId="53BD7BF1"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Implementation of Paragraph 3 of Article 17 and Article 18 of the Forest Law</w:t>
      </w:r>
    </w:p>
    <w:p w14:paraId="2748AE56"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Land Consolidation and On-farm Development Services Implementation</w:t>
      </w:r>
    </w:p>
    <w:p w14:paraId="2A54CE4B"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Pastures</w:t>
      </w:r>
    </w:p>
    <w:p w14:paraId="127ADDCE" w14:textId="77777777" w:rsidR="003D2155" w:rsidRPr="00175D8B" w:rsidRDefault="003D2155">
      <w:pPr>
        <w:numPr>
          <w:ilvl w:val="0"/>
          <w:numId w:val="80"/>
        </w:numPr>
        <w:pBdr>
          <w:top w:val="nil"/>
          <w:left w:val="nil"/>
          <w:bottom w:val="nil"/>
          <w:right w:val="nil"/>
          <w:between w:val="nil"/>
        </w:pBdr>
        <w:spacing w:after="16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Soil Contamination Control and Point Source Land Pollution</w:t>
      </w:r>
    </w:p>
    <w:p w14:paraId="0E9BD10D" w14:textId="77777777" w:rsidR="003D2155" w:rsidRPr="00175D8B" w:rsidRDefault="003D2155" w:rsidP="00D414C4">
      <w:pPr>
        <w:spacing w:before="12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Water</w:t>
      </w:r>
    </w:p>
    <w:p w14:paraId="0AAF8F75" w14:textId="77777777" w:rsidR="003D2155" w:rsidRPr="00175D8B" w:rsidRDefault="003D2155">
      <w:pPr>
        <w:numPr>
          <w:ilvl w:val="0"/>
          <w:numId w:val="80"/>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Surface Water Quality</w:t>
      </w:r>
    </w:p>
    <w:p w14:paraId="0C1F23AB"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Water Pollution Control</w:t>
      </w:r>
    </w:p>
    <w:p w14:paraId="21A81863"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Water Intended for Human Consumption</w:t>
      </w:r>
    </w:p>
    <w:p w14:paraId="48BC4975"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Urban Wastewater Treatment</w:t>
      </w:r>
    </w:p>
    <w:p w14:paraId="7A5AEFE2"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Protection of Groundwater against Pollution and Deterioration</w:t>
      </w:r>
    </w:p>
    <w:p w14:paraId="0DB19DE7"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Control of Pollution Caused by Dangerous Substances in Water and Its Environment</w:t>
      </w:r>
    </w:p>
    <w:p w14:paraId="72035080" w14:textId="77777777" w:rsidR="003D2155" w:rsidRPr="00175D8B" w:rsidRDefault="003D2155">
      <w:pPr>
        <w:numPr>
          <w:ilvl w:val="0"/>
          <w:numId w:val="80"/>
        </w:numPr>
        <w:pBdr>
          <w:top w:val="nil"/>
          <w:left w:val="nil"/>
          <w:bottom w:val="nil"/>
          <w:right w:val="nil"/>
          <w:between w:val="nil"/>
        </w:pBdr>
        <w:spacing w:after="16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Protection of Drinking-Potable Water Basins</w:t>
      </w:r>
    </w:p>
    <w:p w14:paraId="04343770" w14:textId="77777777" w:rsidR="003D2155" w:rsidRPr="00175D8B" w:rsidRDefault="003D2155" w:rsidP="00D414C4">
      <w:pPr>
        <w:spacing w:before="12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Waste</w:t>
      </w:r>
    </w:p>
    <w:p w14:paraId="623F7DC1" w14:textId="77777777" w:rsidR="003D2155" w:rsidRPr="00175D8B" w:rsidRDefault="003D2155">
      <w:pPr>
        <w:numPr>
          <w:ilvl w:val="0"/>
          <w:numId w:val="80"/>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Waste Management</w:t>
      </w:r>
    </w:p>
    <w:p w14:paraId="38C84C8D"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Control of Packaging Waste</w:t>
      </w:r>
    </w:p>
    <w:p w14:paraId="772D853A"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Control of Excavated Soil, Construction and Demolition Wastes</w:t>
      </w:r>
    </w:p>
    <w:p w14:paraId="285CF144"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Control of Medical Wastes</w:t>
      </w:r>
    </w:p>
    <w:p w14:paraId="10A08676"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Management of Waste Oils</w:t>
      </w:r>
    </w:p>
    <w:p w14:paraId="79531EA7"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Control of Vegetable Waste Oils</w:t>
      </w:r>
    </w:p>
    <w:p w14:paraId="04CBD8F1"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Control of Waste Batteries and Accumulators</w:t>
      </w:r>
    </w:p>
    <w:p w14:paraId="1B4E5B29"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Control of End-of-Life Tires</w:t>
      </w:r>
    </w:p>
    <w:p w14:paraId="280C03EB"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Landfilling of Wastes</w:t>
      </w:r>
    </w:p>
    <w:p w14:paraId="6FFF27E8"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lastRenderedPageBreak/>
        <w:t>Regulation on the Control of Waste Electrical and Electronic Equipment</w:t>
      </w:r>
    </w:p>
    <w:p w14:paraId="2AAAF1CF"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Control of End-of-Life Vehicles</w:t>
      </w:r>
    </w:p>
    <w:p w14:paraId="7B0B55DB"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Zero Waste Regulation</w:t>
      </w:r>
    </w:p>
    <w:p w14:paraId="7CE9B395"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Communiqué on Recovery of Some Non-Hazardous Wastes</w:t>
      </w:r>
    </w:p>
    <w:p w14:paraId="2C9B533E" w14:textId="77777777" w:rsidR="003D2155" w:rsidRPr="00175D8B" w:rsidRDefault="003D2155">
      <w:pPr>
        <w:numPr>
          <w:ilvl w:val="0"/>
          <w:numId w:val="80"/>
        </w:numPr>
        <w:pBdr>
          <w:top w:val="nil"/>
          <w:left w:val="nil"/>
          <w:bottom w:val="nil"/>
          <w:right w:val="nil"/>
          <w:between w:val="nil"/>
        </w:pBdr>
        <w:spacing w:after="16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Demolition of Buildings</w:t>
      </w:r>
    </w:p>
    <w:p w14:paraId="5DD52B97" w14:textId="77777777" w:rsidR="003D2155" w:rsidRPr="00175D8B" w:rsidRDefault="003D2155" w:rsidP="00D414C4">
      <w:pPr>
        <w:spacing w:before="240"/>
        <w:rPr>
          <w:rFonts w:eastAsia="Aptos" w:cs="Aptos"/>
          <w:kern w:val="0"/>
          <w:szCs w:val="22"/>
          <w:lang w:eastAsia="tr-TR"/>
          <w14:ligatures w14:val="none"/>
        </w:rPr>
      </w:pPr>
      <w:r w:rsidRPr="00175D8B">
        <w:rPr>
          <w:rFonts w:eastAsia="Aptos" w:cs="Aptos"/>
          <w:kern w:val="0"/>
          <w:szCs w:val="22"/>
          <w:lang w:eastAsia="tr-TR"/>
          <w14:ligatures w14:val="none"/>
        </w:rPr>
        <w:t>Since the waste management would be one of the crucial issues during the activities within the scope of Component 2, brief summaries of some of the specific regulations regarding waste management are presented below:</w:t>
      </w:r>
    </w:p>
    <w:p w14:paraId="55F6374A"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u w:val="single"/>
          <w:lang w:eastAsia="tr-TR"/>
          <w14:ligatures w14:val="none"/>
        </w:rPr>
        <w:t xml:space="preserve">Regulation on Waste Management: </w:t>
      </w:r>
      <w:r w:rsidRPr="00175D8B">
        <w:rPr>
          <w:rFonts w:eastAsia="Aptos" w:cs="Aptos"/>
          <w:kern w:val="0"/>
          <w:szCs w:val="22"/>
          <w:lang w:eastAsia="tr-TR"/>
          <w14:ligatures w14:val="none"/>
        </w:rPr>
        <w:t xml:space="preserve">Regulation on Waste Management can be regarded as the framework regulation regarding waste management requirements and applications in Türkiye. It defines duties / authorities / responsibilities of all relevant parties, which are, the MoEUCC, Provincial Directorates, Municipalities, Waste Generators / Producers and Waste Processing Facilities. Codes of all kinds of wastes, including both hazardous and non-hazardous ones, and specific requirements are also defined in the regulation. The purpose of the regulation is determining the borders of the waste management principles and also managing the waste practices. General principles of this regulation include less uses of natural sources, development of environment-friendly technologies, minimum damage to environment, reusable and recyclable producing, minimum energy use, acceptable waste management activities such as less waste producing, proper waste collecting, separating, transporting and disposing techniques (Reduce – Reuse – Recycle). Previous regulations on waste management (solid waste, hazardous waste, etc.) have been assembled together in this regulation with the new applicable instruction and suggestions according to the international environmental standards. According to the regulation, hazardous wastes, medical wastes, used batteries &amp; accumulators and medical wastes, as well as used tires, recyclable wastes such as packaging wastes must be disposed of separately from residential wastes. Furthermore, generators or transporters are strictly prohibited to dump wastes into recipient media such as seas, lakes and the like as well as on to streets, in forests and any other spots where they would adversely affect the environment. According to the regulation, anyone generating hazardous waste is obligated to take measures so that waste generation would be minimized, to ensure waste management in order to minimize the effects of wastes on human health and environment in compliance with the provisions of this Regulation, to prepare a 3-year waste management plan and obtain Provincial Directorates’ approval therefor, and obtain authorization </w:t>
      </w:r>
      <w:r w:rsidRPr="00175D8B">
        <w:rPr>
          <w:rFonts w:eastAsia="Aptos" w:cs="Aptos"/>
          <w:kern w:val="0"/>
          <w:szCs w:val="22"/>
          <w:lang w:eastAsia="tr-TR"/>
          <w14:ligatures w14:val="none"/>
        </w:rPr>
        <w:lastRenderedPageBreak/>
        <w:t xml:space="preserve">from Provincial Directorates likewise in case of temporary storage of wastes in their facilities in compliance with the provisions of this Regulation. </w:t>
      </w:r>
    </w:p>
    <w:p w14:paraId="61B40040"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u w:val="single"/>
          <w:lang w:eastAsia="tr-TR"/>
          <w14:ligatures w14:val="none"/>
        </w:rPr>
        <w:t xml:space="preserve">Regulation on Control of Excavated Soil, Construction and Demolition Wastes: </w:t>
      </w:r>
      <w:r w:rsidRPr="00175D8B">
        <w:rPr>
          <w:rFonts w:eastAsia="Aptos" w:cs="Aptos"/>
          <w:kern w:val="0"/>
          <w:szCs w:val="22"/>
          <w:lang w:eastAsia="tr-TR"/>
          <w14:ligatures w14:val="none"/>
        </w:rPr>
        <w:t>This is the specific regulation which defines requirements regarding excavated soil and construction &amp; demolition wastes. According to Article 9 of the regulation, anyone generating excavated soil and construction / demolition wastes is required to ensure waste management in order to minimize the negative effects of the wastes on the environment and human health in compliance with the provisions of the regulation. Waste generators cannot dump their wastes at any spots other than such recovery or storage sites exclusively permitted by a municipality.</w:t>
      </w:r>
    </w:p>
    <w:p w14:paraId="517A8671"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u w:val="single"/>
          <w:lang w:eastAsia="tr-TR"/>
          <w14:ligatures w14:val="none"/>
        </w:rPr>
        <w:t>Regulation on the Demolition of Buildings:</w:t>
      </w:r>
      <w:r w:rsidRPr="00175D8B">
        <w:rPr>
          <w:rFonts w:eastAsia="Aptos" w:cs="Aptos"/>
          <w:kern w:val="0"/>
          <w:szCs w:val="22"/>
          <w:lang w:eastAsia="tr-TR"/>
          <w14:ligatures w14:val="none"/>
        </w:rPr>
        <w:t xml:space="preserve"> This Regulation is prepared based on the Environment Law No. 2872 and the Zoning Law No. 3194 and it was actually published in the Official Gazette back in October 2021 but it was stipulated come into effect as of July 1, 2022. The purpose of this regulation is “</w:t>
      </w:r>
      <w:r w:rsidRPr="00175D8B">
        <w:rPr>
          <w:rFonts w:eastAsia="Aptos" w:cs="Aptos"/>
          <w:i/>
          <w:kern w:val="0"/>
          <w:szCs w:val="22"/>
          <w:lang w:eastAsia="tr-TR"/>
          <w14:ligatures w14:val="none"/>
        </w:rPr>
        <w:t>to regulate the procedures and principles pertaining to realizing the activities of building demolition in a manner that will not harm the environment, human health and safety.</w:t>
      </w:r>
      <w:r w:rsidRPr="00175D8B">
        <w:rPr>
          <w:rFonts w:eastAsia="Aptos" w:cs="Aptos"/>
          <w:kern w:val="0"/>
          <w:szCs w:val="22"/>
          <w:lang w:eastAsia="tr-TR"/>
          <w14:ligatures w14:val="none"/>
        </w:rPr>
        <w:t>” This regulation does associate itself with the Law No. 6306, stating that “</w:t>
      </w:r>
      <w:r w:rsidRPr="00175D8B">
        <w:rPr>
          <w:rFonts w:eastAsia="Aptos" w:cs="Aptos"/>
          <w:i/>
          <w:kern w:val="0"/>
          <w:szCs w:val="22"/>
          <w:lang w:eastAsia="tr-TR"/>
          <w14:ligatures w14:val="none"/>
        </w:rPr>
        <w:t>The provisions of the Law No. 6306 and the relevant legislation thereof shall remain reserved</w:t>
      </w:r>
      <w:r w:rsidRPr="00175D8B">
        <w:rPr>
          <w:rFonts w:eastAsia="Aptos" w:cs="Aptos"/>
          <w:kern w:val="0"/>
          <w:szCs w:val="22"/>
          <w:lang w:eastAsia="tr-TR"/>
          <w14:ligatures w14:val="none"/>
        </w:rPr>
        <w:t>”. However, this regulation precludes demolitions to be performed in the scope of the Law No. 7269 on the Aids to be Given and Measures to be Taken Due to Disasters Affecting Public Life.</w:t>
      </w:r>
    </w:p>
    <w:p w14:paraId="64848C2B"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lang w:eastAsia="tr-TR"/>
          <w14:ligatures w14:val="none"/>
        </w:rPr>
        <w:t>The aim in the enactment of this regulation is to protect and preserve human/ community health, life and property safety, as well as the environment during demolition activities. In fact, the Regulation on Control of Excavated Soil, Construction and Demolition Wastes, the Regulation on Landfilling of Wastes, the Regulation on Waste Management and also the Regulation on Occupational Health and Safety in Construction Works are all referenced as legislation to be abided by. The regulation contains provisions on noise and vibration management, and control of dust emissions.</w:t>
      </w:r>
    </w:p>
    <w:p w14:paraId="4C0235C5"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lang w:eastAsia="tr-TR"/>
          <w14:ligatures w14:val="none"/>
        </w:rPr>
        <w:t xml:space="preserve">One of the novelties in this regulation is related to the prohibition brought by stating that, the main demolition can only be commenced after asbestos and similar hazardous chemical-containing fabrications are disassembled and removed, and after “selective demolition” is made. The demolition plan needs to contain a waste management plan as an annex that indicates the waste types, codes and amounts, and all this information will be recorded on the demolition license. </w:t>
      </w:r>
    </w:p>
    <w:p w14:paraId="0BD5B2D7"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lang w:eastAsia="tr-TR"/>
          <w14:ligatures w14:val="none"/>
        </w:rPr>
        <w:t>Selective Demolition is defined in the regulation as follows:</w:t>
      </w:r>
    </w:p>
    <w:p w14:paraId="203AA7A4"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i/>
          <w:kern w:val="0"/>
          <w:szCs w:val="22"/>
          <w:lang w:eastAsia="tr-TR"/>
          <w14:ligatures w14:val="none"/>
        </w:rPr>
        <w:lastRenderedPageBreak/>
        <w:t>“ARTICLE 15 – (1) In order to ensure high rate of recycling of demolition wastes, to ensure that the hazardous wastes are sorted and separated before the demolition, other materials are reused, and the demolition wastes are separated at the source and recycled in a controlled and phased manner, selective demolition will be applied according to the Regulation on Control of Excavated Soil, Construction and Demolition Wastes.</w:t>
      </w:r>
    </w:p>
    <w:p w14:paraId="053E07A3" w14:textId="77777777" w:rsidR="003D2155" w:rsidRPr="00175D8B" w:rsidRDefault="003D2155" w:rsidP="00D414C4">
      <w:pPr>
        <w:spacing w:before="120"/>
        <w:rPr>
          <w:rFonts w:eastAsia="Aptos" w:cs="Aptos"/>
          <w:i/>
          <w:kern w:val="0"/>
          <w:szCs w:val="22"/>
          <w:lang w:eastAsia="tr-TR"/>
          <w14:ligatures w14:val="none"/>
        </w:rPr>
      </w:pPr>
      <w:r w:rsidRPr="00175D8B">
        <w:rPr>
          <w:rFonts w:eastAsia="Aptos" w:cs="Aptos"/>
          <w:i/>
          <w:kern w:val="0"/>
          <w:szCs w:val="22"/>
          <w:lang w:eastAsia="tr-TR"/>
          <w14:ligatures w14:val="none"/>
        </w:rPr>
        <w:t>(2) Selective demolition covers the stages of separation/ sorting of asbestos and other hazardous wastes; doors and windows, sanitary ware such as sinks, bathtubs and similar materials, all metal-based materials, wood-based materials, gypsum-based materials, tiles, non-bearing walls (such as bricks, gas concrete, concrete) materials, glass materials, polyvinylchloride/polyurethane materials, all natural stone coatings, materials used for waterproofing that can be removed; thermal insulation materials such as glass wool, rock wool, expanded polystyrene, extruded polystyrene, polyurethane, etc.; crushed and/or sieved granular materials under in-parcel road or asphalt, concrete and wooden coating layers in other areas; scraping or separation of bitumen and derivative layers in areas covered with bitumen and derivative materials.</w:t>
      </w:r>
    </w:p>
    <w:p w14:paraId="37B7AF83" w14:textId="77777777" w:rsidR="003D2155" w:rsidRPr="00175D8B" w:rsidRDefault="003D2155" w:rsidP="00D414C4">
      <w:pPr>
        <w:spacing w:before="120"/>
        <w:rPr>
          <w:rFonts w:eastAsia="Aptos" w:cs="Aptos"/>
          <w:i/>
          <w:kern w:val="0"/>
          <w:szCs w:val="22"/>
          <w:lang w:eastAsia="tr-TR"/>
          <w14:ligatures w14:val="none"/>
        </w:rPr>
      </w:pPr>
      <w:r w:rsidRPr="00175D8B">
        <w:rPr>
          <w:rFonts w:eastAsia="Aptos" w:cs="Aptos"/>
          <w:i/>
          <w:kern w:val="0"/>
          <w:szCs w:val="22"/>
          <w:lang w:eastAsia="tr-TR"/>
          <w14:ligatures w14:val="none"/>
        </w:rPr>
        <w:t>(3) With selective demolition, reusable materials are separated, and waste generation is prevented. During the demolition activity, the wastes are separated and collected separately. Separately gathered wastes are collected without mixing with each other, the collected wastes are subjected to recovery and the wastes that cannot be recovered are disposed of in accordance with the provisions of the relevant legislation. The wastes are sent to the recycling and/or disposal facility, which has a license certificate within the scope of the Environmental Permit and License Regulation published in the Official Gazette dated no. 29115 of 10.9.2014.”</w:t>
      </w:r>
    </w:p>
    <w:p w14:paraId="1CD51061" w14:textId="77777777" w:rsidR="003D2155" w:rsidRPr="00175D8B" w:rsidRDefault="003D2155" w:rsidP="00D414C4">
      <w:pPr>
        <w:spacing w:after="0"/>
        <w:rPr>
          <w:rFonts w:eastAsia="Aptos" w:cs="Aptos"/>
          <w:kern w:val="0"/>
          <w:szCs w:val="22"/>
          <w:lang w:eastAsia="tr-TR"/>
          <w14:ligatures w14:val="none"/>
        </w:rPr>
      </w:pPr>
      <w:r w:rsidRPr="00175D8B">
        <w:rPr>
          <w:rFonts w:eastAsia="Aptos" w:cs="Aptos"/>
          <w:b/>
          <w:kern w:val="0"/>
          <w:szCs w:val="22"/>
          <w:u w:val="single"/>
          <w:lang w:eastAsia="tr-TR"/>
          <w14:ligatures w14:val="none"/>
        </w:rPr>
        <w:t>Air</w:t>
      </w:r>
    </w:p>
    <w:p w14:paraId="34E22045"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Industrial Air Pollution Regulation</w:t>
      </w:r>
    </w:p>
    <w:p w14:paraId="61FCD866"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Air Quality Assessment and Management</w:t>
      </w:r>
    </w:p>
    <w:p w14:paraId="3C069905"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Exhaust Gas Emission Control</w:t>
      </w:r>
    </w:p>
    <w:p w14:paraId="64293818"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Control of Air Pollution Caused by Heating</w:t>
      </w:r>
    </w:p>
    <w:p w14:paraId="1C59E469" w14:textId="77777777" w:rsidR="003D2155" w:rsidRPr="00175D8B" w:rsidRDefault="003D2155" w:rsidP="00D414C4">
      <w:pPr>
        <w:spacing w:after="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Chemicals</w:t>
      </w:r>
    </w:p>
    <w:p w14:paraId="3F9C5501"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Classification, Labelling and Packaging of Substances and Mixtures</w:t>
      </w:r>
    </w:p>
    <w:p w14:paraId="6B75DE6D"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Transport of Dangerous Goods by Rail</w:t>
      </w:r>
    </w:p>
    <w:p w14:paraId="23E2FE59"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Transport of Dangerous Goods by Road</w:t>
      </w:r>
    </w:p>
    <w:p w14:paraId="564474D2" w14:textId="77777777" w:rsidR="003D2155" w:rsidRPr="00175D8B" w:rsidRDefault="003D2155">
      <w:pPr>
        <w:numPr>
          <w:ilvl w:val="0"/>
          <w:numId w:val="80"/>
        </w:numPr>
        <w:pBdr>
          <w:top w:val="nil"/>
          <w:left w:val="nil"/>
          <w:bottom w:val="nil"/>
          <w:right w:val="nil"/>
          <w:between w:val="nil"/>
        </w:pBdr>
        <w:spacing w:after="0"/>
        <w:jc w:val="left"/>
        <w:rPr>
          <w:rFonts w:eastAsia="Aptos" w:cs="Aptos"/>
          <w:b/>
          <w:kern w:val="0"/>
          <w:szCs w:val="22"/>
          <w:u w:val="single"/>
          <w:lang w:eastAsia="tr-TR"/>
          <w14:ligatures w14:val="none"/>
        </w:rPr>
      </w:pPr>
      <w:r w:rsidRPr="00175D8B">
        <w:rPr>
          <w:rFonts w:eastAsia="Aptos" w:cs="Aptos"/>
          <w:color w:val="000000"/>
          <w:kern w:val="0"/>
          <w:szCs w:val="22"/>
          <w:lang w:eastAsia="tr-TR"/>
          <w14:ligatures w14:val="none"/>
        </w:rPr>
        <w:t>Regulation on the Control of Polychlorinated Biphenyl and Polychlorinated Terphenyl</w:t>
      </w:r>
    </w:p>
    <w:p w14:paraId="1B4289FD" w14:textId="77777777" w:rsidR="003D2155" w:rsidRPr="00175D8B" w:rsidRDefault="003D2155" w:rsidP="00D414C4">
      <w:pPr>
        <w:spacing w:after="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lastRenderedPageBreak/>
        <w:t>Health, Safety and Work/Labor</w:t>
      </w:r>
    </w:p>
    <w:p w14:paraId="62B45F63"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Communiqué on Workplace Hazard Classes Related to Occupational Health and Safety</w:t>
      </w:r>
    </w:p>
    <w:p w14:paraId="3CBC46CF"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Protection of Employees from Noise-Related Risks</w:t>
      </w:r>
    </w:p>
    <w:p w14:paraId="1DF557FB"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Protection of Employees from Vibration-Related Risks</w:t>
      </w:r>
    </w:p>
    <w:p w14:paraId="683CF76C"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Health and Safety Requirements for the Use of Work Equipment</w:t>
      </w:r>
    </w:p>
    <w:p w14:paraId="05ECCFC4"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Occupational Health and Safety</w:t>
      </w:r>
    </w:p>
    <w:p w14:paraId="68EB4A66"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Occupational Health and Safety in Construction Works</w:t>
      </w:r>
    </w:p>
    <w:p w14:paraId="25920DBD"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Occupational Health and Safety in Temporary or Fixed-Term Employment</w:t>
      </w:r>
    </w:p>
    <w:p w14:paraId="6F25C79A"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Regulations on Safety and Health in Working with Chemical Substances</w:t>
      </w:r>
    </w:p>
    <w:p w14:paraId="176744C7"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Occupational Health and Safety Signs</w:t>
      </w:r>
    </w:p>
    <w:p w14:paraId="6FC63412"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Fight Against Dust</w:t>
      </w:r>
    </w:p>
    <w:p w14:paraId="21C89612"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Safety Data Sheets Regarding Harmful Substances and Mixtures</w:t>
      </w:r>
    </w:p>
    <w:p w14:paraId="2731EA03"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Occupational Health and Safety Risk Assessment</w:t>
      </w:r>
    </w:p>
    <w:p w14:paraId="40EB34C7"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Personal Protective Equipment</w:t>
      </w:r>
    </w:p>
    <w:p w14:paraId="1A549F45"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Regulation on the Vocational Training of Persons to be Employed in the Jobs in Dangerous and Extremely Dangerous Classes </w:t>
      </w:r>
    </w:p>
    <w:p w14:paraId="3B6EDFE6"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Work Inspection Committee of Ministry of Labor and Social Security</w:t>
      </w:r>
    </w:p>
    <w:p w14:paraId="27905F7C"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Bylaw on Work Inspections</w:t>
      </w:r>
    </w:p>
    <w:p w14:paraId="68ABE539" w14:textId="77777777" w:rsidR="003D2155" w:rsidRPr="00175D8B" w:rsidRDefault="003D2155" w:rsidP="00D414C4">
      <w:pPr>
        <w:spacing w:after="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Noise</w:t>
      </w:r>
    </w:p>
    <w:p w14:paraId="258598FF"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Assessment and Management of Environmental Noise</w:t>
      </w:r>
    </w:p>
    <w:p w14:paraId="114B2796" w14:textId="77777777" w:rsidR="003D2155" w:rsidRPr="00175D8B" w:rsidRDefault="003D2155">
      <w:pPr>
        <w:numPr>
          <w:ilvl w:val="0"/>
          <w:numId w:val="80"/>
        </w:numPr>
        <w:pBdr>
          <w:top w:val="nil"/>
          <w:left w:val="nil"/>
          <w:bottom w:val="nil"/>
          <w:right w:val="nil"/>
          <w:between w:val="nil"/>
        </w:pBdr>
        <w:spacing w:after="0"/>
        <w:jc w:val="left"/>
        <w:rPr>
          <w:rFonts w:eastAsia="Aptos" w:cs="Aptos"/>
          <w:b/>
          <w:kern w:val="0"/>
          <w:szCs w:val="22"/>
          <w:u w:val="single"/>
          <w:lang w:eastAsia="tr-TR"/>
          <w14:ligatures w14:val="none"/>
        </w:rPr>
      </w:pPr>
      <w:r w:rsidRPr="00175D8B">
        <w:rPr>
          <w:rFonts w:eastAsia="Aptos" w:cs="Aptos"/>
          <w:color w:val="000000"/>
          <w:kern w:val="0"/>
          <w:szCs w:val="22"/>
          <w:lang w:eastAsia="tr-TR"/>
          <w14:ligatures w14:val="none"/>
        </w:rPr>
        <w:t>Noise Emission in the Environment by Equipment for Use Outdoors Regulations</w:t>
      </w:r>
    </w:p>
    <w:p w14:paraId="0B3A5AC5" w14:textId="77777777" w:rsidR="003D2155" w:rsidRPr="00175D8B" w:rsidRDefault="003D2155" w:rsidP="00D414C4">
      <w:pPr>
        <w:pBdr>
          <w:top w:val="nil"/>
          <w:left w:val="nil"/>
          <w:bottom w:val="nil"/>
          <w:right w:val="nil"/>
          <w:between w:val="nil"/>
        </w:pBdr>
        <w:spacing w:after="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Social</w:t>
      </w:r>
    </w:p>
    <w:p w14:paraId="58B8F0A9"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Implementing Regulation on Settlement Law</w:t>
      </w:r>
    </w:p>
    <w:p w14:paraId="49F56CF8"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Implementation of the Law on Private Security Services</w:t>
      </w:r>
    </w:p>
    <w:p w14:paraId="67623D4F" w14:textId="77777777" w:rsidR="003D2155" w:rsidRPr="00175D8B" w:rsidRDefault="003D2155" w:rsidP="00D414C4">
      <w:pPr>
        <w:spacing w:after="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Other / General</w:t>
      </w:r>
    </w:p>
    <w:p w14:paraId="3ED6EA06"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Road Traffic Regulation</w:t>
      </w:r>
    </w:p>
    <w:p w14:paraId="55DCB85A"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Railway Safety Regulation</w:t>
      </w:r>
    </w:p>
    <w:p w14:paraId="0F993C2D" w14:textId="77777777"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Railway Safety Critical Tasks</w:t>
      </w:r>
    </w:p>
    <w:p w14:paraId="04A637E8" w14:textId="31A1DECC" w:rsidR="003D2155" w:rsidRPr="00175D8B" w:rsidRDefault="003D2155">
      <w:pPr>
        <w:numPr>
          <w:ilvl w:val="0"/>
          <w:numId w:val="8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Construction Managers</w:t>
      </w:r>
    </w:p>
    <w:p w14:paraId="29ECFE2B" w14:textId="77777777" w:rsidR="00E1528E" w:rsidRPr="00175D8B" w:rsidRDefault="00E1528E" w:rsidP="002550A6">
      <w:pPr>
        <w:pBdr>
          <w:top w:val="nil"/>
          <w:left w:val="nil"/>
          <w:bottom w:val="nil"/>
          <w:right w:val="nil"/>
          <w:between w:val="nil"/>
        </w:pBdr>
        <w:spacing w:after="0"/>
        <w:ind w:left="720"/>
        <w:jc w:val="left"/>
        <w:rPr>
          <w:rFonts w:eastAsia="Aptos" w:cs="Aptos"/>
          <w:color w:val="000000"/>
          <w:kern w:val="0"/>
          <w:szCs w:val="22"/>
          <w:lang w:eastAsia="tr-TR"/>
          <w14:ligatures w14:val="none"/>
        </w:rPr>
      </w:pPr>
    </w:p>
    <w:p w14:paraId="77BB838A" w14:textId="77777777" w:rsidR="003D2155" w:rsidRPr="00175D8B" w:rsidRDefault="003D2155" w:rsidP="002550A6">
      <w:pPr>
        <w:pStyle w:val="Balk2"/>
        <w:numPr>
          <w:ilvl w:val="0"/>
          <w:numId w:val="0"/>
        </w:numPr>
        <w:ind w:left="720" w:hanging="360"/>
        <w:rPr>
          <w:lang w:eastAsia="tr-TR"/>
        </w:rPr>
      </w:pPr>
      <w:bookmarkStart w:id="434" w:name="_Toc198046923"/>
      <w:bookmarkStart w:id="435" w:name="_Toc207987173"/>
      <w:bookmarkStart w:id="436" w:name="_Toc214639928"/>
      <w:bookmarkStart w:id="437" w:name="_Toc216099262"/>
      <w:bookmarkStart w:id="438" w:name="_Toc216102336"/>
      <w:bookmarkStart w:id="439" w:name="_Toc216107996"/>
      <w:bookmarkStart w:id="440" w:name="_Toc220672825"/>
      <w:r w:rsidRPr="00175D8B">
        <w:rPr>
          <w:lang w:eastAsia="tr-TR"/>
        </w:rPr>
        <w:lastRenderedPageBreak/>
        <w:t>1.2. National Laws on Social Impacts</w:t>
      </w:r>
      <w:bookmarkEnd w:id="434"/>
      <w:bookmarkEnd w:id="435"/>
      <w:bookmarkEnd w:id="436"/>
      <w:bookmarkEnd w:id="437"/>
      <w:bookmarkEnd w:id="438"/>
      <w:bookmarkEnd w:id="439"/>
      <w:bookmarkEnd w:id="440"/>
    </w:p>
    <w:p w14:paraId="6FB2312D" w14:textId="37BF5EA1" w:rsidR="003D2155" w:rsidRPr="00175D8B" w:rsidRDefault="003D2155" w:rsidP="002550A6">
      <w:pPr>
        <w:pStyle w:val="Balk3"/>
        <w:ind w:left="708" w:firstLine="12"/>
        <w:rPr>
          <w:lang w:eastAsia="tr-TR"/>
        </w:rPr>
      </w:pPr>
      <w:bookmarkStart w:id="441" w:name="_Toc198046924"/>
      <w:bookmarkStart w:id="442" w:name="_Toc207987174"/>
      <w:bookmarkStart w:id="443" w:name="_Toc214639929"/>
      <w:bookmarkStart w:id="444" w:name="_Toc216099263"/>
      <w:bookmarkStart w:id="445" w:name="_Toc216102337"/>
      <w:bookmarkStart w:id="446" w:name="_Toc216107997"/>
      <w:bookmarkStart w:id="447" w:name="_Toc220672826"/>
      <w:r w:rsidRPr="00175D8B">
        <w:rPr>
          <w:lang w:eastAsia="tr-TR"/>
        </w:rPr>
        <w:t>1.2.</w:t>
      </w:r>
      <w:r w:rsidR="002561E6" w:rsidRPr="00175D8B">
        <w:rPr>
          <w:lang w:eastAsia="tr-TR"/>
        </w:rPr>
        <w:t>1</w:t>
      </w:r>
      <w:r w:rsidRPr="00175D8B">
        <w:rPr>
          <w:lang w:eastAsia="tr-TR"/>
        </w:rPr>
        <w:t>.</w:t>
      </w:r>
      <w:r w:rsidR="002561E6" w:rsidRPr="00175D8B">
        <w:rPr>
          <w:lang w:eastAsia="tr-TR"/>
        </w:rPr>
        <w:t xml:space="preserve"> </w:t>
      </w:r>
      <w:r w:rsidRPr="00175D8B">
        <w:rPr>
          <w:lang w:eastAsia="tr-TR"/>
        </w:rPr>
        <w:t>National Laws on Labor &amp; Working Conditions</w:t>
      </w:r>
      <w:bookmarkEnd w:id="441"/>
      <w:bookmarkEnd w:id="442"/>
      <w:bookmarkEnd w:id="443"/>
      <w:bookmarkEnd w:id="444"/>
      <w:bookmarkEnd w:id="445"/>
      <w:bookmarkEnd w:id="446"/>
      <w:bookmarkEnd w:id="447"/>
    </w:p>
    <w:p w14:paraId="221588DB"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lang w:eastAsia="tr-TR"/>
          <w14:ligatures w14:val="none"/>
        </w:rPr>
        <w:t>The Project is expected to employ the following type of Project workers, as per ESS 2 and described in the Labor Management Procedures (LMP) of the CDRC Project, direct workers, contracted workers, community workers, primary suppliers and migrant workers. For further details on the types of workers in the Project, the numbers and characteristics of the Project Workers and scheduling of labor requirements check Subsections 2.1 through 2.4 of the LMP</w:t>
      </w:r>
      <w:r w:rsidRPr="00175D8B">
        <w:rPr>
          <w:rFonts w:eastAsia="Aptos" w:cs="Aptos"/>
          <w:kern w:val="0"/>
          <w:szCs w:val="22"/>
          <w:vertAlign w:val="superscript"/>
          <w:lang w:eastAsia="tr-TR"/>
          <w14:ligatures w14:val="none"/>
        </w:rPr>
        <w:footnoteReference w:id="34"/>
      </w:r>
      <w:r w:rsidRPr="00175D8B">
        <w:rPr>
          <w:rFonts w:eastAsia="Aptos" w:cs="Aptos"/>
          <w:kern w:val="0"/>
          <w:szCs w:val="22"/>
          <w:lang w:eastAsia="tr-TR"/>
          <w14:ligatures w14:val="none"/>
        </w:rPr>
        <w:t xml:space="preserve">. </w:t>
      </w:r>
    </w:p>
    <w:p w14:paraId="2F2FF6A0" w14:textId="77777777" w:rsidR="003D2155" w:rsidRPr="00175D8B" w:rsidRDefault="003D2155" w:rsidP="00D414C4">
      <w:pPr>
        <w:spacing w:before="240" w:after="24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Occupational Health and Safety</w:t>
      </w:r>
    </w:p>
    <w:p w14:paraId="5E153363"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lang w:eastAsia="tr-TR"/>
          <w14:ligatures w14:val="none"/>
        </w:rPr>
        <w:t>In recent years, Türkiye has carried out a reform to improve the national OHS system by adapting a number of international and regional standards within the national level requirements for the prevention of occupational risks defined in the International Labor Organization (ILO) Occupational Safety and Health Convention No. 155 of 1981. The Convention was ratified by Türkiye in 2005 together with the Occupational Health Services Convention No. 161 of 1985 and Türkiye has also been a party to the Labor Inspection Convention No. 81 of 1945 since 1951. Türkiye adopted the Occupational Health and Safety Improvement Framework No. 187 of 2006 in 2014.</w:t>
      </w:r>
    </w:p>
    <w:p w14:paraId="6E613FF1"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lang w:eastAsia="tr-TR"/>
          <w14:ligatures w14:val="none"/>
        </w:rPr>
        <w:t>In 2012, an independent OHS Law No. 6331 came into force (20 June 2012). OHS Law regulates workplace environments and sectors (both public and private) as well as all classes of workers, including part-time employees, interns and apprentices. The legislation is comprehensive and generally applies to all sectors and many industries.</w:t>
      </w:r>
    </w:p>
    <w:p w14:paraId="23DEFEBB" w14:textId="77777777" w:rsidR="003D2155" w:rsidRPr="00175D8B" w:rsidRDefault="003D2155" w:rsidP="00D414C4">
      <w:pPr>
        <w:spacing w:before="240" w:after="24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Labor and Working Conditions</w:t>
      </w:r>
    </w:p>
    <w:p w14:paraId="3CDF2147" w14:textId="77777777" w:rsidR="003D2155" w:rsidRPr="00175D8B" w:rsidRDefault="003D2155" w:rsidP="00D414C4">
      <w:pPr>
        <w:spacing w:before="120"/>
        <w:rPr>
          <w:rFonts w:eastAsia="Aptos" w:cs="Aptos"/>
          <w:kern w:val="0"/>
          <w:szCs w:val="22"/>
          <w:lang w:eastAsia="tr-TR"/>
          <w14:ligatures w14:val="none"/>
        </w:rPr>
      </w:pPr>
      <w:r w:rsidRPr="00175D8B">
        <w:rPr>
          <w:rFonts w:eastAsia="Aptos" w:cs="Aptos"/>
          <w:kern w:val="0"/>
          <w:szCs w:val="22"/>
          <w:lang w:eastAsia="tr-TR"/>
          <w14:ligatures w14:val="none"/>
        </w:rPr>
        <w:t>Türkiye is a party to numerous conventions of ILO including, but not limited to, equal treatment of employees, gender equality, child labor, forced labor, OHS, the right to organize and minimum wage. Accordingly, Labor Law No. 4857 in force in Türkiye is largely in line with the requirements of ESS2.</w:t>
      </w:r>
    </w:p>
    <w:p w14:paraId="570C765C" w14:textId="77777777" w:rsidR="003D2155" w:rsidRPr="00175D8B" w:rsidRDefault="003D2155" w:rsidP="00EC5124">
      <w:pPr>
        <w:spacing w:before="120"/>
        <w:rPr>
          <w:rFonts w:eastAsia="Aptos" w:cs="Aptos"/>
          <w:kern w:val="0"/>
          <w:szCs w:val="22"/>
          <w:lang w:eastAsia="tr-TR"/>
          <w14:ligatures w14:val="none"/>
        </w:rPr>
      </w:pPr>
      <w:r w:rsidRPr="00175D8B">
        <w:rPr>
          <w:rFonts w:eastAsia="Aptos" w:cs="Aptos"/>
          <w:kern w:val="0"/>
          <w:szCs w:val="22"/>
          <w:lang w:eastAsia="tr-TR"/>
          <w14:ligatures w14:val="none"/>
        </w:rPr>
        <w:t xml:space="preserve">There is also secondary legislation that may be applicable to the Project, including regulations regarding annual leave, working hours, overtime, minimum wage, and female and child workers. The Ministry of Labor and Social Security (MoLSS) has also published various communiqués and circulars </w:t>
      </w:r>
      <w:r w:rsidRPr="00175D8B">
        <w:rPr>
          <w:rFonts w:eastAsia="Aptos" w:cs="Aptos"/>
          <w:kern w:val="0"/>
          <w:szCs w:val="22"/>
          <w:lang w:eastAsia="tr-TR"/>
          <w14:ligatures w14:val="none"/>
        </w:rPr>
        <w:lastRenderedPageBreak/>
        <w:t>that can be applied during the Project implementation, laying the groundwork for the implementation of the Labor Law.</w:t>
      </w:r>
    </w:p>
    <w:p w14:paraId="142591E6" w14:textId="439E2247" w:rsidR="003D2155" w:rsidRPr="00175D8B" w:rsidRDefault="003D2155" w:rsidP="002550A6">
      <w:pPr>
        <w:pStyle w:val="Balk3"/>
        <w:ind w:firstLine="708"/>
        <w:rPr>
          <w:lang w:eastAsia="tr-TR"/>
        </w:rPr>
      </w:pPr>
      <w:bookmarkStart w:id="448" w:name="_Toc198046925"/>
      <w:bookmarkStart w:id="449" w:name="_Toc207987175"/>
      <w:bookmarkStart w:id="450" w:name="_Toc214639930"/>
      <w:bookmarkStart w:id="451" w:name="_Toc216099264"/>
      <w:bookmarkStart w:id="452" w:name="_Toc216102338"/>
      <w:bookmarkStart w:id="453" w:name="_Toc216107998"/>
      <w:bookmarkStart w:id="454" w:name="_Toc220672827"/>
      <w:r w:rsidRPr="00175D8B">
        <w:rPr>
          <w:lang w:eastAsia="tr-TR"/>
        </w:rPr>
        <w:t>1.2.2.</w:t>
      </w:r>
      <w:r w:rsidR="002561E6" w:rsidRPr="00175D8B">
        <w:rPr>
          <w:lang w:eastAsia="tr-TR"/>
        </w:rPr>
        <w:t xml:space="preserve"> </w:t>
      </w:r>
      <w:r w:rsidRPr="00175D8B">
        <w:rPr>
          <w:lang w:eastAsia="tr-TR"/>
        </w:rPr>
        <w:t>National Laws on Community Health and Safety</w:t>
      </w:r>
      <w:bookmarkEnd w:id="448"/>
      <w:bookmarkEnd w:id="449"/>
      <w:bookmarkEnd w:id="450"/>
      <w:bookmarkEnd w:id="451"/>
      <w:bookmarkEnd w:id="452"/>
      <w:bookmarkEnd w:id="453"/>
      <w:bookmarkEnd w:id="454"/>
    </w:p>
    <w:p w14:paraId="005ADC4E" w14:textId="77777777" w:rsidR="003D2155" w:rsidRPr="00175D8B" w:rsidRDefault="003D2155" w:rsidP="00EC5124">
      <w:pPr>
        <w:spacing w:before="120"/>
        <w:jc w:val="left"/>
        <w:rPr>
          <w:rFonts w:eastAsia="Aptos" w:cs="Aptos"/>
          <w:kern w:val="0"/>
          <w:szCs w:val="22"/>
          <w:lang w:eastAsia="tr-TR"/>
          <w14:ligatures w14:val="none"/>
        </w:rPr>
      </w:pPr>
      <w:r w:rsidRPr="00175D8B">
        <w:rPr>
          <w:rFonts w:eastAsia="Aptos" w:cs="Aptos"/>
          <w:kern w:val="0"/>
          <w:szCs w:val="22"/>
          <w:lang w:eastAsia="tr-TR"/>
          <w14:ligatures w14:val="none"/>
        </w:rPr>
        <w:t>The main national laws covering ESS4 (Community Health and Safety) are as follows:</w:t>
      </w:r>
    </w:p>
    <w:p w14:paraId="38C25535" w14:textId="77777777" w:rsidR="003D2155" w:rsidRPr="00175D8B" w:rsidRDefault="003D2155">
      <w:pPr>
        <w:numPr>
          <w:ilvl w:val="0"/>
          <w:numId w:val="95"/>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General Health Protection Law No. 1593</w:t>
      </w:r>
    </w:p>
    <w:p w14:paraId="124BA6ED" w14:textId="77777777" w:rsidR="003D2155" w:rsidRPr="00175D8B" w:rsidRDefault="003D2155">
      <w:pPr>
        <w:numPr>
          <w:ilvl w:val="0"/>
          <w:numId w:val="95"/>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Law No. 5378 on the Disabled</w:t>
      </w:r>
    </w:p>
    <w:p w14:paraId="7B4F9DB2" w14:textId="77777777" w:rsidR="003D2155" w:rsidRPr="00175D8B" w:rsidRDefault="003D2155">
      <w:pPr>
        <w:numPr>
          <w:ilvl w:val="0"/>
          <w:numId w:val="95"/>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Law No. 5188 on Private Security Services</w:t>
      </w:r>
    </w:p>
    <w:p w14:paraId="3861C06F" w14:textId="77777777" w:rsidR="003D2155" w:rsidRPr="00175D8B" w:rsidRDefault="003D2155">
      <w:pPr>
        <w:numPr>
          <w:ilvl w:val="0"/>
          <w:numId w:val="95"/>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Law No. 7269 on the Aids to be Given and Measures to be Taken Due to Disasters Affecting Public Life</w:t>
      </w:r>
    </w:p>
    <w:p w14:paraId="19202517" w14:textId="77777777" w:rsidR="003D2155" w:rsidRPr="00175D8B" w:rsidRDefault="003D2155">
      <w:pPr>
        <w:numPr>
          <w:ilvl w:val="1"/>
          <w:numId w:val="95"/>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Building Earthquake Regulation in Türkiye (O.G. No. 30364 of 18.03.2018)</w:t>
      </w:r>
    </w:p>
    <w:p w14:paraId="013B90C4" w14:textId="77777777" w:rsidR="003D2155" w:rsidRPr="00175D8B" w:rsidRDefault="003D2155">
      <w:pPr>
        <w:numPr>
          <w:ilvl w:val="1"/>
          <w:numId w:val="95"/>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Disaster Regulation for Infrastructure (O.G. No. 26435 of 15.02.2007)</w:t>
      </w:r>
    </w:p>
    <w:p w14:paraId="652D6586" w14:textId="77777777" w:rsidR="003D2155" w:rsidRPr="00175D8B" w:rsidRDefault="003D2155">
      <w:pPr>
        <w:numPr>
          <w:ilvl w:val="0"/>
          <w:numId w:val="95"/>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Law No. 4708 on Building Auditing (Construction and Usage Permits)</w:t>
      </w:r>
    </w:p>
    <w:p w14:paraId="199CB9F9" w14:textId="77777777" w:rsidR="003D2155" w:rsidRPr="00175D8B" w:rsidRDefault="003D2155">
      <w:pPr>
        <w:numPr>
          <w:ilvl w:val="0"/>
          <w:numId w:val="95"/>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Zoning Law No. 3194 (Construction and Usage Permits)</w:t>
      </w:r>
    </w:p>
    <w:p w14:paraId="2C9740CD" w14:textId="77777777" w:rsidR="003D2155" w:rsidRPr="00175D8B" w:rsidRDefault="003D2155">
      <w:pPr>
        <w:numPr>
          <w:ilvl w:val="0"/>
          <w:numId w:val="95"/>
        </w:numPr>
        <w:pBdr>
          <w:top w:val="nil"/>
          <w:left w:val="nil"/>
          <w:bottom w:val="nil"/>
          <w:right w:val="nil"/>
          <w:between w:val="nil"/>
        </w:pBdr>
        <w:spacing w:after="16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Law No. 6306 on Transformation of Areas Under Disaster Risk</w:t>
      </w:r>
    </w:p>
    <w:p w14:paraId="419DCCEB" w14:textId="77777777" w:rsidR="003D2155" w:rsidRPr="00175D8B" w:rsidRDefault="003D2155" w:rsidP="00EC5124">
      <w:pPr>
        <w:spacing w:before="240" w:after="24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Turkish Earthquake Code</w:t>
      </w:r>
    </w:p>
    <w:p w14:paraId="168465D8" w14:textId="34445EDF" w:rsidR="002561E6" w:rsidRPr="00175D8B" w:rsidRDefault="003D2155" w:rsidP="002550A6">
      <w:pPr>
        <w:spacing w:after="160"/>
        <w:rPr>
          <w:rFonts w:eastAsia="Aptos" w:cs="Aptos"/>
          <w:b/>
          <w:kern w:val="0"/>
          <w:szCs w:val="22"/>
          <w:u w:val="single"/>
          <w:lang w:eastAsia="tr-TR"/>
          <w14:ligatures w14:val="none"/>
        </w:rPr>
      </w:pPr>
      <w:r w:rsidRPr="00175D8B">
        <w:rPr>
          <w:rFonts w:eastAsia="Aptos" w:cs="Aptos"/>
          <w:kern w:val="0"/>
          <w:szCs w:val="22"/>
          <w:lang w:eastAsia="tr-TR"/>
          <w14:ligatures w14:val="none"/>
        </w:rPr>
        <w:t>The purpose of this Regulation is “</w:t>
      </w:r>
      <w:r w:rsidRPr="00175D8B">
        <w:rPr>
          <w:rFonts w:eastAsia="Aptos" w:cs="Aptos"/>
          <w:i/>
          <w:kern w:val="0"/>
          <w:szCs w:val="22"/>
          <w:lang w:eastAsia="tr-TR"/>
          <w14:ligatures w14:val="none"/>
        </w:rPr>
        <w:t>to identify the required rules and minimum conditions in order to design and construct, under seismic effect, official and private building and building-like structures, partly or completely, which are planned to be re-built, modified or expanded, and to assess and reinforce the performance of the existing buildings under seismic effect</w:t>
      </w:r>
      <w:r w:rsidRPr="00175D8B">
        <w:rPr>
          <w:rFonts w:eastAsia="Aptos" w:cs="Aptos"/>
          <w:kern w:val="0"/>
          <w:szCs w:val="22"/>
          <w:lang w:eastAsia="tr-TR"/>
          <w14:ligatures w14:val="none"/>
        </w:rPr>
        <w:t>”. The main principle of earthquake resistant design of new buildings according to this Regulation is to limit the formation of permanent structural damage in order to ensure that the structural and non-structural system elements in the buildings are not damaged in mild earthquakes, the damage that may occur in structural and non-structural elements in moderate earthquakes is limited and repairable, and to ensure life safety in severe earthquakes. Check the Regulation in question and the ESMF subsection 2.4. for further details.</w:t>
      </w:r>
    </w:p>
    <w:p w14:paraId="150A4891" w14:textId="4FC6BE6E" w:rsidR="003D2155" w:rsidRPr="00175D8B" w:rsidRDefault="003D2155" w:rsidP="00EC5124">
      <w:pPr>
        <w:spacing w:before="240" w:after="24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 xml:space="preserve">Legal Framework and Practices Regarding Risky Buildings in Türkiye </w:t>
      </w:r>
    </w:p>
    <w:p w14:paraId="468E9F71" w14:textId="77777777" w:rsidR="003D2155" w:rsidRPr="00175D8B" w:rsidRDefault="003D2155" w:rsidP="00EC5124">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The process related to the retrofitting/demolition/reconstruction of the risky buildings against disaster risk in Türkiye is regulated by the “Law No. 6306 on Transformation of Areas Under Disaster Risk” </w:t>
      </w:r>
      <w:r w:rsidRPr="00175D8B">
        <w:rPr>
          <w:rFonts w:eastAsia="Aptos" w:cs="Aptos"/>
          <w:kern w:val="0"/>
          <w:szCs w:val="22"/>
          <w:lang w:eastAsia="tr-TR"/>
          <w14:ligatures w14:val="none"/>
        </w:rPr>
        <w:lastRenderedPageBreak/>
        <w:t>(hereinafter referred to as the “Law No. 6306” or simply the “Law”) and the “Regulation of the Implementation of Law No. 6306” (hereinafter referred to as the "Implementing Regulation").</w:t>
      </w:r>
    </w:p>
    <w:p w14:paraId="688797CD" w14:textId="77777777" w:rsidR="003D2155" w:rsidRPr="00175D8B" w:rsidRDefault="003D2155" w:rsidP="00EC5124">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According to the Law, "risky area" is defined as "an area determined by the President, which carries the risk of causing loss of life and property due to the ground structure or the construction on it", and "risky building" is defined as a structure that is </w:t>
      </w:r>
      <w:r w:rsidRPr="00175D8B">
        <w:rPr>
          <w:rFonts w:eastAsia="Aptos" w:cs="Aptos"/>
          <w:i/>
          <w:kern w:val="0"/>
          <w:szCs w:val="22"/>
          <w:lang w:eastAsia="tr-TR"/>
          <w14:ligatures w14:val="none"/>
        </w:rPr>
        <w:t>inside or outside</w:t>
      </w:r>
      <w:r w:rsidRPr="00175D8B">
        <w:rPr>
          <w:rFonts w:eastAsia="Aptos" w:cs="Aptos"/>
          <w:kern w:val="0"/>
          <w:szCs w:val="22"/>
          <w:lang w:eastAsia="tr-TR"/>
          <w14:ligatures w14:val="none"/>
        </w:rPr>
        <w:t xml:space="preserve"> the risky area, has completed its economic life, or has a risk of collapse or severe damage, which is determined based on scientific and technical data. </w:t>
      </w:r>
    </w:p>
    <w:p w14:paraId="34D786F0" w14:textId="77777777" w:rsidR="003D2155" w:rsidRPr="00175D8B" w:rsidRDefault="003D2155" w:rsidP="00EC5124">
      <w:pPr>
        <w:spacing w:after="160"/>
        <w:rPr>
          <w:rFonts w:eastAsia="Aptos" w:cs="Aptos"/>
          <w:kern w:val="0"/>
          <w:szCs w:val="22"/>
          <w:lang w:eastAsia="tr-TR"/>
          <w14:ligatures w14:val="none"/>
        </w:rPr>
      </w:pPr>
      <w:r w:rsidRPr="00175D8B">
        <w:rPr>
          <w:rFonts w:eastAsia="Aptos" w:cs="Aptos"/>
          <w:kern w:val="0"/>
          <w:szCs w:val="22"/>
          <w:lang w:eastAsia="tr-TR"/>
          <w14:ligatures w14:val="none"/>
        </w:rPr>
        <w:t>The Law and the Implementing Regulation are the applicable national legislation components for “risky buildings outside the areas officially defined as risky areas and/or urban transformation areas” within the scope of the Project.</w:t>
      </w:r>
    </w:p>
    <w:p w14:paraId="4B607B81" w14:textId="77777777" w:rsidR="003D2155" w:rsidRPr="00175D8B" w:rsidRDefault="003D2155" w:rsidP="00EC5124">
      <w:pPr>
        <w:spacing w:before="240" w:after="24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Risky Building Process</w:t>
      </w:r>
    </w:p>
    <w:p w14:paraId="4F6EE74B" w14:textId="77777777" w:rsidR="003D2155" w:rsidRPr="00175D8B" w:rsidRDefault="003D2155" w:rsidP="00EC5124">
      <w:pPr>
        <w:spacing w:after="160"/>
        <w:rPr>
          <w:rFonts w:eastAsia="Aptos" w:cs="Aptos"/>
          <w:i/>
          <w:kern w:val="0"/>
          <w:szCs w:val="22"/>
          <w:lang w:eastAsia="tr-TR"/>
          <w14:ligatures w14:val="none"/>
        </w:rPr>
      </w:pPr>
      <w:r w:rsidRPr="00175D8B">
        <w:rPr>
          <w:rFonts w:eastAsia="Aptos" w:cs="Aptos"/>
          <w:i/>
          <w:kern w:val="0"/>
          <w:szCs w:val="22"/>
          <w:lang w:eastAsia="tr-TR"/>
          <w14:ligatures w14:val="none"/>
        </w:rPr>
        <w:t>Risk Identification</w:t>
      </w:r>
    </w:p>
    <w:p w14:paraId="6CAC0382" w14:textId="77777777" w:rsidR="003D2155" w:rsidRPr="00175D8B" w:rsidRDefault="003D2155" w:rsidP="00EC5124">
      <w:pPr>
        <w:spacing w:after="160"/>
        <w:rPr>
          <w:rFonts w:eastAsia="Aptos" w:cs="Aptos"/>
          <w:kern w:val="0"/>
          <w:szCs w:val="22"/>
          <w:lang w:eastAsia="tr-TR"/>
          <w14:ligatures w14:val="none"/>
        </w:rPr>
      </w:pPr>
      <w:r w:rsidRPr="00175D8B">
        <w:rPr>
          <w:rFonts w:eastAsia="Aptos" w:cs="Aptos"/>
          <w:kern w:val="0"/>
          <w:szCs w:val="22"/>
          <w:lang w:eastAsia="tr-TR"/>
          <w14:ligatures w14:val="none"/>
        </w:rPr>
        <w:t>Identification of risky buildings is done principally by the building owners or their legal representatives, at their own expense, within the framework of the procedures and principles set forth in the Implementation Regulation.</w:t>
      </w:r>
    </w:p>
    <w:p w14:paraId="1E0F7536" w14:textId="77777777" w:rsidR="003D2155" w:rsidRPr="00175D8B" w:rsidRDefault="003D2155" w:rsidP="00EC5124">
      <w:pPr>
        <w:spacing w:after="160"/>
        <w:rPr>
          <w:rFonts w:eastAsia="Aptos" w:cs="Aptos"/>
          <w:i/>
          <w:kern w:val="0"/>
          <w:szCs w:val="22"/>
          <w:lang w:eastAsia="tr-TR"/>
          <w14:ligatures w14:val="none"/>
        </w:rPr>
      </w:pPr>
      <w:r w:rsidRPr="00175D8B">
        <w:rPr>
          <w:rFonts w:eastAsia="Aptos" w:cs="Aptos"/>
          <w:i/>
          <w:kern w:val="0"/>
          <w:szCs w:val="22"/>
          <w:lang w:eastAsia="tr-TR"/>
          <w14:ligatures w14:val="none"/>
        </w:rPr>
        <w:t>Risky Building Identification</w:t>
      </w:r>
    </w:p>
    <w:p w14:paraId="52104A25" w14:textId="77777777" w:rsidR="003D2155" w:rsidRPr="00175D8B" w:rsidRDefault="003D2155" w:rsidP="00EC5124">
      <w:pPr>
        <w:spacing w:after="160"/>
        <w:rPr>
          <w:rFonts w:eastAsia="Aptos" w:cs="Aptos"/>
          <w:kern w:val="0"/>
          <w:szCs w:val="22"/>
          <w:lang w:eastAsia="tr-TR"/>
          <w14:ligatures w14:val="none"/>
        </w:rPr>
      </w:pPr>
      <w:r w:rsidRPr="00175D8B">
        <w:rPr>
          <w:rFonts w:eastAsia="Aptos" w:cs="Aptos"/>
          <w:kern w:val="0"/>
          <w:szCs w:val="22"/>
          <w:lang w:eastAsia="tr-TR"/>
          <w14:ligatures w14:val="none"/>
        </w:rPr>
        <w:t>According to Annex-2 of the Regulation entitled Principles Regarding the Risky Building Detection, the reports regarding the buildings which are determined as risky by the Licensed Institution/Organization through application of the owners, are submitted to the relevant Governorate (Provincial Directorate of Environment, Urbanization and Climate Change) by the Licensed Institution/Organization, or to the Administration (“Municipality”) in case the MoEUCC transfers its authority.</w:t>
      </w:r>
      <w:r w:rsidRPr="00175D8B">
        <w:rPr>
          <w:rFonts w:eastAsia="Aptos" w:cs="Aptos"/>
          <w:kern w:val="0"/>
          <w:szCs w:val="22"/>
          <w:vertAlign w:val="superscript"/>
          <w:lang w:eastAsia="tr-TR"/>
          <w14:ligatures w14:val="none"/>
        </w:rPr>
        <w:footnoteReference w:id="35"/>
      </w:r>
      <w:r w:rsidRPr="00175D8B">
        <w:rPr>
          <w:rFonts w:eastAsia="Aptos" w:cs="Aptos"/>
          <w:kern w:val="0"/>
          <w:szCs w:val="22"/>
          <w:lang w:eastAsia="tr-TR"/>
          <w14:ligatures w14:val="none"/>
        </w:rPr>
        <w:t xml:space="preserve"> </w:t>
      </w:r>
    </w:p>
    <w:p w14:paraId="55F949C1" w14:textId="77777777" w:rsidR="003D2155" w:rsidRPr="00175D8B" w:rsidRDefault="003D2155" w:rsidP="003D2155">
      <w:pPr>
        <w:spacing w:after="160"/>
        <w:rPr>
          <w:rFonts w:eastAsia="Aptos" w:cs="Aptos"/>
          <w:i/>
          <w:kern w:val="0"/>
          <w:szCs w:val="22"/>
          <w:lang w:eastAsia="tr-TR"/>
          <w14:ligatures w14:val="none"/>
        </w:rPr>
      </w:pPr>
      <w:r w:rsidRPr="00175D8B">
        <w:rPr>
          <w:rFonts w:eastAsia="Aptos" w:cs="Aptos"/>
          <w:i/>
          <w:kern w:val="0"/>
          <w:szCs w:val="22"/>
          <w:lang w:eastAsia="tr-TR"/>
          <w14:ligatures w14:val="none"/>
        </w:rPr>
        <w:t>Informing the Owners</w:t>
      </w:r>
    </w:p>
    <w:p w14:paraId="578F428F" w14:textId="77777777" w:rsidR="003D2155" w:rsidRPr="00175D8B" w:rsidRDefault="003D2155" w:rsidP="003D2155">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Notifications to the owners of the buildings about the buildings that are determined as risky buildings within the scope of the Law No. 6306 are made in accordance with the Notification Law No. 7201. It notifies the owners of the building that is determined as a risky building that a "risky building </w:t>
      </w:r>
      <w:r w:rsidRPr="00175D8B">
        <w:rPr>
          <w:rFonts w:eastAsia="Aptos" w:cs="Aptos"/>
          <w:kern w:val="0"/>
          <w:szCs w:val="22"/>
          <w:lang w:eastAsia="tr-TR"/>
          <w14:ligatures w14:val="none"/>
        </w:rPr>
        <w:lastRenderedPageBreak/>
        <w:t xml:space="preserve">annotation" has been placed in the declarations section of the land registry of the relevant land registry office. </w:t>
      </w:r>
    </w:p>
    <w:p w14:paraId="2DF952CC" w14:textId="77777777" w:rsidR="003D2155" w:rsidRPr="00175D8B" w:rsidRDefault="003D2155" w:rsidP="003D2155">
      <w:pPr>
        <w:spacing w:after="160"/>
        <w:rPr>
          <w:rFonts w:eastAsia="Aptos" w:cs="Aptos"/>
          <w:i/>
          <w:kern w:val="0"/>
          <w:szCs w:val="22"/>
          <w:lang w:eastAsia="tr-TR"/>
          <w14:ligatures w14:val="none"/>
        </w:rPr>
      </w:pPr>
      <w:r w:rsidRPr="00175D8B">
        <w:rPr>
          <w:rFonts w:eastAsia="Aptos" w:cs="Aptos"/>
          <w:i/>
          <w:kern w:val="0"/>
          <w:szCs w:val="22"/>
          <w:lang w:eastAsia="tr-TR"/>
          <w14:ligatures w14:val="none"/>
        </w:rPr>
        <w:t>Objection to the Risky Building Detection</w:t>
      </w:r>
    </w:p>
    <w:p w14:paraId="50EA36B2" w14:textId="77777777" w:rsidR="003D2155" w:rsidRPr="00175D8B" w:rsidRDefault="003D2155" w:rsidP="003D2155">
      <w:pPr>
        <w:spacing w:after="160"/>
        <w:rPr>
          <w:rFonts w:eastAsia="Aptos" w:cs="Aptos"/>
          <w:kern w:val="0"/>
          <w:szCs w:val="22"/>
          <w:lang w:eastAsia="tr-TR"/>
          <w14:ligatures w14:val="none"/>
        </w:rPr>
      </w:pPr>
      <w:r w:rsidRPr="00175D8B">
        <w:rPr>
          <w:rFonts w:eastAsia="Aptos" w:cs="Aptos"/>
          <w:kern w:val="0"/>
          <w:szCs w:val="22"/>
          <w:lang w:eastAsia="tr-TR"/>
          <w14:ligatures w14:val="none"/>
        </w:rPr>
        <w:t>An objection can be made against the risky building detection by the building owners or their legal representatives to the Directorate (Provincial Directorate of Environment, Urbanization and Climate Change) of the place where the building is located, or to the Administration (Municipality) in case of transfer of authority by the MoEUCC.</w:t>
      </w:r>
    </w:p>
    <w:p w14:paraId="44413BA8" w14:textId="77777777" w:rsidR="003D2155" w:rsidRPr="00175D8B" w:rsidRDefault="003D2155" w:rsidP="003D2155">
      <w:pPr>
        <w:spacing w:after="160"/>
        <w:rPr>
          <w:rFonts w:eastAsia="Aptos" w:cs="Aptos"/>
          <w:kern w:val="0"/>
          <w:szCs w:val="22"/>
          <w:lang w:eastAsia="tr-TR"/>
          <w14:ligatures w14:val="none"/>
        </w:rPr>
      </w:pPr>
      <w:r w:rsidRPr="00175D8B">
        <w:rPr>
          <w:rFonts w:eastAsia="Aptos" w:cs="Aptos"/>
          <w:kern w:val="0"/>
          <w:szCs w:val="22"/>
          <w:lang w:eastAsia="tr-TR"/>
          <w14:ligatures w14:val="none"/>
        </w:rPr>
        <w:t>If the risky building detection decision changes as a result of the consideration of the Technical Committee, this is reported to the relevant Directorate of Land Registry.</w:t>
      </w:r>
    </w:p>
    <w:p w14:paraId="159A7294" w14:textId="77777777" w:rsidR="003D2155" w:rsidRPr="00175D8B" w:rsidRDefault="003D2155" w:rsidP="003D2155">
      <w:pPr>
        <w:spacing w:after="160"/>
        <w:rPr>
          <w:rFonts w:eastAsia="Aptos" w:cs="Aptos"/>
          <w:kern w:val="0"/>
          <w:szCs w:val="22"/>
          <w:u w:val="single"/>
          <w:lang w:eastAsia="tr-TR"/>
          <w14:ligatures w14:val="none"/>
        </w:rPr>
      </w:pPr>
      <w:r w:rsidRPr="00175D8B">
        <w:rPr>
          <w:rFonts w:eastAsia="Aptos" w:cs="Aptos"/>
          <w:kern w:val="0"/>
          <w:szCs w:val="22"/>
          <w:u w:val="single"/>
          <w:lang w:eastAsia="tr-TR"/>
          <w14:ligatures w14:val="none"/>
        </w:rPr>
        <w:t>At this point, it should be noted that in case of objection to the risky structure detection explained in the Law and Implementing Regulation, or in case it is assessed that the acts and actions taken have caused an unjust treatment or loss of right, it is also possible to seek for judicial remedies.</w:t>
      </w:r>
    </w:p>
    <w:p w14:paraId="612A435F" w14:textId="77777777" w:rsidR="003D2155" w:rsidRPr="00175D8B" w:rsidRDefault="003D2155" w:rsidP="003D2155">
      <w:pPr>
        <w:spacing w:after="160"/>
        <w:rPr>
          <w:rFonts w:eastAsia="Aptos" w:cs="Aptos"/>
          <w:i/>
          <w:kern w:val="0"/>
          <w:szCs w:val="22"/>
          <w:lang w:eastAsia="tr-TR"/>
          <w14:ligatures w14:val="none"/>
        </w:rPr>
      </w:pPr>
      <w:r w:rsidRPr="00175D8B">
        <w:rPr>
          <w:rFonts w:eastAsia="Aptos" w:cs="Aptos"/>
          <w:i/>
          <w:kern w:val="0"/>
          <w:szCs w:val="22"/>
          <w:lang w:eastAsia="tr-TR"/>
          <w14:ligatures w14:val="none"/>
        </w:rPr>
        <w:t>Demolition of Risky Buildings</w:t>
      </w:r>
    </w:p>
    <w:p w14:paraId="2D6788C7" w14:textId="77777777" w:rsidR="003D2155" w:rsidRPr="00175D8B" w:rsidRDefault="003D2155" w:rsidP="003D2155">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In the event that a risky building is detected, the Directorate requests the relevant Municipality to send necessary notifications and demolish the risky building. The owners of the immovable properties registered in the land registry as risky buildings by the Municipality are granted a period of not exceeding ninety days to demolish the risky buildings. </w:t>
      </w:r>
    </w:p>
    <w:p w14:paraId="77F6F808" w14:textId="77777777" w:rsidR="003D2155" w:rsidRPr="00175D8B" w:rsidRDefault="003D2155" w:rsidP="003D2155">
      <w:pPr>
        <w:spacing w:after="160"/>
        <w:rPr>
          <w:rFonts w:eastAsia="Aptos" w:cs="Aptos"/>
          <w:i/>
          <w:kern w:val="0"/>
          <w:szCs w:val="22"/>
          <w:lang w:eastAsia="tr-TR"/>
          <w14:ligatures w14:val="none"/>
        </w:rPr>
      </w:pPr>
      <w:r w:rsidRPr="00175D8B">
        <w:rPr>
          <w:rFonts w:eastAsia="Aptos" w:cs="Aptos"/>
          <w:i/>
          <w:kern w:val="0"/>
          <w:szCs w:val="22"/>
          <w:lang w:eastAsia="tr-TR"/>
          <w14:ligatures w14:val="none"/>
        </w:rPr>
        <w:t>Post Demolition Process and Implementation</w:t>
      </w:r>
    </w:p>
    <w:p w14:paraId="58963E85" w14:textId="77777777" w:rsidR="003D2155" w:rsidRPr="00175D8B" w:rsidRDefault="003D2155" w:rsidP="003D2155">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On the parcels where risky buildings are located, without seeking the requirement of demolition of the buildings and regardless of whether they are a stakeholder of the risky building or not, the decision on their allotment, division, abandonment, creation and registration to the land registry processes, re-construction of a new building, sale of shares, re-utilization in return for flat or revenue sharing and/or other methods is taken by at least  absolute majority of the stakeholders in proportion to their shares. </w:t>
      </w:r>
    </w:p>
    <w:p w14:paraId="16E958A6" w14:textId="77777777" w:rsidR="003D2155" w:rsidRPr="00175D8B" w:rsidRDefault="003D2155" w:rsidP="003D2155">
      <w:pPr>
        <w:spacing w:before="240" w:after="240"/>
        <w:rPr>
          <w:rFonts w:eastAsia="Aptos" w:cs="Aptos"/>
          <w:kern w:val="0"/>
          <w:szCs w:val="22"/>
          <w:lang w:eastAsia="tr-TR"/>
          <w14:ligatures w14:val="none"/>
        </w:rPr>
      </w:pPr>
      <w:r w:rsidRPr="00175D8B">
        <w:rPr>
          <w:rFonts w:eastAsia="Aptos" w:cs="Aptos"/>
          <w:kern w:val="0"/>
          <w:szCs w:val="22"/>
          <w:lang w:eastAsia="tr-TR"/>
          <w14:ligatures w14:val="none"/>
        </w:rPr>
        <w:t>For further information regarding the risk generation process, refer to the relevant sections of Subsection 2.4 of the ESMF.</w:t>
      </w:r>
    </w:p>
    <w:p w14:paraId="10FA941A" w14:textId="77777777" w:rsidR="003D2155" w:rsidRPr="00175D8B" w:rsidRDefault="003D2155" w:rsidP="003D2155">
      <w:pPr>
        <w:spacing w:before="240" w:after="240"/>
        <w:rPr>
          <w:rFonts w:eastAsia="Aptos" w:cs="Aptos"/>
          <w:b/>
          <w:kern w:val="0"/>
          <w:szCs w:val="22"/>
          <w:lang w:eastAsia="tr-TR"/>
          <w14:ligatures w14:val="none"/>
        </w:rPr>
      </w:pPr>
      <w:r w:rsidRPr="00175D8B">
        <w:rPr>
          <w:rFonts w:eastAsia="Aptos" w:cs="Aptos"/>
          <w:b/>
          <w:kern w:val="0"/>
          <w:szCs w:val="22"/>
          <w:lang w:eastAsia="tr-TR"/>
          <w14:ligatures w14:val="none"/>
        </w:rPr>
        <w:t>Specific Provisions and Practices Regarding Risky Building Process</w:t>
      </w:r>
    </w:p>
    <w:p w14:paraId="78105AF8" w14:textId="77777777" w:rsidR="003D2155" w:rsidRPr="00175D8B" w:rsidRDefault="003D2155" w:rsidP="00DD7A56">
      <w:pPr>
        <w:spacing w:after="160"/>
        <w:rPr>
          <w:rFonts w:eastAsia="Aptos" w:cs="Aptos"/>
          <w:i/>
          <w:kern w:val="0"/>
          <w:szCs w:val="22"/>
          <w:lang w:eastAsia="tr-TR"/>
          <w14:ligatures w14:val="none"/>
        </w:rPr>
      </w:pPr>
      <w:r w:rsidRPr="00175D8B">
        <w:rPr>
          <w:rFonts w:eastAsia="Aptos" w:cs="Aptos"/>
          <w:i/>
          <w:kern w:val="0"/>
          <w:szCs w:val="22"/>
          <w:lang w:eastAsia="tr-TR"/>
          <w14:ligatures w14:val="none"/>
        </w:rPr>
        <w:t>Structures and Buildings where the Process can be Applied</w:t>
      </w:r>
    </w:p>
    <w:p w14:paraId="267EDEC5"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lastRenderedPageBreak/>
        <w:t xml:space="preserve">There is no obligation for a building license in order to perform a risk identification for any building by following the Principles Regarding the Risky Building Detection, through application of the owners and to proceed with the relevant process. </w:t>
      </w:r>
    </w:p>
    <w:p w14:paraId="6C34FD03" w14:textId="77777777" w:rsidR="003D2155" w:rsidRPr="00175D8B" w:rsidRDefault="003D2155" w:rsidP="00DD7A56">
      <w:pPr>
        <w:spacing w:after="160"/>
        <w:rPr>
          <w:rFonts w:eastAsia="Aptos" w:cs="Aptos"/>
          <w:i/>
          <w:kern w:val="0"/>
          <w:szCs w:val="22"/>
          <w:lang w:eastAsia="tr-TR"/>
          <w14:ligatures w14:val="none"/>
        </w:rPr>
      </w:pPr>
      <w:r w:rsidRPr="00175D8B">
        <w:rPr>
          <w:rFonts w:eastAsia="Aptos" w:cs="Aptos"/>
          <w:i/>
          <w:kern w:val="0"/>
          <w:szCs w:val="22"/>
          <w:lang w:eastAsia="tr-TR"/>
          <w14:ligatures w14:val="none"/>
        </w:rPr>
        <w:t xml:space="preserve">Provisions on Blocking the Process </w:t>
      </w:r>
    </w:p>
    <w:p w14:paraId="47DB46F0"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According to the Law, a criminal complaint can be filed with the Office of the Chief Public Prosecutor, in accordance with the relevant provisions of the Turkish Penal Code No. 5237, depending on the action and state of the situation, against those who prevent the detection, evacuation, demolition and other operations (e.g., valuation) of risky buildings. </w:t>
      </w:r>
    </w:p>
    <w:p w14:paraId="423D3FED" w14:textId="77777777" w:rsidR="003D2155" w:rsidRPr="00175D8B" w:rsidRDefault="003D2155" w:rsidP="00DD7A56">
      <w:pPr>
        <w:spacing w:after="160"/>
        <w:rPr>
          <w:rFonts w:eastAsia="Aptos" w:cs="Aptos"/>
          <w:b/>
          <w:kern w:val="0"/>
          <w:szCs w:val="22"/>
          <w:u w:val="single"/>
          <w:lang w:eastAsia="tr-TR"/>
          <w14:ligatures w14:val="none"/>
        </w:rPr>
      </w:pPr>
      <w:r w:rsidRPr="00175D8B">
        <w:rPr>
          <w:rFonts w:eastAsia="Aptos" w:cs="Aptos"/>
          <w:i/>
          <w:kern w:val="0"/>
          <w:szCs w:val="22"/>
          <w:lang w:eastAsia="tr-TR"/>
          <w14:ligatures w14:val="none"/>
        </w:rPr>
        <w:t>Retrofitting Rather than Demolition of Risky Buildings</w:t>
      </w:r>
    </w:p>
    <w:p w14:paraId="42CA3FAA"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In the event that the risky building is to be retrofitting instead of demolished, within the given periods of not less than sixty days for the risky building to be demolished, it is necessary for the owners to have technical possibility of the retrofitting determined, to take a retrofitting decision as specified in the Condominium Law, to have a retrofitting Project prepared and to obtain a license within the framework of the Zoning Legislation. </w:t>
      </w:r>
    </w:p>
    <w:p w14:paraId="63F92B0E" w14:textId="77777777" w:rsidR="003D2155" w:rsidRPr="00175D8B" w:rsidRDefault="003D2155" w:rsidP="00DD7A56">
      <w:pPr>
        <w:spacing w:after="160"/>
        <w:rPr>
          <w:rFonts w:eastAsia="Aptos" w:cs="Aptos"/>
          <w:i/>
          <w:kern w:val="0"/>
          <w:szCs w:val="22"/>
          <w:lang w:eastAsia="tr-TR"/>
          <w14:ligatures w14:val="none"/>
        </w:rPr>
      </w:pPr>
      <w:r w:rsidRPr="00175D8B">
        <w:rPr>
          <w:rFonts w:eastAsia="Aptos" w:cs="Aptos"/>
          <w:i/>
          <w:kern w:val="0"/>
          <w:szCs w:val="22"/>
          <w:lang w:eastAsia="tr-TR"/>
          <w14:ligatures w14:val="none"/>
        </w:rPr>
        <w:t>Guarantees and Termination Processes</w:t>
      </w:r>
    </w:p>
    <w:p w14:paraId="2CE5955D" w14:textId="2C63C2D2"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If real and private law legal entities are performing an application on the parcels where the risky building(s) are located, a guarantee of 10% of the estimated cost of the building must be submitted to the Administration before the construction license is obtained by the construction contractor who will undertake the construction work.</w:t>
      </w:r>
    </w:p>
    <w:p w14:paraId="7E9FE1C7" w14:textId="77777777" w:rsidR="003D2155" w:rsidRPr="00175D8B" w:rsidRDefault="003D2155" w:rsidP="00DD7A56">
      <w:pPr>
        <w:spacing w:after="160"/>
        <w:rPr>
          <w:rFonts w:eastAsia="Aptos" w:cs="Aptos"/>
          <w:i/>
          <w:kern w:val="0"/>
          <w:szCs w:val="22"/>
          <w:lang w:eastAsia="tr-TR"/>
          <w14:ligatures w14:val="none"/>
        </w:rPr>
      </w:pPr>
      <w:r w:rsidRPr="00175D8B">
        <w:rPr>
          <w:rFonts w:eastAsia="Aptos" w:cs="Aptos"/>
          <w:i/>
          <w:kern w:val="0"/>
          <w:szCs w:val="22"/>
          <w:lang w:eastAsia="tr-TR"/>
          <w14:ligatures w14:val="none"/>
        </w:rPr>
        <w:t>Rental Assistance and Other Supports</w:t>
      </w:r>
    </w:p>
    <w:p w14:paraId="56A59D0E" w14:textId="77777777" w:rsidR="003D2155" w:rsidRPr="00175D8B" w:rsidRDefault="003D2155" w:rsidP="00DD7A56">
      <w:pPr>
        <w:spacing w:after="160"/>
        <w:rPr>
          <w:rFonts w:eastAsia="Aptos" w:cs="Aptos"/>
          <w:i/>
          <w:kern w:val="0"/>
          <w:szCs w:val="22"/>
          <w:lang w:eastAsia="tr-TR"/>
          <w14:ligatures w14:val="none"/>
        </w:rPr>
      </w:pPr>
      <w:r w:rsidRPr="00175D8B">
        <w:rPr>
          <w:rFonts w:eastAsia="Aptos" w:cs="Aptos"/>
          <w:kern w:val="0"/>
          <w:szCs w:val="22"/>
          <w:lang w:eastAsia="tr-TR"/>
          <w14:ligatures w14:val="none"/>
        </w:rPr>
        <w:t xml:space="preserve">Rental assistance can be provided to the owners of the buildings evacuated by agreement. The duration of assistance is 18 months in </w:t>
      </w:r>
      <w:r w:rsidRPr="00175D8B">
        <w:rPr>
          <w:rFonts w:eastAsia="Aptos" w:cs="Aptos"/>
          <w:i/>
          <w:kern w:val="0"/>
          <w:szCs w:val="22"/>
          <w:lang w:eastAsia="tr-TR"/>
          <w14:ligatures w14:val="none"/>
        </w:rPr>
        <w:t>risky buildings outside the risky area.</w:t>
      </w:r>
    </w:p>
    <w:p w14:paraId="2A871567" w14:textId="77777777" w:rsidR="003D2155" w:rsidRPr="00175D8B" w:rsidRDefault="003D2155">
      <w:pPr>
        <w:numPr>
          <w:ilvl w:val="0"/>
          <w:numId w:val="93"/>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Owners of structures vacated through mutual agreement may be eligible for assistance. The duration of this assistance is 18 months for structures classified as risky but located outside designated risky areas.</w:t>
      </w:r>
    </w:p>
    <w:p w14:paraId="1B4CD8CD" w14:textId="77777777" w:rsidR="003D2155" w:rsidRPr="00175D8B" w:rsidRDefault="003D2155">
      <w:pPr>
        <w:numPr>
          <w:ilvl w:val="0"/>
          <w:numId w:val="93"/>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According to the Decision Regarding Assistance to Those Who Use the Risky Buildings Within the Coverage of Law No. 6306 Without Being Owner, Tenant or Having Limited Real Rights, </w:t>
      </w:r>
      <w:r w:rsidRPr="00175D8B">
        <w:rPr>
          <w:rFonts w:eastAsia="Aptos" w:cs="Aptos"/>
          <w:color w:val="000000"/>
          <w:kern w:val="0"/>
          <w:szCs w:val="22"/>
          <w:lang w:eastAsia="tr-TR"/>
          <w14:ligatures w14:val="none"/>
        </w:rPr>
        <w:lastRenderedPageBreak/>
        <w:t>which was enacted by the Council of Ministers Decision No. 2016/8663 within the scope of the Law, rental assistance is given:</w:t>
      </w:r>
    </w:p>
    <w:p w14:paraId="6E25F5C7" w14:textId="77777777" w:rsidR="003D2155" w:rsidRPr="00175D8B" w:rsidRDefault="003D2155">
      <w:pPr>
        <w:numPr>
          <w:ilvl w:val="0"/>
          <w:numId w:val="86"/>
        </w:numPr>
        <w:pBdr>
          <w:top w:val="nil"/>
          <w:left w:val="nil"/>
          <w:bottom w:val="nil"/>
          <w:right w:val="nil"/>
          <w:between w:val="nil"/>
        </w:pBdr>
        <w:spacing w:after="0"/>
        <w:ind w:left="1418"/>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18 months of rental assistance for those who are entitled,</w:t>
      </w:r>
    </w:p>
    <w:p w14:paraId="4152D42B" w14:textId="77777777" w:rsidR="003D2155" w:rsidRPr="00175D8B" w:rsidRDefault="003D2155">
      <w:pPr>
        <w:numPr>
          <w:ilvl w:val="0"/>
          <w:numId w:val="86"/>
        </w:numPr>
        <w:pBdr>
          <w:top w:val="nil"/>
          <w:left w:val="nil"/>
          <w:bottom w:val="nil"/>
          <w:right w:val="nil"/>
          <w:between w:val="nil"/>
        </w:pBdr>
        <w:spacing w:after="0"/>
        <w:ind w:left="1418"/>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Twice the standard monthly rental assistance amount for slum owners</w:t>
      </w:r>
    </w:p>
    <w:p w14:paraId="21A25FA6" w14:textId="77777777" w:rsidR="003D2155" w:rsidRPr="00175D8B" w:rsidRDefault="003D2155" w:rsidP="00DD7A56">
      <w:pPr>
        <w:spacing w:before="240" w:after="240"/>
        <w:rPr>
          <w:rFonts w:eastAsia="Aptos" w:cs="Aptos"/>
          <w:i/>
          <w:kern w:val="0"/>
          <w:szCs w:val="22"/>
          <w:lang w:eastAsia="tr-TR"/>
          <w14:ligatures w14:val="none"/>
        </w:rPr>
      </w:pPr>
      <w:r w:rsidRPr="00175D8B">
        <w:rPr>
          <w:rFonts w:eastAsia="Aptos" w:cs="Aptos"/>
          <w:i/>
          <w:kern w:val="0"/>
          <w:szCs w:val="22"/>
          <w:lang w:eastAsia="tr-TR"/>
          <w14:ligatures w14:val="none"/>
        </w:rPr>
        <w:t>Some Provisions Related to the Rights and Practices after the Demolition of Risky Buildings</w:t>
      </w:r>
    </w:p>
    <w:p w14:paraId="6D3C179A"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After the demolition of risky buildings, the real and personal rights contained in the register of these real estates as well as any annotation restricting or prohibiting the right of alienation, remain on the shares. These rights and annotations do not hinder the execution of transactions regarding amalgamation, allotment, division, abandonment, registration, construction servitude and condominium ownership in title deed and consent is not sought for these transactions. The rights and annotations specified at the stage of new construction servitude and condominium establishment are maintained only on the independent sections that will fall to the owner who is liable for the said rights and annotations, without seeking consent.</w:t>
      </w:r>
    </w:p>
    <w:p w14:paraId="356266E8" w14:textId="77777777" w:rsidR="003D2155" w:rsidRPr="00175D8B" w:rsidRDefault="003D2155" w:rsidP="00DD7A56">
      <w:pPr>
        <w:spacing w:before="240" w:after="240"/>
        <w:rPr>
          <w:rFonts w:eastAsia="Aptos" w:cs="Aptos"/>
          <w:bCs/>
          <w:i/>
          <w:iCs/>
          <w:kern w:val="0"/>
          <w:szCs w:val="22"/>
          <w:lang w:eastAsia="tr-TR"/>
          <w14:ligatures w14:val="none"/>
        </w:rPr>
      </w:pPr>
      <w:bookmarkStart w:id="455" w:name="_Hlk197957106"/>
      <w:r w:rsidRPr="00175D8B">
        <w:rPr>
          <w:rFonts w:eastAsia="Aptos" w:cs="Aptos"/>
          <w:bCs/>
          <w:i/>
          <w:iCs/>
          <w:kern w:val="0"/>
          <w:szCs w:val="22"/>
          <w:lang w:eastAsia="tr-TR"/>
          <w14:ligatures w14:val="none"/>
        </w:rPr>
        <w:t>Evaluation of Regulations Regarding the Registration of Illegal Buildings in the Scope of Preparedness for Disaster Risks</w:t>
      </w:r>
    </w:p>
    <w:p w14:paraId="1B12A4C8"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In the urbanization process in Türkiye, rapid migration from rural to urban has brought along some problems, including irregular urbanization. In this process, illegal construction, which increased in the cities, emerged as one of these problems. The buildings in slum areas contain many risks, especially in the cities that are prone to disasters and in disaster situations, due to their poor material quality and poor physical conditions.</w:t>
      </w:r>
    </w:p>
    <w:p w14:paraId="35483F9C"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Arrangements made in order to reduce the risks posed by these buildings, which have increased in Turkish cities until today and can become riskier by adding additional floors, to register the structures, to identify and transform unqualified and irregular housing, have come to the fore.</w:t>
      </w:r>
    </w:p>
    <w:p w14:paraId="2FBD0AEE" w14:textId="77777777" w:rsidR="003D2155" w:rsidRPr="00175D8B" w:rsidRDefault="003D2155" w:rsidP="00DD7A56">
      <w:pPr>
        <w:spacing w:before="240" w:after="240"/>
        <w:rPr>
          <w:rFonts w:eastAsia="Aptos" w:cs="Aptos"/>
          <w:i/>
          <w:iCs/>
          <w:kern w:val="0"/>
          <w:szCs w:val="22"/>
          <w:lang w:eastAsia="tr-TR"/>
          <w14:ligatures w14:val="none"/>
        </w:rPr>
      </w:pPr>
      <w:r w:rsidRPr="00175D8B">
        <w:rPr>
          <w:rFonts w:eastAsia="Aptos" w:cs="Aptos"/>
          <w:i/>
          <w:iCs/>
          <w:kern w:val="0"/>
          <w:szCs w:val="22"/>
          <w:lang w:eastAsia="tr-TR"/>
          <w14:ligatures w14:val="none"/>
        </w:rPr>
        <w:t>Slum Law No. 775</w:t>
      </w:r>
    </w:p>
    <w:p w14:paraId="02591C57"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The Slum Law No. 775 is a law that has been prepared and put into effect in order to enable the transformation of slums, most of which are seen as risky structures, especially in provinces with disaster risk. In accordance with the Law No. 6306 on the Transformation of Areas Under Disaster Risk, with the decision of the Council of Ministers "on Providing Aid to Those Who Occupy Risky Buildings </w:t>
      </w:r>
      <w:r w:rsidRPr="00175D8B">
        <w:rPr>
          <w:rFonts w:eastAsia="Aptos" w:cs="Aptos"/>
          <w:kern w:val="0"/>
          <w:szCs w:val="22"/>
          <w:lang w:eastAsia="tr-TR"/>
          <w14:ligatures w14:val="none"/>
        </w:rPr>
        <w:lastRenderedPageBreak/>
        <w:t>Without being Owners, Tenants or Limited Real Rights within the Scope of Law No. 6306", those living in slums will be able to benefit from rental assistance and will be able to benefit from the housing or property they will acquire under the law. It has become possible for businesses to benefit from low-interest loan support.</w:t>
      </w:r>
    </w:p>
    <w:p w14:paraId="2FA0DAD9" w14:textId="77777777" w:rsidR="003D2155" w:rsidRPr="00175D8B" w:rsidRDefault="003D2155" w:rsidP="002550A6">
      <w:pPr>
        <w:pStyle w:val="Balk3"/>
        <w:ind w:firstLine="708"/>
        <w:rPr>
          <w:lang w:eastAsia="tr-TR"/>
        </w:rPr>
      </w:pPr>
      <w:bookmarkStart w:id="456" w:name="_Toc198046926"/>
      <w:bookmarkStart w:id="457" w:name="_Toc207987176"/>
      <w:bookmarkStart w:id="458" w:name="_Toc214639931"/>
      <w:bookmarkStart w:id="459" w:name="_Toc216099265"/>
      <w:bookmarkStart w:id="460" w:name="_Toc216102339"/>
      <w:bookmarkStart w:id="461" w:name="_Toc216107999"/>
      <w:bookmarkStart w:id="462" w:name="_Toc220672828"/>
      <w:bookmarkEnd w:id="455"/>
      <w:r w:rsidRPr="00175D8B">
        <w:rPr>
          <w:lang w:eastAsia="tr-TR"/>
        </w:rPr>
        <w:t>1.2.3. National Laws on Land Acquisition</w:t>
      </w:r>
      <w:bookmarkEnd w:id="456"/>
      <w:bookmarkEnd w:id="457"/>
      <w:bookmarkEnd w:id="458"/>
      <w:bookmarkEnd w:id="459"/>
      <w:bookmarkEnd w:id="460"/>
      <w:bookmarkEnd w:id="461"/>
      <w:bookmarkEnd w:id="462"/>
    </w:p>
    <w:p w14:paraId="48F874E0" w14:textId="77777777" w:rsidR="003D2155" w:rsidRPr="00175D8B" w:rsidRDefault="003D2155" w:rsidP="00DD7A56">
      <w:pPr>
        <w:spacing w:before="120"/>
        <w:rPr>
          <w:rFonts w:eastAsia="Aptos" w:cs="Aptos"/>
          <w:kern w:val="0"/>
          <w:szCs w:val="22"/>
          <w:lang w:eastAsia="tr-TR"/>
          <w14:ligatures w14:val="none"/>
        </w:rPr>
      </w:pPr>
      <w:r w:rsidRPr="00175D8B">
        <w:rPr>
          <w:rFonts w:eastAsia="Aptos" w:cs="Aptos"/>
          <w:kern w:val="0"/>
          <w:szCs w:val="22"/>
          <w:lang w:eastAsia="tr-TR"/>
          <w14:ligatures w14:val="none"/>
        </w:rPr>
        <w:t>Within the scope of the legal framework in Türkiye, land acquisition/expropriation issues are regulated by the Expropriation Law No. 2942.</w:t>
      </w:r>
    </w:p>
    <w:p w14:paraId="7EA88F23" w14:textId="77777777" w:rsidR="003D2155" w:rsidRPr="00175D8B" w:rsidRDefault="003D2155" w:rsidP="00DD7A56">
      <w:pPr>
        <w:spacing w:before="120"/>
        <w:rPr>
          <w:rFonts w:eastAsia="Aptos" w:cs="Aptos"/>
          <w:kern w:val="0"/>
          <w:szCs w:val="22"/>
          <w:lang w:eastAsia="tr-TR"/>
          <w14:ligatures w14:val="none"/>
        </w:rPr>
      </w:pPr>
      <w:r w:rsidRPr="00175D8B">
        <w:rPr>
          <w:rFonts w:eastAsia="Aptos" w:cs="Aptos"/>
          <w:kern w:val="0"/>
          <w:szCs w:val="22"/>
          <w:lang w:eastAsia="tr-TR"/>
          <w14:ligatures w14:val="none"/>
        </w:rPr>
        <w:t>More detailed information on National Laws on Land Acquisition can be found in the Resettlement Framework (RF)</w:t>
      </w:r>
      <w:r w:rsidRPr="00175D8B">
        <w:rPr>
          <w:rFonts w:eastAsia="Aptos" w:cs="Aptos"/>
          <w:kern w:val="0"/>
          <w:szCs w:val="22"/>
          <w:vertAlign w:val="superscript"/>
          <w:lang w:eastAsia="tr-TR"/>
          <w14:ligatures w14:val="none"/>
        </w:rPr>
        <w:footnoteReference w:id="36"/>
      </w:r>
      <w:r w:rsidRPr="00175D8B">
        <w:rPr>
          <w:rFonts w:eastAsia="Aptos" w:cs="Aptos"/>
          <w:kern w:val="0"/>
          <w:szCs w:val="22"/>
          <w:lang w:eastAsia="tr-TR"/>
          <w14:ligatures w14:val="none"/>
        </w:rPr>
        <w:t xml:space="preserve"> prepared for this Project.</w:t>
      </w:r>
    </w:p>
    <w:p w14:paraId="238822C9" w14:textId="3DF85E57" w:rsidR="003D2155" w:rsidRPr="00175D8B" w:rsidRDefault="003D2155" w:rsidP="002550A6">
      <w:pPr>
        <w:pStyle w:val="Balk3"/>
        <w:ind w:firstLine="708"/>
        <w:rPr>
          <w:lang w:eastAsia="tr-TR"/>
        </w:rPr>
      </w:pPr>
      <w:bookmarkStart w:id="463" w:name="_Toc198046927"/>
      <w:bookmarkStart w:id="464" w:name="_Toc207987177"/>
      <w:bookmarkStart w:id="465" w:name="_Toc214639932"/>
      <w:bookmarkStart w:id="466" w:name="_Toc216099266"/>
      <w:bookmarkStart w:id="467" w:name="_Toc216102340"/>
      <w:bookmarkStart w:id="468" w:name="_Toc216108000"/>
      <w:bookmarkStart w:id="469" w:name="_Toc220672829"/>
      <w:r w:rsidRPr="00175D8B">
        <w:rPr>
          <w:lang w:eastAsia="tr-TR"/>
        </w:rPr>
        <w:t xml:space="preserve">1.2.4. Overview </w:t>
      </w:r>
      <w:r w:rsidR="002561E6" w:rsidRPr="00175D8B">
        <w:rPr>
          <w:lang w:eastAsia="tr-TR"/>
        </w:rPr>
        <w:t>o</w:t>
      </w:r>
      <w:r w:rsidRPr="00175D8B">
        <w:rPr>
          <w:lang w:eastAsia="tr-TR"/>
        </w:rPr>
        <w:t>f Labor Legislation: Terms and Conditions</w:t>
      </w:r>
      <w:bookmarkEnd w:id="463"/>
      <w:bookmarkEnd w:id="464"/>
      <w:bookmarkEnd w:id="465"/>
      <w:bookmarkEnd w:id="466"/>
      <w:bookmarkEnd w:id="467"/>
      <w:bookmarkEnd w:id="468"/>
      <w:bookmarkEnd w:id="469"/>
    </w:p>
    <w:p w14:paraId="38AB303E"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According to the Labor Law No. 4857, the main categories of employment contracts are: </w:t>
      </w:r>
    </w:p>
    <w:p w14:paraId="1A668F58" w14:textId="77777777" w:rsidR="003D2155" w:rsidRPr="00175D8B" w:rsidRDefault="003D2155">
      <w:pPr>
        <w:numPr>
          <w:ilvl w:val="0"/>
          <w:numId w:val="79"/>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Fixed-term (fixed- duration) and Indefinite-term (undetermined duration) Employment Contracts </w:t>
      </w:r>
    </w:p>
    <w:p w14:paraId="6B95EE1F" w14:textId="77777777" w:rsidR="003D2155" w:rsidRPr="00175D8B" w:rsidRDefault="003D2155">
      <w:pPr>
        <w:numPr>
          <w:ilvl w:val="0"/>
          <w:numId w:val="79"/>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Full-Time and Part-Time Employment Contracts, </w:t>
      </w:r>
    </w:p>
    <w:p w14:paraId="71DCFC37" w14:textId="77777777" w:rsidR="003D2155" w:rsidRPr="00175D8B" w:rsidRDefault="003D2155">
      <w:pPr>
        <w:numPr>
          <w:ilvl w:val="0"/>
          <w:numId w:val="79"/>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Permanent and Temporary Employment Contracts, </w:t>
      </w:r>
    </w:p>
    <w:p w14:paraId="45C4CBFB" w14:textId="77777777" w:rsidR="003D2155" w:rsidRPr="00175D8B" w:rsidRDefault="003D2155">
      <w:pPr>
        <w:numPr>
          <w:ilvl w:val="0"/>
          <w:numId w:val="79"/>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Seasonal Employment Contracts (Indefinite-Definite Duration), </w:t>
      </w:r>
    </w:p>
    <w:p w14:paraId="29D23BB8" w14:textId="77777777" w:rsidR="003D2155" w:rsidRPr="00175D8B" w:rsidRDefault="003D2155">
      <w:pPr>
        <w:numPr>
          <w:ilvl w:val="0"/>
          <w:numId w:val="79"/>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Work-on-Call Contracts, </w:t>
      </w:r>
    </w:p>
    <w:p w14:paraId="0149CC07" w14:textId="77777777" w:rsidR="003D2155" w:rsidRPr="00175D8B" w:rsidRDefault="003D2155">
      <w:pPr>
        <w:numPr>
          <w:ilvl w:val="0"/>
          <w:numId w:val="79"/>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Employment Contracts with or without Trial Periods,  </w:t>
      </w:r>
    </w:p>
    <w:p w14:paraId="0724D547" w14:textId="77777777" w:rsidR="003D2155" w:rsidRPr="00175D8B" w:rsidRDefault="003D2155">
      <w:pPr>
        <w:numPr>
          <w:ilvl w:val="0"/>
          <w:numId w:val="79"/>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Team Employment Contracts. </w:t>
      </w:r>
    </w:p>
    <w:p w14:paraId="2B16C921" w14:textId="77777777" w:rsidR="003D2155" w:rsidRPr="00175D8B" w:rsidRDefault="003D2155" w:rsidP="002550A6">
      <w:pPr>
        <w:pStyle w:val="Balk4"/>
        <w:ind w:firstLine="360"/>
        <w:rPr>
          <w:b/>
          <w:i w:val="0"/>
          <w:lang w:eastAsia="tr-TR"/>
        </w:rPr>
      </w:pPr>
      <w:r w:rsidRPr="00175D8B">
        <w:rPr>
          <w:b/>
          <w:color w:val="auto"/>
          <w:lang w:eastAsia="tr-TR"/>
        </w:rPr>
        <w:t>1.2.4.1. Wages and Deductions</w:t>
      </w:r>
    </w:p>
    <w:p w14:paraId="242ECF25"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Article 32 of the Labor Law No. 4857 defines wages in general as “the amount provided to a person by the employer or third parties in exchange for a job and paid in money”. Without discrimination, every worker has the right to be paid for the work he/she conducts. A worker’s salary cannot be lower than the minimum wage set by the state. There is a national minimum wage that applies to all workers in Türkiye. According to Article 39 of the Labor Law; minimum limits of wages are determined by the relevant commission of the Ministry of Labor and Social Security no later than every two years.</w:t>
      </w:r>
    </w:p>
    <w:p w14:paraId="32CD7999" w14:textId="77777777" w:rsidR="003D2155" w:rsidRPr="00175D8B" w:rsidRDefault="003D2155" w:rsidP="002550A6">
      <w:pPr>
        <w:pStyle w:val="Balk4"/>
        <w:ind w:firstLine="708"/>
        <w:rPr>
          <w:b/>
          <w:i w:val="0"/>
          <w:lang w:eastAsia="tr-TR"/>
        </w:rPr>
      </w:pPr>
      <w:r w:rsidRPr="00175D8B">
        <w:rPr>
          <w:b/>
          <w:color w:val="auto"/>
          <w:lang w:eastAsia="tr-TR"/>
        </w:rPr>
        <w:lastRenderedPageBreak/>
        <w:t>1.2.4.2. Working Hours</w:t>
      </w:r>
    </w:p>
    <w:p w14:paraId="0FBEB8CA"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According to the Labor Law No. 4857; in general, the working time is a maximum of forty-five hours per week. Unless otherwise agreed, this period is applied by dividing it equally into the working days of the week in workplaces. </w:t>
      </w:r>
    </w:p>
    <w:p w14:paraId="22C3E32E" w14:textId="77777777" w:rsidR="003D2155" w:rsidRPr="00175D8B" w:rsidRDefault="003D2155" w:rsidP="002550A6">
      <w:pPr>
        <w:pStyle w:val="Balk4"/>
        <w:ind w:firstLine="708"/>
        <w:rPr>
          <w:b/>
          <w:i w:val="0"/>
          <w:lang w:eastAsia="tr-TR"/>
        </w:rPr>
      </w:pPr>
      <w:r w:rsidRPr="00175D8B">
        <w:rPr>
          <w:b/>
          <w:color w:val="auto"/>
          <w:lang w:eastAsia="tr-TR"/>
        </w:rPr>
        <w:t>1.2.4.3. Rest Breaks</w:t>
      </w:r>
    </w:p>
    <w:p w14:paraId="4FEF29F9"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Workers are allowed to rest for at least twenty-four hours (weekly rest day) uninterrupted in a seven-day period, provided that they have worked up to 45 hours on the days before the weekly rest day. </w:t>
      </w:r>
    </w:p>
    <w:p w14:paraId="252A17E1" w14:textId="77777777" w:rsidR="003D2155" w:rsidRPr="00175D8B" w:rsidRDefault="003D2155" w:rsidP="002550A6">
      <w:pPr>
        <w:pStyle w:val="Balk4"/>
        <w:ind w:firstLine="708"/>
        <w:rPr>
          <w:b/>
          <w:i w:val="0"/>
          <w:lang w:eastAsia="tr-TR"/>
        </w:rPr>
      </w:pPr>
      <w:r w:rsidRPr="00175D8B">
        <w:rPr>
          <w:b/>
          <w:color w:val="auto"/>
          <w:lang w:eastAsia="tr-TR"/>
        </w:rPr>
        <w:t>1.2.4.4. Leave</w:t>
      </w:r>
    </w:p>
    <w:p w14:paraId="5AE2C96F"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According to Article 53 of the Labor Law, workers who have served at least one year in the workplace, including the trial period, are granted annual paid leave. The duration of the workers' annual paid leave is;</w:t>
      </w:r>
    </w:p>
    <w:p w14:paraId="49569817" w14:textId="77777777" w:rsidR="003D2155" w:rsidRPr="00175D8B" w:rsidRDefault="003D2155">
      <w:pPr>
        <w:numPr>
          <w:ilvl w:val="0"/>
          <w:numId w:val="110"/>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If the service period is between one and five years, fourteen days (including five),</w:t>
      </w:r>
    </w:p>
    <w:p w14:paraId="1A15925C" w14:textId="77777777" w:rsidR="003D2155" w:rsidRPr="00175D8B" w:rsidRDefault="003D2155">
      <w:pPr>
        <w:numPr>
          <w:ilvl w:val="0"/>
          <w:numId w:val="11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Twenty days if more than five years and less than fifteen years,</w:t>
      </w:r>
    </w:p>
    <w:p w14:paraId="489C8B65" w14:textId="77777777" w:rsidR="003D2155" w:rsidRPr="00175D8B" w:rsidRDefault="003D2155">
      <w:pPr>
        <w:numPr>
          <w:ilvl w:val="0"/>
          <w:numId w:val="11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Twenty-six days (including fifteen) if fifteen years or more.</w:t>
      </w:r>
    </w:p>
    <w:p w14:paraId="389C6F78"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The annual paid leave duration cannot be less than twenty days for workers who are over the age of fifty. The provisions of this Law regarding annual paid leave do not apply to workers, working in seasonal or other jobs lasting less than one year in nature.</w:t>
      </w:r>
    </w:p>
    <w:p w14:paraId="646D16E6" w14:textId="77777777" w:rsidR="003D2155" w:rsidRPr="00175D8B" w:rsidRDefault="003D2155" w:rsidP="002550A6">
      <w:pPr>
        <w:pStyle w:val="Balk4"/>
        <w:ind w:firstLine="708"/>
        <w:rPr>
          <w:b/>
          <w:i w:val="0"/>
          <w:lang w:eastAsia="tr-TR"/>
        </w:rPr>
      </w:pPr>
      <w:r w:rsidRPr="00175D8B">
        <w:rPr>
          <w:b/>
          <w:color w:val="auto"/>
          <w:lang w:eastAsia="tr-TR"/>
        </w:rPr>
        <w:t>1.2.4.5. Overtime Work</w:t>
      </w:r>
    </w:p>
    <w:p w14:paraId="48145A42"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According to Article 41 of the Labor Law; overtime work is working more than forty-five hours per week limit regulated within the framework of the conditions written in the law. Worker consent is required for overtime work. </w:t>
      </w:r>
    </w:p>
    <w:p w14:paraId="11E99242" w14:textId="6F7A504B" w:rsidR="002561E6" w:rsidRPr="00175D8B" w:rsidRDefault="003D2155" w:rsidP="002550A6">
      <w:pPr>
        <w:spacing w:after="160"/>
        <w:rPr>
          <w:b/>
          <w:i/>
          <w:lang w:eastAsia="tr-TR"/>
        </w:rPr>
      </w:pPr>
      <w:r w:rsidRPr="00175D8B">
        <w:rPr>
          <w:rFonts w:eastAsia="Aptos" w:cs="Aptos"/>
          <w:kern w:val="0"/>
          <w:szCs w:val="22"/>
          <w:lang w:eastAsia="tr-TR"/>
          <w14:ligatures w14:val="none"/>
        </w:rPr>
        <w:t>Pregnant women and breastfeeding mothers cannot be required to do overtime work.</w:t>
      </w:r>
    </w:p>
    <w:p w14:paraId="17A16E53" w14:textId="5719C00D" w:rsidR="003D2155" w:rsidRPr="00175D8B" w:rsidRDefault="003D2155" w:rsidP="002550A6">
      <w:pPr>
        <w:pStyle w:val="Balk4"/>
        <w:ind w:firstLine="708"/>
        <w:rPr>
          <w:b/>
          <w:i w:val="0"/>
          <w:lang w:eastAsia="tr-TR"/>
        </w:rPr>
      </w:pPr>
      <w:r w:rsidRPr="00175D8B">
        <w:rPr>
          <w:b/>
          <w:color w:val="auto"/>
          <w:lang w:eastAsia="tr-TR"/>
        </w:rPr>
        <w:t>1.2.4.6. Labor Disputes</w:t>
      </w:r>
    </w:p>
    <w:p w14:paraId="27121DFA"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Under the Labor Law, employers can terminate contracts in two ways: (i) to give a valid reason (Articles 18-19) or (ii) termination with a valid reason (Article 25). If the contract of a worker with at least six months of seniority in a workplace with at least 30 employees is terminated, the worker may benefit from certain protections under the Labor Law. In order to terminate the employment contract effectively, the worker must be given a written notice and the legal notice periods must be followed. However, in some cases, employers may terminate the employment relationship for a fair </w:t>
      </w:r>
      <w:r w:rsidRPr="00175D8B">
        <w:rPr>
          <w:rFonts w:eastAsia="Aptos" w:cs="Aptos"/>
          <w:kern w:val="0"/>
          <w:szCs w:val="22"/>
          <w:lang w:eastAsia="tr-TR"/>
          <w14:ligatures w14:val="none"/>
        </w:rPr>
        <w:lastRenderedPageBreak/>
        <w:t>reason (for health reasons, immoral, dishonorable or malicious behavior or other similar behavior, force majeure). In these cases, the employer is not obliged to comply with the legal notice periods and may terminate immediately.</w:t>
      </w:r>
    </w:p>
    <w:p w14:paraId="7D14BFA8"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National labor legislation contains provisions that allow workers to resolve disputes where there is a dispute between employer and worker about the essential terms and conditions of an employment contract or other aspects of work. Such disputes will be resolved in accordance with the Law on Mediation in Civil Disputes No. 6325 and Article 20 of the Labor Law No. 4857.</w:t>
      </w:r>
    </w:p>
    <w:p w14:paraId="200986F2" w14:textId="77777777" w:rsidR="003D2155" w:rsidRPr="00175D8B" w:rsidRDefault="003D2155" w:rsidP="00DD7A56">
      <w:pPr>
        <w:spacing w:after="160"/>
        <w:rPr>
          <w:rFonts w:eastAsia="Aptos" w:cs="Aptos"/>
          <w:strike/>
          <w:kern w:val="0"/>
          <w:szCs w:val="22"/>
          <w:lang w:eastAsia="tr-TR"/>
          <w14:ligatures w14:val="none"/>
        </w:rPr>
      </w:pPr>
      <w:r w:rsidRPr="00175D8B">
        <w:rPr>
          <w:rFonts w:eastAsia="Aptos" w:cs="Aptos"/>
          <w:kern w:val="0"/>
          <w:szCs w:val="22"/>
          <w:lang w:eastAsia="tr-TR"/>
          <w14:ligatures w14:val="none"/>
        </w:rPr>
        <w:t xml:space="preserve">For further details about the labor legislation and its implementation, check the Project’s LMP Section 4. </w:t>
      </w:r>
    </w:p>
    <w:p w14:paraId="288AAF95" w14:textId="77777777" w:rsidR="003D2155" w:rsidRPr="00175D8B" w:rsidRDefault="003D2155" w:rsidP="002550A6">
      <w:pPr>
        <w:pStyle w:val="Balk3"/>
        <w:ind w:firstLine="708"/>
        <w:rPr>
          <w:lang w:eastAsia="tr-TR"/>
        </w:rPr>
      </w:pPr>
      <w:bookmarkStart w:id="470" w:name="_Toc198046928"/>
      <w:bookmarkStart w:id="471" w:name="_Toc207987178"/>
      <w:bookmarkStart w:id="472" w:name="_Toc214639933"/>
      <w:bookmarkStart w:id="473" w:name="_Toc216099267"/>
      <w:bookmarkStart w:id="474" w:name="_Toc216102341"/>
      <w:bookmarkStart w:id="475" w:name="_Toc216108001"/>
      <w:bookmarkStart w:id="476" w:name="_Toc220672830"/>
      <w:r w:rsidRPr="00175D8B">
        <w:rPr>
          <w:lang w:eastAsia="tr-TR"/>
        </w:rPr>
        <w:t>1.2.5. International Agreements &amp; Conventions</w:t>
      </w:r>
      <w:bookmarkEnd w:id="470"/>
      <w:bookmarkEnd w:id="471"/>
      <w:bookmarkEnd w:id="472"/>
      <w:bookmarkEnd w:id="473"/>
      <w:bookmarkEnd w:id="474"/>
      <w:bookmarkEnd w:id="475"/>
      <w:bookmarkEnd w:id="476"/>
    </w:p>
    <w:p w14:paraId="6B7EAD69" w14:textId="77777777" w:rsidR="003D2155" w:rsidRPr="00175D8B" w:rsidRDefault="003D2155" w:rsidP="00DD7A56">
      <w:pPr>
        <w:spacing w:before="120"/>
        <w:rPr>
          <w:rFonts w:eastAsia="Aptos" w:cs="Aptos"/>
          <w:kern w:val="0"/>
          <w:szCs w:val="22"/>
          <w:lang w:eastAsia="tr-TR"/>
          <w14:ligatures w14:val="none"/>
        </w:rPr>
      </w:pPr>
      <w:r w:rsidRPr="00175D8B">
        <w:rPr>
          <w:rFonts w:eastAsia="Aptos" w:cs="Aptos"/>
          <w:kern w:val="0"/>
          <w:szCs w:val="22"/>
          <w:lang w:eastAsia="tr-TR"/>
          <w14:ligatures w14:val="none"/>
        </w:rPr>
        <w:t>Türkiye has become a party to a number of international agreements and conventions/protocols to contribute to the management of environmental resources, biodiversity, occupational health and safety (OHS) and cultural heritage on a global and regional scale. The most basic of these agreements and conventions/protocols are listed herewith below:</w:t>
      </w:r>
    </w:p>
    <w:p w14:paraId="75CF7D84" w14:textId="77777777" w:rsidR="003D2155" w:rsidRPr="00175D8B" w:rsidRDefault="003D2155" w:rsidP="00DD7A56">
      <w:pPr>
        <w:spacing w:before="240" w:after="24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Environment</w:t>
      </w:r>
    </w:p>
    <w:p w14:paraId="340F3235" w14:textId="77777777" w:rsidR="003D2155" w:rsidRPr="00175D8B" w:rsidRDefault="003D2155">
      <w:pPr>
        <w:numPr>
          <w:ilvl w:val="0"/>
          <w:numId w:val="93"/>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Vienna Convention for the Protection of the Ozone Layer and the Montreal Protocol on Substances that Deplete the Ozone Layer, (Official Gazette [O.G.] No. 20629 of 8-9.9.1990) </w:t>
      </w:r>
    </w:p>
    <w:p w14:paraId="4605DB78"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UN Framework Convention on Climate Change (O.G No. 25266 of 21.10.2003)</w:t>
      </w:r>
    </w:p>
    <w:p w14:paraId="69C1579E"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Kyoto Protocol to the UN Framework Convention on Climate Change (O.G. No. 27144 of 17.02.2009)</w:t>
      </w:r>
    </w:p>
    <w:p w14:paraId="394B3E1D"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United Nations Convention to Combat Desertification in those Countries Experiencing Serious Drought and/or Desertification, particularly in Africa. (UNCCD) (O.G. No. 23258 of 14.2.1998)</w:t>
      </w:r>
    </w:p>
    <w:p w14:paraId="169A9FBA"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Convention for the Protection of the Marine Environment and the Coastal Region of the Mediterranean (Barcelona Convention) (O.G. No. 17150 of 14.11.1980)</w:t>
      </w:r>
    </w:p>
    <w:p w14:paraId="44EE5718"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Protocol for the Prevention and Elimination of Pollution of the Mediterranean Sea by Dumping from Ships and Aircraft or Incineration at Sea (The Dumping Protocol) (O.G. No. 24854 of 22.8.2002).</w:t>
      </w:r>
    </w:p>
    <w:p w14:paraId="06901A39"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lastRenderedPageBreak/>
        <w:t>Protocol on the Prevention of Pollution of the Mediterranean Sea by Transboundary Movements of Hazardous Wastes and their Disposal (Hazardous wastes protocol) (O.G. No 25346 of 14.1.2002)</w:t>
      </w:r>
    </w:p>
    <w:p w14:paraId="614AC2C3"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Protocol for the Protection of the Mediterranean Sea against Pollution from Land-Based Sources, Athens 1980 (Türkiye: O.G. No. 19404 of 18.3.1987) </w:t>
      </w:r>
    </w:p>
    <w:p w14:paraId="0C1EACAD"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Protocol on Specially Protected Areas in the Mediterranean, Geneva 1982, (signed on 6.11.1986) (O.G. No. 19968 of 23.10.1988) </w:t>
      </w:r>
    </w:p>
    <w:p w14:paraId="0FD329AA"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Convention on the Protection of the Black Sea against Pollution and other related Conventions (Bucharest Convention) (O.G. No. 21869 of 06.03.1994)</w:t>
      </w:r>
    </w:p>
    <w:p w14:paraId="32F216CE"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Basel Convention on the Control of Transboundary Movements of Hazardous Wastes and Their Disposal (Basel Convention) (O.G. No. 21804 of 30.12.1993)</w:t>
      </w:r>
    </w:p>
    <w:p w14:paraId="0C61B195"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Stockholm Convention on Persistent Organic Pollutants</w:t>
      </w:r>
    </w:p>
    <w:p w14:paraId="1AE66551"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Convention on Long-Range Transboundary Air Pollution (CLRTAP) (Türkiye: O.G. No. 17996 of 23.3.1983)</w:t>
      </w:r>
    </w:p>
    <w:p w14:paraId="13C99325" w14:textId="77777777" w:rsidR="003D2155" w:rsidRPr="00175D8B" w:rsidRDefault="003D2155" w:rsidP="00DD7A56">
      <w:pPr>
        <w:spacing w:before="240" w:after="24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Biodiversity</w:t>
      </w:r>
    </w:p>
    <w:p w14:paraId="371EA731" w14:textId="77777777" w:rsidR="003D2155" w:rsidRPr="00175D8B" w:rsidRDefault="003D2155">
      <w:pPr>
        <w:numPr>
          <w:ilvl w:val="0"/>
          <w:numId w:val="93"/>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Convention on the Conservation of European Wildlife and Natural Habitats (Bern Convention) (Türkiye: O.G. No. 18318 of 20.2.1984)</w:t>
      </w:r>
    </w:p>
    <w:p w14:paraId="2E00D7D9"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Convention on Wetlands of International Importance Especially as Waterfowl Habitat (Ramsar) (O.G. No. 21937 of 17.5.1994)</w:t>
      </w:r>
    </w:p>
    <w:p w14:paraId="71655986"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Convention on Biological Diversity (O.G. No. 22860 of 27.12.1996)</w:t>
      </w:r>
    </w:p>
    <w:p w14:paraId="582864A3"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Cartagena Protocol on Biosafety to the Convention on Biological Diversity (O.G. No. 25148 of 24.06.2003)</w:t>
      </w:r>
    </w:p>
    <w:p w14:paraId="20A99DE7"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Convention on International Trade in Endangered Species of Wild Fauna and Flora (CITES) (O.G. No. 22672 of 20.06.1996)</w:t>
      </w:r>
    </w:p>
    <w:p w14:paraId="261B74D8"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International Convention for the Protection of Birds, Paris 1959 (Türkiye O.G. No.12480 of 17.12.1966) </w:t>
      </w:r>
    </w:p>
    <w:p w14:paraId="065E58B7" w14:textId="77777777" w:rsidR="003D2155" w:rsidRPr="00175D8B" w:rsidRDefault="003D2155" w:rsidP="00DD7A56">
      <w:pPr>
        <w:spacing w:before="240" w:after="24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Cultural Heritage</w:t>
      </w:r>
    </w:p>
    <w:p w14:paraId="6C7E1A94" w14:textId="77777777" w:rsidR="003D2155" w:rsidRPr="00175D8B" w:rsidRDefault="003D2155">
      <w:pPr>
        <w:numPr>
          <w:ilvl w:val="0"/>
          <w:numId w:val="93"/>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European Convention on the Protection of the Archaeological Heritage (O.G. No. 23780 of 08.08.1999)</w:t>
      </w:r>
    </w:p>
    <w:p w14:paraId="3CCE7F26"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lastRenderedPageBreak/>
        <w:t xml:space="preserve">Convention Concerning the Protection of the World Cultural and Natural Heritage, Paris 1972 (O.G. No. 17959 of 14.2.1983) </w:t>
      </w:r>
    </w:p>
    <w:p w14:paraId="58F0B77C"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European Cultural Convention on 19.12.1954 (O.G. No. 9635 of 17.6.1957) </w:t>
      </w:r>
    </w:p>
    <w:p w14:paraId="25BBF25B"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Convention for the Protection of the Architectural Heritage of Europe (O.G. No. 20229 of 22.07.1989)</w:t>
      </w:r>
    </w:p>
    <w:p w14:paraId="364D4C86"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UNESCO Convention on the Means of Prohibiting and Preventing the Illicit Import, Export and Transfer of Ownership of Cultural Property</w:t>
      </w:r>
    </w:p>
    <w:p w14:paraId="4E7D84C0"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UNESCO Convention for the Safeguarding of the Intangible Cultural Heritage</w:t>
      </w:r>
    </w:p>
    <w:p w14:paraId="405A8BF2" w14:textId="77777777" w:rsidR="003D2155" w:rsidRPr="00175D8B" w:rsidRDefault="003D2155">
      <w:pPr>
        <w:numPr>
          <w:ilvl w:val="0"/>
          <w:numId w:val="9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UNESCO Convention on the Protection and Promotion of the Diversity of Cultural Expressions</w:t>
      </w:r>
    </w:p>
    <w:p w14:paraId="6CB7A6B7" w14:textId="77777777" w:rsidR="003D2155" w:rsidRPr="00175D8B" w:rsidRDefault="003D2155" w:rsidP="00DD7A56">
      <w:pPr>
        <w:spacing w:before="240" w:after="24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Occupational Health and Safety</w:t>
      </w:r>
    </w:p>
    <w:p w14:paraId="5C83B895" w14:textId="77777777" w:rsidR="003D2155" w:rsidRPr="00175D8B" w:rsidRDefault="003D2155">
      <w:pPr>
        <w:numPr>
          <w:ilvl w:val="0"/>
          <w:numId w:val="94"/>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International Labor Organization Safety and Health in Construction Convention (O.G. No. 29190 of 29.11.2014)</w:t>
      </w:r>
    </w:p>
    <w:p w14:paraId="444D20F1" w14:textId="77777777" w:rsidR="003D2155" w:rsidRPr="00175D8B" w:rsidRDefault="003D2155">
      <w:pPr>
        <w:numPr>
          <w:ilvl w:val="0"/>
          <w:numId w:val="9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International Labor Organization Occupational Health and Safety and Working Environment Convention (O.G. No. 25345 of 13.01.2004)</w:t>
      </w:r>
    </w:p>
    <w:p w14:paraId="5DF59E35" w14:textId="77777777" w:rsidR="003D2155" w:rsidRPr="00175D8B" w:rsidRDefault="003D2155">
      <w:pPr>
        <w:numPr>
          <w:ilvl w:val="0"/>
          <w:numId w:val="9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ILO Convention concerning the Prohibition and Immediate Action for the Elimination of the Worst Forms of Child Labor (O.G. No. 24307 of 03.02.2001)</w:t>
      </w:r>
    </w:p>
    <w:p w14:paraId="32C33D3C" w14:textId="77777777" w:rsidR="003D2155" w:rsidRPr="00175D8B" w:rsidRDefault="003D2155">
      <w:pPr>
        <w:numPr>
          <w:ilvl w:val="0"/>
          <w:numId w:val="9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International Labor Organization Forced Labor Convention (O.G. No. 23243 of 27.01.1998)</w:t>
      </w:r>
    </w:p>
    <w:p w14:paraId="0710E272" w14:textId="77777777" w:rsidR="003D2155" w:rsidRPr="00175D8B" w:rsidRDefault="003D2155">
      <w:pPr>
        <w:numPr>
          <w:ilvl w:val="0"/>
          <w:numId w:val="9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International Labor Organization Minimum Age Convention (O.G. No. 10220 of 02.06.1959)</w:t>
      </w:r>
    </w:p>
    <w:p w14:paraId="2DCBD302" w14:textId="77777777" w:rsidR="003D2155" w:rsidRPr="00175D8B" w:rsidRDefault="003D2155">
      <w:pPr>
        <w:numPr>
          <w:ilvl w:val="0"/>
          <w:numId w:val="9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International Labor Organization Freedom of Association and Protection of the Right to Organize Convention (O.G. No. 21432 of 22.12.1992)</w:t>
      </w:r>
    </w:p>
    <w:p w14:paraId="7F6AB1EA" w14:textId="77777777" w:rsidR="003D2155" w:rsidRPr="00175D8B" w:rsidRDefault="003D2155">
      <w:pPr>
        <w:numPr>
          <w:ilvl w:val="0"/>
          <w:numId w:val="9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ILO Convention on Workers' Representatives (O.G. No. 21432 of 11.12.1992)</w:t>
      </w:r>
    </w:p>
    <w:p w14:paraId="3B385512" w14:textId="77777777" w:rsidR="003D2155" w:rsidRPr="00175D8B" w:rsidRDefault="003D2155">
      <w:pPr>
        <w:numPr>
          <w:ilvl w:val="0"/>
          <w:numId w:val="9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International Labor Organization Human Resources Development Convention (O.G. No. 21433 of 12.12.1992)</w:t>
      </w:r>
    </w:p>
    <w:p w14:paraId="7B245F23" w14:textId="77777777" w:rsidR="003D2155" w:rsidRPr="00175D8B" w:rsidRDefault="003D2155">
      <w:pPr>
        <w:numPr>
          <w:ilvl w:val="0"/>
          <w:numId w:val="9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International Labor Organization Employment Policy Convention (O.G. No. 15769 of 20.11.1976)</w:t>
      </w:r>
    </w:p>
    <w:p w14:paraId="3D62CC7C" w14:textId="77777777" w:rsidR="003D2155" w:rsidRPr="00175D8B" w:rsidRDefault="003D2155">
      <w:pPr>
        <w:numPr>
          <w:ilvl w:val="0"/>
          <w:numId w:val="9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International Labor Organization Social Security (Minimum Standards) Convention (O.G. No. 13922 of 10.08.1971)</w:t>
      </w:r>
    </w:p>
    <w:p w14:paraId="124B73D0" w14:textId="77777777" w:rsidR="003D2155" w:rsidRPr="00175D8B" w:rsidRDefault="003D2155">
      <w:pPr>
        <w:numPr>
          <w:ilvl w:val="0"/>
          <w:numId w:val="9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International Labor Organization Equal Remuneration Convention (O.G. No. 12484 of 22.12.1966)</w:t>
      </w:r>
    </w:p>
    <w:p w14:paraId="73A69FF7" w14:textId="77777777" w:rsidR="003D2155" w:rsidRPr="00175D8B" w:rsidRDefault="003D2155">
      <w:pPr>
        <w:numPr>
          <w:ilvl w:val="0"/>
          <w:numId w:val="9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International Labor Organization Discrimination (Employment and Occupation) Convention (O.G. No. 12484 of 22.12.1966)</w:t>
      </w:r>
    </w:p>
    <w:p w14:paraId="5A53C9C7" w14:textId="77777777" w:rsidR="003D2155" w:rsidRPr="00175D8B" w:rsidRDefault="003D2155">
      <w:pPr>
        <w:numPr>
          <w:ilvl w:val="0"/>
          <w:numId w:val="9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lastRenderedPageBreak/>
        <w:t>International Labor Organization Abolition of Forced Labor Convention (O.G. No. 10686 of 21.12.1960)</w:t>
      </w:r>
    </w:p>
    <w:p w14:paraId="5B70CBA8" w14:textId="77777777" w:rsidR="003D2155" w:rsidRPr="00175D8B" w:rsidRDefault="003D2155">
      <w:pPr>
        <w:numPr>
          <w:ilvl w:val="0"/>
          <w:numId w:val="9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International Labor Organization Right to Organize and Collective Bargaining Convention (O.G. No. 7884 of 14.08.1951)</w:t>
      </w:r>
    </w:p>
    <w:p w14:paraId="1141C93F" w14:textId="77777777" w:rsidR="003D2155" w:rsidRPr="00175D8B" w:rsidRDefault="003D2155" w:rsidP="00CE62A9">
      <w:pPr>
        <w:pStyle w:val="Balk4"/>
        <w:ind w:firstLine="708"/>
        <w:rPr>
          <w:b/>
          <w:bCs/>
          <w:color w:val="auto"/>
          <w:lang w:eastAsia="tr-TR"/>
        </w:rPr>
      </w:pPr>
      <w:r w:rsidRPr="00175D8B">
        <w:rPr>
          <w:b/>
          <w:bCs/>
          <w:color w:val="auto"/>
          <w:lang w:eastAsia="tr-TR"/>
        </w:rPr>
        <w:t>1.2.5.1. World Bank Environmental &amp; Social Standards</w:t>
      </w:r>
    </w:p>
    <w:p w14:paraId="23D227DE" w14:textId="77777777" w:rsidR="003D2155" w:rsidRPr="00175D8B" w:rsidRDefault="003D2155" w:rsidP="00DD7A56">
      <w:pPr>
        <w:spacing w:after="16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ESS1: Assessment of Environmental and Social Risks and Impacts</w:t>
      </w:r>
    </w:p>
    <w:p w14:paraId="5050290B"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This Standard sets out the requirements for assessing, managing and monitoring environmental and social risks and impacts associated with each phase of World Bank sponsored Projects.</w:t>
      </w:r>
    </w:p>
    <w:p w14:paraId="2E436A15"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ESS1 must be addressed in the assessment process, including the environmental and social impact/risks specified in Article 26 and presented below.</w:t>
      </w:r>
    </w:p>
    <w:p w14:paraId="6B496E5C" w14:textId="77777777" w:rsidR="003D2155" w:rsidRPr="00175D8B" w:rsidRDefault="003D2155">
      <w:pPr>
        <w:numPr>
          <w:ilvl w:val="0"/>
          <w:numId w:val="103"/>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Environmental Risks and Impacts covering the following:</w:t>
      </w:r>
    </w:p>
    <w:p w14:paraId="7B1BAB3E" w14:textId="77777777" w:rsidR="003D2155" w:rsidRPr="00175D8B" w:rsidRDefault="003D2155">
      <w:pPr>
        <w:numPr>
          <w:ilvl w:val="0"/>
          <w:numId w:val="116"/>
        </w:numPr>
        <w:pBdr>
          <w:top w:val="nil"/>
          <w:left w:val="nil"/>
          <w:bottom w:val="nil"/>
          <w:right w:val="nil"/>
          <w:between w:val="nil"/>
        </w:pBdr>
        <w:spacing w:after="0"/>
        <w:ind w:left="1276"/>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Projects defined in the Environmental Health and Safety Directive</w:t>
      </w:r>
    </w:p>
    <w:p w14:paraId="6F85520C" w14:textId="77777777" w:rsidR="003D2155" w:rsidRPr="00175D8B" w:rsidRDefault="003D2155">
      <w:pPr>
        <w:numPr>
          <w:ilvl w:val="0"/>
          <w:numId w:val="116"/>
        </w:numPr>
        <w:pBdr>
          <w:top w:val="nil"/>
          <w:left w:val="nil"/>
          <w:bottom w:val="nil"/>
          <w:right w:val="nil"/>
          <w:between w:val="nil"/>
        </w:pBdr>
        <w:spacing w:after="0"/>
        <w:ind w:left="1276"/>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Community safety</w:t>
      </w:r>
    </w:p>
    <w:p w14:paraId="68A97F2F" w14:textId="77777777" w:rsidR="003D2155" w:rsidRPr="00175D8B" w:rsidRDefault="003D2155">
      <w:pPr>
        <w:numPr>
          <w:ilvl w:val="0"/>
          <w:numId w:val="116"/>
        </w:numPr>
        <w:pBdr>
          <w:top w:val="nil"/>
          <w:left w:val="nil"/>
          <w:bottom w:val="nil"/>
          <w:right w:val="nil"/>
          <w:between w:val="nil"/>
        </w:pBdr>
        <w:spacing w:after="0"/>
        <w:ind w:left="1276"/>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Climate change and other cross-border or global risks and impacts</w:t>
      </w:r>
    </w:p>
    <w:p w14:paraId="49810C69" w14:textId="77777777" w:rsidR="003D2155" w:rsidRPr="00175D8B" w:rsidRDefault="003D2155">
      <w:pPr>
        <w:numPr>
          <w:ilvl w:val="0"/>
          <w:numId w:val="116"/>
        </w:numPr>
        <w:pBdr>
          <w:top w:val="nil"/>
          <w:left w:val="nil"/>
          <w:bottom w:val="nil"/>
          <w:right w:val="nil"/>
          <w:between w:val="nil"/>
        </w:pBdr>
        <w:spacing w:after="0"/>
        <w:ind w:left="1276"/>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Materials that threaten the conservation, maintenance and restoration of natural habitats and biodiversity</w:t>
      </w:r>
    </w:p>
    <w:p w14:paraId="76C5E5EB" w14:textId="77777777" w:rsidR="003D2155" w:rsidRPr="00175D8B" w:rsidRDefault="003D2155">
      <w:pPr>
        <w:numPr>
          <w:ilvl w:val="0"/>
          <w:numId w:val="116"/>
        </w:numPr>
        <w:pBdr>
          <w:top w:val="nil"/>
          <w:left w:val="nil"/>
          <w:bottom w:val="nil"/>
          <w:right w:val="nil"/>
          <w:between w:val="nil"/>
        </w:pBdr>
        <w:spacing w:after="0"/>
        <w:ind w:left="1276"/>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Ecosystem services and use of living natural resources (fishing, forests, etc.)</w:t>
      </w:r>
    </w:p>
    <w:p w14:paraId="2112570B" w14:textId="77777777" w:rsidR="003D2155" w:rsidRPr="00175D8B" w:rsidRDefault="003D2155">
      <w:pPr>
        <w:numPr>
          <w:ilvl w:val="0"/>
          <w:numId w:val="109"/>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Social Risks and Impacts covering the following:</w:t>
      </w:r>
    </w:p>
    <w:p w14:paraId="57A1FF69" w14:textId="77777777" w:rsidR="003D2155" w:rsidRPr="00175D8B" w:rsidRDefault="003D2155">
      <w:pPr>
        <w:numPr>
          <w:ilvl w:val="0"/>
          <w:numId w:val="116"/>
        </w:numPr>
        <w:pBdr>
          <w:top w:val="nil"/>
          <w:left w:val="nil"/>
          <w:bottom w:val="nil"/>
          <w:right w:val="nil"/>
          <w:between w:val="nil"/>
        </w:pBdr>
        <w:spacing w:after="0"/>
        <w:ind w:left="1276"/>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Threats to human health and safety, security</w:t>
      </w:r>
    </w:p>
    <w:p w14:paraId="7CD044BE" w14:textId="77777777" w:rsidR="003D2155" w:rsidRPr="00175D8B" w:rsidRDefault="003D2155">
      <w:pPr>
        <w:numPr>
          <w:ilvl w:val="0"/>
          <w:numId w:val="116"/>
        </w:numPr>
        <w:pBdr>
          <w:top w:val="nil"/>
          <w:left w:val="nil"/>
          <w:bottom w:val="nil"/>
          <w:right w:val="nil"/>
          <w:between w:val="nil"/>
        </w:pBdr>
        <w:spacing w:after="0"/>
        <w:ind w:left="1276"/>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Situations where Project impacts pose a risk to individuals or groups who may be disadvantaged due to their particular circumstances,</w:t>
      </w:r>
    </w:p>
    <w:p w14:paraId="5CEA38EA" w14:textId="77777777" w:rsidR="003D2155" w:rsidRPr="00175D8B" w:rsidRDefault="003D2155">
      <w:pPr>
        <w:numPr>
          <w:ilvl w:val="0"/>
          <w:numId w:val="116"/>
        </w:numPr>
        <w:pBdr>
          <w:top w:val="nil"/>
          <w:left w:val="nil"/>
          <w:bottom w:val="nil"/>
          <w:right w:val="nil"/>
          <w:between w:val="nil"/>
        </w:pBdr>
        <w:spacing w:after="0"/>
        <w:ind w:left="1276"/>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Impacts on the livelihoods of the households, communities or individuals,</w:t>
      </w:r>
    </w:p>
    <w:p w14:paraId="209647A5" w14:textId="4B1BD3E4" w:rsidR="003D2155" w:rsidRPr="00175D8B" w:rsidRDefault="003D2155">
      <w:pPr>
        <w:numPr>
          <w:ilvl w:val="0"/>
          <w:numId w:val="116"/>
        </w:numPr>
        <w:pBdr>
          <w:top w:val="nil"/>
          <w:left w:val="nil"/>
          <w:bottom w:val="nil"/>
          <w:right w:val="nil"/>
          <w:between w:val="nil"/>
        </w:pBdr>
        <w:spacing w:after="0"/>
        <w:ind w:left="1276"/>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Impacts on the continuation and accessibility of daily life</w:t>
      </w:r>
    </w:p>
    <w:p w14:paraId="29374265" w14:textId="77777777" w:rsidR="00A816AD" w:rsidRPr="00175D8B" w:rsidRDefault="00A816AD" w:rsidP="002550A6">
      <w:pPr>
        <w:pBdr>
          <w:top w:val="nil"/>
          <w:left w:val="nil"/>
          <w:bottom w:val="nil"/>
          <w:right w:val="nil"/>
          <w:between w:val="nil"/>
        </w:pBdr>
        <w:spacing w:after="0"/>
        <w:jc w:val="left"/>
        <w:rPr>
          <w:rFonts w:eastAsia="Aptos" w:cs="Aptos"/>
          <w:color w:val="000000"/>
          <w:kern w:val="0"/>
          <w:szCs w:val="22"/>
          <w:lang w:eastAsia="tr-TR"/>
          <w14:ligatures w14:val="none"/>
        </w:rPr>
      </w:pPr>
    </w:p>
    <w:p w14:paraId="4047483A" w14:textId="77777777" w:rsidR="003D2155" w:rsidRPr="00175D8B" w:rsidRDefault="003D2155">
      <w:pPr>
        <w:numPr>
          <w:ilvl w:val="0"/>
          <w:numId w:val="109"/>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Cultural Heritage risks include:</w:t>
      </w:r>
    </w:p>
    <w:p w14:paraId="09AAB742" w14:textId="77777777" w:rsidR="003D2155" w:rsidRPr="00175D8B" w:rsidRDefault="003D2155">
      <w:pPr>
        <w:numPr>
          <w:ilvl w:val="0"/>
          <w:numId w:val="116"/>
        </w:numPr>
        <w:pBdr>
          <w:top w:val="nil"/>
          <w:left w:val="nil"/>
          <w:bottom w:val="nil"/>
          <w:right w:val="nil"/>
          <w:between w:val="nil"/>
        </w:pBdr>
        <w:spacing w:after="0"/>
        <w:ind w:left="1276"/>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emergence of negative effects that may prevent continuity in tangible and intangible cultural structure, heritage or forms between the past, present and future,</w:t>
      </w:r>
    </w:p>
    <w:p w14:paraId="75451ED0" w14:textId="77777777" w:rsidR="003D2155" w:rsidRPr="00175D8B" w:rsidRDefault="003D2155">
      <w:pPr>
        <w:numPr>
          <w:ilvl w:val="0"/>
          <w:numId w:val="116"/>
        </w:numPr>
        <w:pBdr>
          <w:top w:val="nil"/>
          <w:left w:val="nil"/>
          <w:bottom w:val="nil"/>
          <w:right w:val="nil"/>
          <w:between w:val="nil"/>
        </w:pBdr>
        <w:spacing w:after="0"/>
        <w:ind w:left="1276"/>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Protecting the cultural heritage from the negative effects of Project activities,</w:t>
      </w:r>
    </w:p>
    <w:p w14:paraId="65D53B61" w14:textId="3DD5AC4E" w:rsidR="003D063A" w:rsidRPr="00175D8B" w:rsidRDefault="003D2155">
      <w:pPr>
        <w:numPr>
          <w:ilvl w:val="0"/>
          <w:numId w:val="116"/>
        </w:numPr>
        <w:pBdr>
          <w:top w:val="nil"/>
          <w:left w:val="nil"/>
          <w:bottom w:val="nil"/>
          <w:right w:val="nil"/>
          <w:between w:val="nil"/>
        </w:pBdr>
        <w:spacing w:after="160"/>
        <w:ind w:left="1276"/>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emergence of effects that will hinder the sustainability of cultural heritage.</w:t>
      </w:r>
    </w:p>
    <w:p w14:paraId="039DEDFE" w14:textId="77777777" w:rsidR="003D2155" w:rsidRPr="00175D8B" w:rsidRDefault="003D2155" w:rsidP="00DD7A56">
      <w:pPr>
        <w:spacing w:after="16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ESS2: Labor and Working Conditions</w:t>
      </w:r>
    </w:p>
    <w:p w14:paraId="5CBFC944"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lastRenderedPageBreak/>
        <w:t xml:space="preserve">Environmental and Social Standard 2 emphasizes the importance of employment and income generation for comprehensive financial development and poverty reduction. Healthy working conditions must be created by treating workers fairly. </w:t>
      </w:r>
    </w:p>
    <w:p w14:paraId="4499250C" w14:textId="77777777" w:rsidR="003D2155" w:rsidRPr="00175D8B" w:rsidRDefault="003D2155" w:rsidP="00DD7A56">
      <w:pPr>
        <w:spacing w:after="16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ESS3: Resource Efficiency, Pollution Prevention and Management</w:t>
      </w:r>
    </w:p>
    <w:p w14:paraId="6CCC77F4" w14:textId="46D5071A" w:rsidR="00712A02"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This standard points to the requirements of resource efficiency and pollution prevention and management with a holistic approach in practice. The aim is to minimize the pollution caused by the Project with the sustainable use of resources.</w:t>
      </w:r>
    </w:p>
    <w:p w14:paraId="232116A2" w14:textId="77777777" w:rsidR="003D2155" w:rsidRPr="00175D8B" w:rsidRDefault="003D2155" w:rsidP="00DD7A56">
      <w:pPr>
        <w:spacing w:after="16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ESS4: Community Health and Safety</w:t>
      </w:r>
    </w:p>
    <w:p w14:paraId="476E0B82"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ESS4 highlights issues of health, safety and security risks and their impact on communities due to Project activities. Particular attention must be paid to communities and individuals who may be vulnerable due to the impacts and risks of the Project.</w:t>
      </w:r>
    </w:p>
    <w:p w14:paraId="63BC5F14" w14:textId="77777777" w:rsidR="003D2155" w:rsidRPr="00175D8B" w:rsidRDefault="003D2155" w:rsidP="00DD7A56">
      <w:pPr>
        <w:spacing w:after="16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ESS5: Land Acquisition, Restrictions on Land Use and Involuntary Resettlement</w:t>
      </w:r>
    </w:p>
    <w:p w14:paraId="1BFD8094" w14:textId="4940104A" w:rsidR="00DD7A56" w:rsidRPr="00175D8B" w:rsidRDefault="003D2155" w:rsidP="003D2155">
      <w:pPr>
        <w:spacing w:after="160"/>
        <w:rPr>
          <w:rFonts w:eastAsia="Aptos" w:cs="Aptos"/>
          <w:kern w:val="0"/>
          <w:szCs w:val="22"/>
          <w:lang w:eastAsia="tr-TR"/>
          <w14:ligatures w14:val="none"/>
        </w:rPr>
      </w:pPr>
      <w:r w:rsidRPr="00175D8B">
        <w:rPr>
          <w:rFonts w:eastAsia="Aptos" w:cs="Aptos"/>
          <w:kern w:val="0"/>
          <w:szCs w:val="22"/>
          <w:lang w:eastAsia="tr-TR"/>
          <w14:ligatures w14:val="none"/>
        </w:rPr>
        <w:t>This standard emphasizes that involuntary resettlement must be avoided. If unavoidable, necessary measures must be taken to reduce the negative impacts on displaced people.</w:t>
      </w:r>
    </w:p>
    <w:p w14:paraId="07B8AFFE" w14:textId="77777777" w:rsidR="003D2155" w:rsidRPr="00175D8B" w:rsidRDefault="003D2155" w:rsidP="00DD7A56">
      <w:pPr>
        <w:spacing w:after="16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ESS6: Biodiversity Conservation and Sustainable Management of Living Natural Resources</w:t>
      </w:r>
    </w:p>
    <w:p w14:paraId="5344649C"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Biodiversity conservation and the sustainability of natural resources are the main components of sustainable development. Biodiversity, supported by all ecological functions, including forests, must be preserved.</w:t>
      </w:r>
    </w:p>
    <w:p w14:paraId="01D49D80"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This standard also addresses the sustainable management of primary natural production and living natural resources and recognizes the need to consider the livelihoods of Project-affected parties, including those with access to or use of biodiversity or living natural resources.</w:t>
      </w:r>
    </w:p>
    <w:p w14:paraId="54AAEF65" w14:textId="77777777" w:rsidR="003D2155" w:rsidRPr="00175D8B" w:rsidRDefault="003D2155" w:rsidP="00DD7A56">
      <w:pPr>
        <w:spacing w:after="16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ESS7: Indigenous Peoples/Sub-Saharan African Historically Underserved Traditional Local Communities</w:t>
      </w:r>
    </w:p>
    <w:p w14:paraId="3CAEE2DD" w14:textId="77777777" w:rsidR="003D2155" w:rsidRPr="00175D8B" w:rsidRDefault="003D2155" w:rsidP="00DD7A56">
      <w:pPr>
        <w:spacing w:after="160"/>
        <w:rPr>
          <w:rFonts w:eastAsia="Aptos" w:cs="Aptos"/>
          <w:b/>
          <w:kern w:val="0"/>
          <w:szCs w:val="22"/>
          <w:lang w:eastAsia="tr-TR"/>
          <w14:ligatures w14:val="none"/>
        </w:rPr>
      </w:pPr>
      <w:r w:rsidRPr="00175D8B">
        <w:rPr>
          <w:rFonts w:eastAsia="Aptos" w:cs="Aptos"/>
          <w:kern w:val="0"/>
          <w:szCs w:val="22"/>
          <w:lang w:eastAsia="tr-TR"/>
          <w14:ligatures w14:val="none"/>
        </w:rPr>
        <w:t>This standard does not apply to the Project</w:t>
      </w:r>
      <w:r w:rsidRPr="00175D8B">
        <w:rPr>
          <w:rFonts w:eastAsia="Aptos" w:cs="Aptos"/>
          <w:b/>
          <w:kern w:val="0"/>
          <w:szCs w:val="22"/>
          <w:lang w:eastAsia="tr-TR"/>
          <w14:ligatures w14:val="none"/>
        </w:rPr>
        <w:t xml:space="preserve"> </w:t>
      </w:r>
    </w:p>
    <w:p w14:paraId="1C421BB8" w14:textId="77777777" w:rsidR="003D2155" w:rsidRPr="00175D8B" w:rsidRDefault="003D2155" w:rsidP="00DD7A56">
      <w:pPr>
        <w:spacing w:after="16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ESS8: Cultural Heritage</w:t>
      </w:r>
    </w:p>
    <w:p w14:paraId="2F2E16BF"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lastRenderedPageBreak/>
        <w:t>This standard indicates that cultural heritage provides continuity between the past, present and future in tangible and intangible forms. Necessary measures must be taken for the protection of cultural heritage in practices.</w:t>
      </w:r>
    </w:p>
    <w:p w14:paraId="162B5A02" w14:textId="77777777" w:rsidR="003D2155" w:rsidRPr="00175D8B" w:rsidRDefault="003D2155" w:rsidP="00DD7A56">
      <w:pPr>
        <w:spacing w:after="16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 xml:space="preserve">ESS9: Financial Intermediaries </w:t>
      </w:r>
    </w:p>
    <w:p w14:paraId="1828B02F" w14:textId="77777777" w:rsidR="003D2155"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This standard does not apply to the MoEUCC but to ILBANK, acting as a Financial Intermediary, which will be implementing Component 3 and 4b of the Project. ILBANK also has prepared their Environmental and Social Commitment Plan (ESCP), ESMF, RF and SEP specific to Component 3 and 4. ILBANK also has established its Environmental and Social Management System (ESMS). </w:t>
      </w:r>
    </w:p>
    <w:p w14:paraId="6BFBAA0D" w14:textId="77777777" w:rsidR="003D2155" w:rsidRPr="00175D8B" w:rsidRDefault="003D2155" w:rsidP="00DD7A56">
      <w:pPr>
        <w:spacing w:after="160"/>
        <w:rPr>
          <w:rFonts w:eastAsia="Aptos" w:cs="Aptos"/>
          <w:b/>
          <w:kern w:val="0"/>
          <w:szCs w:val="22"/>
          <w:u w:val="single"/>
          <w:lang w:eastAsia="tr-TR"/>
          <w14:ligatures w14:val="none"/>
        </w:rPr>
      </w:pPr>
      <w:r w:rsidRPr="00175D8B">
        <w:rPr>
          <w:rFonts w:eastAsia="Aptos" w:cs="Aptos"/>
          <w:b/>
          <w:kern w:val="0"/>
          <w:szCs w:val="22"/>
          <w:u w:val="single"/>
          <w:lang w:eastAsia="tr-TR"/>
          <w14:ligatures w14:val="none"/>
        </w:rPr>
        <w:t>ESS10: Stakeholder Engagement and Information Disclosure</w:t>
      </w:r>
    </w:p>
    <w:p w14:paraId="30B7B0A8" w14:textId="099F0176" w:rsidR="007819D2" w:rsidRPr="00175D8B" w:rsidRDefault="003D2155"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The importance of open and transparent participation among stakeholders is emphasized as it is a necessary element of good international practice. It contributes to Projects in terms of effective stakeholder engagement, improving environmental and social sustainability, increasing the acceptance of practices and successful Project design.</w:t>
      </w:r>
    </w:p>
    <w:p w14:paraId="7BC55861" w14:textId="757E4809" w:rsidR="00921C59" w:rsidRPr="00175D8B" w:rsidRDefault="007819D2" w:rsidP="00F02281">
      <w:pPr>
        <w:pStyle w:val="Balk1"/>
        <w:rPr>
          <w:b/>
          <w:sz w:val="28"/>
          <w:szCs w:val="28"/>
          <w:lang w:eastAsia="tr-TR"/>
        </w:rPr>
      </w:pPr>
      <w:r w:rsidRPr="00175D8B">
        <w:rPr>
          <w:lang w:eastAsia="tr-TR"/>
        </w:rPr>
        <w:br w:type="page"/>
      </w:r>
      <w:bookmarkStart w:id="477" w:name="_Toc207987179"/>
      <w:bookmarkStart w:id="478" w:name="_Toc212541910"/>
      <w:bookmarkStart w:id="479" w:name="_Toc212542421"/>
      <w:bookmarkStart w:id="480" w:name="_Toc220672831"/>
      <w:r w:rsidR="00921C59" w:rsidRPr="00175D8B">
        <w:rPr>
          <w:b/>
          <w:sz w:val="28"/>
          <w:szCs w:val="28"/>
          <w:lang w:eastAsia="tr-TR"/>
        </w:rPr>
        <w:lastRenderedPageBreak/>
        <w:t>ANNEX 2- CODE OF CONDUCT</w:t>
      </w:r>
      <w:bookmarkEnd w:id="477"/>
      <w:bookmarkEnd w:id="478"/>
      <w:bookmarkEnd w:id="479"/>
      <w:bookmarkEnd w:id="480"/>
    </w:p>
    <w:p w14:paraId="5CDC8350"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As the Contractor, [</w:t>
      </w:r>
      <w:r w:rsidRPr="00175D8B">
        <w:rPr>
          <w:rFonts w:eastAsia="Aptos" w:cs="Aptos"/>
          <w:i/>
          <w:kern w:val="0"/>
          <w:szCs w:val="22"/>
          <w:lang w:eastAsia="tr-TR"/>
          <w14:ligatures w14:val="none"/>
        </w:rPr>
        <w:t>insert the name of</w:t>
      </w:r>
      <w:r w:rsidRPr="00175D8B">
        <w:rPr>
          <w:rFonts w:eastAsia="Aptos" w:cs="Aptos"/>
          <w:kern w:val="0"/>
          <w:szCs w:val="22"/>
          <w:lang w:eastAsia="tr-TR"/>
          <w14:ligatures w14:val="none"/>
        </w:rPr>
        <w:t xml:space="preserve"> </w:t>
      </w:r>
      <w:r w:rsidRPr="00175D8B">
        <w:rPr>
          <w:rFonts w:eastAsia="Aptos" w:cs="Aptos"/>
          <w:i/>
          <w:kern w:val="0"/>
          <w:szCs w:val="22"/>
          <w:lang w:eastAsia="tr-TR"/>
          <w14:ligatures w14:val="none"/>
        </w:rPr>
        <w:t>the Contractor</w:t>
      </w:r>
      <w:r w:rsidRPr="00175D8B">
        <w:rPr>
          <w:rFonts w:eastAsia="Aptos" w:cs="Aptos"/>
          <w:kern w:val="0"/>
          <w:szCs w:val="22"/>
          <w:lang w:eastAsia="tr-TR"/>
          <w14:ligatures w14:val="none"/>
        </w:rPr>
        <w:t>]; We have signed a contract with [</w:t>
      </w:r>
      <w:r w:rsidRPr="00175D8B">
        <w:rPr>
          <w:rFonts w:eastAsia="Aptos" w:cs="Aptos"/>
          <w:i/>
          <w:kern w:val="0"/>
          <w:szCs w:val="22"/>
          <w:lang w:eastAsia="tr-TR"/>
          <w14:ligatures w14:val="none"/>
        </w:rPr>
        <w:t>Employer's name will be inserted</w:t>
      </w:r>
      <w:r w:rsidRPr="00175D8B">
        <w:rPr>
          <w:rFonts w:eastAsia="Aptos" w:cs="Aptos"/>
          <w:kern w:val="0"/>
          <w:szCs w:val="22"/>
          <w:lang w:eastAsia="tr-TR"/>
          <w14:ligatures w14:val="none"/>
        </w:rPr>
        <w:t>] for [</w:t>
      </w:r>
      <w:r w:rsidRPr="00175D8B">
        <w:rPr>
          <w:rFonts w:eastAsia="Aptos" w:cs="Aptos"/>
          <w:i/>
          <w:kern w:val="0"/>
          <w:szCs w:val="22"/>
          <w:lang w:eastAsia="tr-TR"/>
          <w14:ligatures w14:val="none"/>
        </w:rPr>
        <w:t>job name and description to be entered</w:t>
      </w:r>
      <w:r w:rsidRPr="00175D8B">
        <w:rPr>
          <w:rFonts w:eastAsia="Aptos" w:cs="Aptos"/>
          <w:kern w:val="0"/>
          <w:szCs w:val="22"/>
          <w:lang w:eastAsia="tr-TR"/>
          <w14:ligatures w14:val="none"/>
        </w:rPr>
        <w:t>]. These works [</w:t>
      </w:r>
      <w:r w:rsidRPr="00175D8B">
        <w:rPr>
          <w:rFonts w:eastAsia="Aptos" w:cs="Aptos"/>
          <w:i/>
          <w:kern w:val="0"/>
          <w:szCs w:val="22"/>
          <w:lang w:eastAsia="tr-TR"/>
          <w14:ligatures w14:val="none"/>
        </w:rPr>
        <w:t>insert</w:t>
      </w:r>
      <w:r w:rsidRPr="00175D8B">
        <w:rPr>
          <w:rFonts w:eastAsia="Aptos" w:cs="Aptos"/>
          <w:kern w:val="0"/>
          <w:szCs w:val="22"/>
          <w:lang w:eastAsia="tr-TR"/>
          <w14:ligatures w14:val="none"/>
        </w:rPr>
        <w:t xml:space="preserve"> </w:t>
      </w:r>
      <w:r w:rsidRPr="00175D8B">
        <w:rPr>
          <w:rFonts w:eastAsia="Aptos" w:cs="Aptos"/>
          <w:i/>
          <w:kern w:val="0"/>
          <w:szCs w:val="22"/>
          <w:lang w:eastAsia="tr-TR"/>
          <w14:ligatures w14:val="none"/>
        </w:rPr>
        <w:t>the names of the construction sites and other locations where the works will be done</w:t>
      </w:r>
      <w:r w:rsidRPr="00175D8B">
        <w:rPr>
          <w:rFonts w:eastAsia="Aptos" w:cs="Aptos"/>
          <w:kern w:val="0"/>
          <w:szCs w:val="22"/>
          <w:lang w:eastAsia="tr-TR"/>
          <w14:ligatures w14:val="none"/>
        </w:rPr>
        <w:t>] will also be carried out. The contract obliges us to take measures to address environmental and social risks associated with work, including the risks of sexual exploitation, abuse and gender-based discrimination.</w:t>
      </w:r>
    </w:p>
    <w:p w14:paraId="12A67A7E"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This Code of Conduct (CoC) is part of the measures we take to fight against environmental and social risks associated with work. It applies to all our employees at the site or other places where work is executed. Besides; this contract also applies to the personnel of each subcontractor and other personnel who assist us in the execution of the works. All such personnel are called “Contractor's Personnel” and are subject to the CoC.</w:t>
      </w:r>
    </w:p>
    <w:p w14:paraId="17B5F2DE"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This CoC defines the obligated behavior of personnel identified above as "Contractor's Personnel".</w:t>
      </w:r>
    </w:p>
    <w:p w14:paraId="3A32DFE1"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Our working environment; There will be an environment where unsafe, abusive or violent behavior will not be tolerated, and where all individuals can comfortably express their problems or concerns without fear of retaliation.</w:t>
      </w:r>
    </w:p>
    <w:p w14:paraId="4CC37B2D" w14:textId="77777777" w:rsidR="00921C59" w:rsidRPr="00175D8B" w:rsidRDefault="00921C59" w:rsidP="00DD7A56">
      <w:pPr>
        <w:spacing w:after="160"/>
        <w:rPr>
          <w:rFonts w:eastAsia="Aptos" w:cs="Aptos"/>
          <w:b/>
          <w:kern w:val="0"/>
          <w:szCs w:val="22"/>
          <w:lang w:eastAsia="tr-TR"/>
          <w14:ligatures w14:val="none"/>
        </w:rPr>
      </w:pPr>
      <w:r w:rsidRPr="00175D8B">
        <w:rPr>
          <w:rFonts w:eastAsia="Aptos" w:cs="Aptos"/>
          <w:b/>
          <w:kern w:val="0"/>
          <w:szCs w:val="22"/>
          <w:lang w:eastAsia="tr-TR"/>
          <w14:ligatures w14:val="none"/>
        </w:rPr>
        <w:t>REQUIRED BEHAVIOR</w:t>
      </w:r>
    </w:p>
    <w:p w14:paraId="02594F48"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Contractor's Personnel:</w:t>
      </w:r>
    </w:p>
    <w:p w14:paraId="37434025" w14:textId="77777777" w:rsidR="00921C59" w:rsidRPr="00175D8B" w:rsidRDefault="00921C59">
      <w:pPr>
        <w:numPr>
          <w:ilvl w:val="0"/>
          <w:numId w:val="111"/>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Perform their duties adequately and selflessly;</w:t>
      </w:r>
    </w:p>
    <w:p w14:paraId="2A008DC2" w14:textId="77777777" w:rsidR="00921C59" w:rsidRPr="00175D8B" w:rsidRDefault="00921C59">
      <w:pPr>
        <w:numPr>
          <w:ilvl w:val="0"/>
          <w:numId w:val="11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Comply with this CoC and all applicable laws, regulations and other requirements, including requirements to protect the health, safety and well-being of the Contractor's other personnel and any other person;</w:t>
      </w:r>
    </w:p>
    <w:p w14:paraId="724B0C70" w14:textId="77777777" w:rsidR="00921C59" w:rsidRPr="00175D8B" w:rsidRDefault="00921C59">
      <w:pPr>
        <w:numPr>
          <w:ilvl w:val="0"/>
          <w:numId w:val="11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Organize a safe working environment within the scope listed below: </w:t>
      </w:r>
    </w:p>
    <w:p w14:paraId="44291109" w14:textId="77777777" w:rsidR="00921C59" w:rsidRPr="00175D8B" w:rsidRDefault="00921C59">
      <w:pPr>
        <w:numPr>
          <w:ilvl w:val="0"/>
          <w:numId w:val="112"/>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ensuring that workplaces, machinery, equipment and processes under each person's control are safe and do not pose a health risk;</w:t>
      </w:r>
    </w:p>
    <w:p w14:paraId="767F52EB" w14:textId="77777777" w:rsidR="00921C59" w:rsidRPr="00175D8B" w:rsidRDefault="00921C59">
      <w:pPr>
        <w:numPr>
          <w:ilvl w:val="0"/>
          <w:numId w:val="112"/>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use of necessary personal protective equipment;</w:t>
      </w:r>
    </w:p>
    <w:p w14:paraId="0D9CFA9C" w14:textId="77777777" w:rsidR="00921C59" w:rsidRPr="00175D8B" w:rsidRDefault="00921C59">
      <w:pPr>
        <w:numPr>
          <w:ilvl w:val="0"/>
          <w:numId w:val="112"/>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taking appropriate precautions regarding chemical, physical and biological substances and agents; and</w:t>
      </w:r>
    </w:p>
    <w:p w14:paraId="5A46E240" w14:textId="77777777" w:rsidR="00921C59" w:rsidRPr="00175D8B" w:rsidRDefault="00921C59">
      <w:pPr>
        <w:numPr>
          <w:ilvl w:val="0"/>
          <w:numId w:val="112"/>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following appropriate emergency operations procedures</w:t>
      </w:r>
    </w:p>
    <w:p w14:paraId="6C629833" w14:textId="77777777" w:rsidR="00921C59" w:rsidRPr="00175D8B" w:rsidRDefault="00921C59">
      <w:pPr>
        <w:numPr>
          <w:ilvl w:val="0"/>
          <w:numId w:val="11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lastRenderedPageBreak/>
        <w:t xml:space="preserve">Report working conditions that he/she believes are unsafe or unhealthy and to avoid a working condition that he/she believes poses a serious danger to his life or health;   </w:t>
      </w:r>
    </w:p>
    <w:p w14:paraId="1D75CC66" w14:textId="77777777" w:rsidR="00921C59" w:rsidRPr="00175D8B" w:rsidRDefault="00921C59">
      <w:pPr>
        <w:numPr>
          <w:ilvl w:val="0"/>
          <w:numId w:val="11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Not to discriminate against specific groups such as women, people with disabilities, migrant workers or children and to treat other people with respect;</w:t>
      </w:r>
    </w:p>
    <w:p w14:paraId="4B2F1FDF" w14:textId="77777777" w:rsidR="00921C59" w:rsidRPr="00175D8B" w:rsidRDefault="00921C59">
      <w:pPr>
        <w:numPr>
          <w:ilvl w:val="0"/>
          <w:numId w:val="11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Against other personnel of the Contractor or the Employer; not engage in any form of sexual harassment, including undesirable sexual advances, sexual solicitations, or any other verbal or physical behavior of a sexual nature; </w:t>
      </w:r>
    </w:p>
    <w:p w14:paraId="69E69E67" w14:textId="77777777" w:rsidR="00921C59" w:rsidRPr="00175D8B" w:rsidRDefault="00921C59">
      <w:pPr>
        <w:numPr>
          <w:ilvl w:val="0"/>
          <w:numId w:val="11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Not to attempt Sexual Exploitation (not engaging in any act or attempting to abuse vulnerable position, power difference or trust for sexual purposes; and not sexually abusing another, including, but not limited to, benefiting financially, socially or politically) </w:t>
      </w:r>
    </w:p>
    <w:p w14:paraId="4F57C0F1" w14:textId="77777777" w:rsidR="00921C59" w:rsidRPr="00175D8B" w:rsidRDefault="00921C59">
      <w:pPr>
        <w:numPr>
          <w:ilvl w:val="0"/>
          <w:numId w:val="11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Not to attempt Rape. This concept means any physical or other forced (even mild) penetration with the penis or other body part into the vagina, anus, or mouth. In addition, penetration of the vagina or anus with an object is also included in this concept. Rape; includes marital rape, anal rape / anal intercourse. Attempting to those listed in this article is considered an attempted rape. Rape of a person by two or more perpetrators is called gang rape;</w:t>
      </w:r>
    </w:p>
    <w:p w14:paraId="7491AA20" w14:textId="77777777" w:rsidR="00921C59" w:rsidRPr="00175D8B" w:rsidRDefault="00921C59">
      <w:pPr>
        <w:numPr>
          <w:ilvl w:val="0"/>
          <w:numId w:val="11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Not to attempt Sexual Assault. This concept; means any form of non-consensual sexual contact that does not result in or does not involve penetration. Examples include: attempted rape as well as engaging in sexual acts such as non-consensual kissing, caressing, or touching the genitals-thighs of individuals under the age of 18, except in a pre-existing marital situation;</w:t>
      </w:r>
    </w:p>
    <w:p w14:paraId="13387FE5" w14:textId="77777777" w:rsidR="00921C59" w:rsidRPr="00175D8B" w:rsidRDefault="00921C59">
      <w:pPr>
        <w:numPr>
          <w:ilvl w:val="0"/>
          <w:numId w:val="11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Complete trainings on environmental and social aspects of the Contract, covering OHS issues along with Sexual Exploitation and Sexual Assault;</w:t>
      </w:r>
    </w:p>
    <w:p w14:paraId="798F27D0" w14:textId="77777777" w:rsidR="00921C59" w:rsidRPr="00175D8B" w:rsidRDefault="00921C59">
      <w:pPr>
        <w:numPr>
          <w:ilvl w:val="0"/>
          <w:numId w:val="11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Report any violations of this CoC; and</w:t>
      </w:r>
    </w:p>
    <w:p w14:paraId="7A0BC81F" w14:textId="0E214C38" w:rsidR="00921C59" w:rsidRPr="00175D8B" w:rsidRDefault="00921C59">
      <w:pPr>
        <w:numPr>
          <w:ilvl w:val="0"/>
          <w:numId w:val="11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Not be hostile towards any person reporting a violation of this CoC, us as the Contractor, or the Employer, or anyone using the [</w:t>
      </w:r>
      <w:r w:rsidRPr="00175D8B">
        <w:rPr>
          <w:rFonts w:eastAsia="Aptos" w:cs="Aptos"/>
          <w:i/>
          <w:color w:val="000000"/>
          <w:kern w:val="0"/>
          <w:szCs w:val="22"/>
          <w:lang w:eastAsia="tr-TR"/>
          <w14:ligatures w14:val="none"/>
        </w:rPr>
        <w:t>Project Grievance Mechanism</w:t>
      </w:r>
      <w:r w:rsidRPr="00175D8B">
        <w:rPr>
          <w:rFonts w:eastAsia="Aptos" w:cs="Aptos"/>
          <w:color w:val="000000"/>
          <w:kern w:val="0"/>
          <w:szCs w:val="22"/>
          <w:lang w:eastAsia="tr-TR"/>
          <w14:ligatures w14:val="none"/>
        </w:rPr>
        <w:t>].</w:t>
      </w:r>
    </w:p>
    <w:p w14:paraId="43070740" w14:textId="6C29A67A" w:rsidR="00CE62A9" w:rsidRPr="00175D8B" w:rsidRDefault="00CE62A9" w:rsidP="00921C59">
      <w:pPr>
        <w:spacing w:after="160"/>
        <w:rPr>
          <w:rFonts w:eastAsia="Aptos" w:cs="Aptos"/>
          <w:b/>
          <w:kern w:val="0"/>
          <w:szCs w:val="22"/>
          <w:lang w:eastAsia="tr-TR"/>
          <w14:ligatures w14:val="none"/>
        </w:rPr>
      </w:pPr>
    </w:p>
    <w:p w14:paraId="31095841" w14:textId="77777777" w:rsidR="00921C59" w:rsidRPr="00175D8B" w:rsidRDefault="00921C59" w:rsidP="00DD7A56">
      <w:pPr>
        <w:spacing w:after="160"/>
        <w:rPr>
          <w:rFonts w:eastAsia="Aptos" w:cs="Aptos"/>
          <w:b/>
          <w:kern w:val="0"/>
          <w:szCs w:val="22"/>
          <w:lang w:eastAsia="tr-TR"/>
          <w14:ligatures w14:val="none"/>
        </w:rPr>
      </w:pPr>
      <w:r w:rsidRPr="00175D8B">
        <w:rPr>
          <w:rFonts w:eastAsia="Aptos" w:cs="Aptos"/>
          <w:b/>
          <w:kern w:val="0"/>
          <w:szCs w:val="22"/>
          <w:lang w:eastAsia="tr-TR"/>
          <w14:ligatures w14:val="none"/>
        </w:rPr>
        <w:t>REPORTING OF THE CONCERNING SITUATION</w:t>
      </w:r>
    </w:p>
    <w:p w14:paraId="5A5CB2C2" w14:textId="7D35C01F" w:rsidR="002561E6"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All personnel observing a behavior that they believe violates this CoC or concerns them in any other way, they should immediately report that issue. This can be accomplished through one of the following</w:t>
      </w:r>
      <w:r w:rsidR="002561E6" w:rsidRPr="00175D8B">
        <w:rPr>
          <w:rFonts w:eastAsia="Aptos" w:cs="Aptos"/>
          <w:kern w:val="0"/>
          <w:szCs w:val="22"/>
          <w:lang w:eastAsia="tr-TR"/>
          <w14:ligatures w14:val="none"/>
        </w:rPr>
        <w:t>:</w:t>
      </w:r>
    </w:p>
    <w:p w14:paraId="5ABAAA6F" w14:textId="77777777" w:rsidR="00921C59" w:rsidRPr="00175D8B" w:rsidRDefault="00921C59">
      <w:pPr>
        <w:numPr>
          <w:ilvl w:val="0"/>
          <w:numId w:val="113"/>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lastRenderedPageBreak/>
        <w:t>Contact [</w:t>
      </w:r>
      <w:r w:rsidRPr="00175D8B">
        <w:rPr>
          <w:rFonts w:eastAsia="Aptos" w:cs="Aptos"/>
          <w:i/>
          <w:color w:val="000000"/>
          <w:kern w:val="0"/>
          <w:szCs w:val="22"/>
          <w:lang w:eastAsia="tr-TR"/>
          <w14:ligatures w14:val="none"/>
        </w:rPr>
        <w:t>insert the name of the Contractor's Social Specialist who will deal with gender-based discrimination, or, if such an employee is noncompulsory under the Contract, insert the name of another personnel designated by the Contractor</w:t>
      </w:r>
      <w:r w:rsidRPr="00175D8B">
        <w:rPr>
          <w:rFonts w:eastAsia="Aptos" w:cs="Aptos"/>
          <w:color w:val="000000"/>
          <w:kern w:val="0"/>
          <w:szCs w:val="22"/>
          <w:lang w:eastAsia="tr-TR"/>
          <w14:ligatures w14:val="none"/>
        </w:rPr>
        <w:t xml:space="preserve">] via phone number [ ] or in written form [ ] or [ ] in person; or     </w:t>
      </w:r>
    </w:p>
    <w:p w14:paraId="46293E03" w14:textId="77777777" w:rsidR="00921C59" w:rsidRPr="00175D8B" w:rsidRDefault="00921C59">
      <w:pPr>
        <w:numPr>
          <w:ilvl w:val="0"/>
          <w:numId w:val="11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To reach the Contractor's instant hotline (if applicable), call [ ] and leave a message.</w:t>
      </w:r>
    </w:p>
    <w:p w14:paraId="373CE330"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The identity of the individual will be kept confidential unless reporting of allegations is required by the law of that country. Anonymous complaints or allegations will be given due and appropriate consideration. We take all reports of potential abuse seriously and will investigate appropriate action. We will provide service providers with quick directions that can help appropriately support the survivor of the alleged incident.</w:t>
      </w:r>
    </w:p>
    <w:p w14:paraId="35E48A12"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Hostility will not be taken against anyone who raises a good faith concern about behavior prohibited by this CoC. Such a hostile situation constitutes a violation of this CoC. </w:t>
      </w:r>
    </w:p>
    <w:p w14:paraId="1B91A204" w14:textId="77777777" w:rsidR="00921C59" w:rsidRPr="00175D8B" w:rsidRDefault="00921C59" w:rsidP="00DD7A56">
      <w:pPr>
        <w:spacing w:after="160"/>
        <w:rPr>
          <w:rFonts w:eastAsia="Aptos" w:cs="Aptos"/>
          <w:b/>
          <w:kern w:val="0"/>
          <w:szCs w:val="22"/>
          <w:lang w:eastAsia="tr-TR"/>
          <w14:ligatures w14:val="none"/>
        </w:rPr>
      </w:pPr>
      <w:r w:rsidRPr="00175D8B">
        <w:rPr>
          <w:rFonts w:eastAsia="Aptos" w:cs="Aptos"/>
          <w:b/>
          <w:kern w:val="0"/>
          <w:szCs w:val="22"/>
          <w:lang w:eastAsia="tr-TR"/>
          <w14:ligatures w14:val="none"/>
        </w:rPr>
        <w:t>CONSEQUENCES OF VIOLATION OF CODE OF CONDUCT</w:t>
      </w:r>
    </w:p>
    <w:p w14:paraId="3B12A49E" w14:textId="26CBD596" w:rsidR="008D746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Any violation of this Code of Conduct by Contractor Personnel may have serious consequences, including termination of job and possible referral to the legal authorities.</w:t>
      </w:r>
    </w:p>
    <w:p w14:paraId="74F0D412" w14:textId="77777777" w:rsidR="00921C59" w:rsidRPr="00175D8B" w:rsidRDefault="00921C59" w:rsidP="00DD7A56">
      <w:pPr>
        <w:spacing w:after="160"/>
        <w:rPr>
          <w:rFonts w:eastAsia="Aptos" w:cs="Aptos"/>
          <w:b/>
          <w:bCs/>
          <w:kern w:val="0"/>
          <w:szCs w:val="22"/>
          <w:lang w:eastAsia="tr-TR"/>
          <w14:ligatures w14:val="none"/>
        </w:rPr>
      </w:pPr>
      <w:r w:rsidRPr="00175D8B">
        <w:rPr>
          <w:rFonts w:eastAsia="Aptos" w:cs="Aptos"/>
          <w:b/>
          <w:bCs/>
          <w:kern w:val="0"/>
          <w:szCs w:val="22"/>
          <w:lang w:eastAsia="tr-TR"/>
          <w14:ligatures w14:val="none"/>
        </w:rPr>
        <w:t>FOR CONTRACTOR PERSONNEL:</w:t>
      </w:r>
    </w:p>
    <w:p w14:paraId="5604BA0A" w14:textId="77777777" w:rsidR="00921C59" w:rsidRPr="00175D8B" w:rsidRDefault="00921C59" w:rsidP="00DD7A56">
      <w:pPr>
        <w:spacing w:after="160"/>
        <w:rPr>
          <w:rFonts w:eastAsia="Aptos" w:cs="Aptos"/>
          <w:i/>
          <w:kern w:val="0"/>
          <w:szCs w:val="22"/>
          <w:lang w:eastAsia="tr-TR"/>
          <w14:ligatures w14:val="none"/>
        </w:rPr>
      </w:pPr>
      <w:r w:rsidRPr="00175D8B">
        <w:rPr>
          <w:rFonts w:eastAsia="Aptos" w:cs="Aptos"/>
          <w:kern w:val="0"/>
          <w:szCs w:val="22"/>
          <w:lang w:eastAsia="tr-TR"/>
          <w14:ligatures w14:val="none"/>
        </w:rPr>
        <w:t xml:space="preserve">I have a written copy of this Code of Conduct in a language I understand. If I have any questions about this Code of Conduct, I understand that I can contact </w:t>
      </w:r>
      <w:r w:rsidRPr="00175D8B">
        <w:rPr>
          <w:rFonts w:eastAsia="Aptos" w:cs="Aptos"/>
          <w:i/>
          <w:kern w:val="0"/>
          <w:szCs w:val="22"/>
          <w:lang w:eastAsia="tr-TR"/>
          <w14:ligatures w14:val="none"/>
        </w:rPr>
        <w:t xml:space="preserve">[insert the name of the Contractor's gender-based discrimination contact], </w:t>
      </w:r>
      <w:r w:rsidRPr="00175D8B">
        <w:rPr>
          <w:rFonts w:eastAsia="Aptos" w:cs="Aptos"/>
          <w:kern w:val="0"/>
          <w:szCs w:val="22"/>
          <w:lang w:eastAsia="tr-TR"/>
          <w14:ligatures w14:val="none"/>
        </w:rPr>
        <w:t>requesting clarification</w:t>
      </w:r>
      <w:r w:rsidRPr="00175D8B">
        <w:rPr>
          <w:rFonts w:eastAsia="Aptos" w:cs="Aptos"/>
          <w:i/>
          <w:kern w:val="0"/>
          <w:szCs w:val="22"/>
          <w:lang w:eastAsia="tr-TR"/>
          <w14:ligatures w14:val="none"/>
        </w:rPr>
        <w:t>.</w:t>
      </w:r>
    </w:p>
    <w:p w14:paraId="0E61E315"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Contractor Personnel name: </w:t>
      </w:r>
      <w:r w:rsidRPr="00175D8B">
        <w:rPr>
          <w:rFonts w:eastAsia="Aptos" w:cs="Aptos"/>
          <w:i/>
          <w:kern w:val="0"/>
          <w:szCs w:val="22"/>
          <w:lang w:eastAsia="tr-TR"/>
          <w14:ligatures w14:val="none"/>
        </w:rPr>
        <w:t>[Insert name]</w:t>
      </w:r>
      <w:r w:rsidRPr="00175D8B">
        <w:rPr>
          <w:rFonts w:eastAsia="Aptos" w:cs="Aptos"/>
          <w:kern w:val="0"/>
          <w:szCs w:val="22"/>
          <w:lang w:eastAsia="tr-TR"/>
          <w14:ligatures w14:val="none"/>
        </w:rPr>
        <w:tab/>
      </w:r>
      <w:r w:rsidRPr="00175D8B">
        <w:rPr>
          <w:rFonts w:eastAsia="Aptos" w:cs="Aptos"/>
          <w:kern w:val="0"/>
          <w:szCs w:val="22"/>
          <w:lang w:eastAsia="tr-TR"/>
          <w14:ligatures w14:val="none"/>
        </w:rPr>
        <w:tab/>
      </w:r>
      <w:r w:rsidRPr="00175D8B">
        <w:rPr>
          <w:rFonts w:eastAsia="Aptos" w:cs="Aptos"/>
          <w:kern w:val="0"/>
          <w:szCs w:val="22"/>
          <w:lang w:eastAsia="tr-TR"/>
          <w14:ligatures w14:val="none"/>
        </w:rPr>
        <w:tab/>
      </w:r>
      <w:r w:rsidRPr="00175D8B">
        <w:rPr>
          <w:rFonts w:eastAsia="Aptos" w:cs="Aptos"/>
          <w:kern w:val="0"/>
          <w:szCs w:val="22"/>
          <w:lang w:eastAsia="tr-TR"/>
          <w14:ligatures w14:val="none"/>
        </w:rPr>
        <w:tab/>
      </w:r>
    </w:p>
    <w:p w14:paraId="5C51611D" w14:textId="77777777" w:rsidR="00921C59" w:rsidRPr="00175D8B" w:rsidRDefault="00921C59" w:rsidP="00921C59">
      <w:pPr>
        <w:spacing w:after="160"/>
        <w:rPr>
          <w:rFonts w:eastAsia="Aptos" w:cs="Aptos"/>
          <w:kern w:val="0"/>
          <w:sz w:val="20"/>
          <w:szCs w:val="20"/>
          <w:lang w:eastAsia="tr-TR"/>
          <w14:ligatures w14:val="none"/>
        </w:rPr>
      </w:pPr>
      <w:r w:rsidRPr="00175D8B">
        <w:rPr>
          <w:rFonts w:eastAsia="Aptos" w:cs="Aptos"/>
          <w:kern w:val="0"/>
          <w:sz w:val="20"/>
          <w:szCs w:val="20"/>
          <w:lang w:eastAsia="tr-TR"/>
          <w14:ligatures w14:val="none"/>
        </w:rPr>
        <w:t>Signature: ______________________________________________</w:t>
      </w:r>
    </w:p>
    <w:p w14:paraId="39077020" w14:textId="77777777" w:rsidR="00921C59" w:rsidRPr="00175D8B" w:rsidRDefault="00921C59" w:rsidP="00921C59">
      <w:pPr>
        <w:spacing w:after="160"/>
        <w:rPr>
          <w:rFonts w:eastAsia="Aptos" w:cs="Aptos"/>
          <w:kern w:val="0"/>
          <w:sz w:val="20"/>
          <w:szCs w:val="20"/>
          <w:lang w:eastAsia="tr-TR"/>
          <w14:ligatures w14:val="none"/>
        </w:rPr>
      </w:pPr>
      <w:r w:rsidRPr="00175D8B">
        <w:rPr>
          <w:rFonts w:eastAsia="Aptos" w:cs="Aptos"/>
          <w:kern w:val="0"/>
          <w:sz w:val="20"/>
          <w:szCs w:val="20"/>
          <w:lang w:eastAsia="tr-TR"/>
          <w14:ligatures w14:val="none"/>
        </w:rPr>
        <w:t>Date: (month/day/year): ______________________________________________</w:t>
      </w:r>
    </w:p>
    <w:p w14:paraId="61450227" w14:textId="77777777" w:rsidR="00921C59" w:rsidRPr="00175D8B" w:rsidRDefault="00921C59" w:rsidP="00921C59">
      <w:pPr>
        <w:spacing w:after="160"/>
        <w:rPr>
          <w:rFonts w:eastAsia="Aptos" w:cs="Aptos"/>
          <w:kern w:val="0"/>
          <w:sz w:val="20"/>
          <w:szCs w:val="20"/>
          <w:lang w:eastAsia="tr-TR"/>
          <w14:ligatures w14:val="none"/>
        </w:rPr>
      </w:pPr>
      <w:r w:rsidRPr="00175D8B">
        <w:rPr>
          <w:rFonts w:eastAsia="Aptos" w:cs="Aptos"/>
          <w:kern w:val="0"/>
          <w:sz w:val="20"/>
          <w:szCs w:val="20"/>
          <w:lang w:eastAsia="tr-TR"/>
          <w14:ligatures w14:val="none"/>
        </w:rPr>
        <w:t>Countersignature of the authorized Contractor Representative:</w:t>
      </w:r>
    </w:p>
    <w:p w14:paraId="2F708A94" w14:textId="77777777" w:rsidR="00921C59" w:rsidRPr="00175D8B" w:rsidRDefault="00921C59" w:rsidP="00921C59">
      <w:pPr>
        <w:spacing w:after="160"/>
        <w:rPr>
          <w:rFonts w:eastAsia="Aptos" w:cs="Aptos"/>
          <w:kern w:val="0"/>
          <w:sz w:val="20"/>
          <w:szCs w:val="20"/>
          <w:lang w:eastAsia="tr-TR"/>
          <w14:ligatures w14:val="none"/>
        </w:rPr>
      </w:pPr>
      <w:r w:rsidRPr="00175D8B">
        <w:rPr>
          <w:rFonts w:eastAsia="Aptos" w:cs="Aptos"/>
          <w:kern w:val="0"/>
          <w:sz w:val="20"/>
          <w:szCs w:val="20"/>
          <w:lang w:eastAsia="tr-TR"/>
          <w14:ligatures w14:val="none"/>
        </w:rPr>
        <w:t>Signature: ______________________________________________</w:t>
      </w:r>
    </w:p>
    <w:p w14:paraId="0B8125A3" w14:textId="77777777" w:rsidR="00921C59" w:rsidRPr="00175D8B" w:rsidRDefault="00921C59" w:rsidP="00921C59">
      <w:pPr>
        <w:spacing w:after="160"/>
        <w:rPr>
          <w:rFonts w:eastAsia="Aptos" w:cs="Aptos"/>
          <w:kern w:val="0"/>
          <w:sz w:val="20"/>
          <w:szCs w:val="20"/>
          <w:lang w:eastAsia="tr-TR"/>
          <w14:ligatures w14:val="none"/>
        </w:rPr>
      </w:pPr>
      <w:r w:rsidRPr="00175D8B">
        <w:rPr>
          <w:rFonts w:eastAsia="Aptos" w:cs="Aptos"/>
          <w:kern w:val="0"/>
          <w:sz w:val="20"/>
          <w:szCs w:val="20"/>
          <w:lang w:eastAsia="tr-TR"/>
          <w14:ligatures w14:val="none"/>
        </w:rPr>
        <w:t>Date: (month/day/year): ______________________________________________</w:t>
      </w:r>
    </w:p>
    <w:p w14:paraId="748D97D5" w14:textId="77777777" w:rsidR="00921C59" w:rsidRPr="00175D8B" w:rsidRDefault="00921C59" w:rsidP="00921C59">
      <w:pPr>
        <w:spacing w:after="160"/>
        <w:rPr>
          <w:rFonts w:eastAsia="Aptos" w:cs="Aptos"/>
          <w:kern w:val="0"/>
          <w:sz w:val="20"/>
          <w:szCs w:val="20"/>
          <w:lang w:eastAsia="tr-TR"/>
          <w14:ligatures w14:val="none"/>
        </w:rPr>
      </w:pPr>
    </w:p>
    <w:p w14:paraId="7706BA5D" w14:textId="77777777" w:rsidR="00921C59" w:rsidRPr="00175D8B" w:rsidRDefault="00921C59" w:rsidP="00921C59">
      <w:pPr>
        <w:spacing w:after="160" w:line="259" w:lineRule="auto"/>
        <w:jc w:val="left"/>
        <w:rPr>
          <w:rFonts w:eastAsia="Aptos" w:cs="Aptos"/>
          <w:b/>
          <w:color w:val="000000"/>
          <w:kern w:val="0"/>
          <w:sz w:val="28"/>
          <w:szCs w:val="28"/>
          <w:lang w:eastAsia="tr-TR"/>
          <w14:ligatures w14:val="none"/>
        </w:rPr>
      </w:pPr>
      <w:r w:rsidRPr="00175D8B">
        <w:rPr>
          <w:rFonts w:eastAsia="Aptos" w:cs="Aptos"/>
          <w:kern w:val="0"/>
          <w:szCs w:val="22"/>
          <w:lang w:eastAsia="tr-TR"/>
          <w14:ligatures w14:val="none"/>
        </w:rPr>
        <w:br w:type="page"/>
      </w:r>
    </w:p>
    <w:p w14:paraId="435E2294" w14:textId="627BC16A" w:rsidR="00921C59" w:rsidRPr="00175D8B" w:rsidRDefault="00921C59">
      <w:pPr>
        <w:pStyle w:val="Balk1"/>
        <w:rPr>
          <w:b/>
          <w:sz w:val="28"/>
          <w:szCs w:val="28"/>
          <w:lang w:eastAsia="tr-TR"/>
        </w:rPr>
      </w:pPr>
      <w:bookmarkStart w:id="481" w:name="_Toc207987181"/>
      <w:bookmarkStart w:id="482" w:name="_Toc212541912"/>
      <w:bookmarkStart w:id="483" w:name="_Toc212542423"/>
      <w:bookmarkStart w:id="484" w:name="_Toc220672832"/>
      <w:r w:rsidRPr="00175D8B">
        <w:rPr>
          <w:b/>
          <w:sz w:val="28"/>
          <w:szCs w:val="28"/>
          <w:lang w:eastAsia="tr-TR"/>
        </w:rPr>
        <w:lastRenderedPageBreak/>
        <w:t xml:space="preserve">ANNEX </w:t>
      </w:r>
      <w:r w:rsidR="00365CEA" w:rsidRPr="00175D8B">
        <w:rPr>
          <w:b/>
          <w:sz w:val="28"/>
          <w:szCs w:val="28"/>
          <w:lang w:eastAsia="tr-TR"/>
        </w:rPr>
        <w:t>3</w:t>
      </w:r>
      <w:r w:rsidRPr="00175D8B">
        <w:rPr>
          <w:b/>
          <w:sz w:val="28"/>
          <w:szCs w:val="28"/>
          <w:lang w:eastAsia="tr-TR"/>
        </w:rPr>
        <w:t xml:space="preserve">- </w:t>
      </w:r>
      <w:bookmarkEnd w:id="481"/>
      <w:r w:rsidR="00CE62A9" w:rsidRPr="00175D8B">
        <w:rPr>
          <w:b/>
          <w:sz w:val="28"/>
          <w:szCs w:val="28"/>
          <w:lang w:eastAsia="tr-TR"/>
        </w:rPr>
        <w:t>GRIEVANCE REGISTRATION FORM (GRF)</w:t>
      </w:r>
      <w:bookmarkEnd w:id="482"/>
      <w:bookmarkEnd w:id="483"/>
      <w:bookmarkEnd w:id="484"/>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2978"/>
        <w:gridCol w:w="3513"/>
      </w:tblGrid>
      <w:tr w:rsidR="00921C59" w:rsidRPr="00175D8B" w14:paraId="65FB5FA3" w14:textId="77777777" w:rsidTr="002550A6">
        <w:trPr>
          <w:trHeight w:val="20"/>
          <w:jc w:val="center"/>
        </w:trPr>
        <w:tc>
          <w:tcPr>
            <w:tcW w:w="3396" w:type="dxa"/>
            <w:tcBorders>
              <w:top w:val="single" w:sz="4" w:space="0" w:color="auto"/>
              <w:left w:val="single" w:sz="4" w:space="0" w:color="auto"/>
              <w:bottom w:val="single" w:sz="4" w:space="0" w:color="auto"/>
              <w:right w:val="single" w:sz="4" w:space="0" w:color="auto"/>
            </w:tcBorders>
            <w:hideMark/>
          </w:tcPr>
          <w:p w14:paraId="0D6151B9" w14:textId="77777777" w:rsidR="00921C59" w:rsidRPr="00175D8B" w:rsidRDefault="00921C59" w:rsidP="00712A02">
            <w:pPr>
              <w:spacing w:after="160" w:line="259" w:lineRule="auto"/>
              <w:jc w:val="left"/>
              <w:rPr>
                <w:rFonts w:eastAsia="Aptos" w:cs="Aptos"/>
                <w:b/>
                <w:kern w:val="0"/>
                <w:sz w:val="16"/>
                <w:szCs w:val="16"/>
                <w:lang w:eastAsia="tr-TR"/>
                <w14:ligatures w14:val="none"/>
              </w:rPr>
            </w:pPr>
            <w:r w:rsidRPr="00175D8B">
              <w:rPr>
                <w:rFonts w:eastAsia="Aptos" w:cs="Aptos"/>
                <w:b/>
                <w:kern w:val="0"/>
                <w:sz w:val="16"/>
                <w:szCs w:val="16"/>
                <w:lang w:eastAsia="tr-TR"/>
                <w14:ligatures w14:val="none"/>
              </w:rPr>
              <w:t>Şikayetin Alındığı Yer/</w:t>
            </w:r>
          </w:p>
          <w:p w14:paraId="6988E465" w14:textId="77777777" w:rsidR="00921C59" w:rsidRPr="00175D8B" w:rsidRDefault="00921C59" w:rsidP="00712A02">
            <w:pPr>
              <w:spacing w:after="160" w:line="259" w:lineRule="auto"/>
              <w:jc w:val="left"/>
              <w:rPr>
                <w:rFonts w:eastAsia="Aptos" w:cs="Aptos"/>
                <w:kern w:val="0"/>
                <w:sz w:val="16"/>
                <w:szCs w:val="16"/>
                <w:lang w:eastAsia="tr-TR"/>
                <w14:ligatures w14:val="none"/>
              </w:rPr>
            </w:pPr>
            <w:r w:rsidRPr="00175D8B">
              <w:rPr>
                <w:rFonts w:eastAsia="Aptos" w:cs="Aptos"/>
                <w:kern w:val="0"/>
                <w:sz w:val="16"/>
                <w:szCs w:val="16"/>
                <w:lang w:eastAsia="tr-TR"/>
                <w14:ligatures w14:val="none"/>
              </w:rPr>
              <w:t>Location of Complaints Received</w:t>
            </w:r>
          </w:p>
        </w:tc>
        <w:tc>
          <w:tcPr>
            <w:tcW w:w="2978" w:type="dxa"/>
            <w:tcBorders>
              <w:top w:val="single" w:sz="4" w:space="0" w:color="auto"/>
              <w:left w:val="single" w:sz="4" w:space="0" w:color="auto"/>
              <w:bottom w:val="single" w:sz="4" w:space="0" w:color="auto"/>
              <w:right w:val="single" w:sz="4" w:space="0" w:color="auto"/>
            </w:tcBorders>
          </w:tcPr>
          <w:p w14:paraId="43AEEDC1" w14:textId="77777777" w:rsidR="00921C59" w:rsidRPr="00175D8B" w:rsidRDefault="00921C59" w:rsidP="00712A02">
            <w:pPr>
              <w:spacing w:after="160" w:line="259" w:lineRule="auto"/>
              <w:jc w:val="left"/>
              <w:rPr>
                <w:rFonts w:eastAsia="Aptos" w:cs="Aptos"/>
                <w:kern w:val="0"/>
                <w:sz w:val="16"/>
                <w:szCs w:val="16"/>
                <w:lang w:eastAsia="tr-TR"/>
                <w14:ligatures w14:val="none"/>
              </w:rPr>
            </w:pPr>
          </w:p>
          <w:p w14:paraId="28E3D0A5" w14:textId="77777777" w:rsidR="00921C59" w:rsidRPr="00175D8B" w:rsidRDefault="00921C59" w:rsidP="00712A02">
            <w:pPr>
              <w:spacing w:after="160" w:line="259" w:lineRule="auto"/>
              <w:jc w:val="left"/>
              <w:rPr>
                <w:rFonts w:eastAsia="Aptos" w:cs="Aptos"/>
                <w:kern w:val="0"/>
                <w:sz w:val="16"/>
                <w:szCs w:val="16"/>
                <w:lang w:eastAsia="tr-TR"/>
                <w14:ligatures w14:val="none"/>
              </w:rPr>
            </w:pPr>
          </w:p>
        </w:tc>
        <w:tc>
          <w:tcPr>
            <w:tcW w:w="3513" w:type="dxa"/>
            <w:tcBorders>
              <w:top w:val="single" w:sz="4" w:space="0" w:color="auto"/>
              <w:left w:val="single" w:sz="4" w:space="0" w:color="auto"/>
              <w:bottom w:val="single" w:sz="4" w:space="0" w:color="auto"/>
              <w:right w:val="single" w:sz="4" w:space="0" w:color="auto"/>
            </w:tcBorders>
            <w:hideMark/>
          </w:tcPr>
          <w:p w14:paraId="46C80103" w14:textId="77777777" w:rsidR="00921C59" w:rsidRPr="00175D8B" w:rsidRDefault="00921C59" w:rsidP="00712A02">
            <w:pPr>
              <w:spacing w:after="160" w:line="259" w:lineRule="auto"/>
              <w:jc w:val="left"/>
              <w:rPr>
                <w:rFonts w:eastAsia="Aptos" w:cs="Aptos"/>
                <w:b/>
                <w:kern w:val="0"/>
                <w:sz w:val="16"/>
                <w:szCs w:val="16"/>
                <w:lang w:eastAsia="tr-TR"/>
                <w14:ligatures w14:val="none"/>
              </w:rPr>
            </w:pPr>
            <w:r w:rsidRPr="00175D8B">
              <w:rPr>
                <w:rFonts w:eastAsia="Aptos" w:cs="Aptos"/>
                <w:b/>
                <w:kern w:val="0"/>
                <w:sz w:val="16"/>
                <w:szCs w:val="16"/>
                <w:lang w:eastAsia="tr-TR"/>
                <w14:ligatures w14:val="none"/>
              </w:rPr>
              <w:t>Tarih/</w:t>
            </w:r>
          </w:p>
          <w:p w14:paraId="01DBBD57" w14:textId="77777777" w:rsidR="00921C59" w:rsidRPr="00175D8B" w:rsidRDefault="00921C59" w:rsidP="00712A02">
            <w:pPr>
              <w:spacing w:after="160" w:line="259" w:lineRule="auto"/>
              <w:jc w:val="left"/>
              <w:rPr>
                <w:rFonts w:eastAsia="Aptos" w:cs="Aptos"/>
                <w:kern w:val="0"/>
                <w:sz w:val="16"/>
                <w:szCs w:val="16"/>
                <w:lang w:eastAsia="tr-TR"/>
                <w14:ligatures w14:val="none"/>
              </w:rPr>
            </w:pPr>
            <w:r w:rsidRPr="00175D8B">
              <w:rPr>
                <w:rFonts w:eastAsia="Aptos" w:cs="Aptos"/>
                <w:kern w:val="0"/>
                <w:sz w:val="16"/>
                <w:szCs w:val="16"/>
                <w:lang w:eastAsia="tr-TR"/>
                <w14:ligatures w14:val="none"/>
              </w:rPr>
              <w:t>Date</w:t>
            </w:r>
          </w:p>
        </w:tc>
      </w:tr>
      <w:tr w:rsidR="00921C59" w:rsidRPr="00175D8B" w14:paraId="5C2FDBC1" w14:textId="77777777" w:rsidTr="002550A6">
        <w:trPr>
          <w:trHeight w:val="20"/>
          <w:jc w:val="center"/>
        </w:trPr>
        <w:tc>
          <w:tcPr>
            <w:tcW w:w="3396" w:type="dxa"/>
            <w:tcBorders>
              <w:top w:val="single" w:sz="4" w:space="0" w:color="auto"/>
              <w:left w:val="single" w:sz="4" w:space="0" w:color="auto"/>
              <w:bottom w:val="single" w:sz="4" w:space="0" w:color="auto"/>
              <w:right w:val="single" w:sz="4" w:space="0" w:color="auto"/>
            </w:tcBorders>
            <w:hideMark/>
          </w:tcPr>
          <w:p w14:paraId="7790D06C" w14:textId="77777777" w:rsidR="00921C59" w:rsidRPr="00175D8B" w:rsidRDefault="00921C59" w:rsidP="00712A02">
            <w:pPr>
              <w:spacing w:after="160" w:line="259" w:lineRule="auto"/>
              <w:jc w:val="left"/>
              <w:rPr>
                <w:rFonts w:eastAsia="Aptos" w:cs="Aptos"/>
                <w:b/>
                <w:kern w:val="0"/>
                <w:sz w:val="16"/>
                <w:szCs w:val="16"/>
                <w:lang w:eastAsia="tr-TR"/>
                <w14:ligatures w14:val="none"/>
              </w:rPr>
            </w:pPr>
            <w:r w:rsidRPr="00175D8B">
              <w:rPr>
                <w:rFonts w:eastAsia="Aptos" w:cs="Aptos"/>
                <w:b/>
                <w:kern w:val="0"/>
                <w:sz w:val="16"/>
                <w:szCs w:val="16"/>
                <w:lang w:eastAsia="tr-TR"/>
                <w14:ligatures w14:val="none"/>
              </w:rPr>
              <w:t>Alan Yetkilisinin Adı/</w:t>
            </w:r>
          </w:p>
          <w:p w14:paraId="0998B8C6" w14:textId="77777777" w:rsidR="00921C59" w:rsidRPr="00175D8B" w:rsidRDefault="00921C59" w:rsidP="00712A02">
            <w:pPr>
              <w:spacing w:after="160" w:line="259" w:lineRule="auto"/>
              <w:jc w:val="left"/>
              <w:rPr>
                <w:rFonts w:eastAsia="Aptos" w:cs="Aptos"/>
                <w:kern w:val="0"/>
                <w:sz w:val="16"/>
                <w:szCs w:val="16"/>
                <w:lang w:eastAsia="tr-TR"/>
                <w14:ligatures w14:val="none"/>
              </w:rPr>
            </w:pPr>
            <w:r w:rsidRPr="00175D8B">
              <w:rPr>
                <w:rFonts w:eastAsia="Aptos" w:cs="Aptos"/>
                <w:kern w:val="0"/>
                <w:sz w:val="16"/>
                <w:szCs w:val="16"/>
                <w:lang w:eastAsia="tr-TR"/>
                <w14:ligatures w14:val="none"/>
              </w:rPr>
              <w:t>Name of Person in Charge</w:t>
            </w:r>
          </w:p>
        </w:tc>
        <w:tc>
          <w:tcPr>
            <w:tcW w:w="2978" w:type="dxa"/>
            <w:tcBorders>
              <w:top w:val="single" w:sz="4" w:space="0" w:color="auto"/>
              <w:left w:val="single" w:sz="4" w:space="0" w:color="auto"/>
              <w:bottom w:val="single" w:sz="4" w:space="0" w:color="auto"/>
              <w:right w:val="single" w:sz="4" w:space="0" w:color="auto"/>
            </w:tcBorders>
          </w:tcPr>
          <w:p w14:paraId="42F52905" w14:textId="77777777" w:rsidR="00921C59" w:rsidRPr="00175D8B" w:rsidRDefault="00921C59" w:rsidP="00712A02">
            <w:pPr>
              <w:spacing w:after="160" w:line="259" w:lineRule="auto"/>
              <w:jc w:val="left"/>
              <w:rPr>
                <w:rFonts w:eastAsia="Aptos" w:cs="Aptos"/>
                <w:kern w:val="0"/>
                <w:sz w:val="16"/>
                <w:szCs w:val="16"/>
                <w:lang w:eastAsia="tr-TR"/>
                <w14:ligatures w14:val="none"/>
              </w:rPr>
            </w:pPr>
          </w:p>
          <w:p w14:paraId="52337B48" w14:textId="77777777" w:rsidR="00921C59" w:rsidRPr="00175D8B" w:rsidRDefault="00921C59" w:rsidP="00712A02">
            <w:pPr>
              <w:spacing w:after="160" w:line="259" w:lineRule="auto"/>
              <w:jc w:val="left"/>
              <w:rPr>
                <w:rFonts w:eastAsia="Aptos" w:cs="Aptos"/>
                <w:kern w:val="0"/>
                <w:sz w:val="16"/>
                <w:szCs w:val="16"/>
                <w:lang w:eastAsia="tr-TR"/>
                <w14:ligatures w14:val="none"/>
              </w:rPr>
            </w:pPr>
          </w:p>
        </w:tc>
        <w:tc>
          <w:tcPr>
            <w:tcW w:w="3513" w:type="dxa"/>
            <w:tcBorders>
              <w:top w:val="single" w:sz="4" w:space="0" w:color="auto"/>
              <w:left w:val="single" w:sz="4" w:space="0" w:color="auto"/>
              <w:bottom w:val="single" w:sz="4" w:space="0" w:color="auto"/>
              <w:right w:val="single" w:sz="4" w:space="0" w:color="auto"/>
            </w:tcBorders>
            <w:hideMark/>
          </w:tcPr>
          <w:p w14:paraId="1C0D6A86" w14:textId="77777777" w:rsidR="00921C59" w:rsidRPr="00175D8B" w:rsidRDefault="00921C59" w:rsidP="00712A02">
            <w:pPr>
              <w:spacing w:after="160" w:line="259" w:lineRule="auto"/>
              <w:jc w:val="left"/>
              <w:rPr>
                <w:rFonts w:eastAsia="Aptos" w:cs="Aptos"/>
                <w:b/>
                <w:kern w:val="0"/>
                <w:sz w:val="16"/>
                <w:szCs w:val="16"/>
                <w:lang w:eastAsia="tr-TR"/>
                <w14:ligatures w14:val="none"/>
              </w:rPr>
            </w:pPr>
            <w:r w:rsidRPr="00175D8B">
              <w:rPr>
                <w:rFonts w:eastAsia="Aptos" w:cs="Aptos"/>
                <w:b/>
                <w:kern w:val="0"/>
                <w:sz w:val="16"/>
                <w:szCs w:val="16"/>
                <w:lang w:eastAsia="tr-TR"/>
                <w14:ligatures w14:val="none"/>
              </w:rPr>
              <w:t>Şikayet Kayıt No/</w:t>
            </w:r>
          </w:p>
          <w:p w14:paraId="49BC69B3" w14:textId="77777777" w:rsidR="00921C59" w:rsidRPr="00175D8B" w:rsidRDefault="00921C59" w:rsidP="00712A02">
            <w:pPr>
              <w:spacing w:after="160" w:line="259" w:lineRule="auto"/>
              <w:jc w:val="left"/>
              <w:rPr>
                <w:rFonts w:eastAsia="Aptos" w:cs="Aptos"/>
                <w:kern w:val="0"/>
                <w:sz w:val="16"/>
                <w:szCs w:val="16"/>
                <w:lang w:eastAsia="tr-TR"/>
                <w14:ligatures w14:val="none"/>
              </w:rPr>
            </w:pPr>
            <w:r w:rsidRPr="00175D8B">
              <w:rPr>
                <w:rFonts w:eastAsia="Aptos" w:cs="Aptos"/>
                <w:kern w:val="0"/>
                <w:sz w:val="16"/>
                <w:szCs w:val="16"/>
                <w:lang w:eastAsia="tr-TR"/>
                <w14:ligatures w14:val="none"/>
              </w:rPr>
              <w:t>Complaint Register Number</w:t>
            </w:r>
          </w:p>
        </w:tc>
      </w:tr>
      <w:tr w:rsidR="00921C59" w:rsidRPr="00175D8B" w14:paraId="067E03A7" w14:textId="77777777" w:rsidTr="002550A6">
        <w:trPr>
          <w:trHeight w:val="20"/>
          <w:jc w:val="center"/>
        </w:trPr>
        <w:tc>
          <w:tcPr>
            <w:tcW w:w="3396" w:type="dxa"/>
            <w:tcBorders>
              <w:top w:val="single" w:sz="4" w:space="0" w:color="auto"/>
              <w:left w:val="single" w:sz="4" w:space="0" w:color="auto"/>
              <w:bottom w:val="single" w:sz="4" w:space="0" w:color="auto"/>
              <w:right w:val="single" w:sz="4" w:space="0" w:color="auto"/>
            </w:tcBorders>
            <w:hideMark/>
          </w:tcPr>
          <w:p w14:paraId="330E7240" w14:textId="77777777" w:rsidR="00921C59" w:rsidRPr="00175D8B" w:rsidRDefault="00921C59" w:rsidP="00712A02">
            <w:pPr>
              <w:spacing w:after="160" w:line="259" w:lineRule="auto"/>
              <w:jc w:val="left"/>
              <w:rPr>
                <w:rFonts w:eastAsia="Aptos" w:cs="Aptos"/>
                <w:b/>
                <w:kern w:val="0"/>
                <w:sz w:val="16"/>
                <w:szCs w:val="16"/>
                <w:lang w:eastAsia="tr-TR"/>
                <w14:ligatures w14:val="none"/>
              </w:rPr>
            </w:pPr>
            <w:r w:rsidRPr="00175D8B">
              <w:rPr>
                <w:rFonts w:eastAsia="Aptos" w:cs="Aptos"/>
                <w:b/>
                <w:kern w:val="0"/>
                <w:sz w:val="16"/>
                <w:szCs w:val="16"/>
                <w:lang w:eastAsia="tr-TR"/>
                <w14:ligatures w14:val="none"/>
              </w:rPr>
              <w:t>Şikayete Konu Alanın Koordinatları/</w:t>
            </w:r>
          </w:p>
          <w:p w14:paraId="4C41D3BF" w14:textId="77777777" w:rsidR="00921C59" w:rsidRPr="00175D8B" w:rsidRDefault="00921C59" w:rsidP="00712A02">
            <w:pPr>
              <w:spacing w:after="160" w:line="259" w:lineRule="auto"/>
              <w:jc w:val="left"/>
              <w:rPr>
                <w:rFonts w:eastAsia="Aptos" w:cs="Aptos"/>
                <w:kern w:val="0"/>
                <w:sz w:val="16"/>
                <w:szCs w:val="16"/>
                <w:lang w:eastAsia="tr-TR"/>
                <w14:ligatures w14:val="none"/>
              </w:rPr>
            </w:pPr>
            <w:r w:rsidRPr="00175D8B">
              <w:rPr>
                <w:rFonts w:eastAsia="Aptos" w:cs="Aptos"/>
                <w:kern w:val="0"/>
                <w:sz w:val="16"/>
                <w:szCs w:val="16"/>
                <w:lang w:eastAsia="tr-TR"/>
                <w14:ligatures w14:val="none"/>
              </w:rPr>
              <w:t>Coordinates of The Area Subject to Complaint</w:t>
            </w:r>
          </w:p>
        </w:tc>
        <w:tc>
          <w:tcPr>
            <w:tcW w:w="6491" w:type="dxa"/>
            <w:gridSpan w:val="2"/>
            <w:tcBorders>
              <w:top w:val="single" w:sz="4" w:space="0" w:color="auto"/>
              <w:left w:val="single" w:sz="4" w:space="0" w:color="auto"/>
              <w:bottom w:val="single" w:sz="4" w:space="0" w:color="auto"/>
              <w:right w:val="single" w:sz="4" w:space="0" w:color="auto"/>
            </w:tcBorders>
          </w:tcPr>
          <w:p w14:paraId="14651FB4" w14:textId="77777777" w:rsidR="00921C59" w:rsidRPr="00175D8B" w:rsidRDefault="00921C59" w:rsidP="00712A02">
            <w:pPr>
              <w:spacing w:after="160" w:line="259" w:lineRule="auto"/>
              <w:jc w:val="left"/>
              <w:rPr>
                <w:rFonts w:eastAsia="Aptos" w:cs="Aptos"/>
                <w:kern w:val="0"/>
                <w:sz w:val="16"/>
                <w:szCs w:val="16"/>
                <w:lang w:eastAsia="tr-TR"/>
                <w14:ligatures w14:val="none"/>
              </w:rPr>
            </w:pPr>
          </w:p>
        </w:tc>
      </w:tr>
      <w:tr w:rsidR="00921C59" w:rsidRPr="00175D8B" w14:paraId="29458E5B" w14:textId="77777777" w:rsidTr="002550A6">
        <w:trPr>
          <w:trHeight w:val="20"/>
          <w:jc w:val="center"/>
        </w:trPr>
        <w:tc>
          <w:tcPr>
            <w:tcW w:w="9887"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B5EC72E" w14:textId="77777777" w:rsidR="00921C59" w:rsidRPr="00175D8B" w:rsidRDefault="00921C59" w:rsidP="00712A02">
            <w:pPr>
              <w:spacing w:after="160" w:line="259" w:lineRule="auto"/>
              <w:jc w:val="left"/>
              <w:rPr>
                <w:rFonts w:eastAsia="Aptos" w:cs="Aptos"/>
                <w:b/>
                <w:kern w:val="0"/>
                <w:sz w:val="16"/>
                <w:szCs w:val="16"/>
                <w:lang w:eastAsia="tr-TR"/>
                <w14:ligatures w14:val="none"/>
              </w:rPr>
            </w:pPr>
            <w:r w:rsidRPr="00175D8B">
              <w:rPr>
                <w:rFonts w:eastAsia="Aptos" w:cs="Aptos"/>
                <w:b/>
                <w:kern w:val="0"/>
                <w:sz w:val="16"/>
                <w:szCs w:val="16"/>
                <w:lang w:eastAsia="tr-TR"/>
                <w14:ligatures w14:val="none"/>
              </w:rPr>
              <w:t>ŞİKAYET SAHİBİ HAKKINDA BİLGİ / COMPLAINANT INFO</w:t>
            </w:r>
          </w:p>
          <w:p w14:paraId="6E0BFB50" w14:textId="77777777" w:rsidR="00921C59" w:rsidRPr="00175D8B" w:rsidRDefault="00921C59" w:rsidP="00712A02">
            <w:pPr>
              <w:spacing w:after="160" w:line="240" w:lineRule="auto"/>
              <w:jc w:val="left"/>
              <w:rPr>
                <w:rFonts w:eastAsia="Aptos" w:cs="Aptos"/>
                <w:b/>
                <w:kern w:val="0"/>
                <w:sz w:val="16"/>
                <w:szCs w:val="16"/>
                <w:lang w:eastAsia="tr-TR"/>
                <w14:ligatures w14:val="none"/>
              </w:rPr>
            </w:pPr>
            <w:r w:rsidRPr="00175D8B">
              <w:rPr>
                <w:rFonts w:eastAsia="Aptos" w:cs="Aptos"/>
                <w:b/>
                <w:kern w:val="0"/>
                <w:sz w:val="16"/>
                <w:szCs w:val="16"/>
                <w:lang w:eastAsia="tr-TR"/>
                <w14:ligatures w14:val="none"/>
              </w:rPr>
              <w:t xml:space="preserve"> Şikayet sahipleri şikayetlerini isimsiz olarak iletebilirler. Ancak kimlik veya iletişim bilgilerinin verilmemesi, başvuru sahibinin, yapılacak düzeltici faaliyetler ve talebin durumu hakkında geri bildirim almasını engelleyebilir. </w:t>
            </w:r>
          </w:p>
          <w:p w14:paraId="5CB51077" w14:textId="77777777" w:rsidR="00921C59" w:rsidRPr="00175D8B" w:rsidRDefault="00921C59" w:rsidP="00712A02">
            <w:pPr>
              <w:spacing w:after="160" w:line="240" w:lineRule="auto"/>
              <w:jc w:val="left"/>
              <w:rPr>
                <w:rFonts w:eastAsia="Aptos" w:cs="Aptos"/>
                <w:kern w:val="0"/>
                <w:sz w:val="20"/>
                <w:szCs w:val="20"/>
                <w:lang w:eastAsia="tr-TR"/>
                <w14:ligatures w14:val="none"/>
              </w:rPr>
            </w:pPr>
            <w:r w:rsidRPr="00175D8B">
              <w:rPr>
                <w:rFonts w:eastAsia="Aptos" w:cs="Aptos"/>
                <w:b/>
                <w:kern w:val="0"/>
                <w:sz w:val="16"/>
                <w:szCs w:val="16"/>
                <w:lang w:eastAsia="tr-TR"/>
                <w14:ligatures w14:val="none"/>
              </w:rPr>
              <w:t>Applicants can submit their requests anonymously. However, if no ID or communication details are provided, this may prevent the applicant from receiving feedback regarding the corrective actions to be taken and the status of the request.</w:t>
            </w:r>
          </w:p>
        </w:tc>
      </w:tr>
      <w:tr w:rsidR="00921C59" w:rsidRPr="00175D8B" w14:paraId="1F0A80B8" w14:textId="77777777" w:rsidTr="002550A6">
        <w:trPr>
          <w:trHeight w:val="20"/>
          <w:jc w:val="center"/>
        </w:trPr>
        <w:tc>
          <w:tcPr>
            <w:tcW w:w="3396" w:type="dxa"/>
            <w:tcBorders>
              <w:top w:val="single" w:sz="4" w:space="0" w:color="auto"/>
              <w:left w:val="single" w:sz="4" w:space="0" w:color="auto"/>
              <w:bottom w:val="single" w:sz="4" w:space="0" w:color="auto"/>
              <w:right w:val="single" w:sz="4" w:space="0" w:color="auto"/>
            </w:tcBorders>
            <w:hideMark/>
          </w:tcPr>
          <w:p w14:paraId="6C730CD3" w14:textId="77777777" w:rsidR="00921C59" w:rsidRPr="00175D8B" w:rsidRDefault="00921C59" w:rsidP="00712A02">
            <w:pPr>
              <w:spacing w:after="160" w:line="259" w:lineRule="auto"/>
              <w:jc w:val="left"/>
              <w:rPr>
                <w:rFonts w:eastAsia="Aptos" w:cs="Aptos"/>
                <w:b/>
                <w:kern w:val="0"/>
                <w:sz w:val="16"/>
                <w:szCs w:val="16"/>
                <w:lang w:eastAsia="tr-TR"/>
                <w14:ligatures w14:val="none"/>
              </w:rPr>
            </w:pPr>
            <w:r w:rsidRPr="00175D8B">
              <w:rPr>
                <w:rFonts w:eastAsia="Aptos" w:cs="Aptos"/>
                <w:b/>
                <w:kern w:val="0"/>
                <w:sz w:val="16"/>
                <w:szCs w:val="16"/>
                <w:lang w:eastAsia="tr-TR"/>
                <w14:ligatures w14:val="none"/>
              </w:rPr>
              <w:t>Ad Soyad/</w:t>
            </w:r>
          </w:p>
          <w:p w14:paraId="14BFFDB4" w14:textId="77777777" w:rsidR="00921C59" w:rsidRPr="00175D8B" w:rsidRDefault="00921C59" w:rsidP="00712A02">
            <w:pPr>
              <w:spacing w:after="160" w:line="259" w:lineRule="auto"/>
              <w:jc w:val="left"/>
              <w:rPr>
                <w:rFonts w:eastAsia="Aptos" w:cs="Aptos"/>
                <w:kern w:val="0"/>
                <w:sz w:val="16"/>
                <w:szCs w:val="16"/>
                <w:lang w:eastAsia="tr-TR"/>
                <w14:ligatures w14:val="none"/>
              </w:rPr>
            </w:pPr>
            <w:r w:rsidRPr="00175D8B">
              <w:rPr>
                <w:rFonts w:eastAsia="Aptos" w:cs="Aptos"/>
                <w:kern w:val="0"/>
                <w:sz w:val="16"/>
                <w:szCs w:val="16"/>
                <w:lang w:eastAsia="tr-TR"/>
                <w14:ligatures w14:val="none"/>
              </w:rPr>
              <w:t>Name Surname</w:t>
            </w:r>
          </w:p>
        </w:tc>
        <w:tc>
          <w:tcPr>
            <w:tcW w:w="2978" w:type="dxa"/>
            <w:tcBorders>
              <w:top w:val="single" w:sz="4" w:space="0" w:color="auto"/>
              <w:left w:val="single" w:sz="4" w:space="0" w:color="auto"/>
              <w:bottom w:val="single" w:sz="4" w:space="0" w:color="auto"/>
              <w:right w:val="single" w:sz="4" w:space="0" w:color="auto"/>
            </w:tcBorders>
          </w:tcPr>
          <w:p w14:paraId="2474B065" w14:textId="77777777" w:rsidR="00921C59" w:rsidRPr="00175D8B" w:rsidRDefault="00921C59" w:rsidP="00712A02">
            <w:pPr>
              <w:spacing w:after="160" w:line="259" w:lineRule="auto"/>
              <w:jc w:val="left"/>
              <w:rPr>
                <w:rFonts w:eastAsia="Aptos" w:cs="Aptos"/>
                <w:kern w:val="0"/>
                <w:sz w:val="16"/>
                <w:szCs w:val="16"/>
                <w:lang w:eastAsia="tr-TR"/>
                <w14:ligatures w14:val="none"/>
              </w:rPr>
            </w:pPr>
          </w:p>
        </w:tc>
        <w:tc>
          <w:tcPr>
            <w:tcW w:w="3513" w:type="dxa"/>
            <w:tcBorders>
              <w:top w:val="single" w:sz="4" w:space="0" w:color="auto"/>
              <w:left w:val="single" w:sz="4" w:space="0" w:color="auto"/>
              <w:bottom w:val="single" w:sz="4" w:space="0" w:color="auto"/>
              <w:right w:val="single" w:sz="4" w:space="0" w:color="auto"/>
            </w:tcBorders>
            <w:hideMark/>
          </w:tcPr>
          <w:p w14:paraId="2B9FC98A" w14:textId="77777777" w:rsidR="00921C59" w:rsidRPr="00175D8B" w:rsidRDefault="00921C59" w:rsidP="00712A02">
            <w:pPr>
              <w:spacing w:after="160" w:line="259" w:lineRule="auto"/>
              <w:jc w:val="left"/>
              <w:rPr>
                <w:rFonts w:eastAsia="Aptos" w:cs="Aptos"/>
                <w:b/>
                <w:kern w:val="0"/>
                <w:sz w:val="16"/>
                <w:szCs w:val="16"/>
                <w:lang w:eastAsia="tr-TR"/>
                <w14:ligatures w14:val="none"/>
              </w:rPr>
            </w:pPr>
            <w:r w:rsidRPr="00175D8B">
              <w:rPr>
                <w:rFonts w:eastAsia="Aptos" w:cs="Aptos"/>
                <w:b/>
                <w:kern w:val="0"/>
                <w:sz w:val="16"/>
                <w:szCs w:val="16"/>
                <w:lang w:eastAsia="tr-TR"/>
                <w14:ligatures w14:val="none"/>
              </w:rPr>
              <w:t>Şikayetin Geliş Yolu /</w:t>
            </w:r>
          </w:p>
          <w:p w14:paraId="2C038B7A" w14:textId="77777777" w:rsidR="00921C59" w:rsidRPr="00175D8B" w:rsidRDefault="00921C59" w:rsidP="00712A02">
            <w:pPr>
              <w:spacing w:after="160" w:line="259" w:lineRule="auto"/>
              <w:jc w:val="left"/>
              <w:rPr>
                <w:rFonts w:eastAsia="Aptos" w:cs="Aptos"/>
                <w:kern w:val="0"/>
                <w:sz w:val="16"/>
                <w:szCs w:val="16"/>
                <w:lang w:eastAsia="tr-TR"/>
                <w14:ligatures w14:val="none"/>
              </w:rPr>
            </w:pPr>
            <w:r w:rsidRPr="00175D8B">
              <w:rPr>
                <w:rFonts w:eastAsia="Aptos" w:cs="Aptos"/>
                <w:kern w:val="0"/>
                <w:sz w:val="16"/>
                <w:szCs w:val="16"/>
                <w:lang w:eastAsia="tr-TR"/>
                <w14:ligatures w14:val="none"/>
              </w:rPr>
              <w:t>Form of Complaint:</w:t>
            </w:r>
          </w:p>
        </w:tc>
      </w:tr>
      <w:tr w:rsidR="00921C59" w:rsidRPr="00175D8B" w14:paraId="78FF3294" w14:textId="77777777" w:rsidTr="002550A6">
        <w:trPr>
          <w:trHeight w:val="20"/>
          <w:jc w:val="center"/>
        </w:trPr>
        <w:tc>
          <w:tcPr>
            <w:tcW w:w="3396" w:type="dxa"/>
            <w:tcBorders>
              <w:top w:val="single" w:sz="4" w:space="0" w:color="auto"/>
              <w:left w:val="single" w:sz="4" w:space="0" w:color="auto"/>
              <w:bottom w:val="single" w:sz="4" w:space="0" w:color="auto"/>
              <w:right w:val="single" w:sz="4" w:space="0" w:color="auto"/>
            </w:tcBorders>
            <w:hideMark/>
          </w:tcPr>
          <w:p w14:paraId="70F8CB90" w14:textId="77777777" w:rsidR="00921C59" w:rsidRPr="00175D8B" w:rsidRDefault="00921C59" w:rsidP="00712A02">
            <w:pPr>
              <w:spacing w:after="160" w:line="259" w:lineRule="auto"/>
              <w:jc w:val="left"/>
              <w:rPr>
                <w:rFonts w:eastAsia="Aptos" w:cs="Aptos"/>
                <w:b/>
                <w:kern w:val="0"/>
                <w:sz w:val="16"/>
                <w:szCs w:val="16"/>
                <w:lang w:eastAsia="tr-TR"/>
                <w14:ligatures w14:val="none"/>
              </w:rPr>
            </w:pPr>
            <w:r w:rsidRPr="00175D8B">
              <w:rPr>
                <w:rFonts w:eastAsia="Aptos" w:cs="Aptos"/>
                <w:b/>
                <w:kern w:val="0"/>
                <w:sz w:val="16"/>
                <w:szCs w:val="16"/>
                <w:lang w:eastAsia="tr-TR"/>
                <w14:ligatures w14:val="none"/>
              </w:rPr>
              <w:t>TC Kimlik No/</w:t>
            </w:r>
          </w:p>
          <w:p w14:paraId="13A64069" w14:textId="77777777" w:rsidR="00921C59" w:rsidRPr="00175D8B" w:rsidRDefault="00921C59" w:rsidP="00712A02">
            <w:pPr>
              <w:spacing w:after="160" w:line="259" w:lineRule="auto"/>
              <w:jc w:val="left"/>
              <w:rPr>
                <w:rFonts w:eastAsia="Aptos" w:cs="Aptos"/>
                <w:b/>
                <w:kern w:val="0"/>
                <w:sz w:val="16"/>
                <w:szCs w:val="16"/>
                <w:lang w:eastAsia="tr-TR"/>
                <w14:ligatures w14:val="none"/>
              </w:rPr>
            </w:pPr>
          </w:p>
          <w:p w14:paraId="6C01C19A" w14:textId="77777777" w:rsidR="00921C59" w:rsidRPr="00175D8B" w:rsidRDefault="00921C59" w:rsidP="00712A02">
            <w:pPr>
              <w:spacing w:after="160" w:line="259" w:lineRule="auto"/>
              <w:jc w:val="left"/>
              <w:rPr>
                <w:rFonts w:eastAsia="Aptos" w:cs="Aptos"/>
                <w:kern w:val="0"/>
                <w:sz w:val="16"/>
                <w:szCs w:val="16"/>
                <w:lang w:eastAsia="tr-TR"/>
                <w14:ligatures w14:val="none"/>
              </w:rPr>
            </w:pPr>
            <w:r w:rsidRPr="00175D8B">
              <w:rPr>
                <w:rFonts w:eastAsia="Aptos" w:cs="Aptos"/>
                <w:kern w:val="0"/>
                <w:sz w:val="16"/>
                <w:szCs w:val="16"/>
                <w:lang w:eastAsia="tr-TR"/>
                <w14:ligatures w14:val="none"/>
              </w:rPr>
              <w:t>Identification Number</w:t>
            </w:r>
          </w:p>
        </w:tc>
        <w:tc>
          <w:tcPr>
            <w:tcW w:w="2978" w:type="dxa"/>
            <w:tcBorders>
              <w:top w:val="single" w:sz="4" w:space="0" w:color="auto"/>
              <w:left w:val="single" w:sz="4" w:space="0" w:color="auto"/>
              <w:bottom w:val="single" w:sz="4" w:space="0" w:color="auto"/>
              <w:right w:val="single" w:sz="4" w:space="0" w:color="auto"/>
            </w:tcBorders>
          </w:tcPr>
          <w:p w14:paraId="1A6D1966" w14:textId="77777777" w:rsidR="00921C59" w:rsidRPr="00175D8B" w:rsidRDefault="00921C59" w:rsidP="00712A02">
            <w:pPr>
              <w:spacing w:after="160" w:line="259" w:lineRule="auto"/>
              <w:jc w:val="left"/>
              <w:rPr>
                <w:rFonts w:eastAsia="Aptos" w:cs="Aptos"/>
                <w:kern w:val="0"/>
                <w:sz w:val="16"/>
                <w:szCs w:val="16"/>
                <w:lang w:eastAsia="tr-TR"/>
                <w14:ligatures w14:val="none"/>
              </w:rPr>
            </w:pPr>
          </w:p>
        </w:tc>
        <w:tc>
          <w:tcPr>
            <w:tcW w:w="3513" w:type="dxa"/>
            <w:tcBorders>
              <w:top w:val="single" w:sz="4" w:space="0" w:color="auto"/>
              <w:left w:val="single" w:sz="4" w:space="0" w:color="auto"/>
              <w:bottom w:val="single" w:sz="4" w:space="0" w:color="auto"/>
              <w:right w:val="single" w:sz="4" w:space="0" w:color="auto"/>
            </w:tcBorders>
            <w:hideMark/>
          </w:tcPr>
          <w:p w14:paraId="6674199F" w14:textId="77777777" w:rsidR="00921C59" w:rsidRPr="00175D8B" w:rsidRDefault="00921C59" w:rsidP="00712A02">
            <w:pPr>
              <w:spacing w:after="160" w:line="259" w:lineRule="auto"/>
              <w:jc w:val="left"/>
              <w:rPr>
                <w:rFonts w:eastAsia="Aptos" w:cs="Aptos"/>
                <w:b/>
                <w:kern w:val="0"/>
                <w:sz w:val="16"/>
                <w:szCs w:val="16"/>
                <w:lang w:eastAsia="tr-TR"/>
                <w14:ligatures w14:val="none"/>
              </w:rPr>
            </w:pPr>
            <w:r w:rsidRPr="00175D8B">
              <w:rPr>
                <w:rFonts w:eastAsia="Aptos" w:cs="Aptos"/>
                <w:b/>
                <w:noProof/>
                <w:kern w:val="0"/>
                <w:sz w:val="16"/>
                <w:szCs w:val="16"/>
                <w:lang w:val="tr-TR" w:eastAsia="tr-TR"/>
                <w14:ligatures w14:val="none"/>
              </w:rPr>
              <mc:AlternateContent>
                <mc:Choice Requires="wps">
                  <w:drawing>
                    <wp:anchor distT="0" distB="0" distL="114300" distR="114300" simplePos="0" relativeHeight="251699200" behindDoc="0" locked="0" layoutInCell="1" allowOverlap="1" wp14:anchorId="6A8FB90C" wp14:editId="26BAF1FA">
                      <wp:simplePos x="0" y="0"/>
                      <wp:positionH relativeFrom="column">
                        <wp:posOffset>1431290</wp:posOffset>
                      </wp:positionH>
                      <wp:positionV relativeFrom="paragraph">
                        <wp:posOffset>50800</wp:posOffset>
                      </wp:positionV>
                      <wp:extent cx="257175" cy="180975"/>
                      <wp:effectExtent l="0" t="0" r="28575" b="28575"/>
                      <wp:wrapNone/>
                      <wp:docPr id="6" name="Dikdörtgen 6"/>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26E0C2C" id="Dikdörtgen 6" o:spid="_x0000_s1026" style="position:absolute;margin-left:112.7pt;margin-top:4pt;width:20.25pt;height:14.2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mReQIAAAUFAAAOAAAAZHJzL2Uyb0RvYy54bWysVEtv2zAMvg/YfxB0X+0EydIadYogRYYB&#10;RVsg7XpmZCkWoNckJU7260fJTvrYTsN8EEiR+kh+JH19c9CK7LkP0pqaji5KSrhhtpFmW9Pnp9WX&#10;S0pCBNOAsobX9MgDvZl//nTduYqPbWtVwz1BEBOqztW0jdFVRRFYyzWEC+u4QaOwXkNE1W+LxkOH&#10;6FoV47L8WnTWN85bxkPA29veSOcZXwjO4oMQgUeiaoq5xXz6fG7SWcyvodp6cK1kQxrwD1lokAaD&#10;nqFuIQLZefkHlJbM22BFvGBWF1YIyXiuAasZlR+qWbfgeK4FyQnuTFP4f7Dsfr92jx5p6FyoAoqp&#10;ioPwmggl3Q/saa4LMyWHTNvxTBs/RMLwcjydjWZTShiaRpflFcqIV/QwCc75EL9xq0kSauqxKxkU&#10;9nch9q4nl+QerJLNSiqVlWNYKk/2gA3Evje2o0RBiHhZ01X+hmjvnilDOsxmPCux6wxwsoSCiKJ2&#10;TU2D2VICaosjy6LPubx7Hfx2c446mczGy0nv1ELD+1ymJX6nyL17rvkdTqrqFkLbP8mm9AQqLSOO&#10;vZK6ppcJ6ISkTLLyPLgDN699SdLGNsdHT7ztJzk4tpIY5A4ZeQSPo4vl4jrGBzyEssiBHSRKWut/&#10;/e0++eNEoZWSDlcB+fm5A8+R6O8GZ+1qNJmk3cnKZDobo+LfWjZvLWanlxabNcLFdyyLyT+qkyi8&#10;1S+4tYsUFU1gGMbuOzEoy9ivKO4944tFdsN9cRDvzNqx01Amep8OL+DdMFkRR/LentYGqg8D1vsm&#10;ho1d7KIVMk/fK6/YwaTgruVeDv+FtMxv9ez1+vea/wYAAP//AwBQSwMEFAAGAAgAAAAhADnAWfvf&#10;AAAACAEAAA8AAABkcnMvZG93bnJldi54bWxMj8FOwzAQRO9I/IO1SNyoQ9KENmRTISouUAnR9gPc&#10;eJtExOs0dtPw95hTOY5mNPOmWE2mEyMNrrWM8DiLQBBXVrdcI+x3bw8LEM4r1qqzTAg/5GBV3t4U&#10;Ktf2wl80bn0tQgm7XCE03ve5lK5qyCg3sz1x8I52MMoHOdRSD+oSyk0n4yjKpFEth4VG9fTaUPW9&#10;PRuETTLKj895etrQ+v1p2dn1KTE7xPu76eUZhKfJX8Pwhx/QoQxMB3tm7USHEMfpPEQRFuFS8OMs&#10;XYI4ICRZCrIs5P8D5S8AAAD//wMAUEsBAi0AFAAGAAgAAAAhALaDOJL+AAAA4QEAABMAAAAAAAAA&#10;AAAAAAAAAAAAAFtDb250ZW50X1R5cGVzXS54bWxQSwECLQAUAAYACAAAACEAOP0h/9YAAACUAQAA&#10;CwAAAAAAAAAAAAAAAAAvAQAAX3JlbHMvLnJlbHNQSwECLQAUAAYACAAAACEAucj5kXkCAAAFBQAA&#10;DgAAAAAAAAAAAAAAAAAuAgAAZHJzL2Uyb0RvYy54bWxQSwECLQAUAAYACAAAACEAOcBZ+98AAAAI&#10;AQAADwAAAAAAAAAAAAAAAADTBAAAZHJzL2Rvd25yZXYueG1sUEsFBgAAAAAEAAQA8wAAAN8FAAAA&#10;AA==&#10;" fillcolor="window" strokecolor="#2f528f" strokeweight="1pt"/>
                  </w:pict>
                </mc:Fallback>
              </mc:AlternateContent>
            </w:r>
            <w:r w:rsidRPr="00175D8B">
              <w:rPr>
                <w:rFonts w:eastAsia="Aptos" w:cs="Aptos"/>
                <w:b/>
                <w:kern w:val="0"/>
                <w:sz w:val="16"/>
                <w:szCs w:val="16"/>
                <w:lang w:eastAsia="tr-TR"/>
                <w14:ligatures w14:val="none"/>
              </w:rPr>
              <w:t xml:space="preserve">Telefon- Ücretsiz hat / </w:t>
            </w:r>
          </w:p>
          <w:p w14:paraId="0F07D21D" w14:textId="77777777" w:rsidR="00921C59" w:rsidRPr="00175D8B" w:rsidRDefault="00921C59" w:rsidP="00712A02">
            <w:pPr>
              <w:spacing w:after="160" w:line="259" w:lineRule="auto"/>
              <w:jc w:val="left"/>
              <w:rPr>
                <w:rFonts w:eastAsia="Aptos" w:cs="Aptos"/>
                <w:kern w:val="0"/>
                <w:sz w:val="16"/>
                <w:szCs w:val="16"/>
                <w:lang w:eastAsia="tr-TR"/>
                <w14:ligatures w14:val="none"/>
              </w:rPr>
            </w:pPr>
            <w:r w:rsidRPr="00175D8B">
              <w:rPr>
                <w:rFonts w:eastAsia="Aptos" w:cs="Aptos"/>
                <w:kern w:val="0"/>
                <w:sz w:val="16"/>
                <w:szCs w:val="16"/>
                <w:lang w:eastAsia="tr-TR"/>
                <w14:ligatures w14:val="none"/>
              </w:rPr>
              <w:t>Phone –Free phone line</w:t>
            </w:r>
          </w:p>
          <w:p w14:paraId="3A1464D9" w14:textId="77777777" w:rsidR="00921C59" w:rsidRPr="00175D8B" w:rsidRDefault="00921C59" w:rsidP="00712A02">
            <w:pPr>
              <w:spacing w:after="160" w:line="259" w:lineRule="auto"/>
              <w:jc w:val="left"/>
              <w:rPr>
                <w:rFonts w:eastAsia="Aptos" w:cs="Aptos"/>
                <w:b/>
                <w:bCs/>
                <w:kern w:val="0"/>
                <w:sz w:val="16"/>
                <w:szCs w:val="16"/>
                <w:lang w:eastAsia="tr-TR"/>
                <w14:ligatures w14:val="none"/>
              </w:rPr>
            </w:pPr>
            <w:r w:rsidRPr="00175D8B">
              <w:rPr>
                <w:rFonts w:eastAsia="Aptos" w:cs="Aptos"/>
                <w:b/>
                <w:bCs/>
                <w:noProof/>
                <w:kern w:val="0"/>
                <w:sz w:val="16"/>
                <w:szCs w:val="16"/>
                <w:lang w:val="tr-TR" w:eastAsia="tr-TR"/>
                <w14:ligatures w14:val="none"/>
              </w:rPr>
              <mc:AlternateContent>
                <mc:Choice Requires="wps">
                  <w:drawing>
                    <wp:anchor distT="0" distB="0" distL="114300" distR="114300" simplePos="0" relativeHeight="251700224" behindDoc="0" locked="0" layoutInCell="1" allowOverlap="1" wp14:anchorId="6CE1DDE2" wp14:editId="300A0DAE">
                      <wp:simplePos x="0" y="0"/>
                      <wp:positionH relativeFrom="column">
                        <wp:posOffset>1431290</wp:posOffset>
                      </wp:positionH>
                      <wp:positionV relativeFrom="paragraph">
                        <wp:posOffset>8254</wp:posOffset>
                      </wp:positionV>
                      <wp:extent cx="257175" cy="180975"/>
                      <wp:effectExtent l="0" t="0" r="28575" b="28575"/>
                      <wp:wrapNone/>
                      <wp:docPr id="7" name="Dikdörtgen 7"/>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1D0E60D5" id="Dikdörtgen 7" o:spid="_x0000_s1026" style="position:absolute;margin-left:112.7pt;margin-top:.65pt;width:20.25pt;height:14.2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mReQIAAAUFAAAOAAAAZHJzL2Uyb0RvYy54bWysVEtv2zAMvg/YfxB0X+0EydIadYogRYYB&#10;RVsg7XpmZCkWoNckJU7260fJTvrYTsN8EEiR+kh+JH19c9CK7LkP0pqaji5KSrhhtpFmW9Pnp9WX&#10;S0pCBNOAsobX9MgDvZl//nTduYqPbWtVwz1BEBOqztW0jdFVRRFYyzWEC+u4QaOwXkNE1W+LxkOH&#10;6FoV47L8WnTWN85bxkPA29veSOcZXwjO4oMQgUeiaoq5xXz6fG7SWcyvodp6cK1kQxrwD1lokAaD&#10;nqFuIQLZefkHlJbM22BFvGBWF1YIyXiuAasZlR+qWbfgeK4FyQnuTFP4f7Dsfr92jx5p6FyoAoqp&#10;ioPwmggl3Q/saa4LMyWHTNvxTBs/RMLwcjydjWZTShiaRpflFcqIV/QwCc75EL9xq0kSauqxKxkU&#10;9nch9q4nl+QerJLNSiqVlWNYKk/2gA3Evje2o0RBiHhZ01X+hmjvnilDOsxmPCux6wxwsoSCiKJ2&#10;TU2D2VICaosjy6LPubx7Hfx2c446mczGy0nv1ELD+1ymJX6nyL17rvkdTqrqFkLbP8mm9AQqLSOO&#10;vZK6ppcJ6ISkTLLyPLgDN699SdLGNsdHT7ztJzk4tpIY5A4ZeQSPo4vl4jrGBzyEssiBHSRKWut/&#10;/e0++eNEoZWSDlcB+fm5A8+R6O8GZ+1qNJmk3cnKZDobo+LfWjZvLWanlxabNcLFdyyLyT+qkyi8&#10;1S+4tYsUFU1gGMbuOzEoy9ivKO4944tFdsN9cRDvzNqx01Amep8OL+DdMFkRR/LentYGqg8D1vsm&#10;ho1d7KIVMk/fK6/YwaTgruVeDv+FtMxv9ez1+vea/wYAAP//AwBQSwMEFAAGAAgAAAAhACZigRfe&#10;AAAACAEAAA8AAABkcnMvZG93bnJldi54bWxMj8FOwzAMhu9IvENkJG4spV3HWppOiIkLTEJse4Cs&#10;8dqKxumarCtvjzmNm63v1+/PxWqynRhx8K0jBY+zCARS5UxLtYL97u1hCcIHTUZ3jlDBD3pYlbc3&#10;hc6Nu9AXjttQCy4hn2sFTQh9LqWvGrTaz1yPxOzoBqsDr0MtzaAvXG47GUfRQlrdEl9odI+vDVbf&#10;27NVsElG+fE5T08bXL8/ZZ1bnxK7U+r+bnp5BhFwCtcw/OmzOpTsdHBnMl50CuI4nXOUQQKCebxI&#10;MxAHHrIlyLKQ/x8ofwEAAP//AwBQSwECLQAUAAYACAAAACEAtoM4kv4AAADhAQAAEwAAAAAAAAAA&#10;AAAAAAAAAAAAW0NvbnRlbnRfVHlwZXNdLnhtbFBLAQItABQABgAIAAAAIQA4/SH/1gAAAJQBAAAL&#10;AAAAAAAAAAAAAAAAAC8BAABfcmVscy8ucmVsc1BLAQItABQABgAIAAAAIQC5yPmReQIAAAUFAAAO&#10;AAAAAAAAAAAAAAAAAC4CAABkcnMvZTJvRG9jLnhtbFBLAQItABQABgAIAAAAIQAmYoEX3gAAAAgB&#10;AAAPAAAAAAAAAAAAAAAAANMEAABkcnMvZG93bnJldi54bWxQSwUGAAAAAAQABADzAAAA3gUAAAAA&#10;" fillcolor="window" strokecolor="#2f528f" strokeweight="1pt"/>
                  </w:pict>
                </mc:Fallback>
              </mc:AlternateContent>
            </w:r>
            <w:r w:rsidRPr="00175D8B">
              <w:rPr>
                <w:rFonts w:eastAsia="Aptos" w:cs="Aptos"/>
                <w:b/>
                <w:bCs/>
                <w:kern w:val="0"/>
                <w:sz w:val="16"/>
                <w:szCs w:val="16"/>
                <w:lang w:eastAsia="tr-TR"/>
                <w14:ligatures w14:val="none"/>
              </w:rPr>
              <w:t>Telefon - Yardım hattı/</w:t>
            </w:r>
          </w:p>
          <w:p w14:paraId="3B6DA928" w14:textId="77777777" w:rsidR="00921C59" w:rsidRPr="00175D8B" w:rsidRDefault="00921C59" w:rsidP="00712A02">
            <w:pPr>
              <w:spacing w:after="160" w:line="259" w:lineRule="auto"/>
              <w:jc w:val="left"/>
              <w:rPr>
                <w:rFonts w:eastAsia="Aptos" w:cs="Aptos"/>
                <w:kern w:val="0"/>
                <w:sz w:val="16"/>
                <w:szCs w:val="16"/>
                <w:lang w:eastAsia="tr-TR"/>
                <w14:ligatures w14:val="none"/>
              </w:rPr>
            </w:pPr>
            <w:r w:rsidRPr="00175D8B">
              <w:rPr>
                <w:rFonts w:eastAsia="Aptos" w:cs="Aptos"/>
                <w:kern w:val="0"/>
                <w:sz w:val="16"/>
                <w:szCs w:val="16"/>
                <w:lang w:eastAsia="tr-TR"/>
                <w14:ligatures w14:val="none"/>
              </w:rPr>
              <w:t>Phone –Free phone line</w:t>
            </w:r>
          </w:p>
        </w:tc>
      </w:tr>
      <w:tr w:rsidR="00921C59" w:rsidRPr="00175D8B" w14:paraId="49DA1F4C" w14:textId="77777777" w:rsidTr="002550A6">
        <w:trPr>
          <w:trHeight w:val="20"/>
          <w:jc w:val="center"/>
        </w:trPr>
        <w:tc>
          <w:tcPr>
            <w:tcW w:w="3396" w:type="dxa"/>
            <w:tcBorders>
              <w:top w:val="single" w:sz="4" w:space="0" w:color="auto"/>
              <w:left w:val="single" w:sz="4" w:space="0" w:color="auto"/>
              <w:bottom w:val="single" w:sz="4" w:space="0" w:color="auto"/>
              <w:right w:val="single" w:sz="4" w:space="0" w:color="auto"/>
            </w:tcBorders>
          </w:tcPr>
          <w:p w14:paraId="714449CE" w14:textId="77777777" w:rsidR="00921C59" w:rsidRPr="00175D8B" w:rsidRDefault="00921C59" w:rsidP="00712A02">
            <w:pPr>
              <w:spacing w:after="160" w:line="259" w:lineRule="auto"/>
              <w:jc w:val="left"/>
              <w:rPr>
                <w:rFonts w:eastAsia="Aptos" w:cs="Aptos"/>
                <w:b/>
                <w:kern w:val="0"/>
                <w:sz w:val="16"/>
                <w:szCs w:val="16"/>
                <w:lang w:val="it-IT" w:eastAsia="tr-TR"/>
                <w14:ligatures w14:val="none"/>
              </w:rPr>
            </w:pPr>
            <w:r w:rsidRPr="00175D8B">
              <w:rPr>
                <w:rFonts w:eastAsia="Aptos" w:cs="Aptos"/>
                <w:b/>
                <w:kern w:val="0"/>
                <w:sz w:val="16"/>
                <w:szCs w:val="16"/>
                <w:lang w:val="it-IT" w:eastAsia="tr-TR"/>
                <w14:ligatures w14:val="none"/>
              </w:rPr>
              <w:t>Telefon/ E-Posta</w:t>
            </w:r>
          </w:p>
          <w:p w14:paraId="63D04F5B" w14:textId="77777777" w:rsidR="00921C59" w:rsidRPr="00175D8B" w:rsidRDefault="00921C59" w:rsidP="00712A02">
            <w:pPr>
              <w:spacing w:after="160" w:line="259" w:lineRule="auto"/>
              <w:jc w:val="left"/>
              <w:rPr>
                <w:rFonts w:eastAsia="Aptos" w:cs="Aptos"/>
                <w:b/>
                <w:kern w:val="0"/>
                <w:sz w:val="16"/>
                <w:szCs w:val="16"/>
                <w:lang w:val="it-IT" w:eastAsia="tr-TR"/>
                <w14:ligatures w14:val="none"/>
              </w:rPr>
            </w:pPr>
            <w:r w:rsidRPr="00175D8B">
              <w:rPr>
                <w:rFonts w:eastAsia="Aptos" w:cs="Aptos"/>
                <w:kern w:val="0"/>
                <w:sz w:val="16"/>
                <w:szCs w:val="16"/>
                <w:lang w:val="it-IT" w:eastAsia="tr-TR"/>
                <w14:ligatures w14:val="none"/>
              </w:rPr>
              <w:t>Telephone/ E-mail</w:t>
            </w:r>
          </w:p>
        </w:tc>
        <w:tc>
          <w:tcPr>
            <w:tcW w:w="2978" w:type="dxa"/>
            <w:tcBorders>
              <w:top w:val="single" w:sz="4" w:space="0" w:color="auto"/>
              <w:left w:val="single" w:sz="4" w:space="0" w:color="auto"/>
              <w:bottom w:val="single" w:sz="4" w:space="0" w:color="auto"/>
              <w:right w:val="single" w:sz="4" w:space="0" w:color="auto"/>
            </w:tcBorders>
          </w:tcPr>
          <w:p w14:paraId="49814913" w14:textId="77777777" w:rsidR="00921C59" w:rsidRPr="00175D8B" w:rsidRDefault="00921C59" w:rsidP="00712A02">
            <w:pPr>
              <w:spacing w:after="160" w:line="259" w:lineRule="auto"/>
              <w:jc w:val="left"/>
              <w:rPr>
                <w:rFonts w:eastAsia="Aptos" w:cs="Aptos"/>
                <w:kern w:val="0"/>
                <w:sz w:val="16"/>
                <w:szCs w:val="16"/>
                <w:lang w:val="it-IT" w:eastAsia="tr-TR"/>
                <w14:ligatures w14:val="none"/>
              </w:rPr>
            </w:pPr>
          </w:p>
        </w:tc>
        <w:tc>
          <w:tcPr>
            <w:tcW w:w="3513" w:type="dxa"/>
            <w:tcBorders>
              <w:top w:val="single" w:sz="4" w:space="0" w:color="auto"/>
              <w:left w:val="single" w:sz="4" w:space="0" w:color="auto"/>
              <w:bottom w:val="single" w:sz="4" w:space="0" w:color="auto"/>
              <w:right w:val="single" w:sz="4" w:space="0" w:color="auto"/>
            </w:tcBorders>
          </w:tcPr>
          <w:p w14:paraId="7FDD30C5" w14:textId="77777777" w:rsidR="00921C59" w:rsidRPr="00175D8B" w:rsidRDefault="00921C59" w:rsidP="00712A02">
            <w:pPr>
              <w:spacing w:after="160" w:line="259" w:lineRule="auto"/>
              <w:jc w:val="left"/>
              <w:rPr>
                <w:rFonts w:eastAsia="Aptos" w:cs="Aptos"/>
                <w:b/>
                <w:noProof/>
                <w:kern w:val="0"/>
                <w:sz w:val="16"/>
                <w:szCs w:val="16"/>
                <w:lang w:eastAsia="tr-TR"/>
                <w14:ligatures w14:val="none"/>
              </w:rPr>
            </w:pPr>
            <w:r w:rsidRPr="00175D8B">
              <w:rPr>
                <w:rFonts w:eastAsia="Aptos" w:cs="Aptos"/>
                <w:b/>
                <w:noProof/>
                <w:kern w:val="0"/>
                <w:sz w:val="16"/>
                <w:szCs w:val="16"/>
                <w:lang w:val="tr-TR" w:eastAsia="tr-TR"/>
                <w14:ligatures w14:val="none"/>
              </w:rPr>
              <mc:AlternateContent>
                <mc:Choice Requires="wps">
                  <w:drawing>
                    <wp:anchor distT="0" distB="0" distL="114300" distR="114300" simplePos="0" relativeHeight="251701248" behindDoc="0" locked="0" layoutInCell="1" allowOverlap="1" wp14:anchorId="0CBB9951" wp14:editId="13F56862">
                      <wp:simplePos x="0" y="0"/>
                      <wp:positionH relativeFrom="column">
                        <wp:posOffset>1434465</wp:posOffset>
                      </wp:positionH>
                      <wp:positionV relativeFrom="paragraph">
                        <wp:posOffset>73660</wp:posOffset>
                      </wp:positionV>
                      <wp:extent cx="257175" cy="180975"/>
                      <wp:effectExtent l="0" t="0" r="28575" b="28575"/>
                      <wp:wrapNone/>
                      <wp:docPr id="8" name="Dikdörtgen 8"/>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53FFBE8" id="Dikdörtgen 8" o:spid="_x0000_s1026" style="position:absolute;margin-left:112.95pt;margin-top:5.8pt;width:20.25pt;height:14.2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mReQIAAAUFAAAOAAAAZHJzL2Uyb0RvYy54bWysVEtv2zAMvg/YfxB0X+0EydIadYogRYYB&#10;RVsg7XpmZCkWoNckJU7260fJTvrYTsN8EEiR+kh+JH19c9CK7LkP0pqaji5KSrhhtpFmW9Pnp9WX&#10;S0pCBNOAsobX9MgDvZl//nTduYqPbWtVwz1BEBOqztW0jdFVRRFYyzWEC+u4QaOwXkNE1W+LxkOH&#10;6FoV47L8WnTWN85bxkPA29veSOcZXwjO4oMQgUeiaoq5xXz6fG7SWcyvodp6cK1kQxrwD1lokAaD&#10;nqFuIQLZefkHlJbM22BFvGBWF1YIyXiuAasZlR+qWbfgeK4FyQnuTFP4f7Dsfr92jx5p6FyoAoqp&#10;ioPwmggl3Q/saa4LMyWHTNvxTBs/RMLwcjydjWZTShiaRpflFcqIV/QwCc75EL9xq0kSauqxKxkU&#10;9nch9q4nl+QerJLNSiqVlWNYKk/2gA3Evje2o0RBiHhZ01X+hmjvnilDOsxmPCux6wxwsoSCiKJ2&#10;TU2D2VICaosjy6LPubx7Hfx2c446mczGy0nv1ELD+1ymJX6nyL17rvkdTqrqFkLbP8mm9AQqLSOO&#10;vZK6ppcJ6ISkTLLyPLgDN699SdLGNsdHT7ztJzk4tpIY5A4ZeQSPo4vl4jrGBzyEssiBHSRKWut/&#10;/e0++eNEoZWSDlcB+fm5A8+R6O8GZ+1qNJmk3cnKZDobo+LfWjZvLWanlxabNcLFdyyLyT+qkyi8&#10;1S+4tYsUFU1gGMbuOzEoy9ivKO4944tFdsN9cRDvzNqx01Amep8OL+DdMFkRR/LentYGqg8D1vsm&#10;ho1d7KIVMk/fK6/YwaTgruVeDv+FtMxv9ez1+vea/wYAAP//AwBQSwMEFAAGAAgAAAAhACEFxO3f&#10;AAAACQEAAA8AAABkcnMvZG93bnJldi54bWxMj0FOwzAQRfdI3MEaJHbUSZqGNsSpEBUbqIRoewA3&#10;HpKIeJzGbhpuz7Aqy9F/+v9NsZ5sJ0YcfOtIQTyLQCBVzrRUKzjsXx+WIHzQZHTnCBX8oId1eXtT&#10;6Ny4C33iuAu14BLyuVbQhNDnUvqqQav9zPVInH25werA51BLM+gLl9tOJlGUSatb4oVG9/jSYPW9&#10;O1sF2/ko3z/SxWmLm7fHVec2p7ndK3V/Nz0/gQg4hSsMf/qsDiU7Hd2ZjBedgiRZrBjlIM5AMJBk&#10;WQriqCCNYpBlIf9/UP4CAAD//wMAUEsBAi0AFAAGAAgAAAAhALaDOJL+AAAA4QEAABMAAAAAAAAA&#10;AAAAAAAAAAAAAFtDb250ZW50X1R5cGVzXS54bWxQSwECLQAUAAYACAAAACEAOP0h/9YAAACUAQAA&#10;CwAAAAAAAAAAAAAAAAAvAQAAX3JlbHMvLnJlbHNQSwECLQAUAAYACAAAACEAucj5kXkCAAAFBQAA&#10;DgAAAAAAAAAAAAAAAAAuAgAAZHJzL2Uyb0RvYy54bWxQSwECLQAUAAYACAAAACEAIQXE7d8AAAAJ&#10;AQAADwAAAAAAAAAAAAAAAADTBAAAZHJzL2Rvd25yZXYueG1sUEsFBgAAAAAEAAQA8wAAAN8FAAAA&#10;AA==&#10;" fillcolor="window" strokecolor="#2f528f" strokeweight="1pt"/>
                  </w:pict>
                </mc:Fallback>
              </mc:AlternateContent>
            </w:r>
            <w:r w:rsidRPr="00175D8B">
              <w:rPr>
                <w:rFonts w:eastAsia="Aptos" w:cs="Aptos"/>
                <w:b/>
                <w:noProof/>
                <w:kern w:val="0"/>
                <w:sz w:val="16"/>
                <w:szCs w:val="16"/>
                <w:lang w:eastAsia="tr-TR"/>
                <w14:ligatures w14:val="none"/>
              </w:rPr>
              <w:t>Yüz yüze /</w:t>
            </w:r>
          </w:p>
          <w:p w14:paraId="63A4F1B9" w14:textId="77777777" w:rsidR="00921C59" w:rsidRPr="00175D8B" w:rsidRDefault="00921C59" w:rsidP="00712A02">
            <w:pPr>
              <w:spacing w:after="160" w:line="259" w:lineRule="auto"/>
              <w:jc w:val="left"/>
              <w:rPr>
                <w:rFonts w:eastAsia="Aptos" w:cs="Aptos"/>
                <w:bCs/>
                <w:noProof/>
                <w:kern w:val="0"/>
                <w:sz w:val="16"/>
                <w:szCs w:val="16"/>
                <w:lang w:eastAsia="tr-TR"/>
                <w14:ligatures w14:val="none"/>
              </w:rPr>
            </w:pPr>
            <w:r w:rsidRPr="00175D8B">
              <w:rPr>
                <w:rFonts w:eastAsia="Aptos" w:cs="Aptos"/>
                <w:bCs/>
                <w:noProof/>
                <w:kern w:val="0"/>
                <w:sz w:val="16"/>
                <w:szCs w:val="16"/>
                <w:lang w:eastAsia="tr-TR"/>
                <w14:ligatures w14:val="none"/>
              </w:rPr>
              <w:t xml:space="preserve">Face to face </w:t>
            </w:r>
          </w:p>
        </w:tc>
      </w:tr>
      <w:tr w:rsidR="00921C59" w:rsidRPr="00175D8B" w14:paraId="039667E0" w14:textId="77777777" w:rsidTr="002550A6">
        <w:trPr>
          <w:trHeight w:val="20"/>
          <w:jc w:val="center"/>
        </w:trPr>
        <w:tc>
          <w:tcPr>
            <w:tcW w:w="3396" w:type="dxa"/>
            <w:tcBorders>
              <w:top w:val="single" w:sz="4" w:space="0" w:color="auto"/>
              <w:left w:val="single" w:sz="4" w:space="0" w:color="auto"/>
              <w:bottom w:val="single" w:sz="4" w:space="0" w:color="auto"/>
              <w:right w:val="single" w:sz="4" w:space="0" w:color="auto"/>
            </w:tcBorders>
            <w:hideMark/>
          </w:tcPr>
          <w:p w14:paraId="4FEF7F53" w14:textId="77777777" w:rsidR="00921C59" w:rsidRPr="00175D8B" w:rsidRDefault="00921C59" w:rsidP="00712A02">
            <w:pPr>
              <w:spacing w:after="160" w:line="259" w:lineRule="auto"/>
              <w:jc w:val="left"/>
              <w:rPr>
                <w:rFonts w:eastAsia="Aptos" w:cs="Aptos"/>
                <w:b/>
                <w:kern w:val="0"/>
                <w:sz w:val="16"/>
                <w:szCs w:val="16"/>
                <w:lang w:eastAsia="tr-TR"/>
                <w14:ligatures w14:val="none"/>
              </w:rPr>
            </w:pPr>
            <w:r w:rsidRPr="00175D8B">
              <w:rPr>
                <w:rFonts w:eastAsia="Aptos" w:cs="Aptos"/>
                <w:b/>
                <w:kern w:val="0"/>
                <w:sz w:val="16"/>
                <w:szCs w:val="16"/>
                <w:lang w:eastAsia="tr-TR"/>
                <w14:ligatures w14:val="none"/>
              </w:rPr>
              <w:t>Mahalle-Köy-İlçe-İl/</w:t>
            </w:r>
          </w:p>
          <w:p w14:paraId="31F46F64" w14:textId="77777777" w:rsidR="00921C59" w:rsidRPr="00175D8B" w:rsidRDefault="00921C59" w:rsidP="00712A02">
            <w:pPr>
              <w:spacing w:after="160" w:line="259" w:lineRule="auto"/>
              <w:jc w:val="left"/>
              <w:rPr>
                <w:rFonts w:eastAsia="Aptos" w:cs="Aptos"/>
                <w:kern w:val="0"/>
                <w:sz w:val="16"/>
                <w:szCs w:val="16"/>
                <w:lang w:eastAsia="tr-TR"/>
                <w14:ligatures w14:val="none"/>
              </w:rPr>
            </w:pPr>
            <w:r w:rsidRPr="00175D8B">
              <w:rPr>
                <w:rFonts w:eastAsia="Aptos" w:cs="Aptos"/>
                <w:kern w:val="0"/>
                <w:sz w:val="16"/>
                <w:szCs w:val="16"/>
                <w:lang w:eastAsia="tr-TR"/>
                <w14:ligatures w14:val="none"/>
              </w:rPr>
              <w:t>Neighborhood-Village –District - Province</w:t>
            </w:r>
          </w:p>
        </w:tc>
        <w:tc>
          <w:tcPr>
            <w:tcW w:w="2978" w:type="dxa"/>
            <w:tcBorders>
              <w:top w:val="single" w:sz="4" w:space="0" w:color="auto"/>
              <w:left w:val="single" w:sz="4" w:space="0" w:color="auto"/>
              <w:bottom w:val="single" w:sz="4" w:space="0" w:color="auto"/>
              <w:right w:val="single" w:sz="4" w:space="0" w:color="auto"/>
            </w:tcBorders>
          </w:tcPr>
          <w:p w14:paraId="096219CF" w14:textId="77777777" w:rsidR="00921C59" w:rsidRPr="00175D8B" w:rsidRDefault="00921C59" w:rsidP="00712A02">
            <w:pPr>
              <w:spacing w:after="160" w:line="259" w:lineRule="auto"/>
              <w:jc w:val="left"/>
              <w:rPr>
                <w:rFonts w:eastAsia="Aptos" w:cs="Aptos"/>
                <w:kern w:val="0"/>
                <w:sz w:val="16"/>
                <w:szCs w:val="16"/>
                <w:lang w:eastAsia="tr-TR"/>
                <w14:ligatures w14:val="none"/>
              </w:rPr>
            </w:pPr>
          </w:p>
        </w:tc>
        <w:tc>
          <w:tcPr>
            <w:tcW w:w="3513" w:type="dxa"/>
            <w:tcBorders>
              <w:top w:val="single" w:sz="4" w:space="0" w:color="auto"/>
              <w:left w:val="single" w:sz="4" w:space="0" w:color="auto"/>
              <w:bottom w:val="single" w:sz="4" w:space="0" w:color="auto"/>
              <w:right w:val="single" w:sz="4" w:space="0" w:color="auto"/>
            </w:tcBorders>
            <w:hideMark/>
          </w:tcPr>
          <w:p w14:paraId="1384E2CF" w14:textId="77777777" w:rsidR="00921C59" w:rsidRPr="00175D8B" w:rsidRDefault="00921C59" w:rsidP="00712A02">
            <w:pPr>
              <w:spacing w:after="160" w:line="259" w:lineRule="auto"/>
              <w:jc w:val="left"/>
              <w:rPr>
                <w:rFonts w:eastAsia="Aptos" w:cs="Aptos"/>
                <w:b/>
                <w:kern w:val="0"/>
                <w:sz w:val="16"/>
                <w:szCs w:val="16"/>
                <w:lang w:eastAsia="tr-TR"/>
                <w14:ligatures w14:val="none"/>
              </w:rPr>
            </w:pPr>
            <w:r w:rsidRPr="00175D8B">
              <w:rPr>
                <w:rFonts w:eastAsia="Aptos" w:cs="Aptos"/>
                <w:b/>
                <w:noProof/>
                <w:kern w:val="0"/>
                <w:sz w:val="16"/>
                <w:szCs w:val="16"/>
                <w:lang w:val="tr-TR" w:eastAsia="tr-TR"/>
                <w14:ligatures w14:val="none"/>
              </w:rPr>
              <mc:AlternateContent>
                <mc:Choice Requires="wps">
                  <w:drawing>
                    <wp:anchor distT="0" distB="0" distL="114300" distR="114300" simplePos="0" relativeHeight="251702272" behindDoc="0" locked="0" layoutInCell="1" allowOverlap="1" wp14:anchorId="48B234AB" wp14:editId="779B5F61">
                      <wp:simplePos x="0" y="0"/>
                      <wp:positionH relativeFrom="column">
                        <wp:posOffset>1431290</wp:posOffset>
                      </wp:positionH>
                      <wp:positionV relativeFrom="paragraph">
                        <wp:posOffset>72389</wp:posOffset>
                      </wp:positionV>
                      <wp:extent cx="257175" cy="200025"/>
                      <wp:effectExtent l="0" t="0" r="28575" b="28575"/>
                      <wp:wrapNone/>
                      <wp:docPr id="9" name="Dikdörtgen 9"/>
                      <wp:cNvGraphicFramePr/>
                      <a:graphic xmlns:a="http://schemas.openxmlformats.org/drawingml/2006/main">
                        <a:graphicData uri="http://schemas.microsoft.com/office/word/2010/wordprocessingShape">
                          <wps:wsp>
                            <wps:cNvSpPr/>
                            <wps:spPr>
                              <a:xfrm>
                                <a:off x="0" y="0"/>
                                <a:ext cx="257175" cy="20002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1B950836" id="Dikdörtgen 9" o:spid="_x0000_s1026" style="position:absolute;margin-left:112.7pt;margin-top:5.7pt;width:20.25pt;height:1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w6cwIAAPsEAAAOAAAAZHJzL2Uyb0RvYy54bWysVEtvGjEQvlfqf7B8bxZWUFqUJUJEVJWi&#10;JFJS5Tx4vawlvzo2LPTXd+xdIEl7qsrBzHjG8/jmm72+ORjN9hKDcrbi46sRZ9IKVyu7rfiP5/Wn&#10;L5yFCLYG7ays+FEGfrP4+OG683NZutbpWiKjIDbMO1/xNkY/L4ogWmkgXDkvLRkbhwYiqbgtaoSO&#10;ohtdlKPR56JzWHt0QoZAt7e9kS9y/KaRIj40TZCR6YpTbTGfmM9NOovFNcy3CL5VYigD/qEKA8pS&#10;0nOoW4jAdqj+CGWUQBdcE6+EM4VrGiVk7oG6GY/edfPUgpe5FwIn+DNM4f+FFff7J/+IBEPnwzyQ&#10;mLo4NGjSP9XHDhms4xkseYhM0GU5nY1nU84EmWgSo3KawCwujz2G+E06w5JQcaRZZIhgfxdi73py&#10;SbmC06peK62zcgwrjWwPNDaadu06zjSESJcVX+ffkO3NM21ZRywsZyOatQDiU6Mhkmh8XfFgt5yB&#10;3hJRRcRcy5vXAbebc9bJZFauJr1TC7Xsa5lSo5k01Ofgnnt+Eyd1dQuh7Z9kU88zoyKRXStT8S8p&#10;0CmStqlnmek6YHOZRpI2rj4+IkPX8zd4sVaU5I4QeQQkwlK7tITxgY5GO8LADRJnrcNff7tP/sQj&#10;snLW0QIQPj93gJKA/m6JYV/Hk0namKxMprOSFHxt2by22J1ZORrWmNbdiywm/6hPYoPOvNCuLlNW&#10;MoEVlLufxKCsYr+YtO1CLpfZjbbEQ7yzT16k4AmnBO/z4QXQD8yKRMl7d1oWmL8jWO+bXlq33EXX&#10;qMy+C640waTQhuVZDl+DtMKv9ex1+WYtfgMAAP//AwBQSwMEFAAGAAgAAAAhACjJAjXfAAAACQEA&#10;AA8AAABkcnMvZG93bnJldi54bWxMj8FKw0AQhu+C77CM4M1usrTFxmyKFETBU6sI3qbZNQnZnY3Z&#10;bRp9eseTnobh//jnm3I7eycmO8YukIZ8kYGwVAfTUaPh9eXh5hZETEgGXSCr4ctG2FaXFyUWJpxp&#10;b6dDagSXUCxQQ5vSUEgZ69Z6jIswWOLsI4weE69jI82IZy73TqosW0uPHfGFFge7a23dH05ew/7J&#10;uOzdPJpeNnn+1k+4e/7+1Pr6ar6/A5HsnP5g+NVndajY6RhOZKJwGpRaLRnlIOfJgFqvNiCOGpZq&#10;A7Iq5f8Pqh8AAAD//wMAUEsBAi0AFAAGAAgAAAAhALaDOJL+AAAA4QEAABMAAAAAAAAAAAAAAAAA&#10;AAAAAFtDb250ZW50X1R5cGVzXS54bWxQSwECLQAUAAYACAAAACEAOP0h/9YAAACUAQAACwAAAAAA&#10;AAAAAAAAAAAvAQAAX3JlbHMvLnJlbHNQSwECLQAUAAYACAAAACEAnHTMOnMCAAD7BAAADgAAAAAA&#10;AAAAAAAAAAAuAgAAZHJzL2Uyb0RvYy54bWxQSwECLQAUAAYACAAAACEAKMkCNd8AAAAJAQAADwAA&#10;AAAAAAAAAAAAAADNBAAAZHJzL2Rvd25yZXYueG1sUEsFBgAAAAAEAAQA8wAAANkFAAAAAA==&#10;" fillcolor="window" strokecolor="#2f528f" strokeweight="1pt"/>
                  </w:pict>
                </mc:Fallback>
              </mc:AlternateContent>
            </w:r>
            <w:r w:rsidRPr="00175D8B">
              <w:rPr>
                <w:rFonts w:eastAsia="Aptos" w:cs="Aptos"/>
                <w:b/>
                <w:kern w:val="0"/>
                <w:sz w:val="16"/>
                <w:szCs w:val="16"/>
                <w:lang w:eastAsia="tr-TR"/>
                <w14:ligatures w14:val="none"/>
              </w:rPr>
              <w:t>İstişare Toplantısı/</w:t>
            </w:r>
          </w:p>
          <w:p w14:paraId="6BFDD30C" w14:textId="77777777" w:rsidR="00921C59" w:rsidRPr="00175D8B" w:rsidRDefault="00921C59" w:rsidP="00712A02">
            <w:pPr>
              <w:spacing w:after="160" w:line="259" w:lineRule="auto"/>
              <w:jc w:val="left"/>
              <w:rPr>
                <w:rFonts w:eastAsia="Aptos" w:cs="Aptos"/>
                <w:kern w:val="0"/>
                <w:sz w:val="16"/>
                <w:szCs w:val="16"/>
                <w:lang w:eastAsia="tr-TR"/>
                <w14:ligatures w14:val="none"/>
              </w:rPr>
            </w:pPr>
            <w:r w:rsidRPr="00175D8B">
              <w:rPr>
                <w:rFonts w:eastAsia="Aptos" w:cs="Aptos"/>
                <w:kern w:val="0"/>
                <w:sz w:val="16"/>
                <w:szCs w:val="16"/>
                <w:lang w:eastAsia="tr-TR"/>
                <w14:ligatures w14:val="none"/>
              </w:rPr>
              <w:t>Consultation meeting</w:t>
            </w:r>
          </w:p>
        </w:tc>
      </w:tr>
      <w:tr w:rsidR="00921C59" w:rsidRPr="00175D8B" w14:paraId="49F0A9E6" w14:textId="77777777" w:rsidTr="002550A6">
        <w:trPr>
          <w:trHeight w:val="20"/>
          <w:jc w:val="center"/>
        </w:trPr>
        <w:tc>
          <w:tcPr>
            <w:tcW w:w="3396" w:type="dxa"/>
            <w:tcBorders>
              <w:top w:val="single" w:sz="4" w:space="0" w:color="auto"/>
              <w:left w:val="single" w:sz="4" w:space="0" w:color="auto"/>
              <w:bottom w:val="single" w:sz="4" w:space="0" w:color="auto"/>
              <w:right w:val="single" w:sz="4" w:space="0" w:color="auto"/>
            </w:tcBorders>
            <w:hideMark/>
          </w:tcPr>
          <w:p w14:paraId="3C1BC13C" w14:textId="77777777" w:rsidR="00921C59" w:rsidRPr="00175D8B" w:rsidRDefault="00921C59" w:rsidP="00712A02">
            <w:pPr>
              <w:spacing w:after="160" w:line="259" w:lineRule="auto"/>
              <w:jc w:val="left"/>
              <w:rPr>
                <w:rFonts w:eastAsia="Aptos" w:cs="Aptos"/>
                <w:kern w:val="0"/>
                <w:sz w:val="16"/>
                <w:szCs w:val="16"/>
                <w:lang w:eastAsia="tr-TR"/>
                <w14:ligatures w14:val="none"/>
              </w:rPr>
            </w:pPr>
          </w:p>
        </w:tc>
        <w:tc>
          <w:tcPr>
            <w:tcW w:w="2978" w:type="dxa"/>
            <w:tcBorders>
              <w:top w:val="single" w:sz="4" w:space="0" w:color="auto"/>
              <w:left w:val="single" w:sz="4" w:space="0" w:color="auto"/>
              <w:bottom w:val="single" w:sz="4" w:space="0" w:color="auto"/>
              <w:right w:val="single" w:sz="4" w:space="0" w:color="auto"/>
            </w:tcBorders>
          </w:tcPr>
          <w:p w14:paraId="0FD0F1DE" w14:textId="77777777" w:rsidR="00921C59" w:rsidRPr="00175D8B" w:rsidRDefault="00921C59" w:rsidP="00712A02">
            <w:pPr>
              <w:spacing w:after="160" w:line="259" w:lineRule="auto"/>
              <w:jc w:val="left"/>
              <w:rPr>
                <w:rFonts w:eastAsia="Aptos" w:cs="Aptos"/>
                <w:kern w:val="0"/>
                <w:sz w:val="16"/>
                <w:szCs w:val="16"/>
                <w:lang w:eastAsia="tr-TR"/>
                <w14:ligatures w14:val="none"/>
              </w:rPr>
            </w:pPr>
          </w:p>
        </w:tc>
        <w:tc>
          <w:tcPr>
            <w:tcW w:w="3513" w:type="dxa"/>
            <w:tcBorders>
              <w:top w:val="single" w:sz="4" w:space="0" w:color="auto"/>
              <w:left w:val="single" w:sz="4" w:space="0" w:color="auto"/>
              <w:bottom w:val="single" w:sz="4" w:space="0" w:color="auto"/>
              <w:right w:val="single" w:sz="4" w:space="0" w:color="auto"/>
            </w:tcBorders>
            <w:hideMark/>
          </w:tcPr>
          <w:p w14:paraId="5DDB87AC" w14:textId="77777777" w:rsidR="00921C59" w:rsidRPr="00175D8B" w:rsidRDefault="00921C59" w:rsidP="00712A02">
            <w:pPr>
              <w:spacing w:after="160" w:line="259" w:lineRule="auto"/>
              <w:jc w:val="left"/>
              <w:rPr>
                <w:rFonts w:eastAsia="Aptos" w:cs="Aptos"/>
                <w:kern w:val="0"/>
                <w:sz w:val="16"/>
                <w:szCs w:val="16"/>
                <w:lang w:eastAsia="tr-TR"/>
                <w14:ligatures w14:val="none"/>
              </w:rPr>
            </w:pPr>
            <w:r w:rsidRPr="00175D8B">
              <w:rPr>
                <w:rFonts w:eastAsia="Aptos" w:cs="Aptos"/>
                <w:b/>
                <w:noProof/>
                <w:kern w:val="0"/>
                <w:sz w:val="16"/>
                <w:szCs w:val="16"/>
                <w:lang w:val="tr-TR" w:eastAsia="tr-TR"/>
                <w14:ligatures w14:val="none"/>
              </w:rPr>
              <mc:AlternateContent>
                <mc:Choice Requires="wps">
                  <w:drawing>
                    <wp:anchor distT="0" distB="0" distL="114300" distR="114300" simplePos="0" relativeHeight="251703296" behindDoc="0" locked="0" layoutInCell="1" allowOverlap="1" wp14:anchorId="1EA71596" wp14:editId="0AF3CD06">
                      <wp:simplePos x="0" y="0"/>
                      <wp:positionH relativeFrom="column">
                        <wp:posOffset>1431290</wp:posOffset>
                      </wp:positionH>
                      <wp:positionV relativeFrom="paragraph">
                        <wp:posOffset>13970</wp:posOffset>
                      </wp:positionV>
                      <wp:extent cx="257175" cy="180975"/>
                      <wp:effectExtent l="0" t="0" r="28575" b="28575"/>
                      <wp:wrapNone/>
                      <wp:docPr id="10" name="Dikdörtgen 10"/>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43C9481" id="Dikdörtgen 10" o:spid="_x0000_s1026" style="position:absolute;margin-left:112.7pt;margin-top:1.1pt;width:20.25pt;height:1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iIUz7t8AAAAIAQAA&#10;DwAAAGRycy9kb3ducmV2LnhtbEyPwU7DMBBE70j8g7VI3KidQAuEOBWqhEDi1IIq9baNlyRKvA6x&#10;mwa+HvdUbrOa0czbfDnZTow0+MaxhmSmQBCXzjRcafj8eLl5AOEDssHOMWn4IQ/L4vIix8y4I69p&#10;3IRKxBL2GWqoQ+gzKX1Zk0U/cz1x9L7cYDHEc6ikGfAYy20nU6UW0mLDcaHGnlY1le3mYDWs30yn&#10;dubVtLJKkm074ur991vr66vp+QlEoCmcw3DCj+hQRKa9O7DxotOQpvO7GD0JENFPF/NHEHsNt+oe&#10;ZJHL/w8UfwAAAP//AwBQSwECLQAUAAYACAAAACEAtoM4kv4AAADhAQAAEwAAAAAAAAAAAAAAAAAA&#10;AAAAW0NvbnRlbnRfVHlwZXNdLnhtbFBLAQItABQABgAIAAAAIQA4/SH/1gAAAJQBAAALAAAAAAAA&#10;AAAAAAAAAC8BAABfcmVscy8ucmVsc1BLAQItABQABgAIAAAAIQDs1qgAcgIAAPsEAAAOAAAAAAAA&#10;AAAAAAAAAC4CAABkcnMvZTJvRG9jLnhtbFBLAQItABQABgAIAAAAIQCIhTPu3wAAAAgBAAAPAAAA&#10;AAAAAAAAAAAAAMwEAABkcnMvZG93bnJldi54bWxQSwUGAAAAAAQABADzAAAA2AUAAAAA&#10;" fillcolor="window" strokecolor="#2f528f" strokeweight="1pt"/>
                  </w:pict>
                </mc:Fallback>
              </mc:AlternateContent>
            </w:r>
            <w:r w:rsidRPr="00175D8B">
              <w:rPr>
                <w:rFonts w:eastAsia="Aptos" w:cs="Aptos"/>
                <w:b/>
                <w:kern w:val="0"/>
                <w:sz w:val="16"/>
                <w:szCs w:val="16"/>
                <w:lang w:eastAsia="tr-TR"/>
                <w14:ligatures w14:val="none"/>
              </w:rPr>
              <w:t xml:space="preserve">Dilekçe </w:t>
            </w:r>
            <w:r w:rsidRPr="00175D8B">
              <w:rPr>
                <w:rFonts w:eastAsia="Aptos" w:cs="Aptos"/>
                <w:kern w:val="0"/>
                <w:sz w:val="16"/>
                <w:szCs w:val="16"/>
                <w:lang w:eastAsia="tr-TR"/>
                <w14:ligatures w14:val="none"/>
              </w:rPr>
              <w:t>/ Petition</w:t>
            </w:r>
          </w:p>
        </w:tc>
      </w:tr>
      <w:tr w:rsidR="00921C59" w:rsidRPr="00175D8B" w14:paraId="34CE8DA0" w14:textId="77777777" w:rsidTr="002550A6">
        <w:trPr>
          <w:trHeight w:val="20"/>
          <w:jc w:val="center"/>
        </w:trPr>
        <w:tc>
          <w:tcPr>
            <w:tcW w:w="3396" w:type="dxa"/>
            <w:tcBorders>
              <w:top w:val="single" w:sz="4" w:space="0" w:color="auto"/>
              <w:left w:val="single" w:sz="4" w:space="0" w:color="auto"/>
              <w:bottom w:val="single" w:sz="4" w:space="0" w:color="auto"/>
              <w:right w:val="single" w:sz="4" w:space="0" w:color="auto"/>
            </w:tcBorders>
          </w:tcPr>
          <w:p w14:paraId="30B2C348" w14:textId="77777777" w:rsidR="00921C59" w:rsidRPr="00175D8B" w:rsidRDefault="00921C59" w:rsidP="00712A02">
            <w:pPr>
              <w:spacing w:after="160" w:line="259" w:lineRule="auto"/>
              <w:jc w:val="left"/>
              <w:rPr>
                <w:rFonts w:eastAsia="Aptos" w:cs="Aptos"/>
                <w:kern w:val="0"/>
                <w:sz w:val="16"/>
                <w:szCs w:val="16"/>
                <w:lang w:eastAsia="tr-TR"/>
                <w14:ligatures w14:val="none"/>
              </w:rPr>
            </w:pPr>
          </w:p>
        </w:tc>
        <w:tc>
          <w:tcPr>
            <w:tcW w:w="2978" w:type="dxa"/>
            <w:tcBorders>
              <w:top w:val="single" w:sz="4" w:space="0" w:color="auto"/>
              <w:left w:val="single" w:sz="4" w:space="0" w:color="auto"/>
              <w:bottom w:val="single" w:sz="4" w:space="0" w:color="auto"/>
              <w:right w:val="single" w:sz="4" w:space="0" w:color="auto"/>
            </w:tcBorders>
          </w:tcPr>
          <w:p w14:paraId="54FA7C1E" w14:textId="77777777" w:rsidR="00921C59" w:rsidRPr="00175D8B" w:rsidRDefault="00921C59" w:rsidP="00712A02">
            <w:pPr>
              <w:spacing w:after="160" w:line="259" w:lineRule="auto"/>
              <w:jc w:val="left"/>
              <w:rPr>
                <w:rFonts w:eastAsia="Aptos" w:cs="Aptos"/>
                <w:kern w:val="0"/>
                <w:sz w:val="16"/>
                <w:szCs w:val="16"/>
                <w:lang w:eastAsia="tr-TR"/>
                <w14:ligatures w14:val="none"/>
              </w:rPr>
            </w:pPr>
          </w:p>
        </w:tc>
        <w:tc>
          <w:tcPr>
            <w:tcW w:w="3513" w:type="dxa"/>
            <w:tcBorders>
              <w:top w:val="single" w:sz="4" w:space="0" w:color="auto"/>
              <w:left w:val="single" w:sz="4" w:space="0" w:color="auto"/>
              <w:bottom w:val="single" w:sz="4" w:space="0" w:color="auto"/>
              <w:right w:val="single" w:sz="4" w:space="0" w:color="auto"/>
            </w:tcBorders>
          </w:tcPr>
          <w:p w14:paraId="2878785F" w14:textId="77777777" w:rsidR="00921C59" w:rsidRPr="00175D8B" w:rsidRDefault="00921C59" w:rsidP="00712A02">
            <w:pPr>
              <w:spacing w:after="160" w:line="259" w:lineRule="auto"/>
              <w:jc w:val="left"/>
              <w:rPr>
                <w:rFonts w:eastAsia="Aptos" w:cs="Aptos"/>
                <w:b/>
                <w:noProof/>
                <w:kern w:val="0"/>
                <w:sz w:val="16"/>
                <w:szCs w:val="16"/>
                <w:lang w:eastAsia="tr-TR"/>
                <w14:ligatures w14:val="none"/>
              </w:rPr>
            </w:pPr>
            <w:r w:rsidRPr="00175D8B">
              <w:rPr>
                <w:rFonts w:eastAsia="Aptos" w:cs="Aptos"/>
                <w:b/>
                <w:noProof/>
                <w:kern w:val="0"/>
                <w:sz w:val="16"/>
                <w:szCs w:val="16"/>
                <w:lang w:val="tr-TR" w:eastAsia="tr-TR"/>
                <w14:ligatures w14:val="none"/>
              </w:rPr>
              <mc:AlternateContent>
                <mc:Choice Requires="wps">
                  <w:drawing>
                    <wp:anchor distT="0" distB="0" distL="114300" distR="114300" simplePos="0" relativeHeight="251704320" behindDoc="0" locked="0" layoutInCell="1" allowOverlap="1" wp14:anchorId="460D1521" wp14:editId="7EF0646F">
                      <wp:simplePos x="0" y="0"/>
                      <wp:positionH relativeFrom="column">
                        <wp:posOffset>1431290</wp:posOffset>
                      </wp:positionH>
                      <wp:positionV relativeFrom="paragraph">
                        <wp:posOffset>95884</wp:posOffset>
                      </wp:positionV>
                      <wp:extent cx="257175" cy="190500"/>
                      <wp:effectExtent l="0" t="0" r="28575" b="19050"/>
                      <wp:wrapNone/>
                      <wp:docPr id="11" name="Dikdörtgen 11"/>
                      <wp:cNvGraphicFramePr/>
                      <a:graphic xmlns:a="http://schemas.openxmlformats.org/drawingml/2006/main">
                        <a:graphicData uri="http://schemas.microsoft.com/office/word/2010/wordprocessingShape">
                          <wps:wsp>
                            <wps:cNvSpPr/>
                            <wps:spPr>
                              <a:xfrm flipV="1">
                                <a:off x="0" y="0"/>
                                <a:ext cx="257175" cy="1905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8FC5BF3" id="Dikdörtgen 11" o:spid="_x0000_s1026" style="position:absolute;margin-left:112.7pt;margin-top:7.55pt;width:20.25pt;height:1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H+eQIAAAUFAAAOAAAAZHJzL2Uyb0RvYy54bWysVE1vGjEQvVfqf7B8bxYQlARliRARVaUo&#10;iUTanI3XZi15bdc2LPTX99m7kK+equ7BmvGM5+PNm72+OTSa7IUPypqSDi8GlAjDbaXMtqQ/nlZf&#10;LikJkZmKaWtESY8i0Jv550/XrZuJka2troQnCGLCrHUlrWN0s6IIvBYNCxfWCQOjtL5hEarfFpVn&#10;LaI3uhgNBl+L1vrKectFCLi97Yx0nuNLKXh8kDKISHRJUVvMp8/nJp3F/JrNtp65WvG+DPYPVTRM&#10;GSQ9h7plkZGdVx9CNYp7G6yMF9w2hZVScZF7QDfDwbtu1jVzIvcCcII7wxT+X1h+v1+7Rw8YWhdm&#10;AWLq4iB9Q6RW7idmmvtCpeSQYTueYROHSDguR5PpcDqhhMM0vBpMBhnWoguTwjkf4jdhG5KEknpM&#10;JQdl+7sQkRquJ5fkHqxW1UppnZVjWGpP9gwDxNwr21KiWYi4LOkqf2mICPHmmTakRTWjKYohnIFZ&#10;UrMIsXFVSYPZUsL0FpTl0eda3rwOfrs5Zx2Pp6PluHOqWSW6WtDluc/e/WMVqatbFuruSU7RMa5R&#10;EbTXqinpZQp0Qkyb1LPIxO2xeZlLkja2Oj564m3H5OD4SiHJHRB5ZB7URbtYx/iAQ2oLDGwvUVJb&#10;//tv98kfjIKVkharAHx+7ZgXAPq7AdeuhuNx2p2sjCfTERT/2rJ5bTG7ZmkxrCEW3/EsJv+oT6L0&#10;tnnG1i5SVpiY4cjdTaJXlrFbUew9F4tFdsO+OBbvzNrxEykTvE+HZ+Zdz6wISt7b09qw2TuCdb4J&#10;YWMXu2ilyux7wRUTTAp2Lc+y/y+kZX6tZ6+Xv9f8DwAAAP//AwBQSwMEFAAGAAgAAAAhAPodhDPe&#10;AAAACQEAAA8AAABkcnMvZG93bnJldi54bWxMj8FOwzAMhu9IvENkJG4sXdcOVppOiIkLTEJsPEDW&#10;mLYicbom68rbY07jaP+ffn8u15OzYsQhdJ4UzGcJCKTam44aBZ/7l7sHECFqMtp6QgU/GGBdXV+V&#10;ujD+TB847mIjuIRCoRW0MfaFlKFu0ekw8z0SZ19+cDryODTSDPrM5c7KNEmW0umO+EKre3xusf7e&#10;nZyC7WKUb+9Zftzi5vV+Zf3muHB7pW5vpqdHEBGneIHhT5/VoWKngz+RCcIqSNM8Y5SDfA6CgXSZ&#10;r0AcFGS8kFUp/39Q/QIAAP//AwBQSwECLQAUAAYACAAAACEAtoM4kv4AAADhAQAAEwAAAAAAAAAA&#10;AAAAAAAAAAAAW0NvbnRlbnRfVHlwZXNdLnhtbFBLAQItABQABgAIAAAAIQA4/SH/1gAAAJQBAAAL&#10;AAAAAAAAAAAAAAAAAC8BAABfcmVscy8ucmVsc1BLAQItABQABgAIAAAAIQAxVMH+eQIAAAUFAAAO&#10;AAAAAAAAAAAAAAAAAC4CAABkcnMvZTJvRG9jLnhtbFBLAQItABQABgAIAAAAIQD6HYQz3gAAAAkB&#10;AAAPAAAAAAAAAAAAAAAAANMEAABkcnMvZG93bnJldi54bWxQSwUGAAAAAAQABADzAAAA3gUAAAAA&#10;" fillcolor="window" strokecolor="#2f528f" strokeweight="1pt"/>
                  </w:pict>
                </mc:Fallback>
              </mc:AlternateContent>
            </w:r>
            <w:r w:rsidRPr="00175D8B">
              <w:rPr>
                <w:rFonts w:eastAsia="Aptos" w:cs="Aptos"/>
                <w:b/>
                <w:noProof/>
                <w:kern w:val="0"/>
                <w:sz w:val="16"/>
                <w:szCs w:val="16"/>
                <w:lang w:eastAsia="tr-TR"/>
                <w14:ligatures w14:val="none"/>
              </w:rPr>
              <w:t>Proje web sayfası /</w:t>
            </w:r>
          </w:p>
          <w:p w14:paraId="30AE9673" w14:textId="77777777" w:rsidR="00921C59" w:rsidRPr="00175D8B" w:rsidRDefault="00921C59" w:rsidP="00712A02">
            <w:pPr>
              <w:spacing w:after="160" w:line="259" w:lineRule="auto"/>
              <w:jc w:val="left"/>
              <w:rPr>
                <w:rFonts w:eastAsia="Aptos" w:cs="Aptos"/>
                <w:bCs/>
                <w:noProof/>
                <w:kern w:val="0"/>
                <w:sz w:val="16"/>
                <w:szCs w:val="16"/>
                <w:lang w:eastAsia="tr-TR"/>
                <w14:ligatures w14:val="none"/>
              </w:rPr>
            </w:pPr>
            <w:r w:rsidRPr="00175D8B">
              <w:rPr>
                <w:rFonts w:eastAsia="Aptos" w:cs="Aptos"/>
                <w:bCs/>
                <w:noProof/>
                <w:kern w:val="0"/>
                <w:sz w:val="16"/>
                <w:szCs w:val="16"/>
                <w:lang w:eastAsia="tr-TR"/>
                <w14:ligatures w14:val="none"/>
              </w:rPr>
              <w:t xml:space="preserve">Project web page </w:t>
            </w:r>
          </w:p>
        </w:tc>
      </w:tr>
      <w:tr w:rsidR="00921C59" w:rsidRPr="00175D8B" w14:paraId="51D61685" w14:textId="77777777" w:rsidTr="002550A6">
        <w:trPr>
          <w:trHeight w:val="20"/>
          <w:jc w:val="center"/>
        </w:trPr>
        <w:tc>
          <w:tcPr>
            <w:tcW w:w="3396" w:type="dxa"/>
            <w:tcBorders>
              <w:top w:val="single" w:sz="4" w:space="0" w:color="auto"/>
              <w:left w:val="single" w:sz="4" w:space="0" w:color="auto"/>
              <w:bottom w:val="single" w:sz="4" w:space="0" w:color="auto"/>
              <w:right w:val="single" w:sz="4" w:space="0" w:color="auto"/>
            </w:tcBorders>
          </w:tcPr>
          <w:p w14:paraId="731BF06A" w14:textId="77777777" w:rsidR="00921C59" w:rsidRPr="00175D8B" w:rsidRDefault="00921C59" w:rsidP="00712A02">
            <w:pPr>
              <w:spacing w:after="160" w:line="259" w:lineRule="auto"/>
              <w:jc w:val="left"/>
              <w:rPr>
                <w:rFonts w:eastAsia="Aptos" w:cs="Aptos"/>
                <w:kern w:val="0"/>
                <w:sz w:val="16"/>
                <w:szCs w:val="16"/>
                <w:lang w:eastAsia="tr-TR"/>
                <w14:ligatures w14:val="none"/>
              </w:rPr>
            </w:pPr>
          </w:p>
        </w:tc>
        <w:tc>
          <w:tcPr>
            <w:tcW w:w="2978" w:type="dxa"/>
            <w:tcBorders>
              <w:top w:val="single" w:sz="4" w:space="0" w:color="auto"/>
              <w:left w:val="single" w:sz="4" w:space="0" w:color="auto"/>
              <w:bottom w:val="single" w:sz="4" w:space="0" w:color="auto"/>
              <w:right w:val="single" w:sz="4" w:space="0" w:color="auto"/>
            </w:tcBorders>
          </w:tcPr>
          <w:p w14:paraId="11E302AE" w14:textId="77777777" w:rsidR="00921C59" w:rsidRPr="00175D8B" w:rsidRDefault="00921C59" w:rsidP="00712A02">
            <w:pPr>
              <w:spacing w:after="160" w:line="259" w:lineRule="auto"/>
              <w:jc w:val="left"/>
              <w:rPr>
                <w:rFonts w:eastAsia="Aptos" w:cs="Aptos"/>
                <w:kern w:val="0"/>
                <w:sz w:val="16"/>
                <w:szCs w:val="16"/>
                <w:lang w:eastAsia="tr-TR"/>
                <w14:ligatures w14:val="none"/>
              </w:rPr>
            </w:pPr>
          </w:p>
        </w:tc>
        <w:tc>
          <w:tcPr>
            <w:tcW w:w="3513" w:type="dxa"/>
            <w:tcBorders>
              <w:top w:val="single" w:sz="4" w:space="0" w:color="auto"/>
              <w:left w:val="single" w:sz="4" w:space="0" w:color="auto"/>
              <w:bottom w:val="single" w:sz="4" w:space="0" w:color="auto"/>
              <w:right w:val="single" w:sz="4" w:space="0" w:color="auto"/>
            </w:tcBorders>
          </w:tcPr>
          <w:p w14:paraId="4CEA7D8A" w14:textId="77777777" w:rsidR="00921C59" w:rsidRPr="00175D8B" w:rsidRDefault="00921C59" w:rsidP="00712A02">
            <w:pPr>
              <w:spacing w:after="160" w:line="259" w:lineRule="auto"/>
              <w:jc w:val="left"/>
              <w:rPr>
                <w:rFonts w:eastAsia="Aptos" w:cs="Aptos"/>
                <w:b/>
                <w:noProof/>
                <w:kern w:val="0"/>
                <w:sz w:val="16"/>
                <w:szCs w:val="16"/>
                <w:lang w:eastAsia="tr-TR"/>
                <w14:ligatures w14:val="none"/>
              </w:rPr>
            </w:pPr>
            <w:r w:rsidRPr="00175D8B">
              <w:rPr>
                <w:rFonts w:eastAsia="Aptos" w:cs="Aptos"/>
                <w:b/>
                <w:noProof/>
                <w:kern w:val="0"/>
                <w:sz w:val="16"/>
                <w:szCs w:val="16"/>
                <w:lang w:val="tr-TR" w:eastAsia="tr-TR"/>
                <w14:ligatures w14:val="none"/>
              </w:rPr>
              <mc:AlternateContent>
                <mc:Choice Requires="wps">
                  <w:drawing>
                    <wp:anchor distT="0" distB="0" distL="114300" distR="114300" simplePos="0" relativeHeight="251705344" behindDoc="0" locked="0" layoutInCell="1" allowOverlap="1" wp14:anchorId="6749E12B" wp14:editId="18502FBA">
                      <wp:simplePos x="0" y="0"/>
                      <wp:positionH relativeFrom="column">
                        <wp:posOffset>1434465</wp:posOffset>
                      </wp:positionH>
                      <wp:positionV relativeFrom="paragraph">
                        <wp:posOffset>75565</wp:posOffset>
                      </wp:positionV>
                      <wp:extent cx="257175" cy="190500"/>
                      <wp:effectExtent l="0" t="0" r="28575" b="19050"/>
                      <wp:wrapNone/>
                      <wp:docPr id="12" name="Dikdörtgen 12"/>
                      <wp:cNvGraphicFramePr/>
                      <a:graphic xmlns:a="http://schemas.openxmlformats.org/drawingml/2006/main">
                        <a:graphicData uri="http://schemas.microsoft.com/office/word/2010/wordprocessingShape">
                          <wps:wsp>
                            <wps:cNvSpPr/>
                            <wps:spPr>
                              <a:xfrm flipV="1">
                                <a:off x="0" y="0"/>
                                <a:ext cx="257175" cy="1905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FEF49D7" id="Dikdörtgen 12" o:spid="_x0000_s1026" style="position:absolute;margin-left:112.95pt;margin-top:5.95pt;width:20.25pt;height:1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H+eQIAAAUFAAAOAAAAZHJzL2Uyb0RvYy54bWysVE1vGjEQvVfqf7B8bxYQlARliRARVaUo&#10;iUTanI3XZi15bdc2LPTX99m7kK+equ7BmvGM5+PNm72+OTSa7IUPypqSDi8GlAjDbaXMtqQ/nlZf&#10;LikJkZmKaWtESY8i0Jv550/XrZuJka2troQnCGLCrHUlrWN0s6IIvBYNCxfWCQOjtL5hEarfFpVn&#10;LaI3uhgNBl+L1vrKectFCLi97Yx0nuNLKXh8kDKISHRJUVvMp8/nJp3F/JrNtp65WvG+DPYPVTRM&#10;GSQ9h7plkZGdVx9CNYp7G6yMF9w2hZVScZF7QDfDwbtu1jVzIvcCcII7wxT+X1h+v1+7Rw8YWhdm&#10;AWLq4iB9Q6RW7idmmvtCpeSQYTueYROHSDguR5PpcDqhhMM0vBpMBhnWoguTwjkf4jdhG5KEknpM&#10;JQdl+7sQkRquJ5fkHqxW1UppnZVjWGpP9gwDxNwr21KiWYi4LOkqf2mICPHmmTakRTWjKYohnIFZ&#10;UrMIsXFVSYPZUsL0FpTl0eda3rwOfrs5Zx2Pp6PluHOqWSW6WtDluc/e/WMVqatbFuruSU7RMa5R&#10;EbTXqinpZQp0Qkyb1LPIxO2xeZlLkja2Oj564m3H5OD4SiHJHRB5ZB7URbtYx/iAQ2oLDGwvUVJb&#10;//tv98kfjIKVkharAHx+7ZgXAPq7AdeuhuNx2p2sjCfTERT/2rJ5bTG7ZmkxrCEW3/EsJv+oT6L0&#10;tnnG1i5SVpiY4cjdTaJXlrFbUew9F4tFdsO+OBbvzNrxEykTvE+HZ+Zdz6wISt7b09qw2TuCdb4J&#10;YWMXu2ilyux7wRUTTAp2Lc+y/y+kZX6tZ6+Xv9f8DwAAAP//AwBQSwMEFAAGAAgAAAAhAKWxEq3f&#10;AAAACQEAAA8AAABkcnMvZG93bnJldi54bWxMj8FOwzAQRO9I/IO1SNyo0zQNNMSpEBUXqIRo+QA3&#10;XpIIe53Gbhr+nuVUTqvdGc2+KdeTs2LEIXSeFMxnCQik2puOGgWf+5e7BxAhajLaekIFPxhgXV1f&#10;lbow/kwfOO5iIziEQqEVtDH2hZShbtHpMPM9EmtffnA68jo00gz6zOHOyjRJcul0R/yh1T0+t1h/&#10;705OwXYxyrf3bHnc4ub1fmX95rhwe6Vub6anRxARp3gxwx8+o0PFTAd/IhOEVZCmyxVbWZjzZEOa&#10;5xmIg4KMD7Iq5f8G1S8AAAD//wMAUEsBAi0AFAAGAAgAAAAhALaDOJL+AAAA4QEAABMAAAAAAAAA&#10;AAAAAAAAAAAAAFtDb250ZW50X1R5cGVzXS54bWxQSwECLQAUAAYACAAAACEAOP0h/9YAAACUAQAA&#10;CwAAAAAAAAAAAAAAAAAvAQAAX3JlbHMvLnJlbHNQSwECLQAUAAYACAAAACEAMVTB/nkCAAAFBQAA&#10;DgAAAAAAAAAAAAAAAAAuAgAAZHJzL2Uyb0RvYy54bWxQSwECLQAUAAYACAAAACEApbESrd8AAAAJ&#10;AQAADwAAAAAAAAAAAAAAAADTBAAAZHJzL2Rvd25yZXYueG1sUEsFBgAAAAAEAAQA8wAAAN8FAAAA&#10;AA==&#10;" fillcolor="window" strokecolor="#2f528f" strokeweight="1pt"/>
                  </w:pict>
                </mc:Fallback>
              </mc:AlternateContent>
            </w:r>
            <w:r w:rsidRPr="00175D8B">
              <w:rPr>
                <w:rFonts w:eastAsia="Aptos" w:cs="Aptos"/>
                <w:b/>
                <w:noProof/>
                <w:kern w:val="0"/>
                <w:sz w:val="16"/>
                <w:szCs w:val="16"/>
                <w:lang w:eastAsia="tr-TR"/>
                <w14:ligatures w14:val="none"/>
              </w:rPr>
              <w:t>CİMER /</w:t>
            </w:r>
          </w:p>
          <w:p w14:paraId="5ADEF70A" w14:textId="77777777" w:rsidR="00921C59" w:rsidRPr="00175D8B" w:rsidRDefault="00921C59" w:rsidP="00712A02">
            <w:pPr>
              <w:spacing w:after="160" w:line="259" w:lineRule="auto"/>
              <w:jc w:val="left"/>
              <w:rPr>
                <w:rFonts w:eastAsia="Aptos" w:cs="Aptos"/>
                <w:bCs/>
                <w:noProof/>
                <w:kern w:val="0"/>
                <w:sz w:val="16"/>
                <w:szCs w:val="16"/>
                <w:lang w:eastAsia="tr-TR"/>
                <w14:ligatures w14:val="none"/>
              </w:rPr>
            </w:pPr>
            <w:r w:rsidRPr="00175D8B">
              <w:rPr>
                <w:rFonts w:eastAsia="Aptos" w:cs="Aptos"/>
                <w:bCs/>
                <w:noProof/>
                <w:kern w:val="0"/>
                <w:sz w:val="16"/>
                <w:szCs w:val="16"/>
                <w:lang w:eastAsia="tr-TR"/>
                <w14:ligatures w14:val="none"/>
              </w:rPr>
              <w:t>CİMER</w:t>
            </w:r>
          </w:p>
          <w:p w14:paraId="36B827A8" w14:textId="77777777" w:rsidR="00921C59" w:rsidRPr="00175D8B" w:rsidRDefault="00921C59" w:rsidP="00712A02">
            <w:pPr>
              <w:spacing w:after="160" w:line="259" w:lineRule="auto"/>
              <w:jc w:val="left"/>
              <w:rPr>
                <w:rFonts w:eastAsia="Aptos" w:cs="Aptos"/>
                <w:b/>
                <w:noProof/>
                <w:kern w:val="0"/>
                <w:sz w:val="16"/>
                <w:szCs w:val="16"/>
                <w:lang w:eastAsia="tr-TR"/>
                <w14:ligatures w14:val="none"/>
              </w:rPr>
            </w:pPr>
            <w:r w:rsidRPr="00175D8B">
              <w:rPr>
                <w:rFonts w:eastAsia="Aptos" w:cs="Aptos"/>
                <w:bCs/>
                <w:noProof/>
                <w:kern w:val="0"/>
                <w:sz w:val="16"/>
                <w:szCs w:val="16"/>
                <w:lang w:eastAsia="tr-TR"/>
                <w14:ligatures w14:val="none"/>
              </w:rPr>
              <w:t>(Presidential Communication Center)</w:t>
            </w:r>
          </w:p>
        </w:tc>
      </w:tr>
      <w:tr w:rsidR="00921C59" w:rsidRPr="00175D8B" w14:paraId="0FCF5DE0" w14:textId="77777777" w:rsidTr="002550A6">
        <w:trPr>
          <w:trHeight w:val="20"/>
          <w:jc w:val="center"/>
        </w:trPr>
        <w:tc>
          <w:tcPr>
            <w:tcW w:w="9887"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1D2AD8E4" w14:textId="77777777" w:rsidR="00921C59" w:rsidRPr="00175D8B" w:rsidRDefault="00921C59" w:rsidP="00712A02">
            <w:pPr>
              <w:spacing w:after="160" w:line="259" w:lineRule="auto"/>
              <w:jc w:val="left"/>
              <w:rPr>
                <w:rFonts w:eastAsia="Aptos" w:cs="Aptos"/>
                <w:b/>
                <w:kern w:val="0"/>
                <w:sz w:val="16"/>
                <w:szCs w:val="16"/>
                <w:lang w:eastAsia="tr-TR"/>
                <w14:ligatures w14:val="none"/>
              </w:rPr>
            </w:pPr>
            <w:r w:rsidRPr="00175D8B">
              <w:rPr>
                <w:rFonts w:eastAsia="Aptos" w:cs="Aptos"/>
                <w:b/>
                <w:kern w:val="0"/>
                <w:sz w:val="16"/>
                <w:szCs w:val="16"/>
                <w:lang w:eastAsia="tr-TR"/>
                <w14:ligatures w14:val="none"/>
              </w:rPr>
              <w:t>ŞİKAYET DETAYLARI / DETAILS OF COMPLAINT</w:t>
            </w:r>
          </w:p>
        </w:tc>
      </w:tr>
      <w:tr w:rsidR="00921C59" w:rsidRPr="00175D8B" w14:paraId="380C7F9B" w14:textId="77777777" w:rsidTr="002550A6">
        <w:trPr>
          <w:trHeight w:val="20"/>
          <w:jc w:val="center"/>
        </w:trPr>
        <w:tc>
          <w:tcPr>
            <w:tcW w:w="9887" w:type="dxa"/>
            <w:gridSpan w:val="3"/>
            <w:tcBorders>
              <w:top w:val="single" w:sz="4" w:space="0" w:color="auto"/>
              <w:left w:val="single" w:sz="4" w:space="0" w:color="auto"/>
              <w:bottom w:val="single" w:sz="4" w:space="0" w:color="auto"/>
              <w:right w:val="single" w:sz="4" w:space="0" w:color="auto"/>
            </w:tcBorders>
          </w:tcPr>
          <w:p w14:paraId="215112F3" w14:textId="77777777" w:rsidR="00921C59" w:rsidRPr="00175D8B" w:rsidRDefault="00921C59" w:rsidP="00712A02">
            <w:pPr>
              <w:spacing w:after="0" w:line="259" w:lineRule="auto"/>
              <w:jc w:val="left"/>
              <w:rPr>
                <w:rFonts w:eastAsia="Aptos" w:cs="Aptos"/>
                <w:b/>
                <w:kern w:val="0"/>
                <w:sz w:val="16"/>
                <w:szCs w:val="16"/>
                <w:lang w:eastAsia="tr-TR"/>
                <w14:ligatures w14:val="none"/>
              </w:rPr>
            </w:pPr>
            <w:r w:rsidRPr="00175D8B">
              <w:rPr>
                <w:rFonts w:eastAsia="Aptos" w:cs="Aptos"/>
                <w:b/>
                <w:kern w:val="0"/>
                <w:sz w:val="16"/>
                <w:szCs w:val="16"/>
                <w:lang w:eastAsia="tr-TR"/>
                <w14:ligatures w14:val="none"/>
              </w:rPr>
              <w:t>Şikayet Konusu /</w:t>
            </w:r>
          </w:p>
          <w:p w14:paraId="3E50AD13" w14:textId="77777777" w:rsidR="00921C59" w:rsidRPr="00175D8B" w:rsidRDefault="00921C59" w:rsidP="00712A02">
            <w:pPr>
              <w:spacing w:after="0" w:line="259" w:lineRule="auto"/>
              <w:jc w:val="left"/>
              <w:rPr>
                <w:rFonts w:eastAsia="Aptos" w:cs="Aptos"/>
                <w:kern w:val="0"/>
                <w:sz w:val="16"/>
                <w:szCs w:val="16"/>
                <w:lang w:eastAsia="tr-TR"/>
                <w14:ligatures w14:val="none"/>
              </w:rPr>
            </w:pPr>
            <w:r w:rsidRPr="00175D8B">
              <w:rPr>
                <w:rFonts w:eastAsia="Aptos" w:cs="Aptos"/>
                <w:kern w:val="0"/>
                <w:sz w:val="16"/>
                <w:szCs w:val="16"/>
                <w:lang w:eastAsia="tr-TR"/>
                <w14:ligatures w14:val="none"/>
              </w:rPr>
              <w:t>Complaint</w:t>
            </w:r>
          </w:p>
        </w:tc>
      </w:tr>
      <w:tr w:rsidR="00921C59" w:rsidRPr="00175D8B" w14:paraId="3AE7A577" w14:textId="77777777" w:rsidTr="002550A6">
        <w:trPr>
          <w:trHeight w:val="20"/>
          <w:jc w:val="center"/>
        </w:trPr>
        <w:tc>
          <w:tcPr>
            <w:tcW w:w="9887" w:type="dxa"/>
            <w:gridSpan w:val="3"/>
            <w:tcBorders>
              <w:top w:val="single" w:sz="4" w:space="0" w:color="auto"/>
              <w:left w:val="single" w:sz="4" w:space="0" w:color="auto"/>
              <w:bottom w:val="single" w:sz="4" w:space="0" w:color="auto"/>
              <w:right w:val="single" w:sz="4" w:space="0" w:color="auto"/>
            </w:tcBorders>
          </w:tcPr>
          <w:p w14:paraId="52881EA5" w14:textId="77777777" w:rsidR="00921C59" w:rsidRPr="00175D8B" w:rsidRDefault="00921C59" w:rsidP="00712A02">
            <w:pPr>
              <w:spacing w:after="0" w:line="259" w:lineRule="auto"/>
              <w:jc w:val="left"/>
              <w:rPr>
                <w:rFonts w:eastAsia="Aptos" w:cs="Aptos"/>
                <w:b/>
                <w:kern w:val="0"/>
                <w:sz w:val="16"/>
                <w:szCs w:val="16"/>
                <w:lang w:eastAsia="tr-TR"/>
                <w14:ligatures w14:val="none"/>
              </w:rPr>
            </w:pPr>
            <w:r w:rsidRPr="00175D8B">
              <w:rPr>
                <w:rFonts w:eastAsia="Aptos" w:cs="Aptos"/>
                <w:b/>
                <w:kern w:val="0"/>
                <w:sz w:val="16"/>
                <w:szCs w:val="16"/>
                <w:lang w:eastAsia="tr-TR"/>
                <w14:ligatures w14:val="none"/>
              </w:rPr>
              <w:t>Şikayet sahibi tarafından talep edilen çözüm /</w:t>
            </w:r>
          </w:p>
          <w:p w14:paraId="4B0C88C4" w14:textId="77777777" w:rsidR="00921C59" w:rsidRPr="00175D8B" w:rsidRDefault="00921C59" w:rsidP="00712A02">
            <w:pPr>
              <w:spacing w:after="0" w:line="259" w:lineRule="auto"/>
              <w:jc w:val="left"/>
              <w:rPr>
                <w:rFonts w:eastAsia="Aptos" w:cs="Aptos"/>
                <w:kern w:val="0"/>
                <w:sz w:val="16"/>
                <w:szCs w:val="16"/>
                <w:lang w:eastAsia="tr-TR"/>
                <w14:ligatures w14:val="none"/>
              </w:rPr>
            </w:pPr>
            <w:r w:rsidRPr="00175D8B">
              <w:rPr>
                <w:rFonts w:eastAsia="Aptos" w:cs="Aptos"/>
                <w:kern w:val="0"/>
                <w:sz w:val="16"/>
                <w:szCs w:val="16"/>
                <w:lang w:eastAsia="tr-TR"/>
                <w14:ligatures w14:val="none"/>
              </w:rPr>
              <w:t>Solution requested by the Complainant</w:t>
            </w:r>
          </w:p>
        </w:tc>
      </w:tr>
    </w:tbl>
    <w:p w14:paraId="63C38D09" w14:textId="77777777" w:rsidR="00921C59" w:rsidRPr="00175D8B" w:rsidRDefault="00921C59" w:rsidP="00921C59">
      <w:pPr>
        <w:spacing w:after="160"/>
        <w:rPr>
          <w:rFonts w:eastAsia="Aptos" w:cs="Aptos"/>
          <w:b/>
          <w:kern w:val="0"/>
          <w:sz w:val="18"/>
          <w:szCs w:val="18"/>
          <w:lang w:eastAsia="tr-TR"/>
          <w14:ligatures w14:val="none"/>
        </w:rPr>
      </w:pPr>
    </w:p>
    <w:p w14:paraId="6006850F" w14:textId="0ACD0CFD" w:rsidR="00921C59" w:rsidRPr="00175D8B" w:rsidRDefault="00921C59" w:rsidP="00921C59">
      <w:pPr>
        <w:spacing w:after="160"/>
        <w:rPr>
          <w:rFonts w:eastAsia="Aptos" w:cs="Aptos"/>
          <w:b/>
          <w:kern w:val="0"/>
          <w:sz w:val="18"/>
          <w:szCs w:val="18"/>
          <w:lang w:eastAsia="tr-TR"/>
          <w14:ligatures w14:val="none"/>
        </w:rPr>
      </w:pPr>
    </w:p>
    <w:p w14:paraId="7777ED05" w14:textId="77777777" w:rsidR="00A816AD" w:rsidRPr="00175D8B" w:rsidRDefault="00A816AD" w:rsidP="00921C59">
      <w:pPr>
        <w:spacing w:after="160"/>
        <w:rPr>
          <w:rFonts w:eastAsia="Aptos" w:cs="Aptos"/>
          <w:b/>
          <w:kern w:val="0"/>
          <w:sz w:val="18"/>
          <w:szCs w:val="18"/>
          <w:lang w:eastAsia="tr-TR"/>
          <w14:ligatures w14:val="none"/>
        </w:rPr>
      </w:pPr>
    </w:p>
    <w:p w14:paraId="752B74C6" w14:textId="530C5498" w:rsidR="00921C59" w:rsidRPr="00175D8B" w:rsidRDefault="00921C59">
      <w:pPr>
        <w:pStyle w:val="Balk1"/>
        <w:rPr>
          <w:b/>
          <w:sz w:val="28"/>
          <w:lang w:eastAsia="tr-TR"/>
        </w:rPr>
      </w:pPr>
      <w:bookmarkStart w:id="485" w:name="_Toc207987182"/>
      <w:bookmarkStart w:id="486" w:name="_Toc212541913"/>
      <w:bookmarkStart w:id="487" w:name="_Toc212542424"/>
      <w:bookmarkStart w:id="488" w:name="_Toc220672833"/>
      <w:r w:rsidRPr="00175D8B">
        <w:rPr>
          <w:b/>
          <w:sz w:val="28"/>
          <w:lang w:eastAsia="tr-TR"/>
        </w:rPr>
        <w:lastRenderedPageBreak/>
        <w:t xml:space="preserve">ANNEX </w:t>
      </w:r>
      <w:r w:rsidR="00365CEA" w:rsidRPr="00175D8B">
        <w:rPr>
          <w:b/>
          <w:sz w:val="28"/>
          <w:lang w:eastAsia="tr-TR"/>
        </w:rPr>
        <w:t>4</w:t>
      </w:r>
      <w:r w:rsidRPr="00175D8B">
        <w:rPr>
          <w:b/>
          <w:sz w:val="28"/>
          <w:lang w:eastAsia="tr-TR"/>
        </w:rPr>
        <w:t>- SAMPLE GRIEVANCE CLOSEOUT FORM</w:t>
      </w:r>
      <w:bookmarkEnd w:id="485"/>
      <w:bookmarkEnd w:id="486"/>
      <w:bookmarkEnd w:id="487"/>
      <w:bookmarkEnd w:id="488"/>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1"/>
        <w:gridCol w:w="4471"/>
      </w:tblGrid>
      <w:tr w:rsidR="00921C59" w:rsidRPr="00175D8B" w14:paraId="1B4C76B4" w14:textId="77777777" w:rsidTr="00DF417A">
        <w:trPr>
          <w:jc w:val="center"/>
        </w:trPr>
        <w:tc>
          <w:tcPr>
            <w:tcW w:w="4601" w:type="dxa"/>
            <w:tcBorders>
              <w:top w:val="single" w:sz="4" w:space="0" w:color="000000"/>
              <w:left w:val="single" w:sz="4" w:space="0" w:color="000000"/>
              <w:bottom w:val="single" w:sz="4" w:space="0" w:color="000000"/>
              <w:right w:val="single" w:sz="4" w:space="0" w:color="000000"/>
            </w:tcBorders>
          </w:tcPr>
          <w:p w14:paraId="1F2BD874" w14:textId="77777777" w:rsidR="00921C59" w:rsidRPr="00175D8B" w:rsidRDefault="00921C59" w:rsidP="00921C59">
            <w:pPr>
              <w:spacing w:afterLines="120" w:after="288" w:line="240" w:lineRule="auto"/>
              <w:jc w:val="left"/>
              <w:rPr>
                <w:rFonts w:eastAsia="Aptos" w:cs="Aptos"/>
                <w:b/>
                <w:kern w:val="0"/>
                <w:sz w:val="20"/>
                <w:szCs w:val="20"/>
                <w:lang w:eastAsia="tr-TR"/>
                <w14:ligatures w14:val="none"/>
              </w:rPr>
            </w:pPr>
            <w:r w:rsidRPr="00175D8B">
              <w:rPr>
                <w:rFonts w:eastAsia="Aptos" w:cs="Aptos"/>
                <w:b/>
                <w:kern w:val="0"/>
                <w:sz w:val="20"/>
                <w:szCs w:val="20"/>
                <w:lang w:eastAsia="tr-TR"/>
                <w14:ligatures w14:val="none"/>
              </w:rPr>
              <w:t>Şikayet Kapatma Numarası:</w:t>
            </w:r>
          </w:p>
          <w:p w14:paraId="701B8BD1"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r w:rsidRPr="00175D8B">
              <w:rPr>
                <w:rFonts w:eastAsia="Aptos" w:cs="Aptos"/>
                <w:kern w:val="0"/>
                <w:sz w:val="20"/>
                <w:szCs w:val="20"/>
                <w:lang w:eastAsia="tr-TR"/>
                <w14:ligatures w14:val="none"/>
              </w:rPr>
              <w:t>Grievance Closure No:</w:t>
            </w:r>
          </w:p>
        </w:tc>
        <w:tc>
          <w:tcPr>
            <w:tcW w:w="4471" w:type="dxa"/>
            <w:tcBorders>
              <w:top w:val="single" w:sz="4" w:space="0" w:color="000000"/>
              <w:left w:val="single" w:sz="4" w:space="0" w:color="000000"/>
              <w:bottom w:val="single" w:sz="4" w:space="0" w:color="000000"/>
              <w:right w:val="single" w:sz="4" w:space="0" w:color="000000"/>
            </w:tcBorders>
          </w:tcPr>
          <w:p w14:paraId="6BCFBB2C" w14:textId="77777777" w:rsidR="00921C59" w:rsidRPr="00175D8B" w:rsidRDefault="00921C59" w:rsidP="00921C59">
            <w:pPr>
              <w:spacing w:afterLines="120" w:after="288" w:line="240" w:lineRule="auto"/>
              <w:ind w:left="567"/>
              <w:jc w:val="left"/>
              <w:rPr>
                <w:rFonts w:eastAsia="Aptos" w:cs="Aptos"/>
                <w:b/>
                <w:kern w:val="0"/>
                <w:sz w:val="20"/>
                <w:szCs w:val="20"/>
                <w:lang w:eastAsia="tr-TR"/>
                <w14:ligatures w14:val="none"/>
              </w:rPr>
            </w:pPr>
          </w:p>
        </w:tc>
      </w:tr>
      <w:tr w:rsidR="00921C59" w:rsidRPr="00175D8B" w14:paraId="034637EA" w14:textId="77777777" w:rsidTr="00DF417A">
        <w:trPr>
          <w:jc w:val="center"/>
        </w:trPr>
        <w:tc>
          <w:tcPr>
            <w:tcW w:w="4601" w:type="dxa"/>
            <w:tcBorders>
              <w:top w:val="single" w:sz="4" w:space="0" w:color="000000"/>
              <w:left w:val="single" w:sz="4" w:space="0" w:color="000000"/>
              <w:bottom w:val="single" w:sz="4" w:space="0" w:color="000000"/>
              <w:right w:val="single" w:sz="4" w:space="0" w:color="000000"/>
            </w:tcBorders>
          </w:tcPr>
          <w:p w14:paraId="5F72AAA2" w14:textId="77777777" w:rsidR="00921C59" w:rsidRPr="00175D8B" w:rsidRDefault="00921C59" w:rsidP="00921C59">
            <w:pPr>
              <w:spacing w:afterLines="120" w:after="288" w:line="240" w:lineRule="auto"/>
              <w:jc w:val="left"/>
              <w:rPr>
                <w:rFonts w:eastAsia="Aptos" w:cs="Aptos"/>
                <w:b/>
                <w:kern w:val="0"/>
                <w:sz w:val="20"/>
                <w:szCs w:val="20"/>
                <w:lang w:eastAsia="tr-TR"/>
                <w14:ligatures w14:val="none"/>
              </w:rPr>
            </w:pPr>
            <w:r w:rsidRPr="00175D8B">
              <w:rPr>
                <w:rFonts w:eastAsia="Aptos" w:cs="Aptos"/>
                <w:b/>
                <w:kern w:val="0"/>
                <w:sz w:val="20"/>
                <w:szCs w:val="20"/>
                <w:lang w:eastAsia="tr-TR"/>
                <w14:ligatures w14:val="none"/>
              </w:rPr>
              <w:t>Alınması Gereken Acil Önlemleri Tanımlayın:</w:t>
            </w:r>
          </w:p>
          <w:p w14:paraId="4D09017C" w14:textId="77777777" w:rsidR="00921C59" w:rsidRPr="00175D8B" w:rsidRDefault="00921C59" w:rsidP="00921C59">
            <w:pPr>
              <w:spacing w:afterLines="120" w:after="288" w:line="240" w:lineRule="auto"/>
              <w:jc w:val="left"/>
              <w:rPr>
                <w:rFonts w:eastAsia="Aptos" w:cs="Aptos"/>
                <w:kern w:val="0"/>
                <w:sz w:val="20"/>
                <w:szCs w:val="20"/>
                <w:lang w:eastAsia="tr-TR"/>
                <w14:ligatures w14:val="none"/>
              </w:rPr>
            </w:pPr>
            <w:r w:rsidRPr="00175D8B">
              <w:rPr>
                <w:rFonts w:eastAsia="Aptos" w:cs="Aptos"/>
                <w:kern w:val="0"/>
                <w:sz w:val="20"/>
                <w:szCs w:val="20"/>
                <w:lang w:eastAsia="tr-TR"/>
                <w14:ligatures w14:val="none"/>
              </w:rPr>
              <w:t>Identify the urgent actions</w:t>
            </w:r>
          </w:p>
        </w:tc>
        <w:tc>
          <w:tcPr>
            <w:tcW w:w="4471" w:type="dxa"/>
            <w:tcBorders>
              <w:top w:val="single" w:sz="4" w:space="0" w:color="000000"/>
              <w:left w:val="single" w:sz="4" w:space="0" w:color="000000"/>
              <w:bottom w:val="single" w:sz="4" w:space="0" w:color="000000"/>
              <w:right w:val="single" w:sz="4" w:space="0" w:color="000000"/>
            </w:tcBorders>
          </w:tcPr>
          <w:p w14:paraId="6D8ADCD1" w14:textId="77777777" w:rsidR="00921C59" w:rsidRPr="00175D8B" w:rsidRDefault="00921C59" w:rsidP="00921C59">
            <w:pPr>
              <w:spacing w:afterLines="120" w:after="288" w:line="240" w:lineRule="auto"/>
              <w:ind w:left="567"/>
              <w:jc w:val="left"/>
              <w:rPr>
                <w:rFonts w:eastAsia="Aptos" w:cs="Aptos"/>
                <w:b/>
                <w:kern w:val="0"/>
                <w:sz w:val="20"/>
                <w:szCs w:val="20"/>
                <w:lang w:eastAsia="tr-TR"/>
                <w14:ligatures w14:val="none"/>
              </w:rPr>
            </w:pPr>
          </w:p>
        </w:tc>
      </w:tr>
      <w:tr w:rsidR="00921C59" w:rsidRPr="00175D8B" w14:paraId="5998F350" w14:textId="77777777" w:rsidTr="00DF417A">
        <w:trPr>
          <w:jc w:val="center"/>
        </w:trPr>
        <w:tc>
          <w:tcPr>
            <w:tcW w:w="4601" w:type="dxa"/>
            <w:tcBorders>
              <w:top w:val="single" w:sz="4" w:space="0" w:color="000000"/>
              <w:left w:val="single" w:sz="4" w:space="0" w:color="000000"/>
              <w:bottom w:val="single" w:sz="4" w:space="0" w:color="000000"/>
              <w:right w:val="single" w:sz="4" w:space="0" w:color="000000"/>
            </w:tcBorders>
          </w:tcPr>
          <w:p w14:paraId="37DBB465" w14:textId="77777777" w:rsidR="00921C59" w:rsidRPr="00175D8B" w:rsidRDefault="00921C59" w:rsidP="00921C59">
            <w:pPr>
              <w:spacing w:afterLines="120" w:after="288" w:line="240" w:lineRule="auto"/>
              <w:jc w:val="left"/>
              <w:rPr>
                <w:rFonts w:eastAsia="Aptos" w:cs="Aptos"/>
                <w:b/>
                <w:kern w:val="0"/>
                <w:sz w:val="20"/>
                <w:szCs w:val="20"/>
                <w:lang w:eastAsia="tr-TR"/>
                <w14:ligatures w14:val="none"/>
              </w:rPr>
            </w:pPr>
            <w:r w:rsidRPr="00175D8B">
              <w:rPr>
                <w:rFonts w:eastAsia="Aptos" w:cs="Aptos"/>
                <w:b/>
                <w:kern w:val="0"/>
                <w:sz w:val="20"/>
                <w:szCs w:val="20"/>
                <w:lang w:eastAsia="tr-TR"/>
                <w14:ligatures w14:val="none"/>
              </w:rPr>
              <w:t>Alınması Gereken Uzun Vadeli Önlemleri Tanımlayın (Gerekli İse):</w:t>
            </w:r>
          </w:p>
          <w:p w14:paraId="02A45CDE" w14:textId="77777777" w:rsidR="00921C59" w:rsidRPr="00175D8B" w:rsidRDefault="00921C59" w:rsidP="00921C59">
            <w:pPr>
              <w:spacing w:afterLines="120" w:after="288" w:line="240" w:lineRule="auto"/>
              <w:jc w:val="left"/>
              <w:rPr>
                <w:rFonts w:eastAsia="Aptos" w:cs="Aptos"/>
                <w:b/>
                <w:kern w:val="0"/>
                <w:sz w:val="20"/>
                <w:szCs w:val="20"/>
                <w:lang w:eastAsia="tr-TR"/>
                <w14:ligatures w14:val="none"/>
              </w:rPr>
            </w:pPr>
            <w:r w:rsidRPr="00175D8B">
              <w:rPr>
                <w:rFonts w:eastAsia="Aptos" w:cs="Aptos"/>
                <w:kern w:val="0"/>
                <w:sz w:val="20"/>
                <w:szCs w:val="20"/>
                <w:lang w:eastAsia="tr-TR"/>
                <w14:ligatures w14:val="none"/>
              </w:rPr>
              <w:t>Identify the long term actions (if necessary)</w:t>
            </w:r>
          </w:p>
        </w:tc>
        <w:tc>
          <w:tcPr>
            <w:tcW w:w="4471" w:type="dxa"/>
            <w:tcBorders>
              <w:top w:val="single" w:sz="4" w:space="0" w:color="000000"/>
              <w:left w:val="single" w:sz="4" w:space="0" w:color="000000"/>
              <w:bottom w:val="single" w:sz="4" w:space="0" w:color="000000"/>
              <w:right w:val="single" w:sz="4" w:space="0" w:color="000000"/>
            </w:tcBorders>
          </w:tcPr>
          <w:p w14:paraId="768B506A" w14:textId="77777777" w:rsidR="00921C59" w:rsidRPr="00175D8B" w:rsidRDefault="00921C59" w:rsidP="00921C59">
            <w:pPr>
              <w:spacing w:afterLines="120" w:after="288" w:line="240" w:lineRule="auto"/>
              <w:ind w:left="567"/>
              <w:jc w:val="left"/>
              <w:rPr>
                <w:rFonts w:eastAsia="Aptos" w:cs="Aptos"/>
                <w:b/>
                <w:kern w:val="0"/>
                <w:sz w:val="20"/>
                <w:szCs w:val="20"/>
                <w:lang w:eastAsia="tr-TR"/>
                <w14:ligatures w14:val="none"/>
              </w:rPr>
            </w:pPr>
          </w:p>
        </w:tc>
      </w:tr>
      <w:tr w:rsidR="00921C59" w:rsidRPr="00175D8B" w14:paraId="3B24987C" w14:textId="77777777" w:rsidTr="00DF417A">
        <w:trPr>
          <w:jc w:val="center"/>
        </w:trPr>
        <w:tc>
          <w:tcPr>
            <w:tcW w:w="4601" w:type="dxa"/>
            <w:tcBorders>
              <w:top w:val="single" w:sz="4" w:space="0" w:color="000000"/>
              <w:left w:val="single" w:sz="4" w:space="0" w:color="000000"/>
              <w:bottom w:val="single" w:sz="4" w:space="0" w:color="000000"/>
              <w:right w:val="single" w:sz="4" w:space="0" w:color="000000"/>
            </w:tcBorders>
          </w:tcPr>
          <w:p w14:paraId="5BBB17C2" w14:textId="77777777" w:rsidR="00921C59" w:rsidRPr="00175D8B" w:rsidRDefault="00921C59" w:rsidP="00921C59">
            <w:pPr>
              <w:spacing w:afterLines="120" w:after="288" w:line="240" w:lineRule="auto"/>
              <w:jc w:val="left"/>
              <w:rPr>
                <w:rFonts w:eastAsia="Aptos" w:cs="Aptos"/>
                <w:b/>
                <w:kern w:val="0"/>
                <w:sz w:val="20"/>
                <w:szCs w:val="20"/>
                <w:lang w:eastAsia="tr-TR"/>
                <w14:ligatures w14:val="none"/>
              </w:rPr>
            </w:pPr>
            <w:r w:rsidRPr="00175D8B">
              <w:rPr>
                <w:rFonts w:eastAsia="Aptos" w:cs="Aptos"/>
                <w:b/>
                <w:kern w:val="0"/>
                <w:sz w:val="20"/>
                <w:szCs w:val="20"/>
                <w:lang w:eastAsia="tr-TR"/>
                <w14:ligatures w14:val="none"/>
              </w:rPr>
              <w:t>Tazminat Talebi Bulunuyor Mu?</w:t>
            </w:r>
          </w:p>
          <w:p w14:paraId="338B4332" w14:textId="77777777" w:rsidR="00921C59" w:rsidRPr="00175D8B" w:rsidRDefault="00921C59" w:rsidP="00921C59">
            <w:pPr>
              <w:spacing w:afterLines="120" w:after="288" w:line="240" w:lineRule="auto"/>
              <w:jc w:val="left"/>
              <w:rPr>
                <w:rFonts w:eastAsia="Aptos" w:cs="Aptos"/>
                <w:kern w:val="0"/>
                <w:sz w:val="20"/>
                <w:szCs w:val="20"/>
                <w:lang w:eastAsia="tr-TR"/>
                <w14:ligatures w14:val="none"/>
              </w:rPr>
            </w:pPr>
            <w:r w:rsidRPr="00175D8B">
              <w:rPr>
                <w:rFonts w:eastAsia="Aptos" w:cs="Aptos"/>
                <w:kern w:val="0"/>
                <w:sz w:val="20"/>
                <w:szCs w:val="20"/>
                <w:lang w:eastAsia="tr-TR"/>
                <w14:ligatures w14:val="none"/>
              </w:rPr>
              <w:t>Is there a claim for compensation?</w:t>
            </w:r>
          </w:p>
        </w:tc>
        <w:tc>
          <w:tcPr>
            <w:tcW w:w="4471" w:type="dxa"/>
            <w:tcBorders>
              <w:top w:val="single" w:sz="4" w:space="0" w:color="000000"/>
              <w:left w:val="single" w:sz="4" w:space="0" w:color="000000"/>
              <w:bottom w:val="single" w:sz="4" w:space="0" w:color="000000"/>
              <w:right w:val="single" w:sz="4" w:space="0" w:color="000000"/>
            </w:tcBorders>
          </w:tcPr>
          <w:p w14:paraId="009DA737" w14:textId="77777777" w:rsidR="00921C59" w:rsidRPr="00175D8B" w:rsidRDefault="00921C59" w:rsidP="00921C59">
            <w:pPr>
              <w:spacing w:afterLines="120" w:after="288" w:line="240" w:lineRule="auto"/>
              <w:ind w:left="567"/>
              <w:jc w:val="left"/>
              <w:rPr>
                <w:rFonts w:eastAsia="Aptos" w:cs="Aptos"/>
                <w:b/>
                <w:kern w:val="0"/>
                <w:sz w:val="20"/>
                <w:szCs w:val="20"/>
                <w:lang w:eastAsia="tr-TR"/>
                <w14:ligatures w14:val="none"/>
              </w:rPr>
            </w:pPr>
            <w:r w:rsidRPr="00175D8B">
              <w:rPr>
                <w:rFonts w:eastAsia="Aptos" w:cs="Aptos"/>
                <w:noProof/>
                <w:kern w:val="0"/>
                <w:sz w:val="20"/>
                <w:szCs w:val="20"/>
                <w:lang w:val="tr-TR" w:eastAsia="tr-TR"/>
                <w14:ligatures w14:val="none"/>
              </w:rPr>
              <mc:AlternateContent>
                <mc:Choice Requires="wpg">
                  <w:drawing>
                    <wp:anchor distT="0" distB="0" distL="114300" distR="114300" simplePos="0" relativeHeight="251706368" behindDoc="0" locked="0" layoutInCell="1" hidden="0" allowOverlap="1" wp14:anchorId="5743A4C5" wp14:editId="59150E3B">
                      <wp:simplePos x="0" y="0"/>
                      <wp:positionH relativeFrom="column">
                        <wp:posOffset>80010</wp:posOffset>
                      </wp:positionH>
                      <wp:positionV relativeFrom="paragraph">
                        <wp:posOffset>24879</wp:posOffset>
                      </wp:positionV>
                      <wp:extent cx="1158240" cy="152400"/>
                      <wp:effectExtent l="0" t="0" r="22860" b="19050"/>
                      <wp:wrapNone/>
                      <wp:docPr id="638853664" name="Group 2012017266"/>
                      <wp:cNvGraphicFramePr/>
                      <a:graphic xmlns:a="http://schemas.openxmlformats.org/drawingml/2006/main">
                        <a:graphicData uri="http://schemas.microsoft.com/office/word/2010/wordprocessingGroup">
                          <wpg:wgp>
                            <wpg:cNvGrpSpPr/>
                            <wpg:grpSpPr>
                              <a:xfrm>
                                <a:off x="0" y="0"/>
                                <a:ext cx="1158240" cy="152400"/>
                                <a:chOff x="4766850" y="3703525"/>
                                <a:chExt cx="1158300" cy="152950"/>
                              </a:xfrm>
                            </wpg:grpSpPr>
                            <wpg:grpSp>
                              <wpg:cNvPr id="1332212007" name="Group 796116371"/>
                              <wpg:cNvGrpSpPr/>
                              <wpg:grpSpPr>
                                <a:xfrm>
                                  <a:off x="4766880" y="3703800"/>
                                  <a:ext cx="1158240" cy="152400"/>
                                  <a:chOff x="4762100" y="3699025"/>
                                  <a:chExt cx="1167800" cy="161950"/>
                                </a:xfrm>
                              </wpg:grpSpPr>
                              <wps:wsp>
                                <wps:cNvPr id="138752803" name="Rectangle 765983599"/>
                                <wps:cNvSpPr/>
                                <wps:spPr>
                                  <a:xfrm>
                                    <a:off x="4762100" y="3699025"/>
                                    <a:ext cx="1167800" cy="161950"/>
                                  </a:xfrm>
                                  <a:prstGeom prst="rect">
                                    <a:avLst/>
                                  </a:prstGeom>
                                  <a:noFill/>
                                  <a:ln>
                                    <a:noFill/>
                                  </a:ln>
                                </wps:spPr>
                                <wps:txbx>
                                  <w:txbxContent>
                                    <w:p w14:paraId="31AEC264" w14:textId="77777777" w:rsidR="001F6155" w:rsidRPr="00D513D6" w:rsidRDefault="001F6155" w:rsidP="00921C59">
                                      <w:pPr>
                                        <w:spacing w:after="0" w:line="240" w:lineRule="auto"/>
                                        <w:textDirection w:val="btLr"/>
                                      </w:pPr>
                                    </w:p>
                                  </w:txbxContent>
                                </wps:txbx>
                                <wps:bodyPr spcFirstLastPara="1" wrap="square" lIns="91425" tIns="91425" rIns="91425" bIns="91425" anchor="ctr" anchorCtr="0">
                                  <a:noAutofit/>
                                </wps:bodyPr>
                              </wps:wsp>
                              <wpg:grpSp>
                                <wpg:cNvPr id="1132012110" name="Group 362766209"/>
                                <wpg:cNvGrpSpPr/>
                                <wpg:grpSpPr>
                                  <a:xfrm>
                                    <a:off x="4766880" y="3703800"/>
                                    <a:ext cx="1158240" cy="152400"/>
                                    <a:chOff x="0" y="0"/>
                                    <a:chExt cx="1158240" cy="152400"/>
                                  </a:xfrm>
                                </wpg:grpSpPr>
                                <wps:wsp>
                                  <wps:cNvPr id="463829440" name="Rectangle 1842014891"/>
                                  <wps:cNvSpPr/>
                                  <wps:spPr>
                                    <a:xfrm>
                                      <a:off x="0" y="0"/>
                                      <a:ext cx="1158225" cy="152400"/>
                                    </a:xfrm>
                                    <a:prstGeom prst="rect">
                                      <a:avLst/>
                                    </a:prstGeom>
                                    <a:noFill/>
                                    <a:ln>
                                      <a:noFill/>
                                    </a:ln>
                                  </wps:spPr>
                                  <wps:txbx>
                                    <w:txbxContent>
                                      <w:p w14:paraId="5AE5D8FB" w14:textId="77777777" w:rsidR="001F6155" w:rsidRPr="00D513D6" w:rsidRDefault="001F6155" w:rsidP="00921C59">
                                        <w:pPr>
                                          <w:spacing w:after="0" w:line="240" w:lineRule="auto"/>
                                          <w:textDirection w:val="btLr"/>
                                        </w:pPr>
                                      </w:p>
                                    </w:txbxContent>
                                  </wps:txbx>
                                  <wps:bodyPr spcFirstLastPara="1" wrap="square" lIns="91425" tIns="91425" rIns="91425" bIns="91425" anchor="ctr" anchorCtr="0">
                                    <a:noAutofit/>
                                  </wps:bodyPr>
                                </wps:wsp>
                                <wps:wsp>
                                  <wps:cNvPr id="1695808084" name="Rectangle 407243034"/>
                                  <wps:cNvSpPr/>
                                  <wps:spPr>
                                    <a:xfrm>
                                      <a:off x="0" y="0"/>
                                      <a:ext cx="190500" cy="152400"/>
                                    </a:xfrm>
                                    <a:prstGeom prst="rect">
                                      <a:avLst/>
                                    </a:prstGeom>
                                    <a:gradFill>
                                      <a:gsLst>
                                        <a:gs pos="0">
                                          <a:srgbClr val="D1D1D1"/>
                                        </a:gs>
                                        <a:gs pos="50000">
                                          <a:srgbClr val="C7C7C7"/>
                                        </a:gs>
                                        <a:gs pos="100000">
                                          <a:srgbClr val="C0C0C0"/>
                                        </a:gs>
                                      </a:gsLst>
                                      <a:lin ang="5400000" scaled="0"/>
                                    </a:gradFill>
                                    <a:ln w="9525" cap="flat" cmpd="sng">
                                      <a:solidFill>
                                        <a:srgbClr val="9BBB59"/>
                                      </a:solidFill>
                                      <a:prstDash val="solid"/>
                                      <a:miter lim="800000"/>
                                      <a:headEnd type="none" w="sm" len="sm"/>
                                      <a:tailEnd type="none" w="sm" len="sm"/>
                                    </a:ln>
                                  </wps:spPr>
                                  <wps:txbx>
                                    <w:txbxContent>
                                      <w:p w14:paraId="35179B85" w14:textId="77777777" w:rsidR="001F6155" w:rsidRPr="00D513D6" w:rsidRDefault="001F6155" w:rsidP="00921C59">
                                        <w:pPr>
                                          <w:spacing w:after="0" w:line="240" w:lineRule="auto"/>
                                          <w:textDirection w:val="btLr"/>
                                        </w:pPr>
                                      </w:p>
                                    </w:txbxContent>
                                  </wps:txbx>
                                  <wps:bodyPr spcFirstLastPara="1" wrap="square" lIns="91425" tIns="91425" rIns="91425" bIns="91425" anchor="ctr" anchorCtr="0">
                                    <a:noAutofit/>
                                  </wps:bodyPr>
                                </wps:wsp>
                                <wps:wsp>
                                  <wps:cNvPr id="1485528216" name="Rectangle 1213637678"/>
                                  <wps:cNvSpPr/>
                                  <wps:spPr>
                                    <a:xfrm>
                                      <a:off x="967740" y="0"/>
                                      <a:ext cx="190500" cy="152400"/>
                                    </a:xfrm>
                                    <a:prstGeom prst="rect">
                                      <a:avLst/>
                                    </a:prstGeom>
                                    <a:gradFill>
                                      <a:gsLst>
                                        <a:gs pos="0">
                                          <a:srgbClr val="D1D1D1"/>
                                        </a:gs>
                                        <a:gs pos="50000">
                                          <a:srgbClr val="C7C7C7"/>
                                        </a:gs>
                                        <a:gs pos="100000">
                                          <a:srgbClr val="C0C0C0"/>
                                        </a:gs>
                                      </a:gsLst>
                                      <a:lin ang="5400000" scaled="0"/>
                                    </a:gradFill>
                                    <a:ln w="9525" cap="flat" cmpd="sng">
                                      <a:solidFill>
                                        <a:srgbClr val="9BBB59"/>
                                      </a:solidFill>
                                      <a:prstDash val="solid"/>
                                      <a:miter lim="800000"/>
                                      <a:headEnd type="none" w="sm" len="sm"/>
                                      <a:tailEnd type="none" w="sm" len="sm"/>
                                    </a:ln>
                                  </wps:spPr>
                                  <wps:txbx>
                                    <w:txbxContent>
                                      <w:p w14:paraId="13C040EF" w14:textId="77777777" w:rsidR="001F6155" w:rsidRPr="00D513D6" w:rsidRDefault="001F6155" w:rsidP="00921C59">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oel="http://schemas.microsoft.com/office/2019/extlst" xmlns:w16du="http://schemas.microsoft.com/office/word/2023/wordml/word16du" xmlns:w16sdtfl="http://schemas.microsoft.com/office/word/2024/wordml/sdtformatlock">
                  <w:pict>
                    <v:group w14:anchorId="5743A4C5" id="Group 2012017266" o:spid="_x0000_s1037" style="position:absolute;left:0;text-align:left;margin-left:6.3pt;margin-top:1.95pt;width:91.2pt;height:12pt;z-index:251706368" coordorigin="47668,37035" coordsize="11583,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NZBgQAAC4QAAAOAAAAZHJzL2Uyb0RvYy54bWzsV9tu3DYQfS/QfyD0Xq+ouwSvg9qOjQJB&#10;ajTNB3Al6gJIokrS3vXf95DSarXJ1k6cwvBDIGNNUiR15nDmzPD83a5ryQOXqhH92qFnrkN4n4ui&#10;6au18/nvm98ShyjN+oK1oudr55Er593Fr7+cb4eMe6IWbcElwSa9yrbD2qm1HrLVSuU175g6EwPv&#10;8bIUsmMaXVmtCsm22L1rV57rRqutkMUgRc6Vwuj1+NK5sPuXJc/1n2WpuCbt2gE2bX+l/d2Y39XF&#10;OcsqyYa6yScY7AUoOtb0+Oi81TXTjNzL5qutuiaXQolSn+WiW4mybHJubYA11P3Cmlsp7gdrS5Vt&#10;q2GmCdR+wdOLt80/PtxJ0hRrJ/KTJPSjKHBIzzoclf06ASz8xV4UGa62Q5Vhya0cPg13chqoxp4x&#10;f1fKzvyHYWRnWX6cWeY7TXIMUhomXoDDyPGOhmhOx5DXOCuzLIijKAkxAxP82PVDLxwPKq/fLzbx&#10;sXC/SYrpgLPaQ1gZpDOwuTNbMBlNfd/zYKAbH1sdpxGlkR/TFxht0ScH9Mnevu8iwKPGOkNAlKbu&#10;KQKi2Ow8EhDR5whAeKmDB6kf86BPNRu4dUxl3GEmM4lDL3H9PZd/IfxYX7WcxFGYJn6YpiOfdtXs&#10;QSpTcKYT7gMmT9NwYPJpElg2SKVvueiIaawdCUQ2TtnDB6VHh9lPMQB6cdO0LcZZ1vZHA/AsMwK/&#10;2sM1Lb3b7Gz00MlTVLYRxSMIUUN+0+CbH5jSd0xCVKhDthCataP+uWeSO6T9o8c5pDTA6RK97Mhl&#10;Z7PssD6vBfQr19IhY+dKWz0b0f5+r0XZWMsMvhHMBBsOMPq/jYuvQoH6JtYphU8tBcCPPISj505H&#10;913x/z+EwhgEs0Is4/+EiPxn/L+C+wdQUC8NjLKN/B3cnyYBuA2SdPYSRM3z/n9k+8HnIZ/GY47l&#10;c7b8FX3e20fzm/f5Vzh+GqVh4uKZE+jh/AM39gLf9YM9YT9w/KkbzrI/J8+Xnz5qn8JonpGPSkEU&#10;xwYZBLTJtVqpZLW5aiV5YCiirql5jB34ZqWWs4ELyMzI0Yqr2DwnVyDHnV7iXuFZLLHfmsC1TQ/l&#10;Qw0UonIwy4nKWctRwswrFja1PdlCZE0JQXKjvmXLNJrdgAWqr0a8om1mFo7Ap5eXl6GVPkBQy2km&#10;bVwzVY+02FcGMMu6RqOkbZtu7SBBG4B2uOaseN8XRD8OKK56VMPIB4DQIRFw1M5o2HmaNe3z84Dm&#10;yXTkm80OGeANp6PXCM0gCVGYeDQ6Ic0e9VHooY7YM/ZNsZlGcWyU/kR5+zNAfwaoVccnA3ROBW88&#10;dx4uUraKnC5VUxuX0jEPjBdoc+td9u2swzX/4l8AAAD//wMAUEsDBBQABgAIAAAAIQBokpEW3QAA&#10;AAcBAAAPAAAAZHJzL2Rvd25yZXYueG1sTI9BS8NAFITvgv9heYI3u0lKq4nZlFLUUxHaCuJtm31N&#10;QrNvQ3abpP/e15MehxlmvslXk23FgL1vHCmIZxEIpNKZhioFX4f3pxcQPmgyunWECq7oYVXc3+U6&#10;M26kHQ77UAkuIZ9pBXUIXSalL2u02s9ch8TeyfVWB5Z9JU2vRy63rUyiaCmtbogXat3hpsbyvL9Y&#10;BR+jHtfz+G3Ynk+b689h8fm9jVGpx4dp/Qoi4BT+wnDDZ3QomOnoLmS8aFknS04qmKcgbna64GtH&#10;BclzCrLI5X/+4hcAAP//AwBQSwECLQAUAAYACAAAACEAtoM4kv4AAADhAQAAEwAAAAAAAAAAAAAA&#10;AAAAAAAAW0NvbnRlbnRfVHlwZXNdLnhtbFBLAQItABQABgAIAAAAIQA4/SH/1gAAAJQBAAALAAAA&#10;AAAAAAAAAAAAAC8BAABfcmVscy8ucmVsc1BLAQItABQABgAIAAAAIQBf6INZBgQAAC4QAAAOAAAA&#10;AAAAAAAAAAAAAC4CAABkcnMvZTJvRG9jLnhtbFBLAQItABQABgAIAAAAIQBokpEW3QAAAAcBAAAP&#10;AAAAAAAAAAAAAAAAAGAGAABkcnMvZG93bnJldi54bWxQSwUGAAAAAAQABADzAAAAagcAAAAA&#10;">
                      <v:group id="Group 796116371" o:spid="_x0000_s1038" style="position:absolute;left:47668;top:37038;width:11583;height:1524" coordorigin="47621,36990" coordsize="1167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ciywAAAOMAAAAPAAAAZHJzL2Rvd25yZXYueG1sRI9Pa8JA&#10;EMXvhX6HZQredPMHbUldRaSKBxGqhdLbkB2TYHY2ZNckfntXEHqcee/95s18OZhadNS6yrKCeBKB&#10;IM6trrhQ8HPajD9AOI+ssbZMCm7kYLl4fZljpm3P39QdfSEChF2GCkrvm0xKl5dk0E1sQxy0s20N&#10;+jC2hdQt9gFuaplE0UwarDhcKLGhdUn55Xg1CrY99qs0/ur2l/P69neaHn73MSk1ehtWnyA8Df7f&#10;/EzvdKifpkkSB+47PH4KC5CLOwAAAP//AwBQSwECLQAUAAYACAAAACEA2+H2y+4AAACFAQAAEwAA&#10;AAAAAAAAAAAAAAAAAAAAW0NvbnRlbnRfVHlwZXNdLnhtbFBLAQItABQABgAIAAAAIQBa9CxbvwAA&#10;ABUBAAALAAAAAAAAAAAAAAAAAB8BAABfcmVscy8ucmVsc1BLAQItABQABgAIAAAAIQCPdHciywAA&#10;AOMAAAAPAAAAAAAAAAAAAAAAAAcCAABkcnMvZG93bnJldi54bWxQSwUGAAAAAAMAAwC3AAAA/wIA&#10;AAAA&#10;">
                        <v:rect id="Rectangle 765983599" o:spid="_x0000_s1039" style="position:absolute;left:47621;top:36990;width:1167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R3xgAAAOIAAAAPAAAAZHJzL2Rvd25yZXYueG1sRE/dTsIw&#10;FL434R2aQ+KddIwf56QQNJCIVzp8gON6WBfW07kWmG9vTUi4/PL9L1a9bcSZOl87VjAeJSCIS6dr&#10;rhR87bcPGQgfkDU2jknBL3lYLQd3C8y1u/AnnYtQiRjCPkcFJoQ2l9KXhiz6kWuJI3dwncUQYVdJ&#10;3eElhttGpkkylxZrjg0GW3o1VB6Lk1XwMXWUblL/UlT2yfTf+/fdD86Vuh/262cQgfpwE1/dbzrO&#10;n2SPszRLJvB/KWKQyz8AAAD//wMAUEsBAi0AFAAGAAgAAAAhANvh9svuAAAAhQEAABMAAAAAAAAA&#10;AAAAAAAAAAAAAFtDb250ZW50X1R5cGVzXS54bWxQSwECLQAUAAYACAAAACEAWvQsW78AAAAVAQAA&#10;CwAAAAAAAAAAAAAAAAAfAQAAX3JlbHMvLnJlbHNQSwECLQAUAAYACAAAACEAtHL0d8YAAADiAAAA&#10;DwAAAAAAAAAAAAAAAAAHAgAAZHJzL2Rvd25yZXYueG1sUEsFBgAAAAADAAMAtwAAAPoCAAAAAA==&#10;" filled="f" stroked="f">
                          <v:textbox inset="2.53958mm,2.53958mm,2.53958mm,2.53958mm">
                            <w:txbxContent>
                              <w:p w14:paraId="31AEC264" w14:textId="77777777" w:rsidR="001F6155" w:rsidRPr="00D513D6" w:rsidRDefault="001F6155" w:rsidP="00921C59">
                                <w:pPr>
                                  <w:spacing w:after="0" w:line="240" w:lineRule="auto"/>
                                  <w:textDirection w:val="btLr"/>
                                </w:pPr>
                              </w:p>
                            </w:txbxContent>
                          </v:textbox>
                        </v:rect>
                        <v:group id="Group 362766209" o:spid="_x0000_s1040" style="position:absolute;left:47668;top:37038;width:11583;height:1524" coordsize="1158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4QIywAAAOMAAAAPAAAAZHJzL2Rvd25yZXYueG1sRI9Ba8Mw&#10;DIXvg/0Ho0Fvq+OUjZHVLaVsZYcyWDsovYlYTUJjOcRekv776TDYUdLTe+9briffqoH62AS2YOYZ&#10;KOIyuIYrC9/H98cXUDEhO2wDk4UbRViv7u+WWLgw8hcNh1QpMeFYoIU6pa7QOpY1eYzz0BHL7RJ6&#10;j0nGvtKux1HMfavzLHvWHhuWhBo72tZUXg8/3sJuxHGzMG/D/nrZ3s7Hp8/T3pC1s4dp8woq0ZT+&#10;xX/fH07qm0WemdwYoRAmWYBe/QIAAP//AwBQSwECLQAUAAYACAAAACEA2+H2y+4AAACFAQAAEwAA&#10;AAAAAAAAAAAAAAAAAAAAW0NvbnRlbnRfVHlwZXNdLnhtbFBLAQItABQABgAIAAAAIQBa9CxbvwAA&#10;ABUBAAALAAAAAAAAAAAAAAAAAB8BAABfcmVscy8ucmVsc1BLAQItABQABgAIAAAAIQC4Q4QIywAA&#10;AOMAAAAPAAAAAAAAAAAAAAAAAAcCAABkcnMvZG93bnJldi54bWxQSwUGAAAAAAMAAwC3AAAA/wIA&#10;AAAA&#10;">
                          <v:rect id="Rectangle 1842014891" o:spid="_x0000_s1041" style="position:absolute;width:1158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7nxwAAAOIAAAAPAAAAZHJzL2Rvd25yZXYueG1sRI9NbsIw&#10;EIX3lbiDNUjdFYc0iiBgEEUgtV2VwAGGeIgj4nEaG0hvXy8qdfn0/vQt14NtxZ163zhWMJ0kIIgr&#10;pxuuFZyO+5cZCB+QNbaOScEPeVivRk9LLLR78IHuZahFHGFfoAITQldI6StDFv3EdcTRu7jeYoiy&#10;r6Xu8RHHbSvTJMmlxYbjg8GOtoaqa3mzCr4yR+ku9W9lbedmOB8/P74xV+p5PGwWIAIN4T/8137X&#10;CrL8dZbOsyxCRKSIA3L1CwAA//8DAFBLAQItABQABgAIAAAAIQDb4fbL7gAAAIUBAAATAAAAAAAA&#10;AAAAAAAAAAAAAABbQ29udGVudF9UeXBlc10ueG1sUEsBAi0AFAAGAAgAAAAhAFr0LFu/AAAAFQEA&#10;AAsAAAAAAAAAAAAAAAAAHwEAAF9yZWxzLy5yZWxzUEsBAi0AFAAGAAgAAAAhAGoYfufHAAAA4gAA&#10;AA8AAAAAAAAAAAAAAAAABwIAAGRycy9kb3ducmV2LnhtbFBLBQYAAAAAAwADALcAAAD7AgAAAAA=&#10;" filled="f" stroked="f">
                            <v:textbox inset="2.53958mm,2.53958mm,2.53958mm,2.53958mm">
                              <w:txbxContent>
                                <w:p w14:paraId="5AE5D8FB" w14:textId="77777777" w:rsidR="001F6155" w:rsidRPr="00D513D6" w:rsidRDefault="001F6155" w:rsidP="00921C59">
                                  <w:pPr>
                                    <w:spacing w:after="0" w:line="240" w:lineRule="auto"/>
                                    <w:textDirection w:val="btLr"/>
                                  </w:pPr>
                                </w:p>
                              </w:txbxContent>
                            </v:textbox>
                          </v:rect>
                          <v:rect id="Rectangle 407243034" o:spid="_x0000_s1042"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vyAAAAOMAAAAPAAAAZHJzL2Rvd25yZXYueG1sRE/BagIx&#10;EL0X/IcwgreauKisW6MUS6HiydWLt2EzbpZuJssm1fXvm0JB3mnmzXtv3no7uFbcqA+NZw2zqQJB&#10;XHnTcK3hfPp8zUGEiGyw9UwaHhRguxm9rLEw/s5HupWxFsmEQ4EabIxdIWWoLDkMU98RJ+7qe4cx&#10;jX0tTY/3ZO5amSm1lA4bTgkWO9pZqr7LH6dhn/n5pQ0fnB1X9kT5bKeuh1LryXh4fwMRaYjP43/1&#10;l0nvL1eLXCXM4a9TWoDc/AIAAP//AwBQSwECLQAUAAYACAAAACEA2+H2y+4AAACFAQAAEwAAAAAA&#10;AAAAAAAAAAAAAAAAW0NvbnRlbnRfVHlwZXNdLnhtbFBLAQItABQABgAIAAAAIQBa9CxbvwAAABUB&#10;AAALAAAAAAAAAAAAAAAAAB8BAABfcmVscy8ucmVsc1BLAQItABQABgAIAAAAIQDD/oPvyAAAAOMA&#10;AAAPAAAAAAAAAAAAAAAAAAcCAABkcnMvZG93bnJldi54bWxQSwUGAAAAAAMAAwC3AAAA/AIAAAAA&#10;" fillcolor="#d1d1d1" strokecolor="#9bbb59">
                            <v:fill color2="silver" colors="0 #d1d1d1;.5 #c7c7c7;1 silver" focus="100%" type="gradient">
                              <o:fill v:ext="view" type="gradientUnscaled"/>
                            </v:fill>
                            <v:stroke startarrowwidth="narrow" startarrowlength="short" endarrowwidth="narrow" endarrowlength="short"/>
                            <v:textbox inset="2.53958mm,2.53958mm,2.53958mm,2.53958mm">
                              <w:txbxContent>
                                <w:p w14:paraId="35179B85" w14:textId="77777777" w:rsidR="001F6155" w:rsidRPr="00D513D6" w:rsidRDefault="001F6155" w:rsidP="00921C59">
                                  <w:pPr>
                                    <w:spacing w:after="0" w:line="240" w:lineRule="auto"/>
                                    <w:textDirection w:val="btLr"/>
                                  </w:pPr>
                                </w:p>
                              </w:txbxContent>
                            </v:textbox>
                          </v:rect>
                          <v:rect id="Rectangle 1213637678" o:spid="_x0000_s1043"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nHtxgAAAOMAAAAPAAAAZHJzL2Rvd25yZXYueG1sRE9Pa8Iw&#10;FL8LfofwBt40bVDpOqOIQ3DsZN1lt0fzbMqal9JkWr/9Mhjs+H7/32Y3uk7caAitZw35IgNBXHvT&#10;cqPh43KcFyBCRDbYeSYNDwqw204nGyyNv/OZblVsRArhUKIGG2NfShlqSw7DwvfEibv6wWFM59BI&#10;M+A9hbtOqixbS4ctpwaLPR0s1V/Vt9PwpvzyswuvrM7P9kJFfsiu75XWs6dx/wIi0hj/xX/uk0nz&#10;l8VqpQqVr+H3pwSA3P4AAAD//wMAUEsBAi0AFAAGAAgAAAAhANvh9svuAAAAhQEAABMAAAAAAAAA&#10;AAAAAAAAAAAAAFtDb250ZW50X1R5cGVzXS54bWxQSwECLQAUAAYACAAAACEAWvQsW78AAAAVAQAA&#10;CwAAAAAAAAAAAAAAAAAfAQAAX3JlbHMvLnJlbHNQSwECLQAUAAYACAAAACEAvN5x7cYAAADjAAAA&#10;DwAAAAAAAAAAAAAAAAAHAgAAZHJzL2Rvd25yZXYueG1sUEsFBgAAAAADAAMAtwAAAPoCAAAAAA==&#10;" fillcolor="#d1d1d1" strokecolor="#9bbb59">
                            <v:fill color2="silver" colors="0 #d1d1d1;.5 #c7c7c7;1 silver" focus="100%" type="gradient">
                              <o:fill v:ext="view" type="gradientUnscaled"/>
                            </v:fill>
                            <v:stroke startarrowwidth="narrow" startarrowlength="short" endarrowwidth="narrow" endarrowlength="short"/>
                            <v:textbox inset="2.53958mm,2.53958mm,2.53958mm,2.53958mm">
                              <w:txbxContent>
                                <w:p w14:paraId="13C040EF" w14:textId="77777777" w:rsidR="001F6155" w:rsidRPr="00D513D6" w:rsidRDefault="001F6155" w:rsidP="00921C59">
                                  <w:pPr>
                                    <w:spacing w:after="0" w:line="240" w:lineRule="auto"/>
                                    <w:textDirection w:val="btLr"/>
                                  </w:pPr>
                                </w:p>
                              </w:txbxContent>
                            </v:textbox>
                          </v:rect>
                        </v:group>
                      </v:group>
                    </v:group>
                  </w:pict>
                </mc:Fallback>
              </mc:AlternateContent>
            </w:r>
            <w:r w:rsidRPr="00175D8B">
              <w:rPr>
                <w:rFonts w:eastAsia="Aptos" w:cs="Aptos"/>
                <w:b/>
                <w:kern w:val="0"/>
                <w:sz w:val="20"/>
                <w:szCs w:val="20"/>
                <w:lang w:eastAsia="tr-TR"/>
                <w14:ligatures w14:val="none"/>
              </w:rPr>
              <w:t>Evet/</w:t>
            </w:r>
            <w:r w:rsidRPr="00175D8B">
              <w:rPr>
                <w:rFonts w:eastAsia="Aptos" w:cs="Aptos"/>
                <w:kern w:val="0"/>
                <w:sz w:val="20"/>
                <w:szCs w:val="20"/>
                <w:lang w:eastAsia="tr-TR"/>
                <w14:ligatures w14:val="none"/>
              </w:rPr>
              <w:t>Yes</w:t>
            </w:r>
            <w:r w:rsidRPr="00175D8B">
              <w:rPr>
                <w:rFonts w:eastAsia="Aptos" w:cs="Aptos"/>
                <w:b/>
                <w:kern w:val="0"/>
                <w:sz w:val="20"/>
                <w:szCs w:val="20"/>
                <w:lang w:eastAsia="tr-TR"/>
                <w14:ligatures w14:val="none"/>
              </w:rPr>
              <w:t xml:space="preserve">                  Hayır/</w:t>
            </w:r>
            <w:r w:rsidRPr="00175D8B">
              <w:rPr>
                <w:rFonts w:eastAsia="Aptos" w:cs="Aptos"/>
                <w:kern w:val="0"/>
                <w:sz w:val="20"/>
                <w:szCs w:val="20"/>
                <w:lang w:eastAsia="tr-TR"/>
                <w14:ligatures w14:val="none"/>
              </w:rPr>
              <w:t>No</w:t>
            </w:r>
          </w:p>
        </w:tc>
      </w:tr>
      <w:tr w:rsidR="00921C59" w:rsidRPr="00175D8B" w14:paraId="7CCCE4FE" w14:textId="77777777" w:rsidTr="00DF417A">
        <w:trPr>
          <w:jc w:val="center"/>
        </w:trPr>
        <w:tc>
          <w:tcPr>
            <w:tcW w:w="9072" w:type="dxa"/>
            <w:gridSpan w:val="2"/>
            <w:tcBorders>
              <w:top w:val="single" w:sz="4" w:space="0" w:color="000000"/>
              <w:left w:val="single" w:sz="4" w:space="0" w:color="000000"/>
              <w:bottom w:val="single" w:sz="4" w:space="0" w:color="000000"/>
              <w:right w:val="single" w:sz="4" w:space="0" w:color="000000"/>
            </w:tcBorders>
          </w:tcPr>
          <w:p w14:paraId="05FAAD09" w14:textId="77777777" w:rsidR="00921C59" w:rsidRPr="00175D8B" w:rsidRDefault="00921C59" w:rsidP="00921C59">
            <w:pPr>
              <w:spacing w:afterLines="120" w:after="288" w:line="240" w:lineRule="auto"/>
              <w:jc w:val="left"/>
              <w:rPr>
                <w:rFonts w:eastAsia="Aptos" w:cs="Aptos"/>
                <w:b/>
                <w:kern w:val="0"/>
                <w:sz w:val="20"/>
                <w:szCs w:val="20"/>
                <w:lang w:eastAsia="tr-TR"/>
                <w14:ligatures w14:val="none"/>
              </w:rPr>
            </w:pPr>
            <w:r w:rsidRPr="00175D8B">
              <w:rPr>
                <w:rFonts w:eastAsia="Aptos" w:cs="Aptos"/>
                <w:b/>
                <w:kern w:val="0"/>
                <w:sz w:val="20"/>
                <w:szCs w:val="20"/>
                <w:lang w:eastAsia="tr-TR"/>
                <w14:ligatures w14:val="none"/>
              </w:rPr>
              <w:t xml:space="preserve">Düzeltici Faaliyetin Kontrolü ve Kararı / </w:t>
            </w:r>
            <w:r w:rsidRPr="00175D8B">
              <w:rPr>
                <w:rFonts w:eastAsia="Aptos" w:cs="Aptos"/>
                <w:kern w:val="0"/>
                <w:sz w:val="20"/>
                <w:szCs w:val="20"/>
                <w:lang w:eastAsia="tr-TR"/>
                <w14:ligatures w14:val="none"/>
              </w:rPr>
              <w:t>Control And Decısıon Of Correctıve Actıon</w:t>
            </w:r>
          </w:p>
        </w:tc>
      </w:tr>
      <w:tr w:rsidR="00921C59" w:rsidRPr="00175D8B" w14:paraId="329E0D82" w14:textId="77777777" w:rsidTr="00DF417A">
        <w:trPr>
          <w:jc w:val="center"/>
        </w:trPr>
        <w:tc>
          <w:tcPr>
            <w:tcW w:w="4601" w:type="dxa"/>
            <w:tcBorders>
              <w:top w:val="single" w:sz="4" w:space="0" w:color="000000"/>
              <w:left w:val="single" w:sz="4" w:space="0" w:color="000000"/>
              <w:bottom w:val="single" w:sz="4" w:space="0" w:color="000000"/>
              <w:right w:val="single" w:sz="4" w:space="0" w:color="000000"/>
            </w:tcBorders>
          </w:tcPr>
          <w:p w14:paraId="5B79E35A" w14:textId="77777777" w:rsidR="00921C59" w:rsidRPr="00175D8B" w:rsidRDefault="00921C59" w:rsidP="00921C59">
            <w:pPr>
              <w:spacing w:afterLines="120" w:after="288" w:line="240" w:lineRule="auto"/>
              <w:jc w:val="left"/>
              <w:rPr>
                <w:rFonts w:eastAsia="Aptos" w:cs="Aptos"/>
                <w:b/>
                <w:kern w:val="0"/>
                <w:sz w:val="20"/>
                <w:szCs w:val="20"/>
                <w:lang w:eastAsia="tr-TR"/>
                <w14:ligatures w14:val="none"/>
              </w:rPr>
            </w:pPr>
            <w:r w:rsidRPr="00175D8B">
              <w:rPr>
                <w:rFonts w:eastAsia="Aptos" w:cs="Aptos"/>
                <w:b/>
                <w:kern w:val="0"/>
                <w:sz w:val="20"/>
                <w:szCs w:val="20"/>
                <w:lang w:eastAsia="tr-TR"/>
                <w14:ligatures w14:val="none"/>
              </w:rPr>
              <w:t>Düzeltici Faaliyetin Aşamaları</w:t>
            </w:r>
          </w:p>
          <w:p w14:paraId="6E13CFEE" w14:textId="77777777" w:rsidR="00921C59" w:rsidRPr="00175D8B" w:rsidRDefault="00921C59" w:rsidP="00921C59">
            <w:pPr>
              <w:spacing w:afterLines="120" w:after="288" w:line="240" w:lineRule="auto"/>
              <w:jc w:val="left"/>
              <w:rPr>
                <w:rFonts w:eastAsia="Aptos" w:cs="Aptos"/>
                <w:kern w:val="0"/>
                <w:sz w:val="20"/>
                <w:szCs w:val="20"/>
                <w:lang w:eastAsia="tr-TR"/>
                <w14:ligatures w14:val="none"/>
              </w:rPr>
            </w:pPr>
            <w:r w:rsidRPr="00175D8B">
              <w:rPr>
                <w:rFonts w:eastAsia="Aptos" w:cs="Aptos"/>
                <w:kern w:val="0"/>
                <w:sz w:val="20"/>
                <w:szCs w:val="20"/>
                <w:lang w:eastAsia="tr-TR"/>
                <w14:ligatures w14:val="none"/>
              </w:rPr>
              <w:t>Stages of Corrective Action</w:t>
            </w:r>
          </w:p>
        </w:tc>
        <w:tc>
          <w:tcPr>
            <w:tcW w:w="4471" w:type="dxa"/>
            <w:tcBorders>
              <w:top w:val="single" w:sz="4" w:space="0" w:color="000000"/>
              <w:left w:val="single" w:sz="4" w:space="0" w:color="000000"/>
              <w:bottom w:val="single" w:sz="4" w:space="0" w:color="000000"/>
              <w:right w:val="single" w:sz="4" w:space="0" w:color="000000"/>
            </w:tcBorders>
          </w:tcPr>
          <w:p w14:paraId="091CCE4E" w14:textId="77777777" w:rsidR="00921C59" w:rsidRPr="00175D8B" w:rsidRDefault="00921C59" w:rsidP="00921C59">
            <w:pPr>
              <w:spacing w:afterLines="120" w:after="288" w:line="240" w:lineRule="auto"/>
              <w:jc w:val="left"/>
              <w:rPr>
                <w:rFonts w:eastAsia="Aptos" w:cs="Aptos"/>
                <w:b/>
                <w:kern w:val="0"/>
                <w:sz w:val="20"/>
                <w:szCs w:val="20"/>
                <w:lang w:eastAsia="tr-TR"/>
                <w14:ligatures w14:val="none"/>
              </w:rPr>
            </w:pPr>
            <w:r w:rsidRPr="00175D8B">
              <w:rPr>
                <w:rFonts w:eastAsia="Aptos" w:cs="Aptos"/>
                <w:b/>
                <w:kern w:val="0"/>
                <w:sz w:val="20"/>
                <w:szCs w:val="20"/>
                <w:lang w:eastAsia="tr-TR"/>
                <w14:ligatures w14:val="none"/>
              </w:rPr>
              <w:t>Verilen Sürenin Sona Erdiği Tarih Ve Yetkili Kuruluşlar</w:t>
            </w:r>
          </w:p>
          <w:p w14:paraId="31234F18" w14:textId="77777777" w:rsidR="00921C59" w:rsidRPr="00175D8B" w:rsidRDefault="00921C59" w:rsidP="00921C59">
            <w:pPr>
              <w:spacing w:afterLines="120" w:after="288" w:line="240" w:lineRule="auto"/>
              <w:jc w:val="left"/>
              <w:rPr>
                <w:rFonts w:eastAsia="Aptos" w:cs="Aptos"/>
                <w:kern w:val="0"/>
                <w:sz w:val="20"/>
                <w:szCs w:val="20"/>
                <w:lang w:eastAsia="tr-TR"/>
                <w14:ligatures w14:val="none"/>
              </w:rPr>
            </w:pPr>
            <w:r w:rsidRPr="00175D8B">
              <w:rPr>
                <w:rFonts w:eastAsia="Aptos" w:cs="Aptos"/>
                <w:kern w:val="0"/>
                <w:sz w:val="20"/>
                <w:szCs w:val="20"/>
                <w:lang w:eastAsia="tr-TR"/>
                <w14:ligatures w14:val="none"/>
              </w:rPr>
              <w:t>Date of Expiration of the Given Period and Authorized Institutions</w:t>
            </w:r>
          </w:p>
        </w:tc>
      </w:tr>
      <w:tr w:rsidR="00921C59" w:rsidRPr="00175D8B" w14:paraId="66C81E4E" w14:textId="77777777" w:rsidTr="00DF417A">
        <w:trPr>
          <w:jc w:val="center"/>
        </w:trPr>
        <w:tc>
          <w:tcPr>
            <w:tcW w:w="4601" w:type="dxa"/>
            <w:tcBorders>
              <w:top w:val="single" w:sz="4" w:space="0" w:color="000000"/>
              <w:left w:val="single" w:sz="4" w:space="0" w:color="000000"/>
              <w:bottom w:val="single" w:sz="4" w:space="0" w:color="000000"/>
              <w:right w:val="single" w:sz="4" w:space="0" w:color="000000"/>
            </w:tcBorders>
          </w:tcPr>
          <w:p w14:paraId="7478FA22"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r w:rsidRPr="00175D8B">
              <w:rPr>
                <w:rFonts w:eastAsia="Aptos" w:cs="Aptos"/>
                <w:kern w:val="0"/>
                <w:sz w:val="20"/>
                <w:szCs w:val="20"/>
                <w:lang w:eastAsia="tr-TR"/>
                <w14:ligatures w14:val="none"/>
              </w:rPr>
              <w:t>1.</w:t>
            </w:r>
          </w:p>
        </w:tc>
        <w:tc>
          <w:tcPr>
            <w:tcW w:w="4471" w:type="dxa"/>
            <w:tcBorders>
              <w:top w:val="single" w:sz="4" w:space="0" w:color="000000"/>
              <w:left w:val="single" w:sz="4" w:space="0" w:color="000000"/>
              <w:bottom w:val="single" w:sz="4" w:space="0" w:color="000000"/>
              <w:right w:val="single" w:sz="4" w:space="0" w:color="000000"/>
            </w:tcBorders>
          </w:tcPr>
          <w:p w14:paraId="6020D63F"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p>
        </w:tc>
      </w:tr>
      <w:tr w:rsidR="00921C59" w:rsidRPr="00175D8B" w14:paraId="3E0EF1A1" w14:textId="77777777" w:rsidTr="00DF417A">
        <w:trPr>
          <w:jc w:val="center"/>
        </w:trPr>
        <w:tc>
          <w:tcPr>
            <w:tcW w:w="4601" w:type="dxa"/>
            <w:tcBorders>
              <w:top w:val="single" w:sz="4" w:space="0" w:color="000000"/>
              <w:left w:val="single" w:sz="4" w:space="0" w:color="000000"/>
              <w:bottom w:val="single" w:sz="4" w:space="0" w:color="000000"/>
              <w:right w:val="single" w:sz="4" w:space="0" w:color="000000"/>
            </w:tcBorders>
          </w:tcPr>
          <w:p w14:paraId="263F7400"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r w:rsidRPr="00175D8B">
              <w:rPr>
                <w:rFonts w:eastAsia="Aptos" w:cs="Aptos"/>
                <w:kern w:val="0"/>
                <w:sz w:val="20"/>
                <w:szCs w:val="20"/>
                <w:lang w:eastAsia="tr-TR"/>
                <w14:ligatures w14:val="none"/>
              </w:rPr>
              <w:t>2.</w:t>
            </w:r>
          </w:p>
        </w:tc>
        <w:tc>
          <w:tcPr>
            <w:tcW w:w="4471" w:type="dxa"/>
            <w:tcBorders>
              <w:top w:val="single" w:sz="4" w:space="0" w:color="000000"/>
              <w:left w:val="single" w:sz="4" w:space="0" w:color="000000"/>
              <w:bottom w:val="single" w:sz="4" w:space="0" w:color="000000"/>
              <w:right w:val="single" w:sz="4" w:space="0" w:color="000000"/>
            </w:tcBorders>
          </w:tcPr>
          <w:p w14:paraId="6B51D96C"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p>
        </w:tc>
      </w:tr>
      <w:tr w:rsidR="00921C59" w:rsidRPr="00175D8B" w14:paraId="746D2EE4" w14:textId="77777777" w:rsidTr="00DF417A">
        <w:trPr>
          <w:jc w:val="center"/>
        </w:trPr>
        <w:tc>
          <w:tcPr>
            <w:tcW w:w="4601" w:type="dxa"/>
            <w:tcBorders>
              <w:top w:val="single" w:sz="4" w:space="0" w:color="000000"/>
              <w:left w:val="single" w:sz="4" w:space="0" w:color="000000"/>
              <w:bottom w:val="single" w:sz="4" w:space="0" w:color="000000"/>
              <w:right w:val="single" w:sz="4" w:space="0" w:color="000000"/>
            </w:tcBorders>
          </w:tcPr>
          <w:p w14:paraId="5E588ED2"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r w:rsidRPr="00175D8B">
              <w:rPr>
                <w:rFonts w:eastAsia="Aptos" w:cs="Aptos"/>
                <w:kern w:val="0"/>
                <w:sz w:val="20"/>
                <w:szCs w:val="20"/>
                <w:lang w:eastAsia="tr-TR"/>
                <w14:ligatures w14:val="none"/>
              </w:rPr>
              <w:t>3.</w:t>
            </w:r>
          </w:p>
        </w:tc>
        <w:tc>
          <w:tcPr>
            <w:tcW w:w="4471" w:type="dxa"/>
            <w:tcBorders>
              <w:top w:val="single" w:sz="4" w:space="0" w:color="000000"/>
              <w:left w:val="single" w:sz="4" w:space="0" w:color="000000"/>
              <w:bottom w:val="single" w:sz="4" w:space="0" w:color="000000"/>
              <w:right w:val="single" w:sz="4" w:space="0" w:color="000000"/>
            </w:tcBorders>
          </w:tcPr>
          <w:p w14:paraId="066BE642"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p>
        </w:tc>
      </w:tr>
      <w:tr w:rsidR="00921C59" w:rsidRPr="00175D8B" w14:paraId="4FBD106A" w14:textId="77777777" w:rsidTr="00DF417A">
        <w:trPr>
          <w:jc w:val="center"/>
        </w:trPr>
        <w:tc>
          <w:tcPr>
            <w:tcW w:w="4601" w:type="dxa"/>
            <w:tcBorders>
              <w:top w:val="single" w:sz="4" w:space="0" w:color="000000"/>
              <w:left w:val="single" w:sz="4" w:space="0" w:color="000000"/>
              <w:bottom w:val="single" w:sz="4" w:space="0" w:color="000000"/>
              <w:right w:val="single" w:sz="4" w:space="0" w:color="000000"/>
            </w:tcBorders>
          </w:tcPr>
          <w:p w14:paraId="1BACD485"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r w:rsidRPr="00175D8B">
              <w:rPr>
                <w:rFonts w:eastAsia="Aptos" w:cs="Aptos"/>
                <w:kern w:val="0"/>
                <w:sz w:val="20"/>
                <w:szCs w:val="20"/>
                <w:lang w:eastAsia="tr-TR"/>
                <w14:ligatures w14:val="none"/>
              </w:rPr>
              <w:t>4.</w:t>
            </w:r>
          </w:p>
        </w:tc>
        <w:tc>
          <w:tcPr>
            <w:tcW w:w="4471" w:type="dxa"/>
            <w:tcBorders>
              <w:top w:val="single" w:sz="4" w:space="0" w:color="000000"/>
              <w:left w:val="single" w:sz="4" w:space="0" w:color="000000"/>
              <w:bottom w:val="single" w:sz="4" w:space="0" w:color="000000"/>
              <w:right w:val="single" w:sz="4" w:space="0" w:color="000000"/>
            </w:tcBorders>
          </w:tcPr>
          <w:p w14:paraId="5061B72D"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p>
        </w:tc>
      </w:tr>
      <w:tr w:rsidR="00921C59" w:rsidRPr="00175D8B" w14:paraId="32648409" w14:textId="77777777" w:rsidTr="00DF417A">
        <w:trPr>
          <w:jc w:val="center"/>
        </w:trPr>
        <w:tc>
          <w:tcPr>
            <w:tcW w:w="4601" w:type="dxa"/>
            <w:tcBorders>
              <w:top w:val="single" w:sz="4" w:space="0" w:color="000000"/>
              <w:left w:val="single" w:sz="4" w:space="0" w:color="000000"/>
              <w:bottom w:val="single" w:sz="4" w:space="0" w:color="000000"/>
              <w:right w:val="single" w:sz="4" w:space="0" w:color="000000"/>
            </w:tcBorders>
          </w:tcPr>
          <w:p w14:paraId="232B8EE5"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r w:rsidRPr="00175D8B">
              <w:rPr>
                <w:rFonts w:eastAsia="Aptos" w:cs="Aptos"/>
                <w:kern w:val="0"/>
                <w:sz w:val="20"/>
                <w:szCs w:val="20"/>
                <w:lang w:eastAsia="tr-TR"/>
                <w14:ligatures w14:val="none"/>
              </w:rPr>
              <w:t>5.</w:t>
            </w:r>
          </w:p>
        </w:tc>
        <w:tc>
          <w:tcPr>
            <w:tcW w:w="4471" w:type="dxa"/>
            <w:tcBorders>
              <w:top w:val="single" w:sz="4" w:space="0" w:color="000000"/>
              <w:left w:val="single" w:sz="4" w:space="0" w:color="000000"/>
              <w:bottom w:val="single" w:sz="4" w:space="0" w:color="000000"/>
              <w:right w:val="single" w:sz="4" w:space="0" w:color="000000"/>
            </w:tcBorders>
          </w:tcPr>
          <w:p w14:paraId="5915BF9B"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p>
        </w:tc>
      </w:tr>
      <w:tr w:rsidR="00921C59" w:rsidRPr="00175D8B" w14:paraId="02D12239" w14:textId="77777777" w:rsidTr="00DF417A">
        <w:trPr>
          <w:jc w:val="center"/>
        </w:trPr>
        <w:tc>
          <w:tcPr>
            <w:tcW w:w="4601" w:type="dxa"/>
            <w:tcBorders>
              <w:top w:val="single" w:sz="4" w:space="0" w:color="000000"/>
              <w:left w:val="single" w:sz="4" w:space="0" w:color="000000"/>
              <w:bottom w:val="single" w:sz="4" w:space="0" w:color="000000"/>
              <w:right w:val="single" w:sz="4" w:space="0" w:color="000000"/>
            </w:tcBorders>
          </w:tcPr>
          <w:p w14:paraId="552A283B"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r w:rsidRPr="00175D8B">
              <w:rPr>
                <w:rFonts w:eastAsia="Aptos" w:cs="Aptos"/>
                <w:kern w:val="0"/>
                <w:sz w:val="20"/>
                <w:szCs w:val="20"/>
                <w:lang w:eastAsia="tr-TR"/>
                <w14:ligatures w14:val="none"/>
              </w:rPr>
              <w:t>6.</w:t>
            </w:r>
          </w:p>
        </w:tc>
        <w:tc>
          <w:tcPr>
            <w:tcW w:w="4471" w:type="dxa"/>
            <w:tcBorders>
              <w:top w:val="single" w:sz="4" w:space="0" w:color="000000"/>
              <w:left w:val="single" w:sz="4" w:space="0" w:color="000000"/>
              <w:bottom w:val="single" w:sz="4" w:space="0" w:color="000000"/>
              <w:right w:val="single" w:sz="4" w:space="0" w:color="000000"/>
            </w:tcBorders>
          </w:tcPr>
          <w:p w14:paraId="4D564CE7"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p>
        </w:tc>
      </w:tr>
      <w:tr w:rsidR="00921C59" w:rsidRPr="00175D8B" w14:paraId="1920BC87" w14:textId="77777777" w:rsidTr="00DF417A">
        <w:trPr>
          <w:jc w:val="center"/>
        </w:trPr>
        <w:tc>
          <w:tcPr>
            <w:tcW w:w="4601" w:type="dxa"/>
            <w:tcBorders>
              <w:top w:val="single" w:sz="4" w:space="0" w:color="000000"/>
              <w:left w:val="single" w:sz="4" w:space="0" w:color="000000"/>
              <w:bottom w:val="single" w:sz="4" w:space="0" w:color="000000"/>
              <w:right w:val="single" w:sz="4" w:space="0" w:color="000000"/>
            </w:tcBorders>
          </w:tcPr>
          <w:p w14:paraId="2C1A9231"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r w:rsidRPr="00175D8B">
              <w:rPr>
                <w:rFonts w:eastAsia="Aptos" w:cs="Aptos"/>
                <w:kern w:val="0"/>
                <w:sz w:val="20"/>
                <w:szCs w:val="20"/>
                <w:lang w:eastAsia="tr-TR"/>
                <w14:ligatures w14:val="none"/>
              </w:rPr>
              <w:t>7.</w:t>
            </w:r>
          </w:p>
        </w:tc>
        <w:tc>
          <w:tcPr>
            <w:tcW w:w="4471" w:type="dxa"/>
            <w:tcBorders>
              <w:top w:val="single" w:sz="4" w:space="0" w:color="000000"/>
              <w:left w:val="single" w:sz="4" w:space="0" w:color="000000"/>
              <w:bottom w:val="single" w:sz="4" w:space="0" w:color="000000"/>
              <w:right w:val="single" w:sz="4" w:space="0" w:color="000000"/>
            </w:tcBorders>
          </w:tcPr>
          <w:p w14:paraId="12671F19"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p>
        </w:tc>
      </w:tr>
      <w:tr w:rsidR="00921C59" w:rsidRPr="00175D8B" w14:paraId="6D3EA23F" w14:textId="77777777" w:rsidTr="00DF417A">
        <w:trPr>
          <w:jc w:val="center"/>
        </w:trPr>
        <w:tc>
          <w:tcPr>
            <w:tcW w:w="4601" w:type="dxa"/>
            <w:tcBorders>
              <w:top w:val="single" w:sz="4" w:space="0" w:color="000000"/>
              <w:left w:val="single" w:sz="4" w:space="0" w:color="000000"/>
              <w:bottom w:val="single" w:sz="4" w:space="0" w:color="000000"/>
              <w:right w:val="single" w:sz="4" w:space="0" w:color="000000"/>
            </w:tcBorders>
          </w:tcPr>
          <w:p w14:paraId="17ED5499"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r w:rsidRPr="00175D8B">
              <w:rPr>
                <w:rFonts w:eastAsia="Aptos" w:cs="Aptos"/>
                <w:kern w:val="0"/>
                <w:sz w:val="20"/>
                <w:szCs w:val="20"/>
                <w:lang w:eastAsia="tr-TR"/>
                <w14:ligatures w14:val="none"/>
              </w:rPr>
              <w:t>8.</w:t>
            </w:r>
          </w:p>
        </w:tc>
        <w:tc>
          <w:tcPr>
            <w:tcW w:w="4471" w:type="dxa"/>
            <w:tcBorders>
              <w:top w:val="single" w:sz="4" w:space="0" w:color="000000"/>
              <w:left w:val="single" w:sz="4" w:space="0" w:color="000000"/>
              <w:bottom w:val="single" w:sz="4" w:space="0" w:color="000000"/>
              <w:right w:val="single" w:sz="4" w:space="0" w:color="000000"/>
            </w:tcBorders>
          </w:tcPr>
          <w:p w14:paraId="06D324FD"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p>
        </w:tc>
      </w:tr>
      <w:tr w:rsidR="00921C59" w:rsidRPr="00175D8B" w14:paraId="315DC193" w14:textId="77777777" w:rsidTr="00DF417A">
        <w:trPr>
          <w:jc w:val="center"/>
        </w:trPr>
        <w:tc>
          <w:tcPr>
            <w:tcW w:w="4601" w:type="dxa"/>
            <w:tcBorders>
              <w:top w:val="single" w:sz="4" w:space="0" w:color="000000"/>
              <w:left w:val="single" w:sz="4" w:space="0" w:color="000000"/>
              <w:bottom w:val="single" w:sz="4" w:space="0" w:color="000000"/>
              <w:right w:val="single" w:sz="4" w:space="0" w:color="000000"/>
            </w:tcBorders>
          </w:tcPr>
          <w:p w14:paraId="16E34EC3"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r w:rsidRPr="00175D8B">
              <w:rPr>
                <w:rFonts w:eastAsia="Aptos" w:cs="Aptos"/>
                <w:kern w:val="0"/>
                <w:sz w:val="20"/>
                <w:szCs w:val="20"/>
                <w:lang w:eastAsia="tr-TR"/>
                <w14:ligatures w14:val="none"/>
              </w:rPr>
              <w:t>9.</w:t>
            </w:r>
          </w:p>
        </w:tc>
        <w:tc>
          <w:tcPr>
            <w:tcW w:w="4471" w:type="dxa"/>
            <w:tcBorders>
              <w:top w:val="single" w:sz="4" w:space="0" w:color="000000"/>
              <w:left w:val="single" w:sz="4" w:space="0" w:color="000000"/>
              <w:bottom w:val="single" w:sz="4" w:space="0" w:color="000000"/>
              <w:right w:val="single" w:sz="4" w:space="0" w:color="000000"/>
            </w:tcBorders>
          </w:tcPr>
          <w:p w14:paraId="29515CB1"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p>
        </w:tc>
      </w:tr>
      <w:tr w:rsidR="00921C59" w:rsidRPr="00175D8B" w14:paraId="35222BB7" w14:textId="77777777" w:rsidTr="00DF417A">
        <w:trPr>
          <w:jc w:val="center"/>
        </w:trPr>
        <w:tc>
          <w:tcPr>
            <w:tcW w:w="4601" w:type="dxa"/>
            <w:tcBorders>
              <w:top w:val="single" w:sz="4" w:space="0" w:color="000000"/>
              <w:left w:val="single" w:sz="4" w:space="0" w:color="000000"/>
              <w:bottom w:val="single" w:sz="4" w:space="0" w:color="000000"/>
              <w:right w:val="single" w:sz="4" w:space="0" w:color="000000"/>
            </w:tcBorders>
          </w:tcPr>
          <w:p w14:paraId="74D804FB"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r w:rsidRPr="00175D8B">
              <w:rPr>
                <w:rFonts w:eastAsia="Aptos" w:cs="Aptos"/>
                <w:kern w:val="0"/>
                <w:sz w:val="20"/>
                <w:szCs w:val="20"/>
                <w:lang w:eastAsia="tr-TR"/>
                <w14:ligatures w14:val="none"/>
              </w:rPr>
              <w:t>10.</w:t>
            </w:r>
          </w:p>
        </w:tc>
        <w:tc>
          <w:tcPr>
            <w:tcW w:w="4471" w:type="dxa"/>
            <w:tcBorders>
              <w:top w:val="single" w:sz="4" w:space="0" w:color="000000"/>
              <w:left w:val="single" w:sz="4" w:space="0" w:color="000000"/>
              <w:bottom w:val="single" w:sz="4" w:space="0" w:color="000000"/>
              <w:right w:val="single" w:sz="4" w:space="0" w:color="000000"/>
            </w:tcBorders>
          </w:tcPr>
          <w:p w14:paraId="1E44168F" w14:textId="77777777" w:rsidR="00921C59" w:rsidRPr="00175D8B" w:rsidRDefault="00921C59" w:rsidP="00921C59">
            <w:pPr>
              <w:spacing w:afterLines="120" w:after="288" w:line="240" w:lineRule="auto"/>
              <w:ind w:left="567"/>
              <w:jc w:val="left"/>
              <w:rPr>
                <w:rFonts w:eastAsia="Aptos" w:cs="Aptos"/>
                <w:kern w:val="0"/>
                <w:sz w:val="20"/>
                <w:szCs w:val="20"/>
                <w:lang w:eastAsia="tr-TR"/>
                <w14:ligatures w14:val="none"/>
              </w:rPr>
            </w:pPr>
          </w:p>
        </w:tc>
      </w:tr>
    </w:tbl>
    <w:p w14:paraId="77418886" w14:textId="77777777" w:rsidR="00921C59" w:rsidRPr="00175D8B" w:rsidRDefault="00921C59" w:rsidP="00921C59">
      <w:pPr>
        <w:keepNext/>
        <w:keepLines/>
        <w:spacing w:before="360" w:after="80"/>
        <w:outlineLvl w:val="0"/>
        <w:rPr>
          <w:rFonts w:eastAsia="Aptos" w:cs="Aptos"/>
          <w:b/>
          <w:color w:val="000000"/>
          <w:kern w:val="0"/>
          <w:sz w:val="20"/>
          <w:szCs w:val="20"/>
          <w:lang w:eastAsia="tr-TR"/>
          <w14:ligatures w14:val="none"/>
        </w:rPr>
        <w:sectPr w:rsidR="00921C59" w:rsidRPr="00175D8B" w:rsidSect="00921C59">
          <w:pgSz w:w="11900" w:h="16840"/>
          <w:pgMar w:top="1417" w:right="1417" w:bottom="1417" w:left="1417" w:header="851" w:footer="851" w:gutter="0"/>
          <w:cols w:space="708"/>
        </w:sectPr>
      </w:pPr>
      <w:bookmarkStart w:id="489" w:name="_3gnlt4p" w:colFirst="0" w:colLast="0"/>
      <w:bookmarkEnd w:id="489"/>
    </w:p>
    <w:p w14:paraId="281F620F" w14:textId="00B68DAF" w:rsidR="00921C59" w:rsidRPr="00175D8B" w:rsidRDefault="00921C59">
      <w:pPr>
        <w:pStyle w:val="Balk1"/>
        <w:rPr>
          <w:rFonts w:eastAsia="Tahoma" w:cs="Tahoma"/>
          <w:b/>
          <w:noProof/>
          <w:sz w:val="28"/>
          <w:szCs w:val="28"/>
          <w:lang w:eastAsia="tr-TR"/>
        </w:rPr>
      </w:pPr>
      <w:bookmarkStart w:id="490" w:name="_Toc207987183"/>
      <w:bookmarkStart w:id="491" w:name="_Toc212541914"/>
      <w:bookmarkStart w:id="492" w:name="_Toc212542425"/>
      <w:bookmarkStart w:id="493" w:name="_Toc220672834"/>
      <w:r w:rsidRPr="00175D8B">
        <w:rPr>
          <w:b/>
          <w:sz w:val="28"/>
          <w:szCs w:val="28"/>
          <w:lang w:eastAsia="tr-TR"/>
        </w:rPr>
        <w:lastRenderedPageBreak/>
        <w:t xml:space="preserve">ANNEX </w:t>
      </w:r>
      <w:r w:rsidR="00365CEA" w:rsidRPr="00175D8B">
        <w:rPr>
          <w:b/>
          <w:sz w:val="28"/>
          <w:szCs w:val="28"/>
          <w:lang w:eastAsia="tr-TR"/>
        </w:rPr>
        <w:t>5</w:t>
      </w:r>
      <w:r w:rsidRPr="00175D8B">
        <w:rPr>
          <w:b/>
          <w:sz w:val="28"/>
          <w:szCs w:val="28"/>
          <w:lang w:eastAsia="tr-TR"/>
        </w:rPr>
        <w:t>- GRIEVANCE REGISTRATION LOG</w:t>
      </w:r>
      <w:bookmarkEnd w:id="490"/>
      <w:bookmarkEnd w:id="491"/>
      <w:bookmarkEnd w:id="492"/>
      <w:bookmarkEnd w:id="493"/>
      <w:r w:rsidRPr="00175D8B">
        <w:rPr>
          <w:b/>
          <w:sz w:val="28"/>
          <w:szCs w:val="28"/>
          <w:lang w:eastAsia="tr-TR"/>
        </w:rPr>
        <w:t xml:space="preserve"> </w:t>
      </w:r>
    </w:p>
    <w:p w14:paraId="5701AA25" w14:textId="77777777" w:rsidR="00921C59" w:rsidRPr="00175D8B" w:rsidRDefault="00921C59" w:rsidP="00921C59">
      <w:pPr>
        <w:spacing w:after="160" w:line="259" w:lineRule="auto"/>
        <w:jc w:val="left"/>
        <w:rPr>
          <w:rFonts w:eastAsia="Aptos" w:cs="Aptos"/>
          <w:kern w:val="0"/>
          <w:szCs w:val="22"/>
          <w:lang w:eastAsia="tr-TR"/>
          <w14:ligatures w14:val="none"/>
        </w:rPr>
      </w:pPr>
    </w:p>
    <w:p w14:paraId="75E93F54" w14:textId="77777777" w:rsidR="00921C59" w:rsidRPr="00175D8B" w:rsidRDefault="00921C59" w:rsidP="00921C59">
      <w:pPr>
        <w:keepNext/>
        <w:spacing w:after="200" w:line="240" w:lineRule="auto"/>
        <w:jc w:val="center"/>
        <w:rPr>
          <w:rFonts w:eastAsia="Aptos" w:cs="Aptos"/>
          <w:b/>
          <w:i/>
          <w:iCs/>
          <w:color w:val="000000"/>
          <w:kern w:val="0"/>
          <w:sz w:val="20"/>
          <w:szCs w:val="18"/>
          <w:lang w:eastAsia="tr-TR"/>
          <w14:ligatures w14:val="none"/>
        </w:rPr>
      </w:pPr>
      <w:r w:rsidRPr="00175D8B">
        <w:rPr>
          <w:rFonts w:eastAsia="Aptos" w:cs="Aptos"/>
          <w:b/>
          <w:i/>
          <w:iCs/>
          <w:color w:val="000000"/>
          <w:kern w:val="0"/>
          <w:sz w:val="20"/>
          <w:szCs w:val="18"/>
          <w:lang w:eastAsia="tr-TR"/>
          <w14:ligatures w14:val="none"/>
        </w:rPr>
        <w:t>Grievance Registration Log</w:t>
      </w:r>
    </w:p>
    <w:p w14:paraId="102F7D51" w14:textId="77777777" w:rsidR="00921C59" w:rsidRPr="00175D8B" w:rsidRDefault="00921C59" w:rsidP="00921C59">
      <w:pPr>
        <w:spacing w:after="160" w:line="259" w:lineRule="auto"/>
        <w:jc w:val="center"/>
        <w:rPr>
          <w:rFonts w:eastAsia="Aptos" w:cs="Aptos"/>
          <w:kern w:val="0"/>
          <w:szCs w:val="22"/>
          <w:lang w:eastAsia="tr-TR"/>
          <w14:ligatures w14:val="none"/>
        </w:rPr>
        <w:sectPr w:rsidR="00921C59" w:rsidRPr="00175D8B" w:rsidSect="00921C59">
          <w:type w:val="continuous"/>
          <w:pgSz w:w="16840" w:h="11900" w:orient="landscape"/>
          <w:pgMar w:top="1417" w:right="1417" w:bottom="1417" w:left="1417" w:header="851" w:footer="851" w:gutter="0"/>
          <w:cols w:space="708"/>
        </w:sectPr>
      </w:pPr>
      <w:r w:rsidRPr="00175D8B">
        <w:rPr>
          <w:rFonts w:eastAsia="Aptos" w:cs="Aptos"/>
          <w:noProof/>
          <w:kern w:val="0"/>
          <w:szCs w:val="22"/>
          <w:lang w:val="tr-TR" w:eastAsia="tr-TR"/>
          <w14:ligatures w14:val="none"/>
        </w:rPr>
        <w:drawing>
          <wp:inline distT="0" distB="0" distL="0" distR="0" wp14:anchorId="17CFC028" wp14:editId="43704B0A">
            <wp:extent cx="9296400" cy="3392185"/>
            <wp:effectExtent l="19050" t="19050" r="19050" b="17780"/>
            <wp:docPr id="1676083766" name="Picture 55" descr="metin, ekran görüntüsü, dikdörtgen, çizg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83766" name="Picture 55" descr="metin, ekran görüntüsü, dikdörtgen, çizgi içeren bir resim&#10;&#10;Yapay zeka tarafından oluşturulmuş içerik yanlış olabili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7318" b="17877"/>
                    <a:stretch/>
                  </pic:blipFill>
                  <pic:spPr bwMode="auto">
                    <a:xfrm>
                      <a:off x="0" y="0"/>
                      <a:ext cx="9302078" cy="3394257"/>
                    </a:xfrm>
                    <a:prstGeom prst="rect">
                      <a:avLst/>
                    </a:prstGeom>
                    <a:noFill/>
                    <a:ln>
                      <a:solidFill>
                        <a:sysClr val="window" lastClr="FFFFFF">
                          <a:lumMod val="50000"/>
                          <a:alpha val="50000"/>
                        </a:sysClr>
                      </a:solidFill>
                    </a:ln>
                    <a:extLst>
                      <a:ext uri="{53640926-AAD7-44D8-BBD7-CCE9431645EC}">
                        <a14:shadowObscured xmlns:a14="http://schemas.microsoft.com/office/drawing/2010/main"/>
                      </a:ext>
                    </a:extLst>
                  </pic:spPr>
                </pic:pic>
              </a:graphicData>
            </a:graphic>
          </wp:inline>
        </w:drawing>
      </w:r>
    </w:p>
    <w:p w14:paraId="08E75363" w14:textId="3745CC86" w:rsidR="00921C59" w:rsidRPr="00175D8B" w:rsidRDefault="00921C59">
      <w:pPr>
        <w:pStyle w:val="Balk1"/>
        <w:rPr>
          <w:b/>
          <w:sz w:val="28"/>
          <w:szCs w:val="28"/>
          <w:lang w:eastAsia="tr-TR"/>
        </w:rPr>
      </w:pPr>
      <w:bookmarkStart w:id="494" w:name="_Toc207987184"/>
      <w:bookmarkStart w:id="495" w:name="_Toc212541915"/>
      <w:bookmarkStart w:id="496" w:name="_Toc212542426"/>
      <w:bookmarkStart w:id="497" w:name="_Toc220672835"/>
      <w:r w:rsidRPr="00175D8B">
        <w:rPr>
          <w:b/>
          <w:sz w:val="28"/>
          <w:szCs w:val="28"/>
          <w:lang w:eastAsia="tr-TR"/>
        </w:rPr>
        <w:lastRenderedPageBreak/>
        <w:t xml:space="preserve">ANNEX </w:t>
      </w:r>
      <w:r w:rsidR="00365CEA" w:rsidRPr="00175D8B">
        <w:rPr>
          <w:b/>
          <w:sz w:val="28"/>
          <w:szCs w:val="28"/>
          <w:lang w:eastAsia="tr-TR"/>
        </w:rPr>
        <w:t>6</w:t>
      </w:r>
      <w:r w:rsidRPr="00175D8B">
        <w:rPr>
          <w:b/>
          <w:sz w:val="28"/>
          <w:szCs w:val="28"/>
          <w:lang w:eastAsia="tr-TR"/>
        </w:rPr>
        <w:t>- COMMUNITY SAFETY AND TRAFFIC MANAGEMENT PLAN</w:t>
      </w:r>
      <w:bookmarkEnd w:id="494"/>
      <w:bookmarkEnd w:id="495"/>
      <w:bookmarkEnd w:id="496"/>
      <w:bookmarkEnd w:id="497"/>
      <w:r w:rsidRPr="00175D8B">
        <w:rPr>
          <w:b/>
          <w:sz w:val="28"/>
          <w:szCs w:val="28"/>
          <w:lang w:eastAsia="tr-TR"/>
        </w:rPr>
        <w:t xml:space="preserve"> </w:t>
      </w:r>
    </w:p>
    <w:p w14:paraId="2D76B0F7" w14:textId="77777777" w:rsidR="00921C59" w:rsidRPr="00175D8B" w:rsidRDefault="00921C59">
      <w:pPr>
        <w:numPr>
          <w:ilvl w:val="0"/>
          <w:numId w:val="133"/>
        </w:numPr>
        <w:spacing w:after="160"/>
        <w:contextualSpacing/>
        <w:jc w:val="left"/>
        <w:rPr>
          <w:rFonts w:eastAsia="Aptos" w:cs="Aptos"/>
          <w:b/>
          <w:kern w:val="0"/>
          <w:szCs w:val="22"/>
          <w:lang w:eastAsia="tr-TR"/>
          <w14:ligatures w14:val="none"/>
        </w:rPr>
      </w:pPr>
      <w:r w:rsidRPr="00175D8B">
        <w:rPr>
          <w:rFonts w:eastAsia="Aptos" w:cs="Aptos"/>
          <w:b/>
          <w:kern w:val="0"/>
          <w:szCs w:val="22"/>
          <w:lang w:eastAsia="tr-TR"/>
          <w14:ligatures w14:val="none"/>
        </w:rPr>
        <w:t>Purpose and Scope</w:t>
      </w:r>
    </w:p>
    <w:p w14:paraId="3D6FCFD1"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The purpose of this plan is to identify and describe various measures to reduce accidents, injuries and similar adverse situations resulting from potential traffic movements throughout the Project, as well as to minimize traffic jam and thus reduce fuel consumption, and to provide safe, fast and easy access for emergency vehicles. </w:t>
      </w:r>
    </w:p>
    <w:p w14:paraId="058467D6"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The Traffic Management Plan is part of the Project's Environmental and Social Management Plan. It addresses traffic management of pedestrians, vehicles and construction equipment. This plan aims to minimize the potential impacts that may arise from the addition of vehicle movements generated by Project activities to existing roads. </w:t>
      </w:r>
    </w:p>
    <w:p w14:paraId="4390273A"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 The following aspects are included in the scope of this plan: </w:t>
      </w:r>
    </w:p>
    <w:p w14:paraId="0C3DB58A" w14:textId="77777777" w:rsidR="00921C59" w:rsidRPr="00175D8B" w:rsidRDefault="00921C59">
      <w:pPr>
        <w:numPr>
          <w:ilvl w:val="0"/>
          <w:numId w:val="132"/>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 xml:space="preserve">Legal requirements and standards, </w:t>
      </w:r>
    </w:p>
    <w:p w14:paraId="366A1DF7" w14:textId="77777777" w:rsidR="00921C59" w:rsidRPr="00175D8B" w:rsidRDefault="00921C59">
      <w:pPr>
        <w:numPr>
          <w:ilvl w:val="0"/>
          <w:numId w:val="132"/>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 xml:space="preserve">Key tasks and responsibilities, </w:t>
      </w:r>
    </w:p>
    <w:p w14:paraId="200C545D" w14:textId="77777777" w:rsidR="00921C59" w:rsidRPr="00175D8B" w:rsidRDefault="00921C59">
      <w:pPr>
        <w:numPr>
          <w:ilvl w:val="0"/>
          <w:numId w:val="132"/>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 xml:space="preserve">Impact reducing precautions and Management Controls, </w:t>
      </w:r>
    </w:p>
    <w:p w14:paraId="140D4024" w14:textId="77777777" w:rsidR="00921C59" w:rsidRPr="00175D8B" w:rsidRDefault="00921C59">
      <w:pPr>
        <w:numPr>
          <w:ilvl w:val="0"/>
          <w:numId w:val="132"/>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 xml:space="preserve">Training, Reporting and Monitoring </w:t>
      </w:r>
    </w:p>
    <w:p w14:paraId="5B625C13"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This plan may be updated and revised as necessary.</w:t>
      </w:r>
    </w:p>
    <w:p w14:paraId="67732B2D" w14:textId="77777777" w:rsidR="00921C59" w:rsidRPr="00175D8B" w:rsidRDefault="00921C59">
      <w:pPr>
        <w:numPr>
          <w:ilvl w:val="0"/>
          <w:numId w:val="133"/>
        </w:numPr>
        <w:spacing w:after="160"/>
        <w:contextualSpacing/>
        <w:jc w:val="left"/>
        <w:rPr>
          <w:rFonts w:eastAsia="Aptos" w:cs="Aptos"/>
          <w:b/>
          <w:kern w:val="0"/>
          <w:szCs w:val="22"/>
          <w:lang w:eastAsia="tr-TR"/>
          <w14:ligatures w14:val="none"/>
        </w:rPr>
      </w:pPr>
      <w:r w:rsidRPr="00175D8B">
        <w:rPr>
          <w:rFonts w:eastAsia="Aptos" w:cs="Aptos"/>
          <w:b/>
          <w:kern w:val="0"/>
          <w:szCs w:val="22"/>
          <w:lang w:eastAsia="tr-TR"/>
          <w14:ligatures w14:val="none"/>
        </w:rPr>
        <w:t>Legal Framework</w:t>
      </w:r>
    </w:p>
    <w:p w14:paraId="484C5B3A" w14:textId="77777777" w:rsidR="00921C59" w:rsidRPr="00175D8B" w:rsidRDefault="00921C59" w:rsidP="00DD7A56">
      <w:pPr>
        <w:spacing w:after="160"/>
        <w:ind w:left="360"/>
        <w:rPr>
          <w:rFonts w:eastAsia="Aptos" w:cs="Aptos"/>
          <w:b/>
          <w:kern w:val="0"/>
          <w:szCs w:val="22"/>
          <w:lang w:eastAsia="tr-TR"/>
          <w14:ligatures w14:val="none"/>
        </w:rPr>
      </w:pPr>
      <w:r w:rsidRPr="00175D8B">
        <w:rPr>
          <w:rFonts w:eastAsia="Aptos" w:cs="Aptos"/>
          <w:b/>
          <w:kern w:val="0"/>
          <w:szCs w:val="22"/>
          <w:lang w:eastAsia="tr-TR"/>
          <w14:ligatures w14:val="none"/>
        </w:rPr>
        <w:t>2.1 National Legislation</w:t>
      </w:r>
    </w:p>
    <w:p w14:paraId="34549FE8" w14:textId="77777777" w:rsidR="00921C59" w:rsidRPr="00175D8B" w:rsidRDefault="00921C59">
      <w:pPr>
        <w:numPr>
          <w:ilvl w:val="0"/>
          <w:numId w:val="131"/>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Transportation Law No. 4925 and Highway Transportation Regulation (Official Gazette 19/7/2003 No. 25173). During transportation, tonnage, truck sizes and load limits will be followed according to the legislation and existing roads will be arranged in accordance with Turkish standards according to the anticipated traffic type and capacity.</w:t>
      </w:r>
    </w:p>
    <w:p w14:paraId="2D8746F9" w14:textId="77777777" w:rsidR="00921C59" w:rsidRPr="00175D8B" w:rsidRDefault="00921C59">
      <w:pPr>
        <w:numPr>
          <w:ilvl w:val="0"/>
          <w:numId w:val="131"/>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 xml:space="preserve">Article 134 of the Road Traffic Law No. 2918 and Traffic Regulation, </w:t>
      </w:r>
    </w:p>
    <w:p w14:paraId="39BA8112" w14:textId="77777777" w:rsidR="00921C59" w:rsidRPr="00175D8B" w:rsidRDefault="00921C59">
      <w:pPr>
        <w:numPr>
          <w:ilvl w:val="0"/>
          <w:numId w:val="131"/>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 xml:space="preserve">Transportation of Hazardous Material on the highway regulation (24.10.2013 Official Gazette; No. 28801) </w:t>
      </w:r>
    </w:p>
    <w:p w14:paraId="287B92A0" w14:textId="60407D81" w:rsidR="0050644F" w:rsidRPr="00175D8B" w:rsidRDefault="00921C59" w:rsidP="006C58C5">
      <w:pPr>
        <w:numPr>
          <w:ilvl w:val="0"/>
          <w:numId w:val="131"/>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 xml:space="preserve">Prevention of Pollution Caused by Motor Vehicle Exhaust Gases Declaration (22/10/1992 Official Gazette No. 21383), </w:t>
      </w:r>
    </w:p>
    <w:p w14:paraId="7F360270" w14:textId="77777777" w:rsidR="00921C59" w:rsidRPr="00175D8B" w:rsidRDefault="00921C59" w:rsidP="00DD7A56">
      <w:pPr>
        <w:spacing w:after="160"/>
        <w:ind w:left="360"/>
        <w:rPr>
          <w:rFonts w:eastAsia="Aptos" w:cs="Aptos"/>
          <w:b/>
          <w:kern w:val="0"/>
          <w:szCs w:val="22"/>
          <w:lang w:eastAsia="tr-TR"/>
          <w14:ligatures w14:val="none"/>
        </w:rPr>
      </w:pPr>
      <w:r w:rsidRPr="00175D8B">
        <w:rPr>
          <w:rFonts w:eastAsia="Aptos" w:cs="Aptos"/>
          <w:b/>
          <w:kern w:val="0"/>
          <w:szCs w:val="22"/>
          <w:lang w:eastAsia="tr-TR"/>
          <w14:ligatures w14:val="none"/>
        </w:rPr>
        <w:t>2.2 International Standards</w:t>
      </w:r>
    </w:p>
    <w:p w14:paraId="5608763A" w14:textId="77777777" w:rsidR="00921C59" w:rsidRPr="00175D8B" w:rsidRDefault="00921C59">
      <w:pPr>
        <w:numPr>
          <w:ilvl w:val="0"/>
          <w:numId w:val="134"/>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 xml:space="preserve">IFC Performance Standard 4: Community Health, Safety and Security, </w:t>
      </w:r>
    </w:p>
    <w:p w14:paraId="1DAC6C82" w14:textId="77777777" w:rsidR="00921C59" w:rsidRPr="00175D8B" w:rsidRDefault="00921C59">
      <w:pPr>
        <w:numPr>
          <w:ilvl w:val="0"/>
          <w:numId w:val="134"/>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 xml:space="preserve">AIIB ESS 1: Environmental and Social Assessment and Management </w:t>
      </w:r>
    </w:p>
    <w:p w14:paraId="7ACB7E1B" w14:textId="77777777" w:rsidR="00921C59" w:rsidRPr="00175D8B" w:rsidRDefault="00921C59">
      <w:pPr>
        <w:numPr>
          <w:ilvl w:val="0"/>
          <w:numId w:val="134"/>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lastRenderedPageBreak/>
        <w:t xml:space="preserve">IFC General EHS Guidelines: World Bank Group's Community Health and Safety and EHS Guidelines </w:t>
      </w:r>
    </w:p>
    <w:p w14:paraId="68E436F4" w14:textId="3CB0EA0B" w:rsidR="007819D2" w:rsidRPr="00175D8B" w:rsidRDefault="00921C59" w:rsidP="002550A6">
      <w:pPr>
        <w:numPr>
          <w:ilvl w:val="0"/>
          <w:numId w:val="134"/>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According to -IFC PS 4; the role of Project activities in traffic, potential traffic load and road safety risks need to be identified, assessed and monitored. Implementation of the plan should include prevention of traffic accidents to protect lives of local residents and workers through transportation routes.</w:t>
      </w:r>
    </w:p>
    <w:p w14:paraId="6016F594" w14:textId="77777777" w:rsidR="00921C59" w:rsidRPr="00175D8B" w:rsidRDefault="00921C59">
      <w:pPr>
        <w:numPr>
          <w:ilvl w:val="0"/>
          <w:numId w:val="133"/>
        </w:numPr>
        <w:spacing w:after="160" w:line="259" w:lineRule="auto"/>
        <w:contextualSpacing/>
        <w:jc w:val="left"/>
        <w:rPr>
          <w:rFonts w:eastAsia="Aptos" w:cs="Aptos"/>
          <w:b/>
          <w:kern w:val="0"/>
          <w:szCs w:val="22"/>
          <w:lang w:eastAsia="tr-TR"/>
          <w14:ligatures w14:val="none"/>
        </w:rPr>
      </w:pPr>
      <w:r w:rsidRPr="00175D8B">
        <w:rPr>
          <w:rFonts w:eastAsia="Aptos" w:cs="Aptos"/>
          <w:b/>
          <w:kern w:val="0"/>
          <w:szCs w:val="22"/>
          <w:lang w:eastAsia="tr-TR"/>
          <w14:ligatures w14:val="none"/>
        </w:rPr>
        <w:t>Roles and Responsibilities</w:t>
      </w:r>
    </w:p>
    <w:p w14:paraId="6BD805FB" w14:textId="77777777" w:rsidR="00921C59" w:rsidRPr="00175D8B" w:rsidRDefault="00921C59" w:rsidP="00921C59">
      <w:pPr>
        <w:keepNext/>
        <w:spacing w:after="200" w:line="240" w:lineRule="auto"/>
        <w:jc w:val="center"/>
        <w:rPr>
          <w:rFonts w:eastAsia="Aptos" w:cs="Aptos"/>
          <w:b/>
          <w:i/>
          <w:iCs/>
          <w:color w:val="000000"/>
          <w:kern w:val="0"/>
          <w:sz w:val="20"/>
          <w:szCs w:val="18"/>
          <w:lang w:eastAsia="tr-TR"/>
          <w14:ligatures w14:val="none"/>
        </w:rPr>
      </w:pPr>
      <w:r w:rsidRPr="00175D8B">
        <w:rPr>
          <w:rFonts w:eastAsia="Aptos" w:cs="Aptos"/>
          <w:b/>
          <w:i/>
          <w:iCs/>
          <w:color w:val="000000"/>
          <w:kern w:val="0"/>
          <w:sz w:val="20"/>
          <w:szCs w:val="18"/>
          <w:lang w:eastAsia="tr-TR"/>
          <w14:ligatures w14:val="none"/>
        </w:rPr>
        <w:t>Roles and Responsibilities</w:t>
      </w:r>
    </w:p>
    <w:tbl>
      <w:tblPr>
        <w:tblStyle w:val="33"/>
        <w:tblW w:w="9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4"/>
        <w:gridCol w:w="7229"/>
      </w:tblGrid>
      <w:tr w:rsidR="00921C59" w:rsidRPr="00175D8B" w14:paraId="20736767" w14:textId="77777777" w:rsidTr="00DF417A">
        <w:trPr>
          <w:trHeight w:val="318"/>
          <w:jc w:val="center"/>
        </w:trPr>
        <w:tc>
          <w:tcPr>
            <w:tcW w:w="1994" w:type="dxa"/>
            <w:shd w:val="clear" w:color="auto" w:fill="ABB7C1"/>
            <w:vAlign w:val="center"/>
          </w:tcPr>
          <w:p w14:paraId="596A5881" w14:textId="77777777" w:rsidR="00921C59" w:rsidRPr="00175D8B" w:rsidRDefault="00921C59" w:rsidP="00921C59">
            <w:pPr>
              <w:spacing w:after="0"/>
              <w:jc w:val="left"/>
              <w:rPr>
                <w:rFonts w:eastAsia="Aptos" w:cs="Aptos"/>
                <w:sz w:val="20"/>
                <w:szCs w:val="20"/>
              </w:rPr>
            </w:pPr>
            <w:r w:rsidRPr="00175D8B">
              <w:rPr>
                <w:rFonts w:eastAsia="Aptos" w:cs="Aptos"/>
                <w:sz w:val="20"/>
                <w:szCs w:val="20"/>
              </w:rPr>
              <w:t>Roles</w:t>
            </w:r>
          </w:p>
        </w:tc>
        <w:tc>
          <w:tcPr>
            <w:tcW w:w="7229" w:type="dxa"/>
            <w:shd w:val="clear" w:color="auto" w:fill="ABB7C1"/>
            <w:vAlign w:val="center"/>
          </w:tcPr>
          <w:p w14:paraId="5FD24379" w14:textId="77777777" w:rsidR="00921C59" w:rsidRPr="00175D8B" w:rsidRDefault="00921C59" w:rsidP="00921C59">
            <w:pPr>
              <w:spacing w:after="0"/>
              <w:jc w:val="left"/>
              <w:rPr>
                <w:rFonts w:eastAsia="Aptos" w:cs="Aptos"/>
                <w:sz w:val="20"/>
                <w:szCs w:val="20"/>
              </w:rPr>
            </w:pPr>
            <w:r w:rsidRPr="00175D8B">
              <w:rPr>
                <w:rFonts w:eastAsia="Aptos" w:cs="Aptos"/>
                <w:sz w:val="20"/>
                <w:szCs w:val="20"/>
              </w:rPr>
              <w:t>Responsibilities</w:t>
            </w:r>
          </w:p>
        </w:tc>
      </w:tr>
      <w:tr w:rsidR="00921C59" w:rsidRPr="00175D8B" w14:paraId="031255B9" w14:textId="77777777" w:rsidTr="00DF417A">
        <w:trPr>
          <w:trHeight w:val="820"/>
          <w:jc w:val="center"/>
        </w:trPr>
        <w:tc>
          <w:tcPr>
            <w:tcW w:w="1994" w:type="dxa"/>
            <w:shd w:val="clear" w:color="auto" w:fill="F2F2F2"/>
          </w:tcPr>
          <w:p w14:paraId="0652AA38" w14:textId="77777777" w:rsidR="00921C59" w:rsidRPr="00175D8B" w:rsidRDefault="00921C59" w:rsidP="00921C59">
            <w:pPr>
              <w:spacing w:after="0"/>
              <w:jc w:val="left"/>
              <w:rPr>
                <w:rFonts w:eastAsia="Aptos" w:cs="Aptos"/>
                <w:sz w:val="20"/>
                <w:szCs w:val="20"/>
              </w:rPr>
            </w:pPr>
            <w:r w:rsidRPr="00175D8B">
              <w:rPr>
                <w:rFonts w:eastAsia="Aptos" w:cs="Aptos"/>
                <w:sz w:val="20"/>
                <w:szCs w:val="20"/>
              </w:rPr>
              <w:t>Project Management Unit (PMU).</w:t>
            </w:r>
          </w:p>
        </w:tc>
        <w:tc>
          <w:tcPr>
            <w:tcW w:w="7229" w:type="dxa"/>
            <w:shd w:val="clear" w:color="auto" w:fill="F2F2F2"/>
          </w:tcPr>
          <w:p w14:paraId="2C58EAFB" w14:textId="77777777" w:rsidR="00921C59" w:rsidRPr="00175D8B" w:rsidRDefault="00921C59">
            <w:pPr>
              <w:numPr>
                <w:ilvl w:val="0"/>
                <w:numId w:val="119"/>
              </w:numPr>
              <w:spacing w:after="0" w:line="240" w:lineRule="auto"/>
              <w:contextualSpacing/>
              <w:rPr>
                <w:sz w:val="20"/>
                <w:szCs w:val="20"/>
              </w:rPr>
            </w:pPr>
            <w:r w:rsidRPr="00175D8B">
              <w:rPr>
                <w:sz w:val="20"/>
                <w:szCs w:val="20"/>
              </w:rPr>
              <w:t>To ensure that adequate resources are provided to implement this procedure.</w:t>
            </w:r>
          </w:p>
          <w:p w14:paraId="6A3B6158" w14:textId="77777777" w:rsidR="00921C59" w:rsidRPr="00175D8B" w:rsidRDefault="00921C59">
            <w:pPr>
              <w:numPr>
                <w:ilvl w:val="0"/>
                <w:numId w:val="119"/>
              </w:numPr>
              <w:spacing w:after="0" w:line="240" w:lineRule="auto"/>
              <w:contextualSpacing/>
              <w:rPr>
                <w:sz w:val="20"/>
                <w:szCs w:val="20"/>
              </w:rPr>
            </w:pPr>
            <w:r w:rsidRPr="00175D8B">
              <w:rPr>
                <w:sz w:val="20"/>
                <w:szCs w:val="20"/>
              </w:rPr>
              <w:t>Review and update the procedure when necessary</w:t>
            </w:r>
          </w:p>
        </w:tc>
      </w:tr>
      <w:tr w:rsidR="00921C59" w:rsidRPr="00175D8B" w14:paraId="3F0820BE" w14:textId="77777777" w:rsidTr="00DF417A">
        <w:trPr>
          <w:trHeight w:val="2656"/>
          <w:jc w:val="center"/>
        </w:trPr>
        <w:tc>
          <w:tcPr>
            <w:tcW w:w="1994" w:type="dxa"/>
            <w:shd w:val="clear" w:color="auto" w:fill="F2F2F2"/>
          </w:tcPr>
          <w:p w14:paraId="716F4B22" w14:textId="77777777" w:rsidR="00921C59" w:rsidRPr="00175D8B" w:rsidRDefault="00921C59" w:rsidP="00921C59">
            <w:pPr>
              <w:pBdr>
                <w:top w:val="nil"/>
                <w:left w:val="nil"/>
                <w:bottom w:val="nil"/>
                <w:right w:val="nil"/>
                <w:between w:val="nil"/>
              </w:pBdr>
              <w:spacing w:before="40" w:after="40"/>
              <w:jc w:val="left"/>
              <w:rPr>
                <w:rFonts w:eastAsia="Aptos" w:cs="Aptos"/>
                <w:color w:val="000000"/>
                <w:sz w:val="20"/>
                <w:szCs w:val="20"/>
              </w:rPr>
            </w:pPr>
            <w:r w:rsidRPr="00175D8B">
              <w:rPr>
                <w:rFonts w:eastAsia="Aptos" w:cs="Aptos"/>
                <w:color w:val="000000"/>
                <w:sz w:val="20"/>
                <w:szCs w:val="20"/>
              </w:rPr>
              <w:t>Contractor</w:t>
            </w:r>
          </w:p>
          <w:p w14:paraId="55A248A5" w14:textId="77777777" w:rsidR="00921C59" w:rsidRPr="00175D8B" w:rsidRDefault="00921C59" w:rsidP="00921C59">
            <w:pPr>
              <w:spacing w:after="0"/>
              <w:jc w:val="left"/>
              <w:rPr>
                <w:rFonts w:eastAsia="Aptos" w:cs="Aptos"/>
                <w:sz w:val="20"/>
                <w:szCs w:val="20"/>
              </w:rPr>
            </w:pPr>
            <w:r w:rsidRPr="00175D8B">
              <w:rPr>
                <w:rFonts w:eastAsia="Aptos" w:cs="Aptos"/>
                <w:sz w:val="20"/>
                <w:szCs w:val="20"/>
              </w:rPr>
              <w:t>Management Representative/Project Manager</w:t>
            </w:r>
          </w:p>
        </w:tc>
        <w:tc>
          <w:tcPr>
            <w:tcW w:w="7229" w:type="dxa"/>
            <w:shd w:val="clear" w:color="auto" w:fill="F2F2F2"/>
          </w:tcPr>
          <w:p w14:paraId="4DC9C512" w14:textId="77777777" w:rsidR="00921C59" w:rsidRPr="00175D8B" w:rsidRDefault="00921C59">
            <w:pPr>
              <w:numPr>
                <w:ilvl w:val="0"/>
                <w:numId w:val="118"/>
              </w:numPr>
              <w:spacing w:after="0" w:line="240" w:lineRule="auto"/>
              <w:contextualSpacing/>
              <w:rPr>
                <w:sz w:val="20"/>
                <w:szCs w:val="20"/>
              </w:rPr>
            </w:pPr>
            <w:r w:rsidRPr="00175D8B">
              <w:rPr>
                <w:sz w:val="20"/>
                <w:szCs w:val="20"/>
              </w:rPr>
              <w:t>Ensuring that the management plan is implemented throughout the project.</w:t>
            </w:r>
          </w:p>
          <w:p w14:paraId="509A294A" w14:textId="77777777" w:rsidR="00921C59" w:rsidRPr="00175D8B" w:rsidRDefault="00921C59">
            <w:pPr>
              <w:numPr>
                <w:ilvl w:val="0"/>
                <w:numId w:val="118"/>
              </w:numPr>
              <w:spacing w:after="0" w:line="240" w:lineRule="auto"/>
              <w:contextualSpacing/>
              <w:rPr>
                <w:sz w:val="20"/>
                <w:szCs w:val="20"/>
              </w:rPr>
            </w:pPr>
            <w:r w:rsidRPr="00175D8B">
              <w:rPr>
                <w:sz w:val="20"/>
                <w:szCs w:val="20"/>
              </w:rPr>
              <w:t>Provide oversight and make a routine audit to ensure that relevant activities suitable with the Management Plan.</w:t>
            </w:r>
          </w:p>
          <w:p w14:paraId="452EEF59" w14:textId="77777777" w:rsidR="00921C59" w:rsidRPr="00175D8B" w:rsidRDefault="00921C59">
            <w:pPr>
              <w:numPr>
                <w:ilvl w:val="0"/>
                <w:numId w:val="118"/>
              </w:numPr>
              <w:spacing w:after="0" w:line="240" w:lineRule="auto"/>
              <w:contextualSpacing/>
              <w:rPr>
                <w:sz w:val="20"/>
                <w:szCs w:val="20"/>
              </w:rPr>
            </w:pPr>
            <w:r w:rsidRPr="00175D8B">
              <w:rPr>
                <w:sz w:val="20"/>
                <w:szCs w:val="20"/>
              </w:rPr>
              <w:t xml:space="preserve">To Ensure that the activities are carried out in accordance with the Management Plan and relevant Procedures, </w:t>
            </w:r>
          </w:p>
          <w:p w14:paraId="34A0FFA7" w14:textId="77777777" w:rsidR="00921C59" w:rsidRPr="00175D8B" w:rsidRDefault="00921C59">
            <w:pPr>
              <w:numPr>
                <w:ilvl w:val="0"/>
                <w:numId w:val="118"/>
              </w:numPr>
              <w:spacing w:after="0" w:line="240" w:lineRule="auto"/>
              <w:contextualSpacing/>
              <w:rPr>
                <w:sz w:val="20"/>
                <w:szCs w:val="20"/>
              </w:rPr>
            </w:pPr>
            <w:r w:rsidRPr="00175D8B">
              <w:rPr>
                <w:sz w:val="20"/>
                <w:szCs w:val="20"/>
              </w:rPr>
              <w:t>Ensuring the necessary equipment and vehicles is in functioning.</w:t>
            </w:r>
          </w:p>
          <w:p w14:paraId="1F7C66BD" w14:textId="77777777" w:rsidR="00921C59" w:rsidRPr="00175D8B" w:rsidRDefault="00921C59">
            <w:pPr>
              <w:numPr>
                <w:ilvl w:val="0"/>
                <w:numId w:val="118"/>
              </w:numPr>
              <w:spacing w:after="0" w:line="240" w:lineRule="auto"/>
              <w:contextualSpacing/>
              <w:rPr>
                <w:sz w:val="20"/>
                <w:szCs w:val="20"/>
              </w:rPr>
            </w:pPr>
            <w:r w:rsidRPr="00175D8B">
              <w:rPr>
                <w:sz w:val="20"/>
                <w:szCs w:val="20"/>
              </w:rPr>
              <w:t xml:space="preserve">Supporting construction personnel in planning and coordinating traffic management in a timely and efficient manner. </w:t>
            </w:r>
          </w:p>
          <w:p w14:paraId="027E1590" w14:textId="77777777" w:rsidR="00921C59" w:rsidRPr="00175D8B" w:rsidRDefault="00921C59">
            <w:pPr>
              <w:numPr>
                <w:ilvl w:val="0"/>
                <w:numId w:val="118"/>
              </w:numPr>
              <w:spacing w:after="0" w:line="240" w:lineRule="auto"/>
              <w:contextualSpacing/>
              <w:rPr>
                <w:sz w:val="20"/>
                <w:szCs w:val="20"/>
              </w:rPr>
            </w:pPr>
            <w:r w:rsidRPr="00175D8B">
              <w:rPr>
                <w:sz w:val="20"/>
                <w:szCs w:val="20"/>
              </w:rPr>
              <w:t xml:space="preserve">Ensuring that the OHS requirements of all personnel are met. </w:t>
            </w:r>
          </w:p>
          <w:p w14:paraId="3A0DF1EE" w14:textId="77777777" w:rsidR="00921C59" w:rsidRPr="00175D8B" w:rsidRDefault="00921C59">
            <w:pPr>
              <w:numPr>
                <w:ilvl w:val="0"/>
                <w:numId w:val="118"/>
              </w:numPr>
              <w:spacing w:after="0" w:line="240" w:lineRule="auto"/>
              <w:contextualSpacing/>
              <w:rPr>
                <w:sz w:val="20"/>
                <w:szCs w:val="20"/>
              </w:rPr>
            </w:pPr>
            <w:r w:rsidRPr="00175D8B">
              <w:rPr>
                <w:sz w:val="20"/>
                <w:szCs w:val="20"/>
              </w:rPr>
              <w:t>Manage daily material deliveries and vehicle access to the site.</w:t>
            </w:r>
          </w:p>
          <w:p w14:paraId="44070F48" w14:textId="77777777" w:rsidR="00921C59" w:rsidRPr="00175D8B" w:rsidRDefault="00921C59">
            <w:pPr>
              <w:numPr>
                <w:ilvl w:val="0"/>
                <w:numId w:val="118"/>
              </w:numPr>
              <w:spacing w:after="0" w:line="240" w:lineRule="auto"/>
              <w:contextualSpacing/>
              <w:rPr>
                <w:sz w:val="20"/>
                <w:szCs w:val="20"/>
              </w:rPr>
            </w:pPr>
            <w:r w:rsidRPr="00175D8B">
              <w:rPr>
                <w:sz w:val="20"/>
                <w:szCs w:val="20"/>
              </w:rPr>
              <w:t xml:space="preserve">Avoiding heavy traffic loads on frequently used roads, ensuring that access is only through designated routes, and planning the timing of deliveries and access.  </w:t>
            </w:r>
          </w:p>
          <w:p w14:paraId="5DE20323" w14:textId="77777777" w:rsidR="00921C59" w:rsidRPr="00175D8B" w:rsidRDefault="00921C59">
            <w:pPr>
              <w:numPr>
                <w:ilvl w:val="0"/>
                <w:numId w:val="118"/>
              </w:numPr>
              <w:spacing w:after="0" w:line="240" w:lineRule="auto"/>
              <w:contextualSpacing/>
              <w:rPr>
                <w:sz w:val="20"/>
                <w:szCs w:val="20"/>
              </w:rPr>
            </w:pPr>
            <w:r w:rsidRPr="00175D8B">
              <w:rPr>
                <w:sz w:val="20"/>
                <w:szCs w:val="20"/>
              </w:rPr>
              <w:t xml:space="preserve">Liaise with the construction team in the planning, coordination and monitoring of traffic movements and facilitate the implementation of corrective actions. </w:t>
            </w:r>
          </w:p>
          <w:p w14:paraId="429F4895" w14:textId="77777777" w:rsidR="00921C59" w:rsidRPr="00175D8B" w:rsidRDefault="00921C59">
            <w:pPr>
              <w:numPr>
                <w:ilvl w:val="0"/>
                <w:numId w:val="118"/>
              </w:numPr>
              <w:spacing w:after="0" w:line="240" w:lineRule="auto"/>
              <w:contextualSpacing/>
              <w:rPr>
                <w:sz w:val="20"/>
                <w:szCs w:val="20"/>
              </w:rPr>
            </w:pPr>
            <w:r w:rsidRPr="00175D8B">
              <w:rPr>
                <w:sz w:val="20"/>
                <w:szCs w:val="20"/>
              </w:rPr>
              <w:t>Prepare/ensure the preparation of necessary reports and keep accident reports and inspection reports</w:t>
            </w:r>
          </w:p>
          <w:p w14:paraId="73B0410F" w14:textId="77777777" w:rsidR="00921C59" w:rsidRPr="00175D8B" w:rsidRDefault="00921C59">
            <w:pPr>
              <w:numPr>
                <w:ilvl w:val="0"/>
                <w:numId w:val="118"/>
              </w:numPr>
              <w:spacing w:after="0" w:line="240" w:lineRule="auto"/>
              <w:contextualSpacing/>
              <w:rPr>
                <w:sz w:val="20"/>
                <w:szCs w:val="20"/>
              </w:rPr>
            </w:pPr>
            <w:r w:rsidRPr="00175D8B">
              <w:rPr>
                <w:sz w:val="20"/>
                <w:szCs w:val="20"/>
              </w:rPr>
              <w:t>To ensure that the tools and equipment used is in functioning in accordance with the manufacturer's specifications.</w:t>
            </w:r>
          </w:p>
          <w:p w14:paraId="4BBCE0D9" w14:textId="77777777" w:rsidR="00921C59" w:rsidRPr="00175D8B" w:rsidRDefault="00921C59" w:rsidP="00921C59">
            <w:pPr>
              <w:spacing w:after="0"/>
              <w:rPr>
                <w:rFonts w:eastAsia="Aptos" w:cs="Aptos"/>
                <w:sz w:val="20"/>
                <w:szCs w:val="20"/>
              </w:rPr>
            </w:pPr>
          </w:p>
          <w:p w14:paraId="280ABD2D" w14:textId="77777777" w:rsidR="00921C59" w:rsidRPr="00175D8B" w:rsidRDefault="00921C59" w:rsidP="00921C59">
            <w:pPr>
              <w:spacing w:after="0"/>
              <w:rPr>
                <w:rFonts w:eastAsia="Aptos" w:cs="Aptos"/>
                <w:sz w:val="20"/>
                <w:szCs w:val="20"/>
              </w:rPr>
            </w:pPr>
          </w:p>
        </w:tc>
      </w:tr>
    </w:tbl>
    <w:p w14:paraId="73DDDC84" w14:textId="77777777" w:rsidR="0050638B" w:rsidRPr="00175D8B" w:rsidRDefault="0050638B" w:rsidP="00921C59">
      <w:pPr>
        <w:rPr>
          <w:rFonts w:eastAsia="Aptos" w:cs="Aptos"/>
          <w:b/>
          <w:kern w:val="0"/>
          <w:sz w:val="20"/>
          <w:szCs w:val="20"/>
          <w:lang w:eastAsia="tr-TR"/>
          <w14:ligatures w14:val="none"/>
        </w:rPr>
      </w:pPr>
    </w:p>
    <w:p w14:paraId="7116E76C" w14:textId="77777777" w:rsidR="00B05B27" w:rsidRPr="00175D8B" w:rsidRDefault="00B05B27" w:rsidP="00921C59">
      <w:pPr>
        <w:rPr>
          <w:rFonts w:eastAsia="Aptos" w:cs="Aptos"/>
          <w:b/>
          <w:kern w:val="0"/>
          <w:sz w:val="20"/>
          <w:szCs w:val="20"/>
          <w:lang w:eastAsia="tr-TR"/>
          <w14:ligatures w14:val="none"/>
        </w:rPr>
      </w:pPr>
    </w:p>
    <w:p w14:paraId="518B43D3" w14:textId="531E6A4A" w:rsidR="00921C59" w:rsidRPr="00175D8B" w:rsidRDefault="00921C59">
      <w:pPr>
        <w:numPr>
          <w:ilvl w:val="0"/>
          <w:numId w:val="133"/>
        </w:numPr>
        <w:spacing w:after="160" w:line="259" w:lineRule="auto"/>
        <w:contextualSpacing/>
        <w:jc w:val="left"/>
        <w:rPr>
          <w:rFonts w:eastAsia="Aptos" w:cs="Aptos"/>
          <w:b/>
          <w:kern w:val="0"/>
          <w:szCs w:val="22"/>
          <w:lang w:eastAsia="tr-TR"/>
          <w14:ligatures w14:val="none"/>
        </w:rPr>
      </w:pPr>
      <w:r w:rsidRPr="00175D8B">
        <w:rPr>
          <w:rFonts w:eastAsia="Aptos" w:cs="Aptos"/>
          <w:b/>
          <w:kern w:val="0"/>
          <w:szCs w:val="22"/>
          <w:lang w:eastAsia="tr-TR"/>
          <w14:ligatures w14:val="none"/>
        </w:rPr>
        <w:t>Mitigation Measures and Management Controls</w:t>
      </w:r>
    </w:p>
    <w:p w14:paraId="50E0798A" w14:textId="77777777" w:rsidR="0050644F" w:rsidRPr="00175D8B" w:rsidRDefault="0050644F" w:rsidP="002550A6">
      <w:pPr>
        <w:spacing w:after="160" w:line="259" w:lineRule="auto"/>
        <w:ind w:left="360"/>
        <w:contextualSpacing/>
        <w:jc w:val="left"/>
        <w:rPr>
          <w:rFonts w:eastAsia="Aptos" w:cs="Aptos"/>
          <w:b/>
          <w:kern w:val="0"/>
          <w:szCs w:val="22"/>
          <w:lang w:eastAsia="tr-TR"/>
          <w14:ligatures w14:val="none"/>
        </w:rPr>
      </w:pPr>
    </w:p>
    <w:p w14:paraId="66B5CD17" w14:textId="77777777" w:rsidR="00921C59" w:rsidRPr="00175D8B" w:rsidRDefault="00921C59" w:rsidP="00921C59">
      <w:pPr>
        <w:ind w:left="360"/>
        <w:rPr>
          <w:rFonts w:eastAsia="Aptos" w:cs="Aptos"/>
          <w:b/>
          <w:kern w:val="0"/>
          <w:szCs w:val="22"/>
          <w:lang w:eastAsia="tr-TR"/>
          <w14:ligatures w14:val="none"/>
        </w:rPr>
      </w:pPr>
      <w:r w:rsidRPr="00175D8B">
        <w:rPr>
          <w:rFonts w:eastAsia="Aptos" w:cs="Aptos"/>
          <w:b/>
          <w:kern w:val="0"/>
          <w:szCs w:val="22"/>
          <w:lang w:eastAsia="tr-TR"/>
          <w14:ligatures w14:val="none"/>
        </w:rPr>
        <w:t>4.1 General Requirements</w:t>
      </w:r>
    </w:p>
    <w:p w14:paraId="6789EA95" w14:textId="77777777" w:rsidR="00921C59" w:rsidRPr="00175D8B" w:rsidRDefault="00921C59" w:rsidP="00921C59">
      <w:pPr>
        <w:keepNext/>
        <w:spacing w:after="200" w:line="240" w:lineRule="auto"/>
        <w:jc w:val="center"/>
        <w:rPr>
          <w:rFonts w:eastAsia="Aptos" w:cs="Aptos"/>
          <w:b/>
          <w:i/>
          <w:iCs/>
          <w:color w:val="000000"/>
          <w:kern w:val="0"/>
          <w:sz w:val="20"/>
          <w:szCs w:val="18"/>
          <w:lang w:eastAsia="tr-TR"/>
          <w14:ligatures w14:val="none"/>
        </w:rPr>
      </w:pPr>
      <w:r w:rsidRPr="00175D8B">
        <w:rPr>
          <w:rFonts w:eastAsia="Aptos" w:cs="Aptos"/>
          <w:b/>
          <w:i/>
          <w:iCs/>
          <w:color w:val="000000"/>
          <w:kern w:val="0"/>
          <w:sz w:val="20"/>
          <w:szCs w:val="18"/>
          <w:lang w:eastAsia="tr-TR"/>
          <w14:ligatures w14:val="none"/>
        </w:rPr>
        <w:lastRenderedPageBreak/>
        <w:t>General Requirements</w:t>
      </w:r>
    </w:p>
    <w:tbl>
      <w:tblPr>
        <w:tblStyle w:val="32"/>
        <w:tblW w:w="978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560"/>
        <w:gridCol w:w="1735"/>
        <w:gridCol w:w="4785"/>
        <w:gridCol w:w="1702"/>
      </w:tblGrid>
      <w:tr w:rsidR="00921C59" w:rsidRPr="00175D8B" w14:paraId="6CEC7746" w14:textId="77777777" w:rsidTr="00DF417A">
        <w:trPr>
          <w:trHeight w:val="20"/>
          <w:tblHeader/>
          <w:jc w:val="center"/>
        </w:trPr>
        <w:tc>
          <w:tcPr>
            <w:tcW w:w="1560" w:type="dxa"/>
            <w:tcBorders>
              <w:left w:val="single" w:sz="4" w:space="0" w:color="000000"/>
            </w:tcBorders>
            <w:shd w:val="clear" w:color="auto" w:fill="ABB7C1"/>
            <w:vAlign w:val="center"/>
          </w:tcPr>
          <w:p w14:paraId="30F9404E" w14:textId="77777777" w:rsidR="00921C59" w:rsidRPr="00175D8B" w:rsidRDefault="00921C59" w:rsidP="00921C59">
            <w:pPr>
              <w:spacing w:after="0"/>
              <w:jc w:val="left"/>
              <w:rPr>
                <w:rFonts w:eastAsia="Aptos" w:cs="Aptos"/>
                <w:b/>
                <w:sz w:val="18"/>
              </w:rPr>
            </w:pPr>
            <w:r w:rsidRPr="00175D8B">
              <w:rPr>
                <w:rFonts w:eastAsia="Aptos" w:cs="Aptos"/>
                <w:b/>
                <w:sz w:val="18"/>
              </w:rPr>
              <w:t>Project Phase</w:t>
            </w:r>
          </w:p>
        </w:tc>
        <w:tc>
          <w:tcPr>
            <w:tcW w:w="1735" w:type="dxa"/>
            <w:shd w:val="clear" w:color="auto" w:fill="ABB7C1"/>
          </w:tcPr>
          <w:p w14:paraId="6524B292" w14:textId="77777777" w:rsidR="00921C59" w:rsidRPr="00175D8B" w:rsidRDefault="00921C59" w:rsidP="00921C59">
            <w:pPr>
              <w:spacing w:after="0"/>
              <w:rPr>
                <w:rFonts w:eastAsia="Aptos" w:cs="Aptos"/>
                <w:b/>
                <w:sz w:val="18"/>
              </w:rPr>
            </w:pPr>
          </w:p>
          <w:p w14:paraId="4BE37AC2" w14:textId="77777777" w:rsidR="00921C59" w:rsidRPr="00175D8B" w:rsidRDefault="00921C59" w:rsidP="00921C59">
            <w:pPr>
              <w:spacing w:after="0"/>
              <w:rPr>
                <w:rFonts w:eastAsia="Aptos" w:cs="Aptos"/>
                <w:b/>
                <w:sz w:val="18"/>
              </w:rPr>
            </w:pPr>
            <w:r w:rsidRPr="00175D8B">
              <w:rPr>
                <w:rFonts w:eastAsia="Aptos" w:cs="Aptos"/>
                <w:b/>
                <w:sz w:val="18"/>
              </w:rPr>
              <w:t>Potential Risk/Impact</w:t>
            </w:r>
          </w:p>
        </w:tc>
        <w:tc>
          <w:tcPr>
            <w:tcW w:w="4785" w:type="dxa"/>
            <w:shd w:val="clear" w:color="auto" w:fill="ABB7C1"/>
            <w:vAlign w:val="center"/>
          </w:tcPr>
          <w:p w14:paraId="70E937A5" w14:textId="77777777" w:rsidR="00921C59" w:rsidRPr="00175D8B" w:rsidRDefault="00921C59" w:rsidP="00921C59">
            <w:pPr>
              <w:spacing w:after="0"/>
              <w:jc w:val="left"/>
              <w:rPr>
                <w:rFonts w:eastAsia="Aptos" w:cs="Aptos"/>
                <w:b/>
                <w:sz w:val="18"/>
              </w:rPr>
            </w:pPr>
            <w:r w:rsidRPr="00175D8B">
              <w:rPr>
                <w:rFonts w:eastAsia="Aptos" w:cs="Aptos"/>
                <w:b/>
                <w:sz w:val="18"/>
              </w:rPr>
              <w:t>Mitigation Measures</w:t>
            </w:r>
          </w:p>
        </w:tc>
        <w:tc>
          <w:tcPr>
            <w:tcW w:w="1702" w:type="dxa"/>
            <w:tcBorders>
              <w:right w:val="single" w:sz="4" w:space="0" w:color="000000"/>
            </w:tcBorders>
            <w:shd w:val="clear" w:color="auto" w:fill="ABB7C1"/>
            <w:vAlign w:val="center"/>
          </w:tcPr>
          <w:p w14:paraId="3E08A69C" w14:textId="77777777" w:rsidR="00921C59" w:rsidRPr="00175D8B" w:rsidRDefault="00921C59" w:rsidP="00921C59">
            <w:pPr>
              <w:spacing w:after="0"/>
              <w:jc w:val="left"/>
              <w:rPr>
                <w:rFonts w:eastAsia="Aptos" w:cs="Aptos"/>
                <w:b/>
                <w:sz w:val="18"/>
              </w:rPr>
            </w:pPr>
            <w:r w:rsidRPr="00175D8B">
              <w:rPr>
                <w:rFonts w:eastAsia="Aptos" w:cs="Aptos"/>
                <w:b/>
                <w:sz w:val="18"/>
              </w:rPr>
              <w:t xml:space="preserve"> Responsibility </w:t>
            </w:r>
          </w:p>
        </w:tc>
      </w:tr>
      <w:tr w:rsidR="00921C59" w:rsidRPr="00175D8B" w14:paraId="745C0183" w14:textId="77777777" w:rsidTr="00DF417A">
        <w:trPr>
          <w:trHeight w:val="20"/>
          <w:jc w:val="center"/>
        </w:trPr>
        <w:tc>
          <w:tcPr>
            <w:tcW w:w="1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46A8B902" w14:textId="77777777" w:rsidR="00921C59" w:rsidRPr="00175D8B" w:rsidRDefault="00921C59" w:rsidP="00921C59">
            <w:pPr>
              <w:spacing w:after="0"/>
              <w:jc w:val="left"/>
              <w:rPr>
                <w:rFonts w:eastAsia="Aptos" w:cs="Aptos"/>
                <w:sz w:val="18"/>
              </w:rPr>
            </w:pPr>
            <w:r w:rsidRPr="00175D8B">
              <w:rPr>
                <w:rFonts w:eastAsia="Aptos" w:cs="Aptos"/>
                <w:sz w:val="18"/>
              </w:rPr>
              <w:t xml:space="preserve">All Stages of the Project </w:t>
            </w:r>
          </w:p>
          <w:p w14:paraId="51CE4FE0" w14:textId="77777777" w:rsidR="00921C59" w:rsidRPr="00175D8B" w:rsidRDefault="00921C59" w:rsidP="00921C59">
            <w:pPr>
              <w:spacing w:after="0"/>
              <w:jc w:val="left"/>
              <w:rPr>
                <w:rFonts w:eastAsia="Aptos" w:cs="Aptos"/>
                <w:sz w:val="18"/>
              </w:rPr>
            </w:pPr>
            <w:r w:rsidRPr="00175D8B">
              <w:rPr>
                <w:rFonts w:eastAsia="Aptos" w:cs="Aptos"/>
                <w:sz w:val="18"/>
              </w:rPr>
              <w:t>(Pre-Demolition, Demolition, and Construction Phase)</w:t>
            </w:r>
          </w:p>
        </w:tc>
        <w:tc>
          <w:tcPr>
            <w:tcW w:w="1735"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72DB2F85" w14:textId="77777777" w:rsidR="00921C59" w:rsidRPr="00175D8B" w:rsidRDefault="00921C59" w:rsidP="00921C59">
            <w:pPr>
              <w:spacing w:after="0"/>
              <w:jc w:val="left"/>
              <w:rPr>
                <w:rFonts w:eastAsia="Aptos" w:cs="Aptos"/>
                <w:sz w:val="18"/>
              </w:rPr>
            </w:pPr>
            <w:r w:rsidRPr="00175D8B">
              <w:rPr>
                <w:rFonts w:eastAsia="Aptos" w:cs="Aptos"/>
                <w:sz w:val="18"/>
              </w:rPr>
              <w:t>Management of traffic and community safety impacts of the project</w:t>
            </w:r>
          </w:p>
        </w:tc>
        <w:tc>
          <w:tcPr>
            <w:tcW w:w="4785"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5DBAF7C7" w14:textId="77777777" w:rsidR="00921C59" w:rsidRPr="00175D8B" w:rsidRDefault="00921C59">
            <w:pPr>
              <w:numPr>
                <w:ilvl w:val="0"/>
                <w:numId w:val="114"/>
              </w:numPr>
              <w:pBdr>
                <w:top w:val="nil"/>
                <w:left w:val="nil"/>
                <w:bottom w:val="nil"/>
                <w:right w:val="nil"/>
                <w:between w:val="nil"/>
              </w:pBdr>
              <w:spacing w:after="0" w:line="240" w:lineRule="auto"/>
              <w:jc w:val="left"/>
              <w:rPr>
                <w:color w:val="000000"/>
                <w:sz w:val="18"/>
              </w:rPr>
            </w:pPr>
            <w:r w:rsidRPr="00175D8B">
              <w:rPr>
                <w:rFonts w:eastAsia="Aptos" w:cs="Aptos"/>
                <w:color w:val="000000"/>
                <w:sz w:val="18"/>
              </w:rPr>
              <w:t>Within the scope of the project, determining the roads and streets that can be used by heavy vehicles and those that are not suitable for use and creating a route map accordingly.</w:t>
            </w:r>
          </w:p>
          <w:p w14:paraId="68C06DE0" w14:textId="77777777" w:rsidR="00921C59" w:rsidRPr="00175D8B" w:rsidRDefault="00921C59">
            <w:pPr>
              <w:numPr>
                <w:ilvl w:val="0"/>
                <w:numId w:val="114"/>
              </w:numPr>
              <w:pBdr>
                <w:top w:val="nil"/>
                <w:left w:val="nil"/>
                <w:bottom w:val="nil"/>
                <w:right w:val="nil"/>
                <w:between w:val="nil"/>
              </w:pBdr>
              <w:spacing w:after="0" w:line="240" w:lineRule="auto"/>
              <w:jc w:val="left"/>
              <w:rPr>
                <w:color w:val="000000"/>
                <w:sz w:val="18"/>
              </w:rPr>
            </w:pPr>
            <w:r w:rsidRPr="00175D8B">
              <w:rPr>
                <w:rFonts w:eastAsia="Aptos" w:cs="Aptos"/>
                <w:color w:val="000000"/>
                <w:sz w:val="18"/>
              </w:rPr>
              <w:t>Preventing the use of roads that would endanger public health and safety by taking the opinions of local authorities such as headman and municipality during the traffic risk analysis process</w:t>
            </w:r>
          </w:p>
          <w:p w14:paraId="39440963" w14:textId="77777777" w:rsidR="00921C59" w:rsidRPr="00175D8B" w:rsidRDefault="00921C59">
            <w:pPr>
              <w:numPr>
                <w:ilvl w:val="0"/>
                <w:numId w:val="114"/>
              </w:numPr>
              <w:pBdr>
                <w:top w:val="nil"/>
                <w:left w:val="nil"/>
                <w:bottom w:val="nil"/>
                <w:right w:val="nil"/>
                <w:between w:val="nil"/>
              </w:pBdr>
              <w:spacing w:after="160" w:line="240" w:lineRule="auto"/>
              <w:jc w:val="left"/>
              <w:rPr>
                <w:color w:val="000000"/>
                <w:sz w:val="18"/>
              </w:rPr>
            </w:pPr>
            <w:r w:rsidRPr="00175D8B">
              <w:rPr>
                <w:rFonts w:eastAsia="Aptos" w:cs="Aptos"/>
                <w:color w:val="000000"/>
                <w:sz w:val="18"/>
              </w:rPr>
              <w:t>Sharing route information, including the roads that will and cannot be used within the scope of the project, with drivers and relevant subcontractors and providing the necessary information/awareness.</w:t>
            </w:r>
          </w:p>
        </w:tc>
        <w:tc>
          <w:tcPr>
            <w:tcW w:w="1702"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0228DABC" w14:textId="77777777" w:rsidR="00921C59" w:rsidRPr="00175D8B" w:rsidRDefault="00921C59" w:rsidP="00921C59">
            <w:pPr>
              <w:spacing w:after="0"/>
              <w:ind w:left="-290" w:firstLine="290"/>
              <w:jc w:val="left"/>
              <w:rPr>
                <w:rFonts w:eastAsia="Aptos" w:cs="Aptos"/>
                <w:sz w:val="18"/>
              </w:rPr>
            </w:pPr>
            <w:r w:rsidRPr="00175D8B">
              <w:rPr>
                <w:rFonts w:eastAsia="Aptos" w:cs="Aptos"/>
                <w:sz w:val="18"/>
              </w:rPr>
              <w:t xml:space="preserve"> Contractor</w:t>
            </w:r>
          </w:p>
        </w:tc>
      </w:tr>
    </w:tbl>
    <w:p w14:paraId="52480410" w14:textId="77777777" w:rsidR="00921C59" w:rsidRPr="00175D8B" w:rsidRDefault="00921C59" w:rsidP="00921C59">
      <w:pPr>
        <w:spacing w:after="160" w:line="259" w:lineRule="auto"/>
        <w:jc w:val="left"/>
        <w:rPr>
          <w:rFonts w:eastAsia="Aptos" w:cs="Aptos"/>
          <w:b/>
          <w:bCs/>
          <w:kern w:val="0"/>
          <w:szCs w:val="22"/>
          <w:lang w:eastAsia="tr-TR"/>
          <w14:ligatures w14:val="none"/>
        </w:rPr>
      </w:pPr>
    </w:p>
    <w:p w14:paraId="2FD0C0C4" w14:textId="77777777" w:rsidR="00921C59" w:rsidRPr="00175D8B" w:rsidRDefault="00921C59" w:rsidP="00921C59">
      <w:pPr>
        <w:spacing w:after="160" w:line="259" w:lineRule="auto"/>
        <w:ind w:left="720"/>
        <w:jc w:val="left"/>
        <w:rPr>
          <w:rFonts w:eastAsia="Aptos" w:cs="Aptos"/>
          <w:b/>
          <w:bCs/>
          <w:kern w:val="0"/>
          <w:szCs w:val="22"/>
          <w:lang w:eastAsia="tr-TR"/>
          <w14:ligatures w14:val="none"/>
        </w:rPr>
      </w:pPr>
      <w:r w:rsidRPr="00175D8B">
        <w:rPr>
          <w:rFonts w:eastAsia="Aptos" w:cs="Aptos"/>
          <w:b/>
          <w:bCs/>
          <w:kern w:val="0"/>
          <w:szCs w:val="22"/>
          <w:lang w:eastAsia="tr-TR"/>
          <w14:ligatures w14:val="none"/>
        </w:rPr>
        <w:t>4.2 Province-Specific Requirements</w:t>
      </w:r>
    </w:p>
    <w:p w14:paraId="767FE8B4" w14:textId="77777777" w:rsidR="00921C59" w:rsidRPr="00175D8B" w:rsidRDefault="00921C59" w:rsidP="00921C59">
      <w:pPr>
        <w:keepNext/>
        <w:spacing w:after="200" w:line="240" w:lineRule="auto"/>
        <w:jc w:val="center"/>
        <w:rPr>
          <w:rFonts w:eastAsia="Aptos" w:cs="Aptos"/>
          <w:b/>
          <w:i/>
          <w:iCs/>
          <w:color w:val="000000"/>
          <w:kern w:val="0"/>
          <w:sz w:val="20"/>
          <w:szCs w:val="18"/>
          <w:lang w:eastAsia="tr-TR"/>
          <w14:ligatures w14:val="none"/>
        </w:rPr>
      </w:pPr>
      <w:r w:rsidRPr="00175D8B">
        <w:rPr>
          <w:rFonts w:eastAsia="Aptos" w:cs="Aptos"/>
          <w:b/>
          <w:i/>
          <w:iCs/>
          <w:color w:val="000000"/>
          <w:kern w:val="0"/>
          <w:sz w:val="20"/>
          <w:szCs w:val="18"/>
          <w:lang w:eastAsia="tr-TR"/>
          <w14:ligatures w14:val="none"/>
        </w:rPr>
        <w:t>Province-Specific Requirements</w:t>
      </w:r>
    </w:p>
    <w:tbl>
      <w:tblPr>
        <w:tblStyle w:val="31"/>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790"/>
        <w:gridCol w:w="4730"/>
        <w:gridCol w:w="1700"/>
      </w:tblGrid>
      <w:tr w:rsidR="00921C59" w:rsidRPr="00175D8B" w14:paraId="6C437C6D" w14:textId="77777777" w:rsidTr="002550A6">
        <w:trPr>
          <w:trHeight w:val="20"/>
          <w:tblHeader/>
          <w:jc w:val="center"/>
        </w:trPr>
        <w:tc>
          <w:tcPr>
            <w:tcW w:w="1560" w:type="dxa"/>
            <w:shd w:val="clear" w:color="auto" w:fill="ABB7C1"/>
            <w:vAlign w:val="center"/>
          </w:tcPr>
          <w:p w14:paraId="240F48DD" w14:textId="77777777" w:rsidR="00921C59" w:rsidRPr="00175D8B" w:rsidRDefault="00921C59" w:rsidP="00921C59">
            <w:pPr>
              <w:spacing w:after="0"/>
              <w:jc w:val="left"/>
              <w:rPr>
                <w:rFonts w:eastAsia="Aptos" w:cs="Aptos"/>
                <w:b/>
                <w:sz w:val="18"/>
                <w:szCs w:val="18"/>
              </w:rPr>
            </w:pPr>
            <w:r w:rsidRPr="00175D8B">
              <w:rPr>
                <w:rFonts w:eastAsia="Aptos" w:cs="Aptos"/>
                <w:b/>
                <w:sz w:val="18"/>
                <w:szCs w:val="18"/>
              </w:rPr>
              <w:t>Project Phase</w:t>
            </w:r>
          </w:p>
        </w:tc>
        <w:tc>
          <w:tcPr>
            <w:tcW w:w="1790" w:type="dxa"/>
            <w:shd w:val="clear" w:color="auto" w:fill="ABB7C1"/>
            <w:vAlign w:val="center"/>
          </w:tcPr>
          <w:p w14:paraId="796B0958" w14:textId="77777777" w:rsidR="00921C59" w:rsidRPr="00175D8B" w:rsidRDefault="00921C59" w:rsidP="00921C59">
            <w:pPr>
              <w:spacing w:after="0"/>
              <w:jc w:val="left"/>
              <w:rPr>
                <w:rFonts w:eastAsia="Aptos" w:cs="Aptos"/>
                <w:b/>
                <w:sz w:val="18"/>
                <w:szCs w:val="18"/>
              </w:rPr>
            </w:pPr>
          </w:p>
          <w:p w14:paraId="1A52649D" w14:textId="77777777" w:rsidR="00921C59" w:rsidRPr="00175D8B" w:rsidRDefault="00921C59" w:rsidP="00921C59">
            <w:pPr>
              <w:spacing w:after="0"/>
              <w:jc w:val="left"/>
              <w:rPr>
                <w:rFonts w:eastAsia="Aptos" w:cs="Aptos"/>
                <w:b/>
                <w:sz w:val="18"/>
                <w:szCs w:val="18"/>
              </w:rPr>
            </w:pPr>
            <w:r w:rsidRPr="00175D8B">
              <w:rPr>
                <w:rFonts w:eastAsia="Aptos" w:cs="Aptos"/>
                <w:b/>
                <w:sz w:val="18"/>
                <w:szCs w:val="18"/>
              </w:rPr>
              <w:t>Potential Risk/Impact</w:t>
            </w:r>
          </w:p>
        </w:tc>
        <w:tc>
          <w:tcPr>
            <w:tcW w:w="4730" w:type="dxa"/>
            <w:shd w:val="clear" w:color="auto" w:fill="ABB7C1"/>
            <w:vAlign w:val="center"/>
          </w:tcPr>
          <w:p w14:paraId="65EAA763" w14:textId="77777777" w:rsidR="00921C59" w:rsidRPr="00175D8B" w:rsidRDefault="00921C59" w:rsidP="00921C59">
            <w:pPr>
              <w:spacing w:after="0"/>
              <w:jc w:val="left"/>
              <w:rPr>
                <w:rFonts w:eastAsia="Aptos" w:cs="Aptos"/>
                <w:b/>
                <w:sz w:val="18"/>
                <w:szCs w:val="18"/>
              </w:rPr>
            </w:pPr>
            <w:r w:rsidRPr="00175D8B">
              <w:rPr>
                <w:rFonts w:eastAsia="Aptos" w:cs="Aptos"/>
                <w:b/>
                <w:sz w:val="18"/>
                <w:szCs w:val="18"/>
              </w:rPr>
              <w:t>Mitigation Measures</w:t>
            </w:r>
          </w:p>
        </w:tc>
        <w:tc>
          <w:tcPr>
            <w:tcW w:w="1700" w:type="dxa"/>
            <w:shd w:val="clear" w:color="auto" w:fill="ABB7C1"/>
            <w:vAlign w:val="center"/>
          </w:tcPr>
          <w:p w14:paraId="76245E53" w14:textId="77777777" w:rsidR="00921C59" w:rsidRPr="00175D8B" w:rsidRDefault="00921C59" w:rsidP="00921C59">
            <w:pPr>
              <w:spacing w:after="0"/>
              <w:jc w:val="left"/>
              <w:rPr>
                <w:rFonts w:eastAsia="Aptos" w:cs="Aptos"/>
                <w:b/>
                <w:sz w:val="18"/>
                <w:szCs w:val="18"/>
              </w:rPr>
            </w:pPr>
            <w:r w:rsidRPr="00175D8B">
              <w:rPr>
                <w:rFonts w:eastAsia="Aptos" w:cs="Aptos"/>
                <w:b/>
                <w:sz w:val="18"/>
                <w:szCs w:val="18"/>
              </w:rPr>
              <w:t>Responsibility</w:t>
            </w:r>
          </w:p>
        </w:tc>
      </w:tr>
      <w:tr w:rsidR="00921C59" w:rsidRPr="00175D8B" w14:paraId="2E4DBAE9" w14:textId="77777777" w:rsidTr="002550A6">
        <w:trPr>
          <w:trHeight w:val="610"/>
          <w:jc w:val="center"/>
        </w:trPr>
        <w:tc>
          <w:tcPr>
            <w:tcW w:w="1560" w:type="dxa"/>
            <w:shd w:val="clear" w:color="auto" w:fill="F2F2F2"/>
            <w:vAlign w:val="center"/>
          </w:tcPr>
          <w:p w14:paraId="74095F8D" w14:textId="77777777" w:rsidR="00921C59" w:rsidRPr="00175D8B" w:rsidRDefault="00921C59" w:rsidP="00921C59">
            <w:pPr>
              <w:spacing w:after="0"/>
              <w:jc w:val="left"/>
              <w:rPr>
                <w:rFonts w:eastAsia="Aptos" w:cs="Aptos"/>
                <w:sz w:val="18"/>
                <w:szCs w:val="18"/>
              </w:rPr>
            </w:pPr>
            <w:r w:rsidRPr="00175D8B">
              <w:rPr>
                <w:rFonts w:eastAsia="Aptos" w:cs="Aptos"/>
                <w:sz w:val="18"/>
                <w:szCs w:val="18"/>
              </w:rPr>
              <w:t>All Stages of the Project</w:t>
            </w:r>
          </w:p>
          <w:p w14:paraId="26A38B1A" w14:textId="77777777" w:rsidR="00921C59" w:rsidRPr="00175D8B" w:rsidRDefault="00921C59" w:rsidP="00921C59">
            <w:pPr>
              <w:spacing w:after="0"/>
              <w:jc w:val="left"/>
              <w:rPr>
                <w:rFonts w:eastAsia="Aptos" w:cs="Aptos"/>
                <w:sz w:val="18"/>
                <w:szCs w:val="18"/>
              </w:rPr>
            </w:pPr>
            <w:r w:rsidRPr="00175D8B">
              <w:rPr>
                <w:rFonts w:eastAsia="Aptos" w:cs="Aptos"/>
                <w:sz w:val="18"/>
                <w:szCs w:val="18"/>
              </w:rPr>
              <w:t>(Pre-Demolition, Demolition, and Construction Phase)</w:t>
            </w:r>
          </w:p>
        </w:tc>
        <w:tc>
          <w:tcPr>
            <w:tcW w:w="1790" w:type="dxa"/>
            <w:shd w:val="clear" w:color="auto" w:fill="F2F2F2"/>
            <w:vAlign w:val="center"/>
          </w:tcPr>
          <w:p w14:paraId="6B1C270E" w14:textId="77777777" w:rsidR="00921C59" w:rsidRPr="00175D8B" w:rsidRDefault="00921C59" w:rsidP="00921C59">
            <w:pPr>
              <w:spacing w:after="0"/>
              <w:jc w:val="left"/>
              <w:rPr>
                <w:rFonts w:eastAsia="Aptos" w:cs="Aptos"/>
                <w:sz w:val="18"/>
                <w:szCs w:val="18"/>
              </w:rPr>
            </w:pPr>
          </w:p>
          <w:p w14:paraId="32133049" w14:textId="77777777" w:rsidR="00921C59" w:rsidRPr="00175D8B" w:rsidRDefault="00921C59" w:rsidP="00921C59">
            <w:pPr>
              <w:spacing w:after="0"/>
              <w:jc w:val="left"/>
              <w:rPr>
                <w:rFonts w:eastAsia="Aptos" w:cs="Aptos"/>
                <w:sz w:val="18"/>
                <w:szCs w:val="18"/>
              </w:rPr>
            </w:pPr>
            <w:r w:rsidRPr="00175D8B">
              <w:rPr>
                <w:rFonts w:eastAsia="Aptos" w:cs="Aptos"/>
                <w:sz w:val="18"/>
                <w:szCs w:val="18"/>
              </w:rPr>
              <w:t>Management of traffic and community safety impacts of the project</w:t>
            </w:r>
          </w:p>
        </w:tc>
        <w:tc>
          <w:tcPr>
            <w:tcW w:w="4730" w:type="dxa"/>
            <w:shd w:val="clear" w:color="auto" w:fill="F2F2F2"/>
            <w:vAlign w:val="center"/>
          </w:tcPr>
          <w:p w14:paraId="25301F16" w14:textId="77777777" w:rsidR="00921C59" w:rsidRPr="00175D8B" w:rsidRDefault="00921C59">
            <w:pPr>
              <w:numPr>
                <w:ilvl w:val="0"/>
                <w:numId w:val="114"/>
              </w:numPr>
              <w:pBdr>
                <w:top w:val="nil"/>
                <w:left w:val="nil"/>
                <w:bottom w:val="nil"/>
                <w:right w:val="nil"/>
                <w:between w:val="nil"/>
              </w:pBdr>
              <w:spacing w:after="160" w:line="240" w:lineRule="auto"/>
              <w:jc w:val="left"/>
              <w:rPr>
                <w:color w:val="000000"/>
                <w:sz w:val="18"/>
                <w:szCs w:val="18"/>
              </w:rPr>
            </w:pPr>
            <w:r w:rsidRPr="00175D8B">
              <w:rPr>
                <w:rFonts w:eastAsia="Aptos" w:cs="Aptos"/>
                <w:color w:val="000000"/>
                <w:sz w:val="18"/>
                <w:szCs w:val="18"/>
              </w:rPr>
              <w:t>Acting in cooperation with Sakarya Metropolitan Municipality Transportation Coordination Center Transportation Coordination Center UKOME on issues such as announcing the time intervals when heavy tonnage vehicles transport materials and equipment to/from the site, selecting alternative routes, etc.</w:t>
            </w:r>
          </w:p>
        </w:tc>
        <w:tc>
          <w:tcPr>
            <w:tcW w:w="1700" w:type="dxa"/>
            <w:shd w:val="clear" w:color="auto" w:fill="F2F2F2"/>
            <w:vAlign w:val="center"/>
          </w:tcPr>
          <w:p w14:paraId="42255C2B" w14:textId="77777777" w:rsidR="00921C59" w:rsidRPr="00175D8B" w:rsidRDefault="00921C59" w:rsidP="00921C59">
            <w:pPr>
              <w:spacing w:after="0"/>
              <w:rPr>
                <w:rFonts w:eastAsia="Aptos" w:cs="Aptos"/>
                <w:sz w:val="18"/>
                <w:szCs w:val="18"/>
              </w:rPr>
            </w:pPr>
            <w:r w:rsidRPr="00175D8B">
              <w:rPr>
                <w:rFonts w:eastAsia="Aptos" w:cs="Aptos"/>
                <w:sz w:val="18"/>
                <w:szCs w:val="18"/>
              </w:rPr>
              <w:t>Contractor</w:t>
            </w:r>
          </w:p>
        </w:tc>
      </w:tr>
    </w:tbl>
    <w:p w14:paraId="25978E24" w14:textId="77777777" w:rsidR="00B05B27" w:rsidRPr="00175D8B" w:rsidRDefault="00B05B27" w:rsidP="00921C59">
      <w:pPr>
        <w:rPr>
          <w:rFonts w:eastAsia="Aptos" w:cs="Aptos"/>
          <w:kern w:val="0"/>
          <w:sz w:val="20"/>
          <w:szCs w:val="20"/>
          <w:lang w:eastAsia="tr-TR"/>
          <w14:ligatures w14:val="none"/>
        </w:rPr>
      </w:pPr>
    </w:p>
    <w:p w14:paraId="1D29DFB0" w14:textId="77777777" w:rsidR="0050644F" w:rsidRPr="00175D8B" w:rsidRDefault="0050644F" w:rsidP="00921C59">
      <w:pPr>
        <w:rPr>
          <w:rFonts w:eastAsia="Aptos" w:cs="Aptos"/>
          <w:kern w:val="0"/>
          <w:sz w:val="20"/>
          <w:szCs w:val="20"/>
          <w:lang w:eastAsia="tr-TR"/>
          <w14:ligatures w14:val="none"/>
        </w:rPr>
      </w:pPr>
    </w:p>
    <w:p w14:paraId="10FCBD7F" w14:textId="1A6B64BF" w:rsidR="00921C59" w:rsidRPr="00175D8B" w:rsidRDefault="00921C59" w:rsidP="002550A6">
      <w:pPr>
        <w:rPr>
          <w:rFonts w:eastAsia="Aptos" w:cs="Aptos"/>
          <w:b/>
          <w:kern w:val="0"/>
          <w:szCs w:val="22"/>
          <w:lang w:eastAsia="tr-TR"/>
          <w14:ligatures w14:val="none"/>
        </w:rPr>
      </w:pPr>
      <w:r w:rsidRPr="00175D8B">
        <w:rPr>
          <w:rFonts w:eastAsia="Aptos" w:cs="Aptos"/>
          <w:b/>
          <w:kern w:val="0"/>
          <w:szCs w:val="22"/>
          <w:lang w:eastAsia="tr-TR"/>
          <w14:ligatures w14:val="none"/>
        </w:rPr>
        <w:t>4.3 Sub-project Related Possible Requirements based on Types</w:t>
      </w:r>
    </w:p>
    <w:p w14:paraId="4AFE6A4F" w14:textId="77777777" w:rsidR="00921C59" w:rsidRPr="00175D8B" w:rsidRDefault="00921C59" w:rsidP="00921C59">
      <w:pPr>
        <w:keepNext/>
        <w:spacing w:after="200" w:line="240" w:lineRule="auto"/>
        <w:jc w:val="center"/>
        <w:rPr>
          <w:rFonts w:eastAsia="Aptos" w:cs="Aptos"/>
          <w:b/>
          <w:i/>
          <w:iCs/>
          <w:color w:val="000000"/>
          <w:kern w:val="0"/>
          <w:sz w:val="20"/>
          <w:szCs w:val="18"/>
          <w:lang w:eastAsia="tr-TR"/>
          <w14:ligatures w14:val="none"/>
        </w:rPr>
      </w:pPr>
      <w:r w:rsidRPr="00175D8B">
        <w:rPr>
          <w:rFonts w:eastAsia="Aptos" w:cs="Aptos"/>
          <w:b/>
          <w:i/>
          <w:iCs/>
          <w:color w:val="000000"/>
          <w:kern w:val="0"/>
          <w:sz w:val="20"/>
          <w:szCs w:val="18"/>
          <w:lang w:eastAsia="tr-TR"/>
          <w14:ligatures w14:val="none"/>
        </w:rPr>
        <w:t>Sub-project Related Possible Requirements Based on Types</w:t>
      </w:r>
    </w:p>
    <w:tbl>
      <w:tblPr>
        <w:tblStyle w:val="30"/>
        <w:tblW w:w="978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560"/>
        <w:gridCol w:w="1701"/>
        <w:gridCol w:w="4819"/>
        <w:gridCol w:w="1702"/>
      </w:tblGrid>
      <w:tr w:rsidR="00921C59" w:rsidRPr="00175D8B" w14:paraId="3E023771" w14:textId="77777777" w:rsidTr="002550A6">
        <w:trPr>
          <w:trHeight w:val="20"/>
          <w:tblHeader/>
          <w:jc w:val="center"/>
        </w:trPr>
        <w:tc>
          <w:tcPr>
            <w:tcW w:w="1560" w:type="dxa"/>
            <w:tcBorders>
              <w:left w:val="single" w:sz="4" w:space="0" w:color="000000"/>
            </w:tcBorders>
            <w:shd w:val="clear" w:color="auto" w:fill="ABB7C1"/>
            <w:vAlign w:val="center"/>
          </w:tcPr>
          <w:p w14:paraId="1D4122E1" w14:textId="77777777" w:rsidR="00921C59" w:rsidRPr="00175D8B" w:rsidRDefault="00921C59" w:rsidP="00921C59">
            <w:pPr>
              <w:spacing w:after="0"/>
              <w:jc w:val="left"/>
              <w:rPr>
                <w:rFonts w:eastAsia="Aptos" w:cs="Aptos"/>
                <w:b/>
                <w:sz w:val="18"/>
                <w:szCs w:val="18"/>
              </w:rPr>
            </w:pPr>
            <w:r w:rsidRPr="00175D8B">
              <w:rPr>
                <w:rFonts w:eastAsia="Aptos" w:cs="Aptos"/>
                <w:b/>
                <w:sz w:val="18"/>
                <w:szCs w:val="18"/>
              </w:rPr>
              <w:t xml:space="preserve"> </w:t>
            </w:r>
          </w:p>
          <w:p w14:paraId="66E3E4D5" w14:textId="77777777" w:rsidR="00921C59" w:rsidRPr="00175D8B" w:rsidRDefault="00921C59" w:rsidP="00921C59">
            <w:pPr>
              <w:spacing w:after="0"/>
              <w:jc w:val="left"/>
              <w:rPr>
                <w:rFonts w:eastAsia="Aptos" w:cs="Aptos"/>
                <w:b/>
                <w:sz w:val="18"/>
                <w:szCs w:val="18"/>
              </w:rPr>
            </w:pPr>
            <w:r w:rsidRPr="00175D8B">
              <w:rPr>
                <w:rFonts w:eastAsia="Aptos" w:cs="Aptos"/>
                <w:b/>
                <w:sz w:val="18"/>
                <w:szCs w:val="18"/>
              </w:rPr>
              <w:t>Project Phase</w:t>
            </w:r>
          </w:p>
        </w:tc>
        <w:tc>
          <w:tcPr>
            <w:tcW w:w="1701" w:type="dxa"/>
            <w:shd w:val="clear" w:color="auto" w:fill="ABB7C1"/>
            <w:vAlign w:val="center"/>
          </w:tcPr>
          <w:p w14:paraId="4FCEAA13" w14:textId="77777777" w:rsidR="00921C59" w:rsidRPr="00175D8B" w:rsidRDefault="00921C59" w:rsidP="00921C59">
            <w:pPr>
              <w:spacing w:after="0"/>
              <w:jc w:val="left"/>
              <w:rPr>
                <w:rFonts w:eastAsia="Aptos" w:cs="Aptos"/>
                <w:b/>
                <w:sz w:val="18"/>
                <w:szCs w:val="18"/>
              </w:rPr>
            </w:pPr>
          </w:p>
          <w:p w14:paraId="465F8DEB" w14:textId="77777777" w:rsidR="00921C59" w:rsidRPr="00175D8B" w:rsidRDefault="00921C59" w:rsidP="00921C59">
            <w:pPr>
              <w:spacing w:after="0"/>
              <w:jc w:val="left"/>
              <w:rPr>
                <w:rFonts w:eastAsia="Aptos" w:cs="Aptos"/>
                <w:b/>
                <w:sz w:val="18"/>
                <w:szCs w:val="18"/>
              </w:rPr>
            </w:pPr>
            <w:r w:rsidRPr="00175D8B">
              <w:rPr>
                <w:rFonts w:eastAsia="Aptos" w:cs="Aptos"/>
                <w:b/>
                <w:sz w:val="18"/>
                <w:szCs w:val="18"/>
              </w:rPr>
              <w:t>Potential Risk/Impact</w:t>
            </w:r>
          </w:p>
        </w:tc>
        <w:tc>
          <w:tcPr>
            <w:tcW w:w="4819" w:type="dxa"/>
            <w:shd w:val="clear" w:color="auto" w:fill="ABB7C1"/>
            <w:vAlign w:val="center"/>
          </w:tcPr>
          <w:p w14:paraId="5AD4433E" w14:textId="77777777" w:rsidR="00921C59" w:rsidRPr="00175D8B" w:rsidRDefault="00921C59" w:rsidP="00921C59">
            <w:pPr>
              <w:spacing w:after="0"/>
              <w:jc w:val="left"/>
              <w:rPr>
                <w:rFonts w:eastAsia="Aptos" w:cs="Aptos"/>
                <w:b/>
                <w:sz w:val="18"/>
                <w:szCs w:val="18"/>
              </w:rPr>
            </w:pPr>
            <w:r w:rsidRPr="00175D8B">
              <w:rPr>
                <w:rFonts w:eastAsia="Aptos" w:cs="Aptos"/>
                <w:b/>
                <w:sz w:val="18"/>
                <w:szCs w:val="18"/>
              </w:rPr>
              <w:t xml:space="preserve"> Mitigation Measures</w:t>
            </w:r>
          </w:p>
        </w:tc>
        <w:tc>
          <w:tcPr>
            <w:tcW w:w="1702" w:type="dxa"/>
            <w:tcBorders>
              <w:right w:val="single" w:sz="4" w:space="0" w:color="000000"/>
            </w:tcBorders>
            <w:shd w:val="clear" w:color="auto" w:fill="ABB7C1"/>
            <w:vAlign w:val="center"/>
          </w:tcPr>
          <w:p w14:paraId="1C247752" w14:textId="77777777" w:rsidR="00921C59" w:rsidRPr="00175D8B" w:rsidRDefault="00921C59" w:rsidP="00921C59">
            <w:pPr>
              <w:spacing w:after="0"/>
              <w:jc w:val="left"/>
              <w:rPr>
                <w:rFonts w:eastAsia="Aptos" w:cs="Aptos"/>
                <w:b/>
                <w:sz w:val="18"/>
                <w:szCs w:val="18"/>
              </w:rPr>
            </w:pPr>
            <w:r w:rsidRPr="00175D8B">
              <w:rPr>
                <w:rFonts w:eastAsia="Aptos" w:cs="Aptos"/>
                <w:b/>
                <w:sz w:val="18"/>
                <w:szCs w:val="18"/>
              </w:rPr>
              <w:t>Responsibility</w:t>
            </w:r>
          </w:p>
        </w:tc>
      </w:tr>
      <w:tr w:rsidR="00921C59" w:rsidRPr="00175D8B" w14:paraId="7F507A22" w14:textId="77777777" w:rsidTr="002550A6">
        <w:trPr>
          <w:trHeight w:val="1063"/>
          <w:jc w:val="center"/>
        </w:trPr>
        <w:tc>
          <w:tcPr>
            <w:tcW w:w="1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7615BBCB" w14:textId="77777777" w:rsidR="00921C59" w:rsidRPr="00175D8B" w:rsidRDefault="00921C59" w:rsidP="00921C59">
            <w:pPr>
              <w:spacing w:after="0"/>
              <w:jc w:val="left"/>
              <w:rPr>
                <w:rFonts w:eastAsia="Aptos" w:cs="Aptos"/>
                <w:sz w:val="18"/>
                <w:szCs w:val="18"/>
              </w:rPr>
            </w:pPr>
            <w:r w:rsidRPr="00175D8B">
              <w:rPr>
                <w:rFonts w:eastAsia="Aptos" w:cs="Aptos"/>
                <w:sz w:val="18"/>
                <w:szCs w:val="18"/>
              </w:rPr>
              <w:t>All Stages of the Project</w:t>
            </w:r>
          </w:p>
          <w:p w14:paraId="3AD26178" w14:textId="77777777" w:rsidR="00921C59" w:rsidRPr="00175D8B" w:rsidRDefault="00921C59" w:rsidP="00921C59">
            <w:pPr>
              <w:spacing w:after="0"/>
              <w:jc w:val="left"/>
              <w:rPr>
                <w:rFonts w:eastAsia="Aptos" w:cs="Aptos"/>
                <w:sz w:val="18"/>
                <w:szCs w:val="18"/>
              </w:rPr>
            </w:pPr>
            <w:r w:rsidRPr="00175D8B">
              <w:rPr>
                <w:rFonts w:eastAsia="Aptos" w:cs="Aptos"/>
                <w:sz w:val="18"/>
                <w:szCs w:val="18"/>
              </w:rPr>
              <w:t xml:space="preserve">(Pre-Demolition, Demolition, and </w:t>
            </w:r>
            <w:r w:rsidRPr="00175D8B">
              <w:rPr>
                <w:rFonts w:eastAsia="Aptos" w:cs="Aptos"/>
                <w:sz w:val="18"/>
                <w:szCs w:val="18"/>
              </w:rPr>
              <w:lastRenderedPageBreak/>
              <w:t>Construction Phase)</w:t>
            </w:r>
          </w:p>
        </w:tc>
        <w:tc>
          <w:tcPr>
            <w:tcW w:w="1701"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33F202D9" w14:textId="77777777" w:rsidR="00921C59" w:rsidRPr="00175D8B" w:rsidRDefault="00921C59" w:rsidP="00921C59">
            <w:pPr>
              <w:spacing w:after="0"/>
              <w:jc w:val="left"/>
              <w:rPr>
                <w:rFonts w:eastAsia="Aptos" w:cs="Aptos"/>
                <w:sz w:val="18"/>
                <w:szCs w:val="18"/>
              </w:rPr>
            </w:pPr>
            <w:r w:rsidRPr="00175D8B">
              <w:rPr>
                <w:rFonts w:eastAsia="Aptos" w:cs="Aptos"/>
                <w:sz w:val="18"/>
                <w:szCs w:val="18"/>
              </w:rPr>
              <w:lastRenderedPageBreak/>
              <w:t xml:space="preserve">Management of traffic and community safety </w:t>
            </w:r>
            <w:r w:rsidRPr="00175D8B">
              <w:rPr>
                <w:rFonts w:eastAsia="Aptos" w:cs="Aptos"/>
                <w:sz w:val="18"/>
                <w:szCs w:val="18"/>
              </w:rPr>
              <w:lastRenderedPageBreak/>
              <w:t>impacts of the project</w:t>
            </w:r>
          </w:p>
        </w:tc>
        <w:tc>
          <w:tcPr>
            <w:tcW w:w="4819"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666418E5" w14:textId="77777777" w:rsidR="00921C59" w:rsidRPr="00175D8B" w:rsidRDefault="00921C59">
            <w:pPr>
              <w:numPr>
                <w:ilvl w:val="0"/>
                <w:numId w:val="115"/>
              </w:numPr>
              <w:pBdr>
                <w:top w:val="nil"/>
                <w:left w:val="nil"/>
                <w:bottom w:val="nil"/>
                <w:right w:val="nil"/>
                <w:between w:val="nil"/>
              </w:pBdr>
              <w:spacing w:before="120" w:after="0" w:line="240" w:lineRule="auto"/>
              <w:jc w:val="left"/>
              <w:rPr>
                <w:color w:val="000000"/>
                <w:sz w:val="18"/>
                <w:szCs w:val="18"/>
              </w:rPr>
            </w:pPr>
            <w:r w:rsidRPr="00175D8B">
              <w:rPr>
                <w:rFonts w:eastAsia="Aptos" w:cs="Aptos"/>
                <w:color w:val="000000"/>
                <w:sz w:val="18"/>
                <w:szCs w:val="18"/>
              </w:rPr>
              <w:lastRenderedPageBreak/>
              <w:t>The construction site should be closed with a closure curtain (OSB, fence, etc.) in order to prevent unauthorized access to the construction site by third parties.</w:t>
            </w:r>
          </w:p>
          <w:p w14:paraId="291BEFC5" w14:textId="77777777" w:rsidR="00921C59" w:rsidRPr="00175D8B" w:rsidRDefault="00921C59">
            <w:pPr>
              <w:numPr>
                <w:ilvl w:val="0"/>
                <w:numId w:val="115"/>
              </w:numPr>
              <w:pBdr>
                <w:top w:val="nil"/>
                <w:left w:val="nil"/>
                <w:bottom w:val="nil"/>
                <w:right w:val="nil"/>
                <w:between w:val="nil"/>
              </w:pBdr>
              <w:spacing w:after="0" w:line="240" w:lineRule="auto"/>
              <w:jc w:val="left"/>
              <w:rPr>
                <w:color w:val="000000"/>
                <w:sz w:val="18"/>
                <w:szCs w:val="18"/>
              </w:rPr>
            </w:pPr>
            <w:r w:rsidRPr="00175D8B">
              <w:rPr>
                <w:rFonts w:eastAsia="Aptos" w:cs="Aptos"/>
                <w:color w:val="000000"/>
                <w:sz w:val="18"/>
                <w:szCs w:val="18"/>
              </w:rPr>
              <w:lastRenderedPageBreak/>
              <w:t>Separating pedestrian roads from vehicle roads within the construction site, defining a separate transportation route for pedestrians</w:t>
            </w:r>
          </w:p>
          <w:p w14:paraId="2FCA2598" w14:textId="77777777" w:rsidR="00921C59" w:rsidRPr="00175D8B" w:rsidRDefault="00921C59">
            <w:pPr>
              <w:numPr>
                <w:ilvl w:val="0"/>
                <w:numId w:val="115"/>
              </w:numPr>
              <w:pBdr>
                <w:top w:val="nil"/>
                <w:left w:val="nil"/>
                <w:bottom w:val="nil"/>
                <w:right w:val="nil"/>
                <w:between w:val="nil"/>
              </w:pBdr>
              <w:spacing w:after="0" w:line="240" w:lineRule="auto"/>
              <w:jc w:val="left"/>
              <w:rPr>
                <w:color w:val="000000"/>
                <w:sz w:val="18"/>
                <w:szCs w:val="18"/>
              </w:rPr>
            </w:pPr>
            <w:r w:rsidRPr="00175D8B">
              <w:rPr>
                <w:rFonts w:eastAsia="Aptos" w:cs="Aptos"/>
                <w:color w:val="000000"/>
                <w:sz w:val="18"/>
                <w:szCs w:val="18"/>
              </w:rPr>
              <w:t xml:space="preserve">The presence of blind spots outside the field of vision of machine operators during the movement of construction machinery. Use of pointers to avoid these risks. </w:t>
            </w:r>
          </w:p>
          <w:p w14:paraId="79110791" w14:textId="77777777" w:rsidR="00921C59" w:rsidRPr="00175D8B" w:rsidRDefault="00921C59">
            <w:pPr>
              <w:numPr>
                <w:ilvl w:val="0"/>
                <w:numId w:val="115"/>
              </w:numPr>
              <w:pBdr>
                <w:top w:val="nil"/>
                <w:left w:val="nil"/>
                <w:bottom w:val="nil"/>
                <w:right w:val="nil"/>
                <w:between w:val="nil"/>
              </w:pBdr>
              <w:spacing w:after="0" w:line="240" w:lineRule="auto"/>
              <w:jc w:val="left"/>
              <w:rPr>
                <w:color w:val="000000"/>
                <w:sz w:val="18"/>
                <w:szCs w:val="18"/>
              </w:rPr>
            </w:pPr>
            <w:r w:rsidRPr="00175D8B">
              <w:rPr>
                <w:rFonts w:eastAsia="Aptos" w:cs="Aptos"/>
                <w:color w:val="000000"/>
                <w:sz w:val="18"/>
                <w:szCs w:val="18"/>
              </w:rPr>
              <w:t>The tires of construction machinery and other vehicles should be selected in accordance with the land and climatic conditions, and worn tires should not be used.</w:t>
            </w:r>
          </w:p>
          <w:p w14:paraId="1D5C2D3B" w14:textId="77777777" w:rsidR="00921C59" w:rsidRPr="00175D8B" w:rsidRDefault="00921C59">
            <w:pPr>
              <w:numPr>
                <w:ilvl w:val="0"/>
                <w:numId w:val="115"/>
              </w:numPr>
              <w:pBdr>
                <w:top w:val="nil"/>
                <w:left w:val="nil"/>
                <w:bottom w:val="nil"/>
                <w:right w:val="nil"/>
                <w:between w:val="nil"/>
              </w:pBdr>
              <w:spacing w:after="0" w:line="240" w:lineRule="auto"/>
              <w:jc w:val="left"/>
              <w:rPr>
                <w:color w:val="000000"/>
                <w:sz w:val="18"/>
                <w:szCs w:val="18"/>
              </w:rPr>
            </w:pPr>
            <w:r w:rsidRPr="00175D8B">
              <w:rPr>
                <w:rFonts w:eastAsia="Aptos" w:cs="Aptos"/>
                <w:color w:val="000000"/>
                <w:sz w:val="18"/>
                <w:szCs w:val="18"/>
              </w:rPr>
              <w:t xml:space="preserve"> Warning the drivers and pedestrians outside the project with the necessary identification and caution plates on the roads and intersections about the construction site traffic</w:t>
            </w:r>
          </w:p>
          <w:p w14:paraId="743FE51B" w14:textId="77777777" w:rsidR="00921C59" w:rsidRPr="00175D8B" w:rsidRDefault="00921C59">
            <w:pPr>
              <w:numPr>
                <w:ilvl w:val="0"/>
                <w:numId w:val="115"/>
              </w:numPr>
              <w:pBdr>
                <w:top w:val="nil"/>
                <w:left w:val="nil"/>
                <w:bottom w:val="nil"/>
                <w:right w:val="nil"/>
                <w:between w:val="nil"/>
              </w:pBdr>
              <w:spacing w:after="0" w:line="240" w:lineRule="auto"/>
              <w:jc w:val="left"/>
              <w:rPr>
                <w:color w:val="000000"/>
                <w:sz w:val="18"/>
                <w:szCs w:val="18"/>
              </w:rPr>
            </w:pPr>
            <w:r w:rsidRPr="00175D8B">
              <w:rPr>
                <w:rFonts w:eastAsia="Aptos" w:cs="Aptos"/>
                <w:color w:val="000000"/>
                <w:sz w:val="18"/>
                <w:szCs w:val="18"/>
              </w:rPr>
              <w:t>Ensuring that drivers conform to legal speed limits</w:t>
            </w:r>
          </w:p>
          <w:p w14:paraId="5245313F" w14:textId="77777777" w:rsidR="00921C59" w:rsidRPr="00175D8B" w:rsidRDefault="00921C59">
            <w:pPr>
              <w:numPr>
                <w:ilvl w:val="0"/>
                <w:numId w:val="115"/>
              </w:numPr>
              <w:pBdr>
                <w:top w:val="nil"/>
                <w:left w:val="nil"/>
                <w:bottom w:val="nil"/>
                <w:right w:val="nil"/>
                <w:between w:val="nil"/>
              </w:pBdr>
              <w:spacing w:after="0" w:line="240" w:lineRule="auto"/>
              <w:jc w:val="left"/>
              <w:rPr>
                <w:color w:val="000000"/>
                <w:sz w:val="18"/>
                <w:szCs w:val="18"/>
              </w:rPr>
            </w:pPr>
            <w:r w:rsidRPr="00175D8B">
              <w:rPr>
                <w:rFonts w:eastAsia="Aptos" w:cs="Aptos"/>
                <w:color w:val="000000"/>
                <w:sz w:val="18"/>
                <w:szCs w:val="18"/>
              </w:rPr>
              <w:t>Taking necessary measures to prevent the spread of dust (watering the construction site, covering the vehicles, etc)</w:t>
            </w:r>
          </w:p>
        </w:tc>
        <w:tc>
          <w:tcPr>
            <w:tcW w:w="1702"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437F2237" w14:textId="77777777" w:rsidR="00921C59" w:rsidRPr="00175D8B" w:rsidRDefault="00921C59" w:rsidP="00921C59">
            <w:pPr>
              <w:spacing w:after="0"/>
              <w:jc w:val="left"/>
              <w:rPr>
                <w:rFonts w:eastAsia="Aptos" w:cs="Aptos"/>
                <w:sz w:val="18"/>
                <w:szCs w:val="18"/>
              </w:rPr>
            </w:pPr>
            <w:r w:rsidRPr="00175D8B">
              <w:rPr>
                <w:rFonts w:eastAsia="Aptos" w:cs="Aptos"/>
                <w:sz w:val="18"/>
                <w:szCs w:val="18"/>
              </w:rPr>
              <w:lastRenderedPageBreak/>
              <w:t>Contractor</w:t>
            </w:r>
          </w:p>
        </w:tc>
      </w:tr>
    </w:tbl>
    <w:p w14:paraId="4D6A689B" w14:textId="77777777" w:rsidR="00921C59" w:rsidRPr="00175D8B" w:rsidRDefault="00921C59" w:rsidP="00921C59">
      <w:pPr>
        <w:rPr>
          <w:rFonts w:eastAsia="Aptos" w:cs="Aptos"/>
          <w:b/>
          <w:kern w:val="0"/>
          <w:sz w:val="20"/>
          <w:szCs w:val="20"/>
          <w:lang w:eastAsia="tr-TR"/>
          <w14:ligatures w14:val="none"/>
        </w:rPr>
      </w:pPr>
    </w:p>
    <w:p w14:paraId="063BDEB3" w14:textId="24452E1C" w:rsidR="00921C59" w:rsidRPr="00175D8B" w:rsidRDefault="00921C59">
      <w:pPr>
        <w:numPr>
          <w:ilvl w:val="0"/>
          <w:numId w:val="133"/>
        </w:numPr>
        <w:spacing w:after="160" w:line="259" w:lineRule="auto"/>
        <w:contextualSpacing/>
        <w:jc w:val="left"/>
        <w:rPr>
          <w:rFonts w:eastAsia="Aptos" w:cs="Aptos"/>
          <w:b/>
          <w:kern w:val="0"/>
          <w:szCs w:val="22"/>
          <w:lang w:eastAsia="tr-TR"/>
          <w14:ligatures w14:val="none"/>
        </w:rPr>
      </w:pPr>
      <w:r w:rsidRPr="00175D8B">
        <w:rPr>
          <w:rFonts w:eastAsia="Aptos" w:cs="Aptos"/>
          <w:b/>
          <w:kern w:val="0"/>
          <w:szCs w:val="22"/>
          <w:lang w:eastAsia="tr-TR"/>
          <w14:ligatures w14:val="none"/>
        </w:rPr>
        <w:t>Training, Reporting and Monitoring</w:t>
      </w:r>
    </w:p>
    <w:p w14:paraId="0D06AF95" w14:textId="77777777" w:rsidR="0050644F" w:rsidRPr="00175D8B" w:rsidRDefault="0050644F" w:rsidP="002550A6">
      <w:pPr>
        <w:spacing w:after="160" w:line="259" w:lineRule="auto"/>
        <w:ind w:left="360"/>
        <w:contextualSpacing/>
        <w:jc w:val="left"/>
        <w:rPr>
          <w:rFonts w:eastAsia="Aptos" w:cs="Aptos"/>
          <w:b/>
          <w:kern w:val="0"/>
          <w:szCs w:val="22"/>
          <w:lang w:eastAsia="tr-TR"/>
          <w14:ligatures w14:val="none"/>
        </w:rPr>
      </w:pPr>
    </w:p>
    <w:p w14:paraId="41DB2B14" w14:textId="77777777" w:rsidR="00921C59" w:rsidRPr="00175D8B" w:rsidRDefault="00921C59" w:rsidP="002550A6">
      <w:pPr>
        <w:rPr>
          <w:rFonts w:eastAsia="Aptos" w:cs="Aptos"/>
          <w:b/>
          <w:kern w:val="0"/>
          <w:szCs w:val="22"/>
          <w:lang w:eastAsia="tr-TR"/>
          <w14:ligatures w14:val="none"/>
        </w:rPr>
      </w:pPr>
      <w:r w:rsidRPr="00175D8B">
        <w:rPr>
          <w:rFonts w:eastAsia="Aptos" w:cs="Aptos"/>
          <w:b/>
          <w:kern w:val="0"/>
          <w:szCs w:val="22"/>
          <w:lang w:eastAsia="tr-TR"/>
          <w14:ligatures w14:val="none"/>
        </w:rPr>
        <w:t>5.1 Training</w:t>
      </w:r>
    </w:p>
    <w:p w14:paraId="101084FF"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In addition to training on how to comply with environmental and social requirements for the sub-project as a whole, contractors should train their employees on how to comply with applicable mitigation requirements when performing their work. In addition to the Health and Safety training, other environmental and social training (e.g., Code of Conduct, waste management and sanitation) are described in the Sakarya ESMP.  The trainings will include; </w:t>
      </w:r>
    </w:p>
    <w:p w14:paraId="64CADF3C" w14:textId="77777777" w:rsidR="00921C59" w:rsidRPr="00175D8B" w:rsidRDefault="00921C59">
      <w:pPr>
        <w:numPr>
          <w:ilvl w:val="0"/>
          <w:numId w:val="101"/>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OHS, environmental and social assessments,</w:t>
      </w:r>
    </w:p>
    <w:p w14:paraId="55E2EE44" w14:textId="77777777" w:rsidR="00921C59" w:rsidRPr="00175D8B" w:rsidRDefault="00921C59">
      <w:pPr>
        <w:numPr>
          <w:ilvl w:val="0"/>
          <w:numId w:val="10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ESMP,</w:t>
      </w:r>
    </w:p>
    <w:p w14:paraId="7DDB8F00" w14:textId="77777777" w:rsidR="00921C59" w:rsidRPr="00175D8B" w:rsidRDefault="00921C59">
      <w:pPr>
        <w:numPr>
          <w:ilvl w:val="0"/>
          <w:numId w:val="10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Community health and safety,</w:t>
      </w:r>
    </w:p>
    <w:p w14:paraId="6B09ED35" w14:textId="77777777" w:rsidR="00921C59" w:rsidRPr="00175D8B" w:rsidRDefault="00921C59">
      <w:pPr>
        <w:numPr>
          <w:ilvl w:val="0"/>
          <w:numId w:val="10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Community Safety and Traffic Management Plan</w:t>
      </w:r>
    </w:p>
    <w:p w14:paraId="76DDEDFB" w14:textId="77777777" w:rsidR="00921C59" w:rsidRPr="00175D8B" w:rsidRDefault="00921C59">
      <w:pPr>
        <w:numPr>
          <w:ilvl w:val="0"/>
          <w:numId w:val="10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Monitoring and reporting, and</w:t>
      </w:r>
    </w:p>
    <w:p w14:paraId="3AFFAD65" w14:textId="77777777" w:rsidR="00921C59" w:rsidRPr="00175D8B" w:rsidRDefault="00921C59">
      <w:pPr>
        <w:numPr>
          <w:ilvl w:val="0"/>
          <w:numId w:val="10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Other relevant topics.</w:t>
      </w:r>
    </w:p>
    <w:p w14:paraId="7DABD53A"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Additionally, especially the contractor OHS focal point should be trained about the following subjects;</w:t>
      </w:r>
    </w:p>
    <w:p w14:paraId="44201498" w14:textId="77777777" w:rsidR="00921C59" w:rsidRPr="00175D8B" w:rsidRDefault="00921C59">
      <w:pPr>
        <w:numPr>
          <w:ilvl w:val="0"/>
          <w:numId w:val="101"/>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Reporting of environmental accidents, OHS accidents and accidents that may affect public health and safety, and</w:t>
      </w:r>
    </w:p>
    <w:p w14:paraId="1DC2F53F" w14:textId="77777777" w:rsidR="00921C59" w:rsidRPr="00175D8B" w:rsidRDefault="00921C59">
      <w:pPr>
        <w:numPr>
          <w:ilvl w:val="0"/>
          <w:numId w:val="10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lastRenderedPageBreak/>
        <w:t>Reporting non-conformities to be identified through the implementation of C-ESMPs and ESMP Checklists.</w:t>
      </w:r>
    </w:p>
    <w:p w14:paraId="5B47262F"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The accident/incident reports of the OHS focal point must include, as a minimum, the following: </w:t>
      </w:r>
    </w:p>
    <w:p w14:paraId="5390D109" w14:textId="77777777" w:rsidR="00921C59" w:rsidRPr="00175D8B" w:rsidRDefault="00921C59">
      <w:pPr>
        <w:numPr>
          <w:ilvl w:val="0"/>
          <w:numId w:val="78"/>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date on which the incident takes place and, the date on which it is found out if the latter is different</w:t>
      </w:r>
    </w:p>
    <w:p w14:paraId="75B018B0" w14:textId="77777777" w:rsidR="00921C59" w:rsidRPr="00175D8B" w:rsidRDefault="00921C59">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Description of the incident</w:t>
      </w:r>
    </w:p>
    <w:p w14:paraId="7FB010A5" w14:textId="77777777" w:rsidR="00921C59" w:rsidRPr="00175D8B" w:rsidRDefault="00921C59">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The violated mitigation measures/environmental/social laws </w:t>
      </w:r>
    </w:p>
    <w:p w14:paraId="207B7BC2" w14:textId="77777777" w:rsidR="00921C59" w:rsidRPr="00175D8B" w:rsidRDefault="00921C59">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parties that are present at the time of the incident</w:t>
      </w:r>
    </w:p>
    <w:p w14:paraId="3C479805" w14:textId="77777777" w:rsidR="00921C59" w:rsidRPr="00175D8B" w:rsidRDefault="00921C59">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corrective actions taken to fix the problem and prevent its recurrence</w:t>
      </w:r>
    </w:p>
    <w:p w14:paraId="219FC9CA" w14:textId="77777777" w:rsidR="00921C59" w:rsidRPr="00175D8B" w:rsidRDefault="00921C59">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All necessary steps that need to be taken to remedy the situation, such as improvement</w:t>
      </w:r>
    </w:p>
    <w:p w14:paraId="0A0D1949"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The non-conformity report must include, as a minimum, the following:</w:t>
      </w:r>
    </w:p>
    <w:p w14:paraId="338FC343" w14:textId="77777777" w:rsidR="00921C59" w:rsidRPr="00175D8B" w:rsidRDefault="00921C59">
      <w:pPr>
        <w:numPr>
          <w:ilvl w:val="0"/>
          <w:numId w:val="78"/>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date on which the incident takes place and, the date on which it is found out if the latter is different</w:t>
      </w:r>
    </w:p>
    <w:p w14:paraId="2D42AE98" w14:textId="77777777" w:rsidR="00921C59" w:rsidRPr="00175D8B" w:rsidRDefault="00921C59">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Description of the problem</w:t>
      </w:r>
    </w:p>
    <w:p w14:paraId="7230BB1B" w14:textId="77777777" w:rsidR="00921C59" w:rsidRPr="00175D8B" w:rsidRDefault="00921C59">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violated mitigation measures/environmental/social laws and the World Bank's ESF requirements</w:t>
      </w:r>
    </w:p>
    <w:p w14:paraId="5286FC5C" w14:textId="77777777" w:rsidR="00921C59" w:rsidRPr="00175D8B" w:rsidRDefault="00921C59">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parties that are present at the time of the incident</w:t>
      </w:r>
    </w:p>
    <w:p w14:paraId="1F8C3183" w14:textId="77777777" w:rsidR="00921C59" w:rsidRPr="00175D8B" w:rsidRDefault="00921C59">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Description of the corrective steps taken</w:t>
      </w:r>
    </w:p>
    <w:p w14:paraId="60542B21" w14:textId="77777777" w:rsidR="00921C59" w:rsidRPr="00175D8B" w:rsidRDefault="00921C59">
      <w:pPr>
        <w:numPr>
          <w:ilvl w:val="0"/>
          <w:numId w:val="7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If environmental damage occurs, a description of necessary follow-up steps or long-term improvement requirements </w:t>
      </w:r>
    </w:p>
    <w:p w14:paraId="18078834" w14:textId="77777777" w:rsidR="00921C59" w:rsidRPr="00175D8B" w:rsidRDefault="00921C59" w:rsidP="00DD7A56">
      <w:pPr>
        <w:ind w:left="360"/>
        <w:rPr>
          <w:rFonts w:eastAsia="Aptos" w:cs="Aptos"/>
          <w:b/>
          <w:kern w:val="0"/>
          <w:szCs w:val="22"/>
          <w:lang w:eastAsia="tr-TR"/>
          <w14:ligatures w14:val="none"/>
        </w:rPr>
      </w:pPr>
      <w:r w:rsidRPr="00175D8B">
        <w:rPr>
          <w:rFonts w:eastAsia="Aptos" w:cs="Aptos"/>
          <w:b/>
          <w:kern w:val="0"/>
          <w:szCs w:val="22"/>
          <w:lang w:eastAsia="tr-TR"/>
          <w14:ligatures w14:val="none"/>
        </w:rPr>
        <w:t>5.2 Reporting</w:t>
      </w:r>
    </w:p>
    <w:p w14:paraId="7400E5FD"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Within the scope of the Project and sub-projects, reporting will be performed in line with the following responsibilities, scope, frequency and requirements:</w:t>
      </w:r>
    </w:p>
    <w:p w14:paraId="61841677" w14:textId="77777777" w:rsidR="00921C59" w:rsidRPr="00175D8B" w:rsidRDefault="00921C59" w:rsidP="00921C59">
      <w:pPr>
        <w:keepNext/>
        <w:spacing w:after="200" w:line="240" w:lineRule="auto"/>
        <w:jc w:val="center"/>
        <w:rPr>
          <w:rFonts w:eastAsia="Aptos" w:cs="Aptos"/>
          <w:b/>
          <w:i/>
          <w:iCs/>
          <w:color w:val="000000"/>
          <w:kern w:val="0"/>
          <w:sz w:val="20"/>
          <w:szCs w:val="18"/>
          <w:lang w:eastAsia="tr-TR"/>
          <w14:ligatures w14:val="none"/>
        </w:rPr>
      </w:pPr>
      <w:r w:rsidRPr="00175D8B">
        <w:rPr>
          <w:rFonts w:eastAsia="Aptos" w:cs="Aptos"/>
          <w:b/>
          <w:i/>
          <w:iCs/>
          <w:color w:val="000000"/>
          <w:kern w:val="0"/>
          <w:sz w:val="20"/>
          <w:szCs w:val="18"/>
          <w:lang w:eastAsia="tr-TR"/>
          <w14:ligatures w14:val="none"/>
        </w:rPr>
        <w:t>Table of Reporting Requirements within the Scope of Implementations</w:t>
      </w:r>
    </w:p>
    <w:tbl>
      <w:tblPr>
        <w:tblStyle w:val="29"/>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2"/>
        <w:gridCol w:w="5851"/>
        <w:gridCol w:w="1134"/>
        <w:gridCol w:w="1559"/>
      </w:tblGrid>
      <w:tr w:rsidR="00921C59" w:rsidRPr="00175D8B" w14:paraId="7124FE05" w14:textId="77777777" w:rsidTr="002550A6">
        <w:trPr>
          <w:tblHeader/>
          <w:jc w:val="center"/>
        </w:trPr>
        <w:tc>
          <w:tcPr>
            <w:tcW w:w="1232" w:type="dxa"/>
            <w:shd w:val="clear" w:color="auto" w:fill="ABB7C1"/>
            <w:vAlign w:val="center"/>
          </w:tcPr>
          <w:p w14:paraId="235EC14D" w14:textId="77777777" w:rsidR="00921C59" w:rsidRPr="00175D8B" w:rsidRDefault="00921C59" w:rsidP="00921C59">
            <w:pPr>
              <w:spacing w:after="0"/>
              <w:jc w:val="left"/>
              <w:rPr>
                <w:b/>
                <w:sz w:val="18"/>
                <w:szCs w:val="18"/>
              </w:rPr>
            </w:pPr>
            <w:r w:rsidRPr="00175D8B">
              <w:rPr>
                <w:b/>
                <w:sz w:val="18"/>
                <w:szCs w:val="18"/>
              </w:rPr>
              <w:t>Reporting Party</w:t>
            </w:r>
          </w:p>
        </w:tc>
        <w:tc>
          <w:tcPr>
            <w:tcW w:w="5851" w:type="dxa"/>
            <w:shd w:val="clear" w:color="auto" w:fill="ABB7C1"/>
            <w:vAlign w:val="center"/>
          </w:tcPr>
          <w:p w14:paraId="052A7A4C" w14:textId="77777777" w:rsidR="00921C59" w:rsidRPr="00175D8B" w:rsidRDefault="00921C59" w:rsidP="00921C59">
            <w:pPr>
              <w:spacing w:after="0"/>
              <w:jc w:val="left"/>
              <w:rPr>
                <w:b/>
                <w:sz w:val="18"/>
                <w:szCs w:val="18"/>
              </w:rPr>
            </w:pPr>
            <w:r w:rsidRPr="00175D8B">
              <w:rPr>
                <w:b/>
                <w:sz w:val="18"/>
                <w:szCs w:val="18"/>
              </w:rPr>
              <w:t>Reporting Requirements</w:t>
            </w:r>
          </w:p>
        </w:tc>
        <w:tc>
          <w:tcPr>
            <w:tcW w:w="1134" w:type="dxa"/>
            <w:shd w:val="clear" w:color="auto" w:fill="ABB7C1"/>
            <w:vAlign w:val="center"/>
          </w:tcPr>
          <w:p w14:paraId="49A2687C" w14:textId="77777777" w:rsidR="00921C59" w:rsidRPr="00175D8B" w:rsidRDefault="00921C59" w:rsidP="00921C59">
            <w:pPr>
              <w:spacing w:after="0"/>
              <w:jc w:val="left"/>
              <w:rPr>
                <w:b/>
                <w:sz w:val="18"/>
                <w:szCs w:val="18"/>
              </w:rPr>
            </w:pPr>
            <w:r w:rsidRPr="00175D8B">
              <w:rPr>
                <w:b/>
                <w:sz w:val="18"/>
                <w:szCs w:val="18"/>
              </w:rPr>
              <w:t>Reporting Frequency</w:t>
            </w:r>
          </w:p>
        </w:tc>
        <w:tc>
          <w:tcPr>
            <w:tcW w:w="1559" w:type="dxa"/>
            <w:shd w:val="clear" w:color="auto" w:fill="ABB7C1"/>
            <w:vAlign w:val="center"/>
          </w:tcPr>
          <w:p w14:paraId="768F43B2" w14:textId="77777777" w:rsidR="00921C59" w:rsidRPr="00175D8B" w:rsidRDefault="00921C59" w:rsidP="00921C59">
            <w:pPr>
              <w:spacing w:after="0"/>
              <w:jc w:val="left"/>
              <w:rPr>
                <w:b/>
                <w:sz w:val="18"/>
                <w:szCs w:val="18"/>
              </w:rPr>
            </w:pPr>
            <w:r w:rsidRPr="00175D8B">
              <w:rPr>
                <w:b/>
                <w:sz w:val="18"/>
                <w:szCs w:val="18"/>
              </w:rPr>
              <w:t>Party To Which Reports Will Be Submitted</w:t>
            </w:r>
          </w:p>
        </w:tc>
      </w:tr>
      <w:tr w:rsidR="00921C59" w:rsidRPr="00175D8B" w14:paraId="3B9CA787" w14:textId="77777777" w:rsidTr="002550A6">
        <w:trPr>
          <w:jc w:val="center"/>
        </w:trPr>
        <w:tc>
          <w:tcPr>
            <w:tcW w:w="1232" w:type="dxa"/>
            <w:shd w:val="clear" w:color="auto" w:fill="F2F2F2"/>
            <w:vAlign w:val="center"/>
          </w:tcPr>
          <w:p w14:paraId="3331F77C" w14:textId="77777777" w:rsidR="00921C59" w:rsidRPr="00175D8B" w:rsidRDefault="00921C59" w:rsidP="00921C59">
            <w:pPr>
              <w:spacing w:after="0"/>
              <w:jc w:val="left"/>
              <w:rPr>
                <w:sz w:val="18"/>
                <w:szCs w:val="18"/>
              </w:rPr>
            </w:pPr>
            <w:r w:rsidRPr="00175D8B">
              <w:rPr>
                <w:sz w:val="18"/>
                <w:szCs w:val="18"/>
              </w:rPr>
              <w:t>Contractor / Contractor's OHS Focal Point</w:t>
            </w:r>
          </w:p>
        </w:tc>
        <w:tc>
          <w:tcPr>
            <w:tcW w:w="5851" w:type="dxa"/>
            <w:shd w:val="clear" w:color="auto" w:fill="F2F2F2"/>
          </w:tcPr>
          <w:p w14:paraId="1EF018A8"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t xml:space="preserve">Summary of the progress of demolition/retrofitting/construction activities schedule. </w:t>
            </w:r>
          </w:p>
          <w:p w14:paraId="7BEE98E1"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t xml:space="preserve">Summary of the compliance activities according to the </w:t>
            </w:r>
            <w:r w:rsidRPr="00175D8B">
              <w:rPr>
                <w:sz w:val="18"/>
                <w:szCs w:val="18"/>
              </w:rPr>
              <w:t xml:space="preserve">Sakarya </w:t>
            </w:r>
            <w:r w:rsidRPr="00175D8B">
              <w:rPr>
                <w:color w:val="000000"/>
                <w:sz w:val="18"/>
                <w:szCs w:val="18"/>
              </w:rPr>
              <w:t xml:space="preserve">ESMP, neighborhood-level ESIAs (if needed) and sub-project-specific ESMP Checklists. </w:t>
            </w:r>
          </w:p>
          <w:p w14:paraId="0B6BE441"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t>Up-to-date list of all accidents, incidents and near-misses that occur during the Project.</w:t>
            </w:r>
          </w:p>
          <w:p w14:paraId="45205679"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t>Records of E&amp;S trainings provided to personnel.</w:t>
            </w:r>
          </w:p>
          <w:p w14:paraId="04A23707"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t xml:space="preserve">Tracking information of all past issues still being resolved. </w:t>
            </w:r>
          </w:p>
          <w:p w14:paraId="5E25BD91"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lastRenderedPageBreak/>
              <w:t>Photos of the Project activities related to the implementation of the ESMP Checklist mitigation measures.</w:t>
            </w:r>
          </w:p>
          <w:p w14:paraId="68E63C17"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t>Daily compliance checklist of the works that are performed every day on the site.</w:t>
            </w:r>
          </w:p>
          <w:p w14:paraId="639C2515" w14:textId="77777777" w:rsidR="00921C59" w:rsidRPr="00175D8B" w:rsidRDefault="00921C59">
            <w:pPr>
              <w:numPr>
                <w:ilvl w:val="0"/>
                <w:numId w:val="92"/>
              </w:numPr>
              <w:pBdr>
                <w:top w:val="nil"/>
                <w:left w:val="nil"/>
                <w:bottom w:val="nil"/>
                <w:right w:val="nil"/>
                <w:between w:val="nil"/>
              </w:pBdr>
              <w:spacing w:after="160" w:line="240" w:lineRule="auto"/>
              <w:ind w:left="426" w:hanging="284"/>
              <w:jc w:val="left"/>
              <w:rPr>
                <w:color w:val="000000"/>
                <w:sz w:val="18"/>
                <w:szCs w:val="18"/>
              </w:rPr>
            </w:pPr>
            <w:r w:rsidRPr="00175D8B">
              <w:rPr>
                <w:color w:val="000000"/>
                <w:sz w:val="18"/>
                <w:szCs w:val="18"/>
              </w:rPr>
              <w:t>Outputs of the performed activities in line with the - Provincial Environmental and Social Monitoring Plan presented in Section 5.</w:t>
            </w:r>
          </w:p>
        </w:tc>
        <w:tc>
          <w:tcPr>
            <w:tcW w:w="1134" w:type="dxa"/>
            <w:shd w:val="clear" w:color="auto" w:fill="F2F2F2"/>
            <w:vAlign w:val="center"/>
          </w:tcPr>
          <w:p w14:paraId="78477197" w14:textId="77777777" w:rsidR="00921C59" w:rsidRPr="00175D8B" w:rsidRDefault="00921C59" w:rsidP="00921C59">
            <w:pPr>
              <w:spacing w:after="0"/>
              <w:jc w:val="left"/>
              <w:rPr>
                <w:sz w:val="18"/>
                <w:szCs w:val="18"/>
              </w:rPr>
            </w:pPr>
            <w:r w:rsidRPr="00175D8B">
              <w:rPr>
                <w:sz w:val="18"/>
                <w:szCs w:val="18"/>
              </w:rPr>
              <w:lastRenderedPageBreak/>
              <w:t>Once a month</w:t>
            </w:r>
          </w:p>
        </w:tc>
        <w:tc>
          <w:tcPr>
            <w:tcW w:w="1559" w:type="dxa"/>
            <w:shd w:val="clear" w:color="auto" w:fill="F2F2F2"/>
            <w:vAlign w:val="center"/>
          </w:tcPr>
          <w:p w14:paraId="67DD9B53" w14:textId="77777777" w:rsidR="00921C59" w:rsidRPr="00175D8B" w:rsidRDefault="00921C59" w:rsidP="00921C59">
            <w:pPr>
              <w:spacing w:after="0"/>
              <w:jc w:val="left"/>
              <w:rPr>
                <w:sz w:val="18"/>
                <w:szCs w:val="18"/>
              </w:rPr>
            </w:pPr>
            <w:r w:rsidRPr="00175D8B">
              <w:rPr>
                <w:sz w:val="18"/>
                <w:szCs w:val="18"/>
              </w:rPr>
              <w:t xml:space="preserve">The PMU individual specialists in the provinces. </w:t>
            </w:r>
          </w:p>
        </w:tc>
      </w:tr>
      <w:tr w:rsidR="00921C59" w:rsidRPr="00175D8B" w14:paraId="2678C7BB" w14:textId="77777777" w:rsidTr="002550A6">
        <w:trPr>
          <w:jc w:val="center"/>
        </w:trPr>
        <w:tc>
          <w:tcPr>
            <w:tcW w:w="1232" w:type="dxa"/>
            <w:shd w:val="clear" w:color="auto" w:fill="F2F2F2"/>
          </w:tcPr>
          <w:p w14:paraId="03D3C0DC" w14:textId="77777777" w:rsidR="00921C59" w:rsidRPr="00175D8B" w:rsidRDefault="00921C59" w:rsidP="00921C59">
            <w:pPr>
              <w:spacing w:after="0"/>
              <w:rPr>
                <w:sz w:val="18"/>
                <w:szCs w:val="18"/>
              </w:rPr>
            </w:pPr>
            <w:r w:rsidRPr="00175D8B">
              <w:rPr>
                <w:sz w:val="18"/>
                <w:szCs w:val="18"/>
              </w:rPr>
              <w:t>PMU Individual Specialists in the Provinces</w:t>
            </w:r>
          </w:p>
        </w:tc>
        <w:tc>
          <w:tcPr>
            <w:tcW w:w="5851" w:type="dxa"/>
            <w:shd w:val="clear" w:color="auto" w:fill="F2F2F2"/>
          </w:tcPr>
          <w:p w14:paraId="6D9A7117"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t>Important points in the monthly reports of the Contractors / Contractor's focal points</w:t>
            </w:r>
          </w:p>
          <w:p w14:paraId="58F16FE6"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t>Outputs of the supervision, monitoring and auditing activities</w:t>
            </w:r>
          </w:p>
          <w:p w14:paraId="415E9DCD" w14:textId="77777777" w:rsidR="00921C59" w:rsidRPr="00175D8B" w:rsidRDefault="00921C59">
            <w:pPr>
              <w:numPr>
                <w:ilvl w:val="0"/>
                <w:numId w:val="92"/>
              </w:numPr>
              <w:pBdr>
                <w:top w:val="nil"/>
                <w:left w:val="nil"/>
                <w:bottom w:val="nil"/>
                <w:right w:val="nil"/>
                <w:between w:val="nil"/>
              </w:pBdr>
              <w:spacing w:after="160" w:line="240" w:lineRule="auto"/>
              <w:ind w:left="426" w:hanging="284"/>
              <w:jc w:val="left"/>
              <w:rPr>
                <w:color w:val="000000"/>
                <w:sz w:val="18"/>
                <w:szCs w:val="18"/>
              </w:rPr>
            </w:pPr>
            <w:r w:rsidRPr="00175D8B">
              <w:rPr>
                <w:color w:val="000000"/>
                <w:sz w:val="18"/>
                <w:szCs w:val="18"/>
              </w:rPr>
              <w:t xml:space="preserve">Progress of E&amp;S Audits and ESAPs to be prepared for the Type-III sub-projects, if needed </w:t>
            </w:r>
          </w:p>
        </w:tc>
        <w:tc>
          <w:tcPr>
            <w:tcW w:w="1134" w:type="dxa"/>
            <w:shd w:val="clear" w:color="auto" w:fill="F2F2F2"/>
            <w:vAlign w:val="center"/>
          </w:tcPr>
          <w:p w14:paraId="65D893BE" w14:textId="77777777" w:rsidR="00921C59" w:rsidRPr="00175D8B" w:rsidRDefault="00921C59" w:rsidP="00921C59">
            <w:pPr>
              <w:spacing w:after="0"/>
              <w:jc w:val="left"/>
              <w:rPr>
                <w:sz w:val="18"/>
                <w:szCs w:val="18"/>
              </w:rPr>
            </w:pPr>
            <w:r w:rsidRPr="00175D8B">
              <w:rPr>
                <w:sz w:val="18"/>
                <w:szCs w:val="18"/>
              </w:rPr>
              <w:t>Once A Month</w:t>
            </w:r>
          </w:p>
        </w:tc>
        <w:tc>
          <w:tcPr>
            <w:tcW w:w="1559" w:type="dxa"/>
            <w:shd w:val="clear" w:color="auto" w:fill="F2F2F2"/>
            <w:vAlign w:val="center"/>
          </w:tcPr>
          <w:p w14:paraId="40A8CACC" w14:textId="77777777" w:rsidR="00921C59" w:rsidRPr="00175D8B" w:rsidRDefault="00921C59" w:rsidP="00921C59">
            <w:pPr>
              <w:spacing w:after="0"/>
              <w:jc w:val="left"/>
              <w:rPr>
                <w:sz w:val="18"/>
                <w:szCs w:val="18"/>
              </w:rPr>
            </w:pPr>
            <w:r w:rsidRPr="00175D8B">
              <w:rPr>
                <w:sz w:val="18"/>
                <w:szCs w:val="18"/>
              </w:rPr>
              <w:t xml:space="preserve">The PMU Head Office </w:t>
            </w:r>
          </w:p>
        </w:tc>
      </w:tr>
      <w:tr w:rsidR="00921C59" w:rsidRPr="00175D8B" w14:paraId="2F47B760" w14:textId="77777777" w:rsidTr="002550A6">
        <w:trPr>
          <w:jc w:val="center"/>
        </w:trPr>
        <w:tc>
          <w:tcPr>
            <w:tcW w:w="1232" w:type="dxa"/>
            <w:shd w:val="clear" w:color="auto" w:fill="F2F2F2"/>
          </w:tcPr>
          <w:p w14:paraId="02931FB0" w14:textId="77777777" w:rsidR="00921C59" w:rsidRPr="00175D8B" w:rsidRDefault="00921C59" w:rsidP="00921C59">
            <w:pPr>
              <w:spacing w:after="0"/>
              <w:rPr>
                <w:sz w:val="18"/>
                <w:szCs w:val="18"/>
              </w:rPr>
            </w:pPr>
            <w:r w:rsidRPr="00175D8B">
              <w:rPr>
                <w:sz w:val="18"/>
                <w:szCs w:val="18"/>
              </w:rPr>
              <w:t xml:space="preserve">PMU Head Office </w:t>
            </w:r>
          </w:p>
        </w:tc>
        <w:tc>
          <w:tcPr>
            <w:tcW w:w="5851" w:type="dxa"/>
            <w:shd w:val="clear" w:color="auto" w:fill="F2F2F2"/>
          </w:tcPr>
          <w:p w14:paraId="613352BD" w14:textId="77777777" w:rsidR="00921C59" w:rsidRPr="00175D8B" w:rsidRDefault="00921C59" w:rsidP="00921C59">
            <w:pPr>
              <w:rPr>
                <w:sz w:val="18"/>
                <w:szCs w:val="18"/>
              </w:rPr>
            </w:pPr>
            <w:r w:rsidRPr="00175D8B">
              <w:rPr>
                <w:sz w:val="18"/>
                <w:szCs w:val="18"/>
              </w:rPr>
              <w:t xml:space="preserve">Using the reports of contractors and the PMU individual specialists in the provinces and their quarterly site monitoring outputs: </w:t>
            </w:r>
          </w:p>
          <w:p w14:paraId="08FA1886"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t xml:space="preserve">Summary of the completed demolition/retrofitting/construction activities. </w:t>
            </w:r>
          </w:p>
          <w:p w14:paraId="7D8B7A75"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t xml:space="preserve">Estimated remaining demolition/retrofitting/construction works and their schedule. </w:t>
            </w:r>
          </w:p>
          <w:p w14:paraId="6AE5DA08"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t>Summary of the compliance activities.</w:t>
            </w:r>
          </w:p>
          <w:p w14:paraId="0EEA44BE"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t>Outputs of the activities in line with the Sakarya Environmental and Social Monitoring Plans, whose format is presented in Section 5.</w:t>
            </w:r>
          </w:p>
          <w:p w14:paraId="4C5BECC9"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t>Environmental Social, Health and Safety Key Performance Indicators (KPIs), such as:</w:t>
            </w:r>
          </w:p>
          <w:p w14:paraId="7D97CAF5" w14:textId="77777777" w:rsidR="00921C59" w:rsidRPr="00175D8B" w:rsidRDefault="00921C59">
            <w:pPr>
              <w:numPr>
                <w:ilvl w:val="0"/>
                <w:numId w:val="100"/>
              </w:numPr>
              <w:pBdr>
                <w:top w:val="nil"/>
                <w:left w:val="nil"/>
                <w:bottom w:val="nil"/>
                <w:right w:val="nil"/>
                <w:between w:val="nil"/>
              </w:pBdr>
              <w:spacing w:after="0" w:line="240" w:lineRule="auto"/>
              <w:ind w:left="709" w:hanging="284"/>
              <w:jc w:val="left"/>
              <w:rPr>
                <w:color w:val="000000"/>
                <w:sz w:val="18"/>
                <w:szCs w:val="18"/>
              </w:rPr>
            </w:pPr>
            <w:r w:rsidRPr="00175D8B">
              <w:rPr>
                <w:color w:val="000000"/>
                <w:sz w:val="18"/>
                <w:szCs w:val="18"/>
              </w:rPr>
              <w:t>Statuses of grievances resolved per province,</w:t>
            </w:r>
          </w:p>
          <w:p w14:paraId="43522771" w14:textId="77777777" w:rsidR="00921C59" w:rsidRPr="00175D8B" w:rsidRDefault="00921C59">
            <w:pPr>
              <w:numPr>
                <w:ilvl w:val="0"/>
                <w:numId w:val="100"/>
              </w:numPr>
              <w:pBdr>
                <w:top w:val="nil"/>
                <w:left w:val="nil"/>
                <w:bottom w:val="nil"/>
                <w:right w:val="nil"/>
                <w:between w:val="nil"/>
              </w:pBdr>
              <w:spacing w:after="0" w:line="240" w:lineRule="auto"/>
              <w:ind w:left="709" w:hanging="284"/>
              <w:jc w:val="left"/>
              <w:rPr>
                <w:color w:val="000000"/>
                <w:sz w:val="18"/>
                <w:szCs w:val="18"/>
              </w:rPr>
            </w:pPr>
            <w:r w:rsidRPr="00175D8B">
              <w:rPr>
                <w:color w:val="000000"/>
                <w:sz w:val="18"/>
                <w:szCs w:val="18"/>
              </w:rPr>
              <w:t>Properly prepared and approved ESMP Checklist per sub-project,</w:t>
            </w:r>
          </w:p>
          <w:p w14:paraId="41BFFF6E" w14:textId="77777777" w:rsidR="00921C59" w:rsidRPr="00175D8B" w:rsidRDefault="00921C59">
            <w:pPr>
              <w:numPr>
                <w:ilvl w:val="0"/>
                <w:numId w:val="100"/>
              </w:numPr>
              <w:pBdr>
                <w:top w:val="nil"/>
                <w:left w:val="nil"/>
                <w:bottom w:val="nil"/>
                <w:right w:val="nil"/>
                <w:between w:val="nil"/>
              </w:pBdr>
              <w:spacing w:after="0" w:line="240" w:lineRule="auto"/>
              <w:ind w:left="709" w:hanging="284"/>
              <w:jc w:val="left"/>
              <w:rPr>
                <w:color w:val="000000"/>
                <w:sz w:val="18"/>
                <w:szCs w:val="18"/>
              </w:rPr>
            </w:pPr>
            <w:r w:rsidRPr="00175D8B">
              <w:rPr>
                <w:color w:val="000000"/>
                <w:sz w:val="18"/>
                <w:szCs w:val="18"/>
              </w:rPr>
              <w:t>Occupational accidents / incidents per province,</w:t>
            </w:r>
          </w:p>
          <w:p w14:paraId="7DB6EF95" w14:textId="77777777" w:rsidR="00921C59" w:rsidRPr="00175D8B" w:rsidRDefault="00921C59">
            <w:pPr>
              <w:numPr>
                <w:ilvl w:val="0"/>
                <w:numId w:val="100"/>
              </w:numPr>
              <w:pBdr>
                <w:top w:val="nil"/>
                <w:left w:val="nil"/>
                <w:bottom w:val="nil"/>
                <w:right w:val="nil"/>
                <w:between w:val="nil"/>
              </w:pBdr>
              <w:spacing w:after="0" w:line="240" w:lineRule="auto"/>
              <w:ind w:left="709" w:hanging="284"/>
              <w:jc w:val="left"/>
              <w:rPr>
                <w:color w:val="000000"/>
                <w:sz w:val="18"/>
                <w:szCs w:val="18"/>
              </w:rPr>
            </w:pPr>
            <w:r w:rsidRPr="00175D8B">
              <w:rPr>
                <w:color w:val="000000"/>
                <w:sz w:val="18"/>
                <w:szCs w:val="18"/>
              </w:rPr>
              <w:t>Number of ESAPs (which are specific to Type-III sub-projects) whose actions are completed per Type-III sub-projects, and</w:t>
            </w:r>
          </w:p>
          <w:p w14:paraId="6E12120D" w14:textId="77777777" w:rsidR="00921C59" w:rsidRPr="00175D8B" w:rsidRDefault="00921C59">
            <w:pPr>
              <w:numPr>
                <w:ilvl w:val="0"/>
                <w:numId w:val="100"/>
              </w:numPr>
              <w:pBdr>
                <w:top w:val="nil"/>
                <w:left w:val="nil"/>
                <w:bottom w:val="nil"/>
                <w:right w:val="nil"/>
                <w:between w:val="nil"/>
              </w:pBdr>
              <w:spacing w:after="0" w:line="240" w:lineRule="auto"/>
              <w:ind w:left="709" w:hanging="284"/>
              <w:jc w:val="left"/>
              <w:rPr>
                <w:color w:val="000000"/>
                <w:sz w:val="18"/>
                <w:szCs w:val="18"/>
              </w:rPr>
            </w:pPr>
            <w:r w:rsidRPr="00175D8B">
              <w:rPr>
                <w:color w:val="000000"/>
                <w:sz w:val="18"/>
                <w:szCs w:val="18"/>
              </w:rPr>
              <w:t xml:space="preserve">Ration of recycled construction demolition waste per province (approximately). </w:t>
            </w:r>
          </w:p>
          <w:p w14:paraId="464B5E5B"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t>Up-to-date list of Environmental, Social and Safety events.</w:t>
            </w:r>
          </w:p>
          <w:p w14:paraId="546F969C"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t>Up-to-date list of all accidents, incidents and near-misses that occur during the Project.</w:t>
            </w:r>
          </w:p>
          <w:p w14:paraId="57F1B86F" w14:textId="77777777" w:rsidR="00921C59" w:rsidRPr="00175D8B" w:rsidRDefault="00921C59">
            <w:pPr>
              <w:numPr>
                <w:ilvl w:val="0"/>
                <w:numId w:val="92"/>
              </w:numPr>
              <w:pBdr>
                <w:top w:val="nil"/>
                <w:left w:val="nil"/>
                <w:bottom w:val="nil"/>
                <w:right w:val="nil"/>
                <w:between w:val="nil"/>
              </w:pBdr>
              <w:spacing w:after="0" w:line="240" w:lineRule="auto"/>
              <w:ind w:left="426" w:hanging="284"/>
              <w:jc w:val="left"/>
              <w:rPr>
                <w:color w:val="000000"/>
                <w:sz w:val="18"/>
                <w:szCs w:val="18"/>
              </w:rPr>
            </w:pPr>
            <w:r w:rsidRPr="00175D8B">
              <w:rPr>
                <w:color w:val="000000"/>
                <w:sz w:val="18"/>
                <w:szCs w:val="18"/>
              </w:rPr>
              <w:t>Tracking information of all past issues still being resolved.</w:t>
            </w:r>
          </w:p>
          <w:p w14:paraId="6F3D6B63" w14:textId="77777777" w:rsidR="00921C59" w:rsidRPr="00175D8B" w:rsidRDefault="00921C59">
            <w:pPr>
              <w:numPr>
                <w:ilvl w:val="0"/>
                <w:numId w:val="92"/>
              </w:numPr>
              <w:pBdr>
                <w:top w:val="nil"/>
                <w:left w:val="nil"/>
                <w:bottom w:val="nil"/>
                <w:right w:val="nil"/>
                <w:between w:val="nil"/>
              </w:pBdr>
              <w:spacing w:after="160" w:line="240" w:lineRule="auto"/>
              <w:ind w:left="426" w:hanging="284"/>
              <w:jc w:val="left"/>
              <w:rPr>
                <w:color w:val="000000"/>
                <w:sz w:val="18"/>
                <w:szCs w:val="18"/>
              </w:rPr>
            </w:pPr>
            <w:r w:rsidRPr="00175D8B">
              <w:rPr>
                <w:color w:val="000000"/>
                <w:sz w:val="18"/>
                <w:szCs w:val="18"/>
              </w:rPr>
              <w:t>Photos of Project activities.</w:t>
            </w:r>
          </w:p>
          <w:p w14:paraId="224DB8D7" w14:textId="77777777" w:rsidR="00921C59" w:rsidRPr="00175D8B" w:rsidRDefault="00921C59" w:rsidP="00921C59">
            <w:pPr>
              <w:spacing w:after="0"/>
              <w:rPr>
                <w:sz w:val="18"/>
                <w:szCs w:val="18"/>
              </w:rPr>
            </w:pPr>
            <w:r w:rsidRPr="00175D8B">
              <w:rPr>
                <w:sz w:val="18"/>
                <w:szCs w:val="18"/>
              </w:rPr>
              <w:t>The Project Progress Report, which will include not only the sub-project activities under Component 2, but also the activities under other components</w:t>
            </w:r>
          </w:p>
        </w:tc>
        <w:tc>
          <w:tcPr>
            <w:tcW w:w="1134" w:type="dxa"/>
            <w:shd w:val="clear" w:color="auto" w:fill="F2F2F2"/>
            <w:vAlign w:val="center"/>
          </w:tcPr>
          <w:p w14:paraId="1AB8DDF5" w14:textId="77777777" w:rsidR="00921C59" w:rsidRPr="00175D8B" w:rsidRDefault="00921C59" w:rsidP="00921C59">
            <w:pPr>
              <w:spacing w:after="0"/>
              <w:jc w:val="left"/>
              <w:rPr>
                <w:sz w:val="18"/>
                <w:szCs w:val="18"/>
              </w:rPr>
            </w:pPr>
            <w:r w:rsidRPr="00175D8B">
              <w:rPr>
                <w:sz w:val="18"/>
                <w:szCs w:val="18"/>
              </w:rPr>
              <w:t>Quarterly</w:t>
            </w:r>
          </w:p>
        </w:tc>
        <w:tc>
          <w:tcPr>
            <w:tcW w:w="1559" w:type="dxa"/>
            <w:shd w:val="clear" w:color="auto" w:fill="F2F2F2"/>
            <w:vAlign w:val="center"/>
          </w:tcPr>
          <w:p w14:paraId="4127CF47" w14:textId="77777777" w:rsidR="00921C59" w:rsidRPr="00175D8B" w:rsidRDefault="00921C59" w:rsidP="00921C59">
            <w:pPr>
              <w:spacing w:after="0"/>
              <w:jc w:val="left"/>
              <w:rPr>
                <w:sz w:val="18"/>
                <w:szCs w:val="18"/>
              </w:rPr>
            </w:pPr>
            <w:r w:rsidRPr="00175D8B">
              <w:rPr>
                <w:sz w:val="18"/>
                <w:szCs w:val="18"/>
              </w:rPr>
              <w:t>WB</w:t>
            </w:r>
          </w:p>
        </w:tc>
      </w:tr>
    </w:tbl>
    <w:p w14:paraId="7BD49273" w14:textId="77777777" w:rsidR="002561E6" w:rsidRPr="00175D8B" w:rsidRDefault="002561E6" w:rsidP="002550A6">
      <w:pPr>
        <w:spacing w:after="160"/>
        <w:rPr>
          <w:rFonts w:eastAsia="Aptos" w:cs="Aptos"/>
          <w:b/>
          <w:kern w:val="0"/>
          <w:szCs w:val="22"/>
          <w:lang w:eastAsia="tr-TR"/>
          <w14:ligatures w14:val="none"/>
        </w:rPr>
      </w:pPr>
    </w:p>
    <w:p w14:paraId="1A25103B" w14:textId="4BE719C6" w:rsidR="00921C59" w:rsidRPr="00175D8B" w:rsidRDefault="00921C59" w:rsidP="002550A6">
      <w:pPr>
        <w:spacing w:after="160"/>
        <w:rPr>
          <w:rFonts w:eastAsia="Aptos" w:cs="Aptos"/>
          <w:b/>
          <w:kern w:val="0"/>
          <w:szCs w:val="22"/>
          <w:lang w:eastAsia="tr-TR"/>
          <w14:ligatures w14:val="none"/>
        </w:rPr>
      </w:pPr>
      <w:r w:rsidRPr="00175D8B">
        <w:rPr>
          <w:rFonts w:eastAsia="Aptos" w:cs="Aptos"/>
          <w:b/>
          <w:kern w:val="0"/>
          <w:szCs w:val="22"/>
          <w:lang w:eastAsia="tr-TR"/>
          <w14:ligatures w14:val="none"/>
        </w:rPr>
        <w:t>5.3 Monitoring</w:t>
      </w:r>
    </w:p>
    <w:p w14:paraId="1AEC7117" w14:textId="77777777" w:rsidR="00921C59" w:rsidRPr="00175D8B" w:rsidRDefault="00921C59">
      <w:pPr>
        <w:spacing w:after="160"/>
        <w:rPr>
          <w:rFonts w:eastAsia="Aptos" w:cs="Aptos"/>
          <w:color w:val="FF0000"/>
          <w:kern w:val="0"/>
          <w:szCs w:val="22"/>
          <w:lang w:eastAsia="tr-TR"/>
          <w14:ligatures w14:val="none"/>
        </w:rPr>
      </w:pPr>
      <w:r w:rsidRPr="00175D8B">
        <w:rPr>
          <w:rFonts w:eastAsia="Aptos" w:cs="Aptos"/>
          <w:kern w:val="0"/>
          <w:szCs w:val="22"/>
          <w:lang w:eastAsia="tr-TR"/>
          <w14:ligatures w14:val="none"/>
        </w:rPr>
        <w:t xml:space="preserve">PMU has the experience and competence to oversee environmental and OHS issues associated with the implementation of the Project's construction activities, in particular in the context of field work, PMU's individual environmental and social experts in the provinces will supervise and monitor the contractors and report any issues identified in the field to the contractors and their liaison officers and agree on steps to rectify these issues. At this point, it should be noted that in an important event or </w:t>
      </w:r>
      <w:r w:rsidRPr="00175D8B">
        <w:rPr>
          <w:rFonts w:eastAsia="Aptos" w:cs="Aptos"/>
          <w:kern w:val="0"/>
          <w:szCs w:val="22"/>
          <w:lang w:eastAsia="tr-TR"/>
          <w14:ligatures w14:val="none"/>
        </w:rPr>
        <w:lastRenderedPageBreak/>
        <w:t>accident that may affect / threaten the environment, occupational health and safety &amp; community health and safety - fatal work accident, environmental spills and accidents that will put community and environmental health at risk, a work accident that may cause disability etc. -  contractors will immediately inform the UTP and individual Environmental Specialists hired for provinces and the WB will be informed within 48 hours by the UTP. In such a case, the incident report, which includes (1) Root Cause Analysis studies, (2) measures to prevent the accident / incident from happening again, and specific compensation actions / corrective actions, will be submitted to the UTP by the contractor within 30 working days with the guidance and controls of the PMU individual specialists and the UTP will forward the incident report to the WB. The UTP will also report its findings in this context to the WB with their reporting. For the Project, the WB Project team will also visit Project sites from time to time and/or specifically as needed as part of Project supervision.</w:t>
      </w:r>
    </w:p>
    <w:p w14:paraId="7BBB4808" w14:textId="77777777" w:rsidR="00921C59" w:rsidRPr="00175D8B" w:rsidRDefault="00921C59" w:rsidP="00921C59">
      <w:pPr>
        <w:keepNext/>
        <w:spacing w:after="200" w:line="240" w:lineRule="auto"/>
        <w:jc w:val="center"/>
        <w:rPr>
          <w:rFonts w:eastAsia="Aptos" w:cs="Aptos"/>
          <w:b/>
          <w:i/>
          <w:iCs/>
          <w:color w:val="000000"/>
          <w:kern w:val="0"/>
          <w:sz w:val="20"/>
          <w:szCs w:val="18"/>
          <w:lang w:eastAsia="tr-TR"/>
          <w14:ligatures w14:val="none"/>
        </w:rPr>
      </w:pPr>
      <w:r w:rsidRPr="00175D8B">
        <w:rPr>
          <w:rFonts w:eastAsia="Aptos" w:cs="Aptos"/>
          <w:b/>
          <w:i/>
          <w:iCs/>
          <w:color w:val="000000"/>
          <w:kern w:val="0"/>
          <w:sz w:val="20"/>
          <w:szCs w:val="18"/>
          <w:lang w:eastAsia="tr-TR"/>
          <w14:ligatures w14:val="none"/>
        </w:rPr>
        <w:t>OHS Reporting Requirements Table</w:t>
      </w:r>
    </w:p>
    <w:tbl>
      <w:tblPr>
        <w:tblStyle w:val="2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
        <w:gridCol w:w="1153"/>
        <w:gridCol w:w="2518"/>
        <w:gridCol w:w="1984"/>
        <w:gridCol w:w="1276"/>
        <w:gridCol w:w="2126"/>
      </w:tblGrid>
      <w:tr w:rsidR="00921C59" w:rsidRPr="00175D8B" w14:paraId="0F3B3FC5" w14:textId="77777777" w:rsidTr="00DF417A">
        <w:trPr>
          <w:trHeight w:val="918"/>
        </w:trPr>
        <w:tc>
          <w:tcPr>
            <w:tcW w:w="582" w:type="dxa"/>
            <w:shd w:val="clear" w:color="auto" w:fill="ABB7C1"/>
            <w:vAlign w:val="center"/>
          </w:tcPr>
          <w:p w14:paraId="5AC76273" w14:textId="77777777" w:rsidR="00921C59" w:rsidRPr="00175D8B" w:rsidRDefault="00921C59" w:rsidP="00921C59">
            <w:pPr>
              <w:spacing w:after="0"/>
              <w:jc w:val="left"/>
              <w:rPr>
                <w:rFonts w:eastAsia="Aptos" w:cs="Aptos"/>
                <w:b/>
                <w:sz w:val="18"/>
                <w:szCs w:val="18"/>
              </w:rPr>
            </w:pPr>
            <w:r w:rsidRPr="00175D8B">
              <w:rPr>
                <w:rFonts w:eastAsia="Aptos" w:cs="Aptos"/>
                <w:b/>
                <w:sz w:val="18"/>
                <w:szCs w:val="18"/>
              </w:rPr>
              <w:t>No</w:t>
            </w:r>
          </w:p>
        </w:tc>
        <w:tc>
          <w:tcPr>
            <w:tcW w:w="1153" w:type="dxa"/>
            <w:shd w:val="clear" w:color="auto" w:fill="ABB7C1"/>
            <w:vAlign w:val="center"/>
          </w:tcPr>
          <w:p w14:paraId="2E18C63F" w14:textId="77777777" w:rsidR="00921C59" w:rsidRPr="00175D8B" w:rsidRDefault="00921C59" w:rsidP="00921C59">
            <w:pPr>
              <w:spacing w:after="0"/>
              <w:jc w:val="left"/>
              <w:rPr>
                <w:rFonts w:eastAsia="Aptos" w:cs="Aptos"/>
                <w:b/>
                <w:sz w:val="18"/>
                <w:szCs w:val="18"/>
              </w:rPr>
            </w:pPr>
            <w:r w:rsidRPr="00175D8B">
              <w:rPr>
                <w:rFonts w:eastAsia="Aptos" w:cs="Aptos"/>
                <w:b/>
                <w:sz w:val="18"/>
                <w:szCs w:val="18"/>
              </w:rPr>
              <w:t xml:space="preserve">Parameter </w:t>
            </w:r>
          </w:p>
        </w:tc>
        <w:tc>
          <w:tcPr>
            <w:tcW w:w="2518" w:type="dxa"/>
            <w:shd w:val="clear" w:color="auto" w:fill="ABB7C1"/>
            <w:vAlign w:val="center"/>
          </w:tcPr>
          <w:p w14:paraId="077A2B05" w14:textId="77777777" w:rsidR="00921C59" w:rsidRPr="00175D8B" w:rsidRDefault="00921C59" w:rsidP="00921C59">
            <w:pPr>
              <w:spacing w:after="0"/>
              <w:jc w:val="left"/>
              <w:rPr>
                <w:rFonts w:eastAsia="Aptos" w:cs="Aptos"/>
                <w:b/>
                <w:sz w:val="18"/>
                <w:szCs w:val="18"/>
              </w:rPr>
            </w:pPr>
            <w:r w:rsidRPr="00175D8B">
              <w:rPr>
                <w:rFonts w:eastAsia="Aptos" w:cs="Aptos"/>
                <w:b/>
                <w:sz w:val="18"/>
                <w:szCs w:val="18"/>
              </w:rPr>
              <w:t>Parameter Details / Mitigation</w:t>
            </w:r>
          </w:p>
        </w:tc>
        <w:tc>
          <w:tcPr>
            <w:tcW w:w="1984" w:type="dxa"/>
            <w:shd w:val="clear" w:color="auto" w:fill="ABB7C1"/>
            <w:vAlign w:val="center"/>
          </w:tcPr>
          <w:p w14:paraId="74D100E8" w14:textId="77777777" w:rsidR="00921C59" w:rsidRPr="00175D8B" w:rsidRDefault="00921C59" w:rsidP="00921C59">
            <w:pPr>
              <w:spacing w:after="0"/>
              <w:jc w:val="left"/>
              <w:rPr>
                <w:rFonts w:eastAsia="Aptos" w:cs="Aptos"/>
                <w:b/>
                <w:sz w:val="18"/>
                <w:szCs w:val="18"/>
              </w:rPr>
            </w:pPr>
            <w:r w:rsidRPr="00175D8B">
              <w:rPr>
                <w:rFonts w:eastAsia="Aptos" w:cs="Aptos"/>
                <w:b/>
                <w:sz w:val="18"/>
                <w:szCs w:val="18"/>
              </w:rPr>
              <w:t>Monitoring Method and Location</w:t>
            </w:r>
          </w:p>
        </w:tc>
        <w:tc>
          <w:tcPr>
            <w:tcW w:w="1276" w:type="dxa"/>
            <w:shd w:val="clear" w:color="auto" w:fill="ABB7C1"/>
            <w:vAlign w:val="center"/>
          </w:tcPr>
          <w:p w14:paraId="111CB6ED" w14:textId="77777777" w:rsidR="00921C59" w:rsidRPr="00175D8B" w:rsidRDefault="00921C59" w:rsidP="00921C59">
            <w:pPr>
              <w:spacing w:after="0"/>
              <w:jc w:val="left"/>
              <w:rPr>
                <w:rFonts w:eastAsia="Aptos" w:cs="Aptos"/>
                <w:b/>
                <w:sz w:val="18"/>
                <w:szCs w:val="18"/>
              </w:rPr>
            </w:pPr>
            <w:r w:rsidRPr="00175D8B">
              <w:rPr>
                <w:rFonts w:eastAsia="Aptos" w:cs="Aptos"/>
                <w:b/>
                <w:sz w:val="18"/>
                <w:szCs w:val="18"/>
              </w:rPr>
              <w:t>Frequency</w:t>
            </w:r>
          </w:p>
        </w:tc>
        <w:tc>
          <w:tcPr>
            <w:tcW w:w="2126" w:type="dxa"/>
            <w:shd w:val="clear" w:color="auto" w:fill="ABB7C1"/>
            <w:vAlign w:val="center"/>
          </w:tcPr>
          <w:p w14:paraId="15A25248" w14:textId="77777777" w:rsidR="00921C59" w:rsidRPr="00175D8B" w:rsidRDefault="00921C59" w:rsidP="00921C59">
            <w:pPr>
              <w:spacing w:after="0"/>
              <w:jc w:val="left"/>
              <w:rPr>
                <w:rFonts w:eastAsia="Aptos" w:cs="Aptos"/>
                <w:b/>
                <w:sz w:val="18"/>
                <w:szCs w:val="18"/>
              </w:rPr>
            </w:pPr>
            <w:r w:rsidRPr="00175D8B">
              <w:rPr>
                <w:rFonts w:eastAsia="Aptos" w:cs="Aptos"/>
                <w:b/>
                <w:sz w:val="18"/>
                <w:szCs w:val="18"/>
              </w:rPr>
              <w:t>Responsibility</w:t>
            </w:r>
          </w:p>
        </w:tc>
      </w:tr>
      <w:tr w:rsidR="00921C59" w:rsidRPr="00175D8B" w14:paraId="61C66EF8" w14:textId="77777777" w:rsidTr="00DF417A">
        <w:trPr>
          <w:trHeight w:val="22"/>
        </w:trPr>
        <w:tc>
          <w:tcPr>
            <w:tcW w:w="582" w:type="dxa"/>
            <w:vMerge w:val="restart"/>
            <w:shd w:val="clear" w:color="auto" w:fill="F2F2F2"/>
            <w:tcMar>
              <w:top w:w="28" w:type="dxa"/>
              <w:left w:w="85" w:type="dxa"/>
              <w:bottom w:w="28" w:type="dxa"/>
              <w:right w:w="85" w:type="dxa"/>
            </w:tcMar>
          </w:tcPr>
          <w:p w14:paraId="6F0A111A" w14:textId="77777777" w:rsidR="00921C59" w:rsidRPr="00175D8B" w:rsidRDefault="00921C59" w:rsidP="00921C59">
            <w:pPr>
              <w:spacing w:after="0"/>
              <w:rPr>
                <w:rFonts w:eastAsia="Aptos" w:cs="Aptos"/>
                <w:sz w:val="18"/>
                <w:szCs w:val="18"/>
              </w:rPr>
            </w:pPr>
            <w:r w:rsidRPr="00175D8B">
              <w:rPr>
                <w:rFonts w:eastAsia="Aptos" w:cs="Aptos"/>
                <w:sz w:val="18"/>
                <w:szCs w:val="18"/>
              </w:rPr>
              <w:t>1</w:t>
            </w:r>
          </w:p>
        </w:tc>
        <w:tc>
          <w:tcPr>
            <w:tcW w:w="1153" w:type="dxa"/>
            <w:vMerge w:val="restart"/>
            <w:shd w:val="clear" w:color="auto" w:fill="F2F2F2"/>
            <w:tcMar>
              <w:top w:w="28" w:type="dxa"/>
              <w:left w:w="85" w:type="dxa"/>
              <w:bottom w:w="28" w:type="dxa"/>
              <w:right w:w="85" w:type="dxa"/>
            </w:tcMar>
          </w:tcPr>
          <w:p w14:paraId="703EF68C" w14:textId="77777777" w:rsidR="00921C59" w:rsidRPr="00175D8B" w:rsidRDefault="00921C59" w:rsidP="00921C59">
            <w:pPr>
              <w:spacing w:after="0"/>
              <w:rPr>
                <w:rFonts w:eastAsia="Aptos" w:cs="Aptos"/>
                <w:sz w:val="18"/>
                <w:szCs w:val="18"/>
              </w:rPr>
            </w:pPr>
            <w:r w:rsidRPr="00175D8B">
              <w:rPr>
                <w:rFonts w:eastAsia="Aptos" w:cs="Aptos"/>
                <w:sz w:val="18"/>
                <w:szCs w:val="18"/>
              </w:rPr>
              <w:t>Community Health and Safety / Traffic</w:t>
            </w:r>
          </w:p>
        </w:tc>
        <w:tc>
          <w:tcPr>
            <w:tcW w:w="2518" w:type="dxa"/>
            <w:vMerge w:val="restart"/>
            <w:shd w:val="clear" w:color="auto" w:fill="F2F2F2"/>
            <w:tcMar>
              <w:top w:w="28" w:type="dxa"/>
              <w:left w:w="85" w:type="dxa"/>
              <w:bottom w:w="28" w:type="dxa"/>
              <w:right w:w="85" w:type="dxa"/>
            </w:tcMar>
          </w:tcPr>
          <w:p w14:paraId="3A854C79" w14:textId="77777777" w:rsidR="00921C59" w:rsidRPr="00175D8B" w:rsidRDefault="00921C59" w:rsidP="00921C59">
            <w:pPr>
              <w:spacing w:after="0"/>
              <w:rPr>
                <w:rFonts w:eastAsia="Aptos" w:cs="Aptos"/>
                <w:sz w:val="18"/>
                <w:szCs w:val="18"/>
              </w:rPr>
            </w:pPr>
            <w:r w:rsidRPr="00175D8B">
              <w:rPr>
                <w:rFonts w:eastAsia="Aptos" w:cs="Aptos"/>
                <w:sz w:val="18"/>
                <w:szCs w:val="18"/>
              </w:rPr>
              <w:t xml:space="preserve">Resolving the traffic congestion problem (if any) which were caused by the demolition activities performed. </w:t>
            </w:r>
          </w:p>
        </w:tc>
        <w:tc>
          <w:tcPr>
            <w:tcW w:w="1984" w:type="dxa"/>
            <w:vMerge w:val="restart"/>
            <w:shd w:val="clear" w:color="auto" w:fill="F2F2F2"/>
            <w:tcMar>
              <w:top w:w="28" w:type="dxa"/>
              <w:left w:w="85" w:type="dxa"/>
              <w:bottom w:w="28" w:type="dxa"/>
              <w:right w:w="85" w:type="dxa"/>
            </w:tcMar>
          </w:tcPr>
          <w:p w14:paraId="26D3A24A" w14:textId="77777777" w:rsidR="00921C59" w:rsidRPr="00175D8B" w:rsidRDefault="00921C59" w:rsidP="00921C59">
            <w:pPr>
              <w:spacing w:after="0"/>
              <w:rPr>
                <w:rFonts w:eastAsia="Aptos" w:cs="Aptos"/>
                <w:sz w:val="18"/>
                <w:szCs w:val="18"/>
              </w:rPr>
            </w:pPr>
            <w:r w:rsidRPr="00175D8B">
              <w:rPr>
                <w:rFonts w:eastAsia="Aptos" w:cs="Aptos"/>
                <w:sz w:val="18"/>
                <w:szCs w:val="18"/>
              </w:rPr>
              <w:t>Visual observations on and around of the sub-project site.</w:t>
            </w:r>
          </w:p>
        </w:tc>
        <w:tc>
          <w:tcPr>
            <w:tcW w:w="1276" w:type="dxa"/>
            <w:shd w:val="clear" w:color="auto" w:fill="F2F2F2"/>
            <w:tcMar>
              <w:top w:w="28" w:type="dxa"/>
              <w:left w:w="85" w:type="dxa"/>
              <w:bottom w:w="28" w:type="dxa"/>
              <w:right w:w="85" w:type="dxa"/>
            </w:tcMar>
          </w:tcPr>
          <w:p w14:paraId="2005ACAE" w14:textId="77777777" w:rsidR="00921C59" w:rsidRPr="00175D8B" w:rsidRDefault="00921C59" w:rsidP="00921C59">
            <w:pPr>
              <w:spacing w:after="0"/>
              <w:rPr>
                <w:rFonts w:eastAsia="Aptos" w:cs="Aptos"/>
                <w:sz w:val="18"/>
                <w:szCs w:val="18"/>
              </w:rPr>
            </w:pPr>
            <w:r w:rsidRPr="00175D8B">
              <w:rPr>
                <w:rFonts w:eastAsia="Aptos" w:cs="Aptos"/>
                <w:sz w:val="18"/>
                <w:szCs w:val="18"/>
              </w:rPr>
              <w:t>Daily</w:t>
            </w:r>
          </w:p>
        </w:tc>
        <w:tc>
          <w:tcPr>
            <w:tcW w:w="2126" w:type="dxa"/>
            <w:shd w:val="clear" w:color="auto" w:fill="F2F2F2"/>
            <w:tcMar>
              <w:top w:w="28" w:type="dxa"/>
              <w:left w:w="85" w:type="dxa"/>
              <w:bottom w:w="28" w:type="dxa"/>
              <w:right w:w="85" w:type="dxa"/>
            </w:tcMar>
          </w:tcPr>
          <w:p w14:paraId="14BE40BE" w14:textId="77777777" w:rsidR="00921C59" w:rsidRPr="00175D8B" w:rsidRDefault="00921C59" w:rsidP="00921C59">
            <w:pPr>
              <w:spacing w:after="0"/>
              <w:rPr>
                <w:rFonts w:eastAsia="Aptos" w:cs="Aptos"/>
                <w:sz w:val="18"/>
                <w:szCs w:val="18"/>
              </w:rPr>
            </w:pPr>
            <w:r w:rsidRPr="00175D8B">
              <w:rPr>
                <w:rFonts w:eastAsia="Aptos" w:cs="Aptos"/>
                <w:sz w:val="18"/>
                <w:szCs w:val="18"/>
              </w:rPr>
              <w:t>Contractor / Contractor’s OHS Focal Point</w:t>
            </w:r>
          </w:p>
        </w:tc>
      </w:tr>
      <w:tr w:rsidR="00921C59" w:rsidRPr="00175D8B" w14:paraId="07BABE3E" w14:textId="77777777" w:rsidTr="00DF417A">
        <w:trPr>
          <w:trHeight w:val="22"/>
        </w:trPr>
        <w:tc>
          <w:tcPr>
            <w:tcW w:w="582" w:type="dxa"/>
            <w:vMerge/>
            <w:shd w:val="clear" w:color="auto" w:fill="F2F2F2"/>
            <w:tcMar>
              <w:top w:w="28" w:type="dxa"/>
              <w:left w:w="85" w:type="dxa"/>
              <w:bottom w:w="28" w:type="dxa"/>
              <w:right w:w="85" w:type="dxa"/>
            </w:tcMar>
          </w:tcPr>
          <w:p w14:paraId="149C17E8" w14:textId="77777777" w:rsidR="00921C59" w:rsidRPr="00175D8B" w:rsidRDefault="00921C59" w:rsidP="00921C59">
            <w:pPr>
              <w:widowControl w:val="0"/>
              <w:pBdr>
                <w:top w:val="nil"/>
                <w:left w:val="nil"/>
                <w:bottom w:val="nil"/>
                <w:right w:val="nil"/>
                <w:between w:val="nil"/>
              </w:pBdr>
              <w:spacing w:after="0"/>
              <w:jc w:val="left"/>
              <w:rPr>
                <w:rFonts w:eastAsia="Aptos" w:cs="Aptos"/>
                <w:sz w:val="18"/>
                <w:szCs w:val="18"/>
              </w:rPr>
            </w:pPr>
          </w:p>
        </w:tc>
        <w:tc>
          <w:tcPr>
            <w:tcW w:w="1153" w:type="dxa"/>
            <w:vMerge/>
            <w:shd w:val="clear" w:color="auto" w:fill="F2F2F2"/>
            <w:tcMar>
              <w:top w:w="28" w:type="dxa"/>
              <w:left w:w="85" w:type="dxa"/>
              <w:bottom w:w="28" w:type="dxa"/>
              <w:right w:w="85" w:type="dxa"/>
            </w:tcMar>
          </w:tcPr>
          <w:p w14:paraId="434DE3C4" w14:textId="77777777" w:rsidR="00921C59" w:rsidRPr="00175D8B" w:rsidRDefault="00921C59" w:rsidP="00921C59">
            <w:pPr>
              <w:widowControl w:val="0"/>
              <w:pBdr>
                <w:top w:val="nil"/>
                <w:left w:val="nil"/>
                <w:bottom w:val="nil"/>
                <w:right w:val="nil"/>
                <w:between w:val="nil"/>
              </w:pBdr>
              <w:spacing w:after="0"/>
              <w:jc w:val="left"/>
              <w:rPr>
                <w:rFonts w:eastAsia="Aptos" w:cs="Aptos"/>
                <w:sz w:val="18"/>
                <w:szCs w:val="18"/>
              </w:rPr>
            </w:pPr>
          </w:p>
        </w:tc>
        <w:tc>
          <w:tcPr>
            <w:tcW w:w="2518" w:type="dxa"/>
            <w:vMerge/>
            <w:shd w:val="clear" w:color="auto" w:fill="F2F2F2"/>
            <w:tcMar>
              <w:top w:w="28" w:type="dxa"/>
              <w:left w:w="85" w:type="dxa"/>
              <w:bottom w:w="28" w:type="dxa"/>
              <w:right w:w="85" w:type="dxa"/>
            </w:tcMar>
          </w:tcPr>
          <w:p w14:paraId="1E27B0CB" w14:textId="77777777" w:rsidR="00921C59" w:rsidRPr="00175D8B" w:rsidRDefault="00921C59" w:rsidP="00921C59">
            <w:pPr>
              <w:widowControl w:val="0"/>
              <w:pBdr>
                <w:top w:val="nil"/>
                <w:left w:val="nil"/>
                <w:bottom w:val="nil"/>
                <w:right w:val="nil"/>
                <w:between w:val="nil"/>
              </w:pBdr>
              <w:spacing w:after="0"/>
              <w:jc w:val="left"/>
              <w:rPr>
                <w:rFonts w:eastAsia="Aptos" w:cs="Aptos"/>
                <w:sz w:val="18"/>
                <w:szCs w:val="18"/>
              </w:rPr>
            </w:pPr>
          </w:p>
        </w:tc>
        <w:tc>
          <w:tcPr>
            <w:tcW w:w="1984" w:type="dxa"/>
            <w:vMerge/>
            <w:shd w:val="clear" w:color="auto" w:fill="F2F2F2"/>
            <w:tcMar>
              <w:top w:w="28" w:type="dxa"/>
              <w:left w:w="85" w:type="dxa"/>
              <w:bottom w:w="28" w:type="dxa"/>
              <w:right w:w="85" w:type="dxa"/>
            </w:tcMar>
          </w:tcPr>
          <w:p w14:paraId="73B6265F" w14:textId="77777777" w:rsidR="00921C59" w:rsidRPr="00175D8B" w:rsidRDefault="00921C59" w:rsidP="00921C59">
            <w:pPr>
              <w:widowControl w:val="0"/>
              <w:pBdr>
                <w:top w:val="nil"/>
                <w:left w:val="nil"/>
                <w:bottom w:val="nil"/>
                <w:right w:val="nil"/>
                <w:between w:val="nil"/>
              </w:pBdr>
              <w:spacing w:after="0"/>
              <w:jc w:val="left"/>
              <w:rPr>
                <w:rFonts w:eastAsia="Aptos" w:cs="Aptos"/>
                <w:sz w:val="18"/>
                <w:szCs w:val="18"/>
              </w:rPr>
            </w:pPr>
          </w:p>
        </w:tc>
        <w:tc>
          <w:tcPr>
            <w:tcW w:w="1276" w:type="dxa"/>
            <w:shd w:val="clear" w:color="auto" w:fill="F2F2F2"/>
            <w:tcMar>
              <w:top w:w="28" w:type="dxa"/>
              <w:left w:w="85" w:type="dxa"/>
              <w:bottom w:w="28" w:type="dxa"/>
              <w:right w:w="85" w:type="dxa"/>
            </w:tcMar>
          </w:tcPr>
          <w:p w14:paraId="2DEB076B" w14:textId="77777777" w:rsidR="00921C59" w:rsidRPr="00175D8B" w:rsidRDefault="00921C59" w:rsidP="00921C59">
            <w:pPr>
              <w:spacing w:after="0"/>
              <w:rPr>
                <w:rFonts w:eastAsia="Aptos" w:cs="Aptos"/>
                <w:sz w:val="18"/>
                <w:szCs w:val="18"/>
              </w:rPr>
            </w:pPr>
            <w:r w:rsidRPr="00175D8B">
              <w:rPr>
                <w:rFonts w:eastAsia="Aptos" w:cs="Aptos"/>
                <w:sz w:val="18"/>
                <w:szCs w:val="18"/>
              </w:rPr>
              <w:t>Weekly</w:t>
            </w:r>
          </w:p>
        </w:tc>
        <w:tc>
          <w:tcPr>
            <w:tcW w:w="2126" w:type="dxa"/>
            <w:shd w:val="clear" w:color="auto" w:fill="F2F2F2"/>
            <w:tcMar>
              <w:top w:w="28" w:type="dxa"/>
              <w:left w:w="85" w:type="dxa"/>
              <w:bottom w:w="28" w:type="dxa"/>
              <w:right w:w="85" w:type="dxa"/>
            </w:tcMar>
          </w:tcPr>
          <w:p w14:paraId="2C8865EB" w14:textId="77777777" w:rsidR="00921C59" w:rsidRPr="00175D8B" w:rsidRDefault="00921C59" w:rsidP="00921C59">
            <w:pPr>
              <w:spacing w:after="0"/>
              <w:rPr>
                <w:rFonts w:eastAsia="Aptos" w:cs="Aptos"/>
                <w:sz w:val="18"/>
                <w:szCs w:val="18"/>
              </w:rPr>
            </w:pPr>
            <w:r w:rsidRPr="00175D8B">
              <w:rPr>
                <w:rFonts w:eastAsia="Aptos" w:cs="Aptos"/>
                <w:sz w:val="18"/>
                <w:szCs w:val="18"/>
              </w:rPr>
              <w:t>PMU Individual Specialists in the provinces</w:t>
            </w:r>
          </w:p>
        </w:tc>
      </w:tr>
      <w:tr w:rsidR="00921C59" w:rsidRPr="00175D8B" w14:paraId="54F1F8E9" w14:textId="77777777" w:rsidTr="00DF417A">
        <w:trPr>
          <w:trHeight w:val="22"/>
        </w:trPr>
        <w:tc>
          <w:tcPr>
            <w:tcW w:w="582" w:type="dxa"/>
            <w:vMerge w:val="restart"/>
            <w:shd w:val="clear" w:color="auto" w:fill="F2F2F2"/>
          </w:tcPr>
          <w:p w14:paraId="22210A25" w14:textId="77777777" w:rsidR="00921C59" w:rsidRPr="00175D8B" w:rsidRDefault="00921C59" w:rsidP="00921C59">
            <w:pPr>
              <w:spacing w:after="0"/>
              <w:rPr>
                <w:rFonts w:eastAsia="Aptos" w:cs="Aptos"/>
                <w:sz w:val="18"/>
                <w:szCs w:val="18"/>
              </w:rPr>
            </w:pPr>
            <w:r w:rsidRPr="00175D8B">
              <w:rPr>
                <w:rFonts w:eastAsia="Aptos" w:cs="Aptos"/>
                <w:sz w:val="18"/>
                <w:szCs w:val="18"/>
              </w:rPr>
              <w:t>2</w:t>
            </w:r>
          </w:p>
        </w:tc>
        <w:tc>
          <w:tcPr>
            <w:tcW w:w="1153" w:type="dxa"/>
            <w:vMerge w:val="restart"/>
            <w:shd w:val="clear" w:color="auto" w:fill="F2F2F2"/>
          </w:tcPr>
          <w:p w14:paraId="688EFB11" w14:textId="77777777" w:rsidR="00921C59" w:rsidRPr="00175D8B" w:rsidRDefault="00921C59" w:rsidP="00921C59">
            <w:pPr>
              <w:spacing w:after="0"/>
              <w:rPr>
                <w:rFonts w:eastAsia="Aptos" w:cs="Aptos"/>
                <w:sz w:val="18"/>
                <w:szCs w:val="18"/>
              </w:rPr>
            </w:pPr>
            <w:r w:rsidRPr="00175D8B">
              <w:rPr>
                <w:rFonts w:eastAsia="Aptos" w:cs="Aptos"/>
                <w:sz w:val="18"/>
                <w:szCs w:val="18"/>
              </w:rPr>
              <w:t>Community Health and Safety</w:t>
            </w:r>
          </w:p>
        </w:tc>
        <w:tc>
          <w:tcPr>
            <w:tcW w:w="2518" w:type="dxa"/>
            <w:vMerge w:val="restart"/>
            <w:shd w:val="clear" w:color="auto" w:fill="F2F2F2"/>
          </w:tcPr>
          <w:p w14:paraId="50429BE8" w14:textId="77777777" w:rsidR="00921C59" w:rsidRPr="00175D8B" w:rsidRDefault="00921C59" w:rsidP="00921C59">
            <w:pPr>
              <w:spacing w:after="0"/>
              <w:rPr>
                <w:rFonts w:eastAsia="Aptos" w:cs="Aptos"/>
                <w:sz w:val="18"/>
                <w:szCs w:val="18"/>
              </w:rPr>
            </w:pPr>
            <w:r w:rsidRPr="00175D8B">
              <w:rPr>
                <w:rFonts w:eastAsia="Aptos" w:cs="Aptos"/>
                <w:sz w:val="18"/>
                <w:szCs w:val="18"/>
              </w:rPr>
              <w:t>Taking precautions regarding community health and safety (signing, provision of safety lines, informing locals etc.).</w:t>
            </w:r>
          </w:p>
        </w:tc>
        <w:tc>
          <w:tcPr>
            <w:tcW w:w="1984" w:type="dxa"/>
            <w:vMerge w:val="restart"/>
            <w:shd w:val="clear" w:color="auto" w:fill="F2F2F2"/>
          </w:tcPr>
          <w:p w14:paraId="2664003B" w14:textId="77777777" w:rsidR="00921C59" w:rsidRPr="00175D8B" w:rsidRDefault="00921C59" w:rsidP="00921C59">
            <w:pPr>
              <w:spacing w:after="0"/>
              <w:rPr>
                <w:rFonts w:eastAsia="Aptos" w:cs="Aptos"/>
                <w:sz w:val="18"/>
                <w:szCs w:val="18"/>
              </w:rPr>
            </w:pPr>
            <w:r w:rsidRPr="00175D8B">
              <w:rPr>
                <w:rFonts w:eastAsia="Aptos" w:cs="Aptos"/>
                <w:sz w:val="18"/>
                <w:szCs w:val="18"/>
              </w:rPr>
              <w:t>Visual observations on and around of the sub-project sites.</w:t>
            </w:r>
          </w:p>
        </w:tc>
        <w:tc>
          <w:tcPr>
            <w:tcW w:w="1276" w:type="dxa"/>
            <w:shd w:val="clear" w:color="auto" w:fill="F2F2F2"/>
          </w:tcPr>
          <w:p w14:paraId="65698EF4" w14:textId="77777777" w:rsidR="00921C59" w:rsidRPr="00175D8B" w:rsidRDefault="00921C59" w:rsidP="00921C59">
            <w:pPr>
              <w:spacing w:after="0"/>
              <w:rPr>
                <w:rFonts w:eastAsia="Aptos" w:cs="Aptos"/>
                <w:sz w:val="18"/>
                <w:szCs w:val="18"/>
              </w:rPr>
            </w:pPr>
            <w:r w:rsidRPr="00175D8B">
              <w:rPr>
                <w:rFonts w:eastAsia="Aptos" w:cs="Aptos"/>
                <w:sz w:val="18"/>
                <w:szCs w:val="18"/>
              </w:rPr>
              <w:t>Daily</w:t>
            </w:r>
          </w:p>
        </w:tc>
        <w:tc>
          <w:tcPr>
            <w:tcW w:w="2126" w:type="dxa"/>
            <w:shd w:val="clear" w:color="auto" w:fill="F2F2F2"/>
          </w:tcPr>
          <w:p w14:paraId="1D9E1756" w14:textId="77777777" w:rsidR="00921C59" w:rsidRPr="00175D8B" w:rsidRDefault="00921C59" w:rsidP="00921C59">
            <w:pPr>
              <w:spacing w:after="0"/>
              <w:rPr>
                <w:rFonts w:eastAsia="Aptos" w:cs="Aptos"/>
                <w:sz w:val="18"/>
                <w:szCs w:val="18"/>
              </w:rPr>
            </w:pPr>
            <w:r w:rsidRPr="00175D8B">
              <w:rPr>
                <w:rFonts w:eastAsia="Aptos" w:cs="Aptos"/>
                <w:sz w:val="18"/>
                <w:szCs w:val="18"/>
              </w:rPr>
              <w:t>Contractor / Contractor’s OHS Focal Point</w:t>
            </w:r>
          </w:p>
        </w:tc>
      </w:tr>
      <w:tr w:rsidR="00921C59" w:rsidRPr="00175D8B" w14:paraId="7541A21D" w14:textId="77777777" w:rsidTr="00DF417A">
        <w:trPr>
          <w:trHeight w:val="22"/>
        </w:trPr>
        <w:tc>
          <w:tcPr>
            <w:tcW w:w="582" w:type="dxa"/>
            <w:vMerge/>
            <w:shd w:val="clear" w:color="auto" w:fill="F2F2F2"/>
          </w:tcPr>
          <w:p w14:paraId="61E6E519" w14:textId="77777777" w:rsidR="00921C59" w:rsidRPr="00175D8B" w:rsidRDefault="00921C59" w:rsidP="00921C59">
            <w:pPr>
              <w:widowControl w:val="0"/>
              <w:pBdr>
                <w:top w:val="nil"/>
                <w:left w:val="nil"/>
                <w:bottom w:val="nil"/>
                <w:right w:val="nil"/>
                <w:between w:val="nil"/>
              </w:pBdr>
              <w:spacing w:after="0"/>
              <w:jc w:val="left"/>
              <w:rPr>
                <w:rFonts w:eastAsia="Aptos" w:cs="Aptos"/>
                <w:sz w:val="18"/>
                <w:szCs w:val="18"/>
              </w:rPr>
            </w:pPr>
          </w:p>
        </w:tc>
        <w:tc>
          <w:tcPr>
            <w:tcW w:w="1153" w:type="dxa"/>
            <w:vMerge/>
            <w:shd w:val="clear" w:color="auto" w:fill="F2F2F2"/>
          </w:tcPr>
          <w:p w14:paraId="71EFE3D8" w14:textId="77777777" w:rsidR="00921C59" w:rsidRPr="00175D8B" w:rsidRDefault="00921C59" w:rsidP="00921C59">
            <w:pPr>
              <w:widowControl w:val="0"/>
              <w:pBdr>
                <w:top w:val="nil"/>
                <w:left w:val="nil"/>
                <w:bottom w:val="nil"/>
                <w:right w:val="nil"/>
                <w:between w:val="nil"/>
              </w:pBdr>
              <w:spacing w:after="0"/>
              <w:jc w:val="left"/>
              <w:rPr>
                <w:rFonts w:eastAsia="Aptos" w:cs="Aptos"/>
                <w:sz w:val="18"/>
                <w:szCs w:val="18"/>
              </w:rPr>
            </w:pPr>
          </w:p>
        </w:tc>
        <w:tc>
          <w:tcPr>
            <w:tcW w:w="2518" w:type="dxa"/>
            <w:vMerge/>
            <w:shd w:val="clear" w:color="auto" w:fill="F2F2F2"/>
          </w:tcPr>
          <w:p w14:paraId="1B04C7A9" w14:textId="77777777" w:rsidR="00921C59" w:rsidRPr="00175D8B" w:rsidRDefault="00921C59" w:rsidP="00921C59">
            <w:pPr>
              <w:widowControl w:val="0"/>
              <w:pBdr>
                <w:top w:val="nil"/>
                <w:left w:val="nil"/>
                <w:bottom w:val="nil"/>
                <w:right w:val="nil"/>
                <w:between w:val="nil"/>
              </w:pBdr>
              <w:spacing w:after="0"/>
              <w:jc w:val="left"/>
              <w:rPr>
                <w:rFonts w:eastAsia="Aptos" w:cs="Aptos"/>
                <w:sz w:val="18"/>
                <w:szCs w:val="18"/>
              </w:rPr>
            </w:pPr>
          </w:p>
        </w:tc>
        <w:tc>
          <w:tcPr>
            <w:tcW w:w="1984" w:type="dxa"/>
            <w:vMerge/>
            <w:shd w:val="clear" w:color="auto" w:fill="F2F2F2"/>
          </w:tcPr>
          <w:p w14:paraId="216C7158" w14:textId="77777777" w:rsidR="00921C59" w:rsidRPr="00175D8B" w:rsidRDefault="00921C59" w:rsidP="00921C59">
            <w:pPr>
              <w:widowControl w:val="0"/>
              <w:pBdr>
                <w:top w:val="nil"/>
                <w:left w:val="nil"/>
                <w:bottom w:val="nil"/>
                <w:right w:val="nil"/>
                <w:between w:val="nil"/>
              </w:pBdr>
              <w:spacing w:after="0"/>
              <w:jc w:val="left"/>
              <w:rPr>
                <w:rFonts w:eastAsia="Aptos" w:cs="Aptos"/>
                <w:sz w:val="18"/>
                <w:szCs w:val="18"/>
              </w:rPr>
            </w:pPr>
          </w:p>
        </w:tc>
        <w:tc>
          <w:tcPr>
            <w:tcW w:w="1276" w:type="dxa"/>
            <w:shd w:val="clear" w:color="auto" w:fill="F2F2F2"/>
          </w:tcPr>
          <w:p w14:paraId="5844F35E" w14:textId="77777777" w:rsidR="00921C59" w:rsidRPr="00175D8B" w:rsidRDefault="00921C59" w:rsidP="00921C59">
            <w:pPr>
              <w:spacing w:after="0"/>
              <w:rPr>
                <w:rFonts w:eastAsia="Aptos" w:cs="Aptos"/>
                <w:sz w:val="18"/>
                <w:szCs w:val="18"/>
              </w:rPr>
            </w:pPr>
            <w:r w:rsidRPr="00175D8B">
              <w:rPr>
                <w:rFonts w:eastAsia="Aptos" w:cs="Aptos"/>
                <w:sz w:val="18"/>
                <w:szCs w:val="18"/>
              </w:rPr>
              <w:t>Weekly</w:t>
            </w:r>
          </w:p>
        </w:tc>
        <w:tc>
          <w:tcPr>
            <w:tcW w:w="2126" w:type="dxa"/>
            <w:shd w:val="clear" w:color="auto" w:fill="F2F2F2"/>
          </w:tcPr>
          <w:p w14:paraId="6839320A" w14:textId="77777777" w:rsidR="00921C59" w:rsidRPr="00175D8B" w:rsidRDefault="00921C59" w:rsidP="00921C59">
            <w:pPr>
              <w:spacing w:after="0"/>
              <w:rPr>
                <w:rFonts w:eastAsia="Aptos" w:cs="Aptos"/>
                <w:sz w:val="18"/>
                <w:szCs w:val="18"/>
              </w:rPr>
            </w:pPr>
            <w:r w:rsidRPr="00175D8B">
              <w:rPr>
                <w:rFonts w:eastAsia="Aptos" w:cs="Aptos"/>
                <w:sz w:val="18"/>
                <w:szCs w:val="18"/>
              </w:rPr>
              <w:t>PMU Individual Specialists in the provinces</w:t>
            </w:r>
          </w:p>
        </w:tc>
      </w:tr>
      <w:tr w:rsidR="00921C59" w:rsidRPr="00175D8B" w14:paraId="0874AD29" w14:textId="77777777" w:rsidTr="00DF417A">
        <w:trPr>
          <w:trHeight w:val="22"/>
        </w:trPr>
        <w:tc>
          <w:tcPr>
            <w:tcW w:w="582" w:type="dxa"/>
            <w:vMerge w:val="restart"/>
            <w:shd w:val="clear" w:color="auto" w:fill="F2F2F2"/>
          </w:tcPr>
          <w:p w14:paraId="71F535BB" w14:textId="77777777" w:rsidR="00921C59" w:rsidRPr="00175D8B" w:rsidRDefault="00921C59" w:rsidP="00921C59">
            <w:pPr>
              <w:spacing w:after="0"/>
              <w:rPr>
                <w:rFonts w:eastAsia="Aptos" w:cs="Aptos"/>
                <w:sz w:val="18"/>
                <w:szCs w:val="18"/>
              </w:rPr>
            </w:pPr>
            <w:r w:rsidRPr="00175D8B">
              <w:rPr>
                <w:rFonts w:eastAsia="Aptos" w:cs="Aptos"/>
                <w:sz w:val="18"/>
                <w:szCs w:val="18"/>
              </w:rPr>
              <w:t>3</w:t>
            </w:r>
          </w:p>
        </w:tc>
        <w:tc>
          <w:tcPr>
            <w:tcW w:w="1153" w:type="dxa"/>
            <w:vMerge w:val="restart"/>
            <w:shd w:val="clear" w:color="auto" w:fill="F2F2F2"/>
          </w:tcPr>
          <w:p w14:paraId="671B493B" w14:textId="77777777" w:rsidR="00921C59" w:rsidRPr="00175D8B" w:rsidRDefault="00921C59" w:rsidP="00921C59">
            <w:pPr>
              <w:spacing w:after="0"/>
              <w:rPr>
                <w:rFonts w:eastAsia="Aptos" w:cs="Aptos"/>
                <w:sz w:val="18"/>
                <w:szCs w:val="18"/>
              </w:rPr>
            </w:pPr>
            <w:r w:rsidRPr="00175D8B">
              <w:rPr>
                <w:rFonts w:eastAsia="Aptos" w:cs="Aptos"/>
                <w:sz w:val="18"/>
                <w:szCs w:val="18"/>
              </w:rPr>
              <w:t>Dust and Noise</w:t>
            </w:r>
          </w:p>
        </w:tc>
        <w:tc>
          <w:tcPr>
            <w:tcW w:w="2518" w:type="dxa"/>
            <w:vMerge w:val="restart"/>
            <w:shd w:val="clear" w:color="auto" w:fill="F2F2F2"/>
          </w:tcPr>
          <w:p w14:paraId="1CD557D8" w14:textId="77777777" w:rsidR="00921C59" w:rsidRPr="00175D8B" w:rsidRDefault="00921C59" w:rsidP="00921C59">
            <w:pPr>
              <w:spacing w:after="0"/>
              <w:rPr>
                <w:rFonts w:eastAsia="Aptos" w:cs="Aptos"/>
                <w:sz w:val="18"/>
                <w:szCs w:val="18"/>
              </w:rPr>
            </w:pPr>
            <w:r w:rsidRPr="00175D8B">
              <w:rPr>
                <w:rFonts w:eastAsia="Aptos" w:cs="Aptos"/>
                <w:sz w:val="18"/>
                <w:szCs w:val="18"/>
              </w:rPr>
              <w:t>Taking compulsory measures within the scope of national legislation and to be detailed in the ESMP Checklists and Sakarya ESMP related to dust and noise.</w:t>
            </w:r>
          </w:p>
        </w:tc>
        <w:tc>
          <w:tcPr>
            <w:tcW w:w="1984" w:type="dxa"/>
            <w:vMerge w:val="restart"/>
            <w:shd w:val="clear" w:color="auto" w:fill="F2F2F2"/>
          </w:tcPr>
          <w:p w14:paraId="3F97B32A" w14:textId="77777777" w:rsidR="00921C59" w:rsidRPr="00175D8B" w:rsidRDefault="00921C59" w:rsidP="00921C59">
            <w:pPr>
              <w:spacing w:after="0"/>
              <w:rPr>
                <w:rFonts w:eastAsia="Aptos" w:cs="Aptos"/>
                <w:sz w:val="18"/>
                <w:szCs w:val="18"/>
              </w:rPr>
            </w:pPr>
            <w:r w:rsidRPr="00175D8B">
              <w:rPr>
                <w:rFonts w:eastAsia="Aptos" w:cs="Aptos"/>
                <w:sz w:val="18"/>
                <w:szCs w:val="18"/>
              </w:rPr>
              <w:t xml:space="preserve">Visual observations at sub-project sites and impact areas. </w:t>
            </w:r>
          </w:p>
        </w:tc>
        <w:tc>
          <w:tcPr>
            <w:tcW w:w="1276" w:type="dxa"/>
            <w:shd w:val="clear" w:color="auto" w:fill="F2F2F2"/>
          </w:tcPr>
          <w:p w14:paraId="39C126DA" w14:textId="77777777" w:rsidR="00921C59" w:rsidRPr="00175D8B" w:rsidRDefault="00921C59" w:rsidP="00921C59">
            <w:pPr>
              <w:spacing w:after="0"/>
              <w:rPr>
                <w:rFonts w:eastAsia="Aptos" w:cs="Aptos"/>
                <w:sz w:val="18"/>
                <w:szCs w:val="18"/>
              </w:rPr>
            </w:pPr>
            <w:r w:rsidRPr="00175D8B">
              <w:rPr>
                <w:rFonts w:eastAsia="Aptos" w:cs="Aptos"/>
                <w:sz w:val="18"/>
                <w:szCs w:val="18"/>
              </w:rPr>
              <w:t>Daily</w:t>
            </w:r>
          </w:p>
        </w:tc>
        <w:tc>
          <w:tcPr>
            <w:tcW w:w="2126" w:type="dxa"/>
            <w:shd w:val="clear" w:color="auto" w:fill="F2F2F2"/>
          </w:tcPr>
          <w:p w14:paraId="41FC55CF" w14:textId="77777777" w:rsidR="00921C59" w:rsidRPr="00175D8B" w:rsidRDefault="00921C59" w:rsidP="00921C59">
            <w:pPr>
              <w:spacing w:after="0"/>
              <w:rPr>
                <w:rFonts w:eastAsia="Aptos" w:cs="Aptos"/>
                <w:sz w:val="18"/>
                <w:szCs w:val="18"/>
              </w:rPr>
            </w:pPr>
            <w:r w:rsidRPr="00175D8B">
              <w:rPr>
                <w:rFonts w:eastAsia="Aptos" w:cs="Aptos"/>
                <w:sz w:val="18"/>
                <w:szCs w:val="18"/>
              </w:rPr>
              <w:t>Contractor / Contractor’s OHS Focal Point</w:t>
            </w:r>
          </w:p>
        </w:tc>
      </w:tr>
      <w:tr w:rsidR="00921C59" w:rsidRPr="00175D8B" w14:paraId="54FC82D8" w14:textId="77777777" w:rsidTr="00DF417A">
        <w:trPr>
          <w:trHeight w:val="22"/>
        </w:trPr>
        <w:tc>
          <w:tcPr>
            <w:tcW w:w="582" w:type="dxa"/>
            <w:vMerge/>
            <w:shd w:val="clear" w:color="auto" w:fill="F2F2F2"/>
          </w:tcPr>
          <w:p w14:paraId="7F23B1E4" w14:textId="77777777" w:rsidR="00921C59" w:rsidRPr="00175D8B" w:rsidRDefault="00921C59" w:rsidP="00921C59">
            <w:pPr>
              <w:widowControl w:val="0"/>
              <w:pBdr>
                <w:top w:val="nil"/>
                <w:left w:val="nil"/>
                <w:bottom w:val="nil"/>
                <w:right w:val="nil"/>
                <w:between w:val="nil"/>
              </w:pBdr>
              <w:spacing w:after="0"/>
              <w:jc w:val="left"/>
              <w:rPr>
                <w:rFonts w:eastAsia="Aptos" w:cs="Aptos"/>
                <w:sz w:val="18"/>
                <w:szCs w:val="18"/>
              </w:rPr>
            </w:pPr>
          </w:p>
        </w:tc>
        <w:tc>
          <w:tcPr>
            <w:tcW w:w="1153" w:type="dxa"/>
            <w:vMerge/>
            <w:shd w:val="clear" w:color="auto" w:fill="F2F2F2"/>
          </w:tcPr>
          <w:p w14:paraId="176C7A48" w14:textId="77777777" w:rsidR="00921C59" w:rsidRPr="00175D8B" w:rsidRDefault="00921C59" w:rsidP="00921C59">
            <w:pPr>
              <w:widowControl w:val="0"/>
              <w:pBdr>
                <w:top w:val="nil"/>
                <w:left w:val="nil"/>
                <w:bottom w:val="nil"/>
                <w:right w:val="nil"/>
                <w:between w:val="nil"/>
              </w:pBdr>
              <w:spacing w:after="0"/>
              <w:jc w:val="left"/>
              <w:rPr>
                <w:rFonts w:eastAsia="Aptos" w:cs="Aptos"/>
                <w:sz w:val="18"/>
                <w:szCs w:val="18"/>
              </w:rPr>
            </w:pPr>
          </w:p>
        </w:tc>
        <w:tc>
          <w:tcPr>
            <w:tcW w:w="2518" w:type="dxa"/>
            <w:vMerge/>
            <w:shd w:val="clear" w:color="auto" w:fill="F2F2F2"/>
          </w:tcPr>
          <w:p w14:paraId="379BD8C6" w14:textId="77777777" w:rsidR="00921C59" w:rsidRPr="00175D8B" w:rsidRDefault="00921C59" w:rsidP="00921C59">
            <w:pPr>
              <w:widowControl w:val="0"/>
              <w:pBdr>
                <w:top w:val="nil"/>
                <w:left w:val="nil"/>
                <w:bottom w:val="nil"/>
                <w:right w:val="nil"/>
                <w:between w:val="nil"/>
              </w:pBdr>
              <w:spacing w:after="0"/>
              <w:jc w:val="left"/>
              <w:rPr>
                <w:rFonts w:eastAsia="Aptos" w:cs="Aptos"/>
                <w:sz w:val="18"/>
                <w:szCs w:val="18"/>
              </w:rPr>
            </w:pPr>
          </w:p>
        </w:tc>
        <w:tc>
          <w:tcPr>
            <w:tcW w:w="1984" w:type="dxa"/>
            <w:vMerge/>
            <w:shd w:val="clear" w:color="auto" w:fill="F2F2F2"/>
          </w:tcPr>
          <w:p w14:paraId="70D7FBBE" w14:textId="77777777" w:rsidR="00921C59" w:rsidRPr="00175D8B" w:rsidRDefault="00921C59" w:rsidP="00921C59">
            <w:pPr>
              <w:widowControl w:val="0"/>
              <w:pBdr>
                <w:top w:val="nil"/>
                <w:left w:val="nil"/>
                <w:bottom w:val="nil"/>
                <w:right w:val="nil"/>
                <w:between w:val="nil"/>
              </w:pBdr>
              <w:spacing w:after="0"/>
              <w:jc w:val="left"/>
              <w:rPr>
                <w:rFonts w:eastAsia="Aptos" w:cs="Aptos"/>
                <w:sz w:val="18"/>
                <w:szCs w:val="18"/>
              </w:rPr>
            </w:pPr>
          </w:p>
        </w:tc>
        <w:tc>
          <w:tcPr>
            <w:tcW w:w="1276" w:type="dxa"/>
            <w:shd w:val="clear" w:color="auto" w:fill="F2F2F2"/>
          </w:tcPr>
          <w:p w14:paraId="28E1A3BB" w14:textId="77777777" w:rsidR="00921C59" w:rsidRPr="00175D8B" w:rsidRDefault="00921C59" w:rsidP="00921C59">
            <w:pPr>
              <w:spacing w:after="0"/>
              <w:rPr>
                <w:rFonts w:eastAsia="Aptos" w:cs="Aptos"/>
                <w:sz w:val="18"/>
                <w:szCs w:val="18"/>
              </w:rPr>
            </w:pPr>
            <w:r w:rsidRPr="00175D8B">
              <w:rPr>
                <w:rFonts w:eastAsia="Aptos" w:cs="Aptos"/>
                <w:sz w:val="18"/>
                <w:szCs w:val="18"/>
              </w:rPr>
              <w:t>Weekly</w:t>
            </w:r>
          </w:p>
        </w:tc>
        <w:tc>
          <w:tcPr>
            <w:tcW w:w="2126" w:type="dxa"/>
            <w:shd w:val="clear" w:color="auto" w:fill="F2F2F2"/>
          </w:tcPr>
          <w:p w14:paraId="73531293" w14:textId="77777777" w:rsidR="00921C59" w:rsidRPr="00175D8B" w:rsidRDefault="00921C59" w:rsidP="00921C59">
            <w:pPr>
              <w:spacing w:after="0"/>
              <w:rPr>
                <w:rFonts w:eastAsia="Aptos" w:cs="Aptos"/>
                <w:sz w:val="18"/>
                <w:szCs w:val="18"/>
              </w:rPr>
            </w:pPr>
            <w:r w:rsidRPr="00175D8B">
              <w:rPr>
                <w:rFonts w:eastAsia="Aptos" w:cs="Aptos"/>
                <w:sz w:val="18"/>
                <w:szCs w:val="18"/>
              </w:rPr>
              <w:t>PMU Independent Specialists of the cities</w:t>
            </w:r>
          </w:p>
        </w:tc>
      </w:tr>
      <w:tr w:rsidR="00921C59" w:rsidRPr="00175D8B" w14:paraId="461659DC" w14:textId="77777777" w:rsidTr="00DF417A">
        <w:trPr>
          <w:trHeight w:val="737"/>
        </w:trPr>
        <w:tc>
          <w:tcPr>
            <w:tcW w:w="582" w:type="dxa"/>
            <w:vMerge w:val="restart"/>
            <w:shd w:val="clear" w:color="auto" w:fill="F2F2F2"/>
          </w:tcPr>
          <w:p w14:paraId="7634729B" w14:textId="77777777" w:rsidR="00921C59" w:rsidRPr="00175D8B" w:rsidRDefault="00921C59" w:rsidP="00921C59">
            <w:pPr>
              <w:spacing w:after="0"/>
              <w:rPr>
                <w:rFonts w:eastAsia="Aptos" w:cs="Aptos"/>
                <w:sz w:val="18"/>
                <w:szCs w:val="18"/>
              </w:rPr>
            </w:pPr>
            <w:r w:rsidRPr="00175D8B">
              <w:rPr>
                <w:rFonts w:eastAsia="Aptos" w:cs="Aptos"/>
                <w:sz w:val="18"/>
                <w:szCs w:val="18"/>
              </w:rPr>
              <w:t>4</w:t>
            </w:r>
          </w:p>
        </w:tc>
        <w:tc>
          <w:tcPr>
            <w:tcW w:w="1153" w:type="dxa"/>
            <w:vMerge w:val="restart"/>
            <w:shd w:val="clear" w:color="auto" w:fill="F2F2F2"/>
          </w:tcPr>
          <w:p w14:paraId="551D91DA" w14:textId="77777777" w:rsidR="00921C59" w:rsidRPr="00175D8B" w:rsidRDefault="00921C59" w:rsidP="00921C59">
            <w:pPr>
              <w:spacing w:after="0"/>
              <w:rPr>
                <w:rFonts w:eastAsia="Aptos" w:cs="Aptos"/>
                <w:sz w:val="18"/>
                <w:szCs w:val="18"/>
              </w:rPr>
            </w:pPr>
            <w:r w:rsidRPr="00175D8B">
              <w:rPr>
                <w:rFonts w:eastAsia="Aptos" w:cs="Aptos"/>
                <w:sz w:val="18"/>
                <w:szCs w:val="18"/>
              </w:rPr>
              <w:t>Sub-project Traffic</w:t>
            </w:r>
          </w:p>
        </w:tc>
        <w:tc>
          <w:tcPr>
            <w:tcW w:w="2518" w:type="dxa"/>
            <w:vMerge w:val="restart"/>
            <w:shd w:val="clear" w:color="auto" w:fill="F2F2F2"/>
          </w:tcPr>
          <w:p w14:paraId="6A71479D" w14:textId="77777777" w:rsidR="00921C59" w:rsidRPr="00175D8B" w:rsidRDefault="00921C59" w:rsidP="00921C59">
            <w:pPr>
              <w:spacing w:after="0"/>
              <w:rPr>
                <w:rFonts w:eastAsia="Aptos" w:cs="Aptos"/>
                <w:sz w:val="18"/>
                <w:szCs w:val="18"/>
              </w:rPr>
            </w:pPr>
            <w:r w:rsidRPr="00175D8B">
              <w:rPr>
                <w:rFonts w:eastAsia="Aptos" w:cs="Aptos"/>
                <w:sz w:val="18"/>
                <w:szCs w:val="18"/>
              </w:rPr>
              <w:t xml:space="preserve">Implementation of mitigation measures to be defined in Community Safety and Traffic Plans which will be prepared for each province. </w:t>
            </w:r>
          </w:p>
        </w:tc>
        <w:tc>
          <w:tcPr>
            <w:tcW w:w="1984" w:type="dxa"/>
            <w:vMerge w:val="restart"/>
            <w:shd w:val="clear" w:color="auto" w:fill="F2F2F2"/>
          </w:tcPr>
          <w:p w14:paraId="16D52FB3" w14:textId="77777777" w:rsidR="00921C59" w:rsidRPr="00175D8B" w:rsidRDefault="00921C59" w:rsidP="00921C59">
            <w:pPr>
              <w:spacing w:after="0"/>
              <w:rPr>
                <w:rFonts w:eastAsia="Aptos" w:cs="Aptos"/>
                <w:sz w:val="18"/>
                <w:szCs w:val="18"/>
              </w:rPr>
            </w:pPr>
            <w:r w:rsidRPr="00175D8B">
              <w:rPr>
                <w:rFonts w:eastAsia="Aptos" w:cs="Aptos"/>
                <w:sz w:val="18"/>
                <w:szCs w:val="18"/>
              </w:rPr>
              <w:t>Visual observations on and around of the sub-project sites.</w:t>
            </w:r>
          </w:p>
          <w:p w14:paraId="0B939B74" w14:textId="77777777" w:rsidR="00921C59" w:rsidRPr="00175D8B" w:rsidRDefault="00921C59" w:rsidP="00921C59">
            <w:pPr>
              <w:spacing w:after="0"/>
              <w:rPr>
                <w:rFonts w:eastAsia="Aptos" w:cs="Aptos"/>
                <w:sz w:val="18"/>
                <w:szCs w:val="18"/>
              </w:rPr>
            </w:pPr>
            <w:r w:rsidRPr="00175D8B">
              <w:rPr>
                <w:rFonts w:eastAsia="Aptos" w:cs="Aptos"/>
                <w:sz w:val="18"/>
                <w:szCs w:val="18"/>
              </w:rPr>
              <w:t>Review of documentation/records such as;</w:t>
            </w:r>
          </w:p>
          <w:p w14:paraId="38BF782C" w14:textId="77777777" w:rsidR="00921C59" w:rsidRPr="00175D8B" w:rsidRDefault="00921C59">
            <w:pPr>
              <w:numPr>
                <w:ilvl w:val="0"/>
                <w:numId w:val="99"/>
              </w:numPr>
              <w:pBdr>
                <w:top w:val="nil"/>
                <w:left w:val="nil"/>
                <w:bottom w:val="nil"/>
                <w:right w:val="nil"/>
                <w:between w:val="nil"/>
              </w:pBdr>
              <w:spacing w:after="0" w:line="240" w:lineRule="auto"/>
              <w:ind w:left="209" w:hanging="209"/>
              <w:jc w:val="left"/>
              <w:rPr>
                <w:color w:val="000000"/>
                <w:sz w:val="18"/>
                <w:szCs w:val="18"/>
              </w:rPr>
            </w:pPr>
            <w:r w:rsidRPr="00175D8B">
              <w:rPr>
                <w:rFonts w:eastAsia="Aptos" w:cs="Aptos"/>
                <w:color w:val="000000"/>
                <w:sz w:val="18"/>
                <w:szCs w:val="18"/>
              </w:rPr>
              <w:t xml:space="preserve">training records, </w:t>
            </w:r>
          </w:p>
          <w:p w14:paraId="24721151" w14:textId="77777777" w:rsidR="00921C59" w:rsidRPr="00175D8B" w:rsidRDefault="00921C59">
            <w:pPr>
              <w:numPr>
                <w:ilvl w:val="0"/>
                <w:numId w:val="99"/>
              </w:numPr>
              <w:pBdr>
                <w:top w:val="nil"/>
                <w:left w:val="nil"/>
                <w:bottom w:val="nil"/>
                <w:right w:val="nil"/>
                <w:between w:val="nil"/>
              </w:pBdr>
              <w:spacing w:after="0" w:line="240" w:lineRule="auto"/>
              <w:ind w:left="209" w:hanging="209"/>
              <w:jc w:val="left"/>
              <w:rPr>
                <w:color w:val="000000"/>
                <w:sz w:val="18"/>
                <w:szCs w:val="18"/>
              </w:rPr>
            </w:pPr>
            <w:r w:rsidRPr="00175D8B">
              <w:rPr>
                <w:rFonts w:eastAsia="Aptos" w:cs="Aptos"/>
                <w:color w:val="000000"/>
                <w:sz w:val="18"/>
                <w:szCs w:val="18"/>
              </w:rPr>
              <w:t xml:space="preserve">speed limit violations, </w:t>
            </w:r>
          </w:p>
          <w:p w14:paraId="470F2864" w14:textId="77777777" w:rsidR="00921C59" w:rsidRPr="00175D8B" w:rsidRDefault="00921C59">
            <w:pPr>
              <w:numPr>
                <w:ilvl w:val="0"/>
                <w:numId w:val="99"/>
              </w:numPr>
              <w:pBdr>
                <w:top w:val="nil"/>
                <w:left w:val="nil"/>
                <w:bottom w:val="nil"/>
                <w:right w:val="nil"/>
                <w:between w:val="nil"/>
              </w:pBdr>
              <w:spacing w:after="160" w:line="240" w:lineRule="auto"/>
              <w:ind w:left="209" w:hanging="209"/>
              <w:jc w:val="left"/>
              <w:rPr>
                <w:color w:val="000000"/>
                <w:sz w:val="18"/>
                <w:szCs w:val="18"/>
              </w:rPr>
            </w:pPr>
            <w:r w:rsidRPr="00175D8B">
              <w:rPr>
                <w:rFonts w:eastAsia="Aptos" w:cs="Aptos"/>
                <w:color w:val="000000"/>
                <w:sz w:val="18"/>
                <w:szCs w:val="18"/>
              </w:rPr>
              <w:lastRenderedPageBreak/>
              <w:t>traffic related grievances</w:t>
            </w:r>
          </w:p>
        </w:tc>
        <w:tc>
          <w:tcPr>
            <w:tcW w:w="1276" w:type="dxa"/>
            <w:shd w:val="clear" w:color="auto" w:fill="F2F2F2"/>
          </w:tcPr>
          <w:p w14:paraId="2B8D679C" w14:textId="77777777" w:rsidR="00921C59" w:rsidRPr="00175D8B" w:rsidRDefault="00921C59" w:rsidP="00921C59">
            <w:pPr>
              <w:spacing w:after="0"/>
              <w:rPr>
                <w:rFonts w:eastAsia="Aptos" w:cs="Aptos"/>
                <w:sz w:val="18"/>
                <w:szCs w:val="18"/>
              </w:rPr>
            </w:pPr>
            <w:r w:rsidRPr="00175D8B">
              <w:rPr>
                <w:rFonts w:eastAsia="Aptos" w:cs="Aptos"/>
                <w:sz w:val="18"/>
                <w:szCs w:val="18"/>
              </w:rPr>
              <w:lastRenderedPageBreak/>
              <w:t>Daily</w:t>
            </w:r>
          </w:p>
        </w:tc>
        <w:tc>
          <w:tcPr>
            <w:tcW w:w="2126" w:type="dxa"/>
            <w:shd w:val="clear" w:color="auto" w:fill="F2F2F2"/>
          </w:tcPr>
          <w:p w14:paraId="6ACC98FF" w14:textId="77777777" w:rsidR="00921C59" w:rsidRPr="00175D8B" w:rsidRDefault="00921C59" w:rsidP="00921C59">
            <w:pPr>
              <w:spacing w:after="0"/>
              <w:rPr>
                <w:rFonts w:eastAsia="Aptos" w:cs="Aptos"/>
                <w:sz w:val="18"/>
                <w:szCs w:val="18"/>
              </w:rPr>
            </w:pPr>
            <w:r w:rsidRPr="00175D8B">
              <w:rPr>
                <w:rFonts w:eastAsia="Aptos" w:cs="Aptos"/>
                <w:sz w:val="18"/>
                <w:szCs w:val="18"/>
              </w:rPr>
              <w:t>Contractor / Contractor’s OHS Focal Point</w:t>
            </w:r>
          </w:p>
        </w:tc>
      </w:tr>
      <w:tr w:rsidR="00921C59" w:rsidRPr="00175D8B" w14:paraId="426B3BE1" w14:textId="77777777" w:rsidTr="00DF417A">
        <w:trPr>
          <w:trHeight w:val="1497"/>
        </w:trPr>
        <w:tc>
          <w:tcPr>
            <w:tcW w:w="582" w:type="dxa"/>
            <w:vMerge/>
            <w:shd w:val="clear" w:color="auto" w:fill="F2F2F2"/>
          </w:tcPr>
          <w:p w14:paraId="62822410" w14:textId="77777777" w:rsidR="00921C59" w:rsidRPr="00175D8B" w:rsidRDefault="00921C59" w:rsidP="00921C59">
            <w:pPr>
              <w:widowControl w:val="0"/>
              <w:pBdr>
                <w:top w:val="nil"/>
                <w:left w:val="nil"/>
                <w:bottom w:val="nil"/>
                <w:right w:val="nil"/>
                <w:between w:val="nil"/>
              </w:pBdr>
              <w:spacing w:after="0"/>
              <w:jc w:val="left"/>
              <w:rPr>
                <w:rFonts w:eastAsia="Aptos" w:cs="Aptos"/>
                <w:sz w:val="18"/>
                <w:szCs w:val="18"/>
              </w:rPr>
            </w:pPr>
          </w:p>
        </w:tc>
        <w:tc>
          <w:tcPr>
            <w:tcW w:w="1153" w:type="dxa"/>
            <w:vMerge/>
            <w:shd w:val="clear" w:color="auto" w:fill="F2F2F2"/>
          </w:tcPr>
          <w:p w14:paraId="35AE5D2B" w14:textId="77777777" w:rsidR="00921C59" w:rsidRPr="00175D8B" w:rsidRDefault="00921C59" w:rsidP="00921C59">
            <w:pPr>
              <w:widowControl w:val="0"/>
              <w:pBdr>
                <w:top w:val="nil"/>
                <w:left w:val="nil"/>
                <w:bottom w:val="nil"/>
                <w:right w:val="nil"/>
                <w:between w:val="nil"/>
              </w:pBdr>
              <w:spacing w:after="0"/>
              <w:jc w:val="left"/>
              <w:rPr>
                <w:rFonts w:eastAsia="Aptos" w:cs="Aptos"/>
                <w:sz w:val="18"/>
                <w:szCs w:val="18"/>
              </w:rPr>
            </w:pPr>
          </w:p>
        </w:tc>
        <w:tc>
          <w:tcPr>
            <w:tcW w:w="2518" w:type="dxa"/>
            <w:vMerge/>
            <w:shd w:val="clear" w:color="auto" w:fill="F2F2F2"/>
          </w:tcPr>
          <w:p w14:paraId="7D390EE9" w14:textId="77777777" w:rsidR="00921C59" w:rsidRPr="00175D8B" w:rsidRDefault="00921C59" w:rsidP="00921C59">
            <w:pPr>
              <w:widowControl w:val="0"/>
              <w:pBdr>
                <w:top w:val="nil"/>
                <w:left w:val="nil"/>
                <w:bottom w:val="nil"/>
                <w:right w:val="nil"/>
                <w:between w:val="nil"/>
              </w:pBdr>
              <w:spacing w:after="0"/>
              <w:jc w:val="left"/>
              <w:rPr>
                <w:rFonts w:eastAsia="Aptos" w:cs="Aptos"/>
                <w:sz w:val="18"/>
                <w:szCs w:val="18"/>
              </w:rPr>
            </w:pPr>
          </w:p>
        </w:tc>
        <w:tc>
          <w:tcPr>
            <w:tcW w:w="1984" w:type="dxa"/>
            <w:vMerge/>
            <w:shd w:val="clear" w:color="auto" w:fill="F2F2F2"/>
          </w:tcPr>
          <w:p w14:paraId="10FE0E1D" w14:textId="77777777" w:rsidR="00921C59" w:rsidRPr="00175D8B" w:rsidRDefault="00921C59" w:rsidP="00921C59">
            <w:pPr>
              <w:widowControl w:val="0"/>
              <w:pBdr>
                <w:top w:val="nil"/>
                <w:left w:val="nil"/>
                <w:bottom w:val="nil"/>
                <w:right w:val="nil"/>
                <w:between w:val="nil"/>
              </w:pBdr>
              <w:spacing w:after="0"/>
              <w:jc w:val="left"/>
              <w:rPr>
                <w:rFonts w:eastAsia="Aptos" w:cs="Aptos"/>
                <w:sz w:val="18"/>
                <w:szCs w:val="18"/>
              </w:rPr>
            </w:pPr>
          </w:p>
        </w:tc>
        <w:tc>
          <w:tcPr>
            <w:tcW w:w="1276" w:type="dxa"/>
            <w:shd w:val="clear" w:color="auto" w:fill="F2F2F2"/>
          </w:tcPr>
          <w:p w14:paraId="7D701F9C" w14:textId="77777777" w:rsidR="00921C59" w:rsidRPr="00175D8B" w:rsidRDefault="00921C59" w:rsidP="00921C59">
            <w:pPr>
              <w:spacing w:after="0"/>
              <w:rPr>
                <w:rFonts w:eastAsia="Aptos" w:cs="Aptos"/>
                <w:sz w:val="18"/>
                <w:szCs w:val="18"/>
              </w:rPr>
            </w:pPr>
            <w:r w:rsidRPr="00175D8B">
              <w:rPr>
                <w:rFonts w:eastAsia="Aptos" w:cs="Aptos"/>
                <w:sz w:val="18"/>
                <w:szCs w:val="18"/>
              </w:rPr>
              <w:t>Weekly</w:t>
            </w:r>
          </w:p>
        </w:tc>
        <w:tc>
          <w:tcPr>
            <w:tcW w:w="2126" w:type="dxa"/>
            <w:shd w:val="clear" w:color="auto" w:fill="F2F2F2"/>
          </w:tcPr>
          <w:p w14:paraId="5179A2E6" w14:textId="77777777" w:rsidR="00921C59" w:rsidRPr="00175D8B" w:rsidRDefault="00921C59" w:rsidP="00921C59">
            <w:pPr>
              <w:spacing w:after="0"/>
              <w:rPr>
                <w:rFonts w:eastAsia="Aptos" w:cs="Aptos"/>
                <w:sz w:val="18"/>
                <w:szCs w:val="18"/>
              </w:rPr>
            </w:pPr>
            <w:r w:rsidRPr="00175D8B">
              <w:rPr>
                <w:rFonts w:eastAsia="Aptos" w:cs="Aptos"/>
                <w:sz w:val="18"/>
                <w:szCs w:val="18"/>
              </w:rPr>
              <w:t>Contractor / Contractor’s OHS Focal Point PMU Individual Specialists of the cities</w:t>
            </w:r>
          </w:p>
        </w:tc>
      </w:tr>
    </w:tbl>
    <w:p w14:paraId="31FFE92F" w14:textId="17530BA6" w:rsidR="00921C59" w:rsidRPr="00175D8B" w:rsidRDefault="00921C59" w:rsidP="00921C59">
      <w:pPr>
        <w:spacing w:after="160" w:line="259" w:lineRule="auto"/>
        <w:jc w:val="left"/>
        <w:rPr>
          <w:rFonts w:eastAsia="Aptos" w:cs="Aptos"/>
          <w:b/>
          <w:color w:val="000000"/>
          <w:kern w:val="0"/>
          <w:sz w:val="28"/>
          <w:szCs w:val="28"/>
          <w:lang w:eastAsia="tr-TR"/>
          <w14:ligatures w14:val="none"/>
        </w:rPr>
      </w:pPr>
    </w:p>
    <w:p w14:paraId="74359F4D" w14:textId="482D55A4" w:rsidR="00B05B27" w:rsidRPr="00175D8B" w:rsidRDefault="00B05B27">
      <w:pPr>
        <w:spacing w:after="160" w:line="278" w:lineRule="auto"/>
        <w:jc w:val="left"/>
        <w:rPr>
          <w:rFonts w:eastAsia="Aptos" w:cs="Aptos"/>
          <w:b/>
          <w:color w:val="000000"/>
          <w:kern w:val="0"/>
          <w:sz w:val="28"/>
          <w:szCs w:val="28"/>
          <w:lang w:eastAsia="tr-TR"/>
          <w14:ligatures w14:val="none"/>
        </w:rPr>
      </w:pPr>
      <w:r w:rsidRPr="00175D8B">
        <w:rPr>
          <w:rFonts w:eastAsia="Aptos" w:cs="Aptos"/>
          <w:b/>
          <w:color w:val="000000"/>
          <w:kern w:val="0"/>
          <w:sz w:val="28"/>
          <w:szCs w:val="28"/>
          <w:lang w:eastAsia="tr-TR"/>
          <w14:ligatures w14:val="none"/>
        </w:rPr>
        <w:br w:type="page"/>
      </w:r>
    </w:p>
    <w:p w14:paraId="41A17456" w14:textId="251B9768" w:rsidR="00921C59" w:rsidRPr="00175D8B" w:rsidRDefault="00921C59">
      <w:pPr>
        <w:pStyle w:val="Balk1"/>
        <w:rPr>
          <w:b/>
          <w:sz w:val="28"/>
          <w:szCs w:val="28"/>
          <w:lang w:eastAsia="tr-TR"/>
        </w:rPr>
      </w:pPr>
      <w:bookmarkStart w:id="498" w:name="_Toc207987185"/>
      <w:bookmarkStart w:id="499" w:name="_Toc212541916"/>
      <w:bookmarkStart w:id="500" w:name="_Toc212542427"/>
      <w:bookmarkStart w:id="501" w:name="_Toc220672836"/>
      <w:r w:rsidRPr="00175D8B">
        <w:rPr>
          <w:b/>
          <w:sz w:val="28"/>
          <w:szCs w:val="28"/>
          <w:lang w:eastAsia="tr-TR"/>
        </w:rPr>
        <w:lastRenderedPageBreak/>
        <w:t xml:space="preserve">ANNEX </w:t>
      </w:r>
      <w:r w:rsidR="00365CEA" w:rsidRPr="00175D8B">
        <w:rPr>
          <w:b/>
          <w:sz w:val="28"/>
          <w:szCs w:val="28"/>
          <w:lang w:eastAsia="tr-TR"/>
        </w:rPr>
        <w:t>7</w:t>
      </w:r>
      <w:r w:rsidRPr="00175D8B">
        <w:rPr>
          <w:b/>
          <w:sz w:val="28"/>
          <w:szCs w:val="28"/>
          <w:lang w:eastAsia="tr-TR"/>
        </w:rPr>
        <w:t>- RESOURCE EFFICIENCY AND POLLUTION PREVENTION PLAN</w:t>
      </w:r>
      <w:bookmarkEnd w:id="498"/>
      <w:bookmarkEnd w:id="499"/>
      <w:bookmarkEnd w:id="500"/>
      <w:bookmarkEnd w:id="501"/>
    </w:p>
    <w:p w14:paraId="69F8CCEC" w14:textId="77777777" w:rsidR="00921C59" w:rsidRPr="00175D8B" w:rsidRDefault="00921C59">
      <w:pPr>
        <w:numPr>
          <w:ilvl w:val="0"/>
          <w:numId w:val="117"/>
        </w:numPr>
        <w:pBdr>
          <w:top w:val="nil"/>
          <w:left w:val="nil"/>
          <w:bottom w:val="nil"/>
          <w:right w:val="nil"/>
          <w:between w:val="nil"/>
        </w:pBdr>
        <w:spacing w:after="160" w:line="259" w:lineRule="auto"/>
        <w:jc w:val="left"/>
        <w:rPr>
          <w:rFonts w:eastAsia="Aptos" w:cs="Aptos"/>
          <w:b/>
          <w:color w:val="000000"/>
          <w:kern w:val="0"/>
          <w:szCs w:val="22"/>
          <w:lang w:eastAsia="tr-TR"/>
          <w14:ligatures w14:val="none"/>
        </w:rPr>
      </w:pPr>
      <w:r w:rsidRPr="00175D8B">
        <w:rPr>
          <w:rFonts w:eastAsia="Aptos" w:cs="Aptos"/>
          <w:b/>
          <w:color w:val="000000"/>
          <w:kern w:val="0"/>
          <w:szCs w:val="22"/>
          <w:lang w:eastAsia="tr-TR"/>
          <w14:ligatures w14:val="none"/>
        </w:rPr>
        <w:t>PURPOSE AND SCOPE</w:t>
      </w:r>
    </w:p>
    <w:p w14:paraId="08DA7718"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Resource efficiency is the efficient and sustainable use of limited and exhaustible resources such as raw materials, energy and water to create more value using fewer inputs. It can also be defined as doing more with fewer resources and reducing the negative impacts of resource use.</w:t>
      </w:r>
    </w:p>
    <w:p w14:paraId="401782C6"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The Resource Efficiency and Pollution Prevention Plan has been developed to identify the primary applicable requirements for waste management for the Project in accordance with relevant national legislation, the World Bank Environmental and Social Framework and relevant Environmental and Social Standards (ESSs). The Plan will be applicable to the retrofitting / demolition / reconstruction activities of the Project's subprojects, particularly under Component 2.</w:t>
      </w:r>
    </w:p>
    <w:p w14:paraId="6100C277" w14:textId="77777777" w:rsidR="00921C59" w:rsidRPr="00175D8B" w:rsidRDefault="00921C59">
      <w:pPr>
        <w:numPr>
          <w:ilvl w:val="0"/>
          <w:numId w:val="117"/>
        </w:numPr>
        <w:pBdr>
          <w:top w:val="nil"/>
          <w:left w:val="nil"/>
          <w:bottom w:val="nil"/>
          <w:right w:val="nil"/>
          <w:between w:val="nil"/>
        </w:pBdr>
        <w:spacing w:after="160" w:line="259" w:lineRule="auto"/>
        <w:jc w:val="left"/>
        <w:rPr>
          <w:rFonts w:eastAsia="Aptos" w:cs="Aptos"/>
          <w:b/>
          <w:color w:val="000000"/>
          <w:kern w:val="0"/>
          <w:szCs w:val="22"/>
          <w:lang w:eastAsia="tr-TR"/>
          <w14:ligatures w14:val="none"/>
        </w:rPr>
      </w:pPr>
      <w:r w:rsidRPr="00175D8B">
        <w:rPr>
          <w:rFonts w:eastAsia="Aptos" w:cs="Aptos"/>
          <w:b/>
          <w:color w:val="000000"/>
          <w:kern w:val="0"/>
          <w:szCs w:val="22"/>
          <w:lang w:eastAsia="tr-TR"/>
          <w14:ligatures w14:val="none"/>
        </w:rPr>
        <w:t>STANDARDS</w:t>
      </w:r>
    </w:p>
    <w:p w14:paraId="75313594" w14:textId="77777777" w:rsidR="00921C59" w:rsidRPr="00175D8B" w:rsidRDefault="00921C59" w:rsidP="00921C59">
      <w:pPr>
        <w:spacing w:after="160"/>
        <w:rPr>
          <w:rFonts w:eastAsia="Aptos" w:cs="Aptos"/>
          <w:bCs/>
          <w:kern w:val="0"/>
          <w:szCs w:val="22"/>
          <w:lang w:eastAsia="tr-TR"/>
          <w14:ligatures w14:val="none"/>
        </w:rPr>
      </w:pPr>
      <w:r w:rsidRPr="00175D8B">
        <w:rPr>
          <w:rFonts w:eastAsia="Aptos" w:cs="Aptos"/>
          <w:bCs/>
          <w:kern w:val="0"/>
          <w:szCs w:val="22"/>
          <w:lang w:eastAsia="tr-TR"/>
          <w14:ligatures w14:val="none"/>
        </w:rPr>
        <w:t>World Bank ESF Requirements</w:t>
      </w:r>
    </w:p>
    <w:p w14:paraId="7BE1739C"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ESS3 recognizes that economic activity and urbanization often pollute air, water and soil and consume finite resources that can threaten people, ecosystem services and the environment at local, regional and global levels. Current and projected atmospheric concentrations of greenhouse gases (GHGs) threaten the well-being of current and future generations. At the same time, technologies and practices for more efficient and effective resource use, pollution prevention, and GHG emission avoidance and reduction have become more accessible and available.</w:t>
      </w:r>
    </w:p>
    <w:p w14:paraId="131D29D3"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ESS3 sets out requirements for addressing resource efficiency and pollution prevention and management throughout the life of the Project, consistent with Global International Industry International Practices (GIIP).</w:t>
      </w:r>
    </w:p>
    <w:p w14:paraId="60DA4AC2"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The objectives of the Resource Efficiency and Pollution Prevention and Management Standard are given below:</w:t>
      </w:r>
    </w:p>
    <w:p w14:paraId="3172DCC7"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To promote the sustainable use of resources, including energy, water and raw materials</w:t>
      </w:r>
    </w:p>
    <w:p w14:paraId="1E8C9224" w14:textId="0EBA289D"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Prevent or minimize adverse impacts on human health and the environment by preventing or minimizing pollution from project activities.</w:t>
      </w:r>
    </w:p>
    <w:p w14:paraId="16B4BEC4" w14:textId="77777777" w:rsidR="00A22808" w:rsidRPr="00175D8B" w:rsidRDefault="00A22808" w:rsidP="00921C59">
      <w:pPr>
        <w:spacing w:after="160"/>
        <w:rPr>
          <w:rFonts w:eastAsia="Aptos" w:cs="Aptos"/>
          <w:kern w:val="0"/>
          <w:szCs w:val="22"/>
          <w:lang w:eastAsia="tr-TR"/>
          <w14:ligatures w14:val="none"/>
        </w:rPr>
      </w:pPr>
    </w:p>
    <w:p w14:paraId="11CF2C5F"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Avoid or minimize project-related emissions of short- and long-lived climate pollutants</w:t>
      </w:r>
    </w:p>
    <w:p w14:paraId="53E60251"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Prevent or minimize the generation of hazardous and non-hazardous waste</w:t>
      </w:r>
    </w:p>
    <w:p w14:paraId="39F3B40B"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lastRenderedPageBreak/>
        <w:t>Minimize and manage the risks and impacts associated with pesticide use.</w:t>
      </w:r>
    </w:p>
    <w:p w14:paraId="554EE2EF"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This plan outlines the resource efficiency and pollution prevention framework to be followed by the contractor.</w:t>
      </w:r>
    </w:p>
    <w:p w14:paraId="4E64DBF7"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This plan is prepared for implementation by the Project Management Unit (PMU), contractors and subcontractors. The roles and responsibilities for the implementation of the Plan are presented in Section 5.2.</w:t>
      </w:r>
    </w:p>
    <w:p w14:paraId="0E577736" w14:textId="77777777" w:rsidR="00921C59" w:rsidRPr="00175D8B" w:rsidRDefault="00921C59">
      <w:pPr>
        <w:numPr>
          <w:ilvl w:val="0"/>
          <w:numId w:val="117"/>
        </w:numPr>
        <w:pBdr>
          <w:top w:val="nil"/>
          <w:left w:val="nil"/>
          <w:bottom w:val="nil"/>
          <w:right w:val="nil"/>
          <w:between w:val="nil"/>
        </w:pBdr>
        <w:spacing w:after="160" w:line="259" w:lineRule="auto"/>
        <w:jc w:val="left"/>
        <w:rPr>
          <w:rFonts w:eastAsia="Aptos" w:cs="Aptos"/>
          <w:b/>
          <w:color w:val="000000"/>
          <w:kern w:val="0"/>
          <w:szCs w:val="22"/>
          <w:lang w:eastAsia="tr-TR"/>
          <w14:ligatures w14:val="none"/>
        </w:rPr>
      </w:pPr>
      <w:r w:rsidRPr="00175D8B">
        <w:rPr>
          <w:rFonts w:eastAsia="Aptos" w:cs="Aptos"/>
          <w:b/>
          <w:color w:val="000000"/>
          <w:kern w:val="0"/>
          <w:szCs w:val="22"/>
          <w:lang w:eastAsia="tr-TR"/>
          <w14:ligatures w14:val="none"/>
        </w:rPr>
        <w:t>POSSIBLE SUB-PROJECT TYPES AND DETAILS</w:t>
      </w:r>
    </w:p>
    <w:p w14:paraId="4C851C59" w14:textId="77777777" w:rsidR="00921C59" w:rsidRPr="00175D8B" w:rsidRDefault="00921C59" w:rsidP="00921C59">
      <w:pPr>
        <w:spacing w:after="160"/>
        <w:rPr>
          <w:rFonts w:eastAsia="Aptos" w:cs="Aptos"/>
          <w:b/>
          <w:kern w:val="0"/>
          <w:szCs w:val="22"/>
          <w:lang w:eastAsia="tr-TR"/>
          <w14:ligatures w14:val="none"/>
        </w:rPr>
      </w:pPr>
      <w:r w:rsidRPr="00175D8B">
        <w:rPr>
          <w:rFonts w:eastAsia="Aptos" w:cs="Aptos"/>
          <w:b/>
          <w:kern w:val="0"/>
          <w:szCs w:val="22"/>
          <w:lang w:eastAsia="tr-TR"/>
          <w14:ligatures w14:val="none"/>
        </w:rPr>
        <w:t>Potential Sub-Projects under Component 2</w:t>
      </w:r>
    </w:p>
    <w:p w14:paraId="299D51FC" w14:textId="77777777" w:rsidR="00921C59" w:rsidRPr="00175D8B" w:rsidRDefault="00921C59" w:rsidP="00DD7A56">
      <w:pPr>
        <w:spacing w:after="160"/>
        <w:rPr>
          <w:rFonts w:eastAsia="Aptos" w:cs="Aptos"/>
          <w:b/>
          <w:kern w:val="0"/>
          <w:szCs w:val="22"/>
          <w:lang w:eastAsia="tr-TR"/>
          <w14:ligatures w14:val="none"/>
        </w:rPr>
      </w:pPr>
      <w:r w:rsidRPr="00175D8B">
        <w:rPr>
          <w:rFonts w:eastAsia="Aptos" w:cs="Aptos"/>
          <w:kern w:val="0"/>
          <w:szCs w:val="22"/>
          <w:lang w:eastAsia="tr-TR"/>
          <w14:ligatures w14:val="none"/>
        </w:rPr>
        <w:t xml:space="preserve">The rationale for Component 2 is the need for resilient housing/workplaces in the Project pilot provinces, which will greatly contribute to increased climate and disaster resilience. The Government of Türkiye faces several challenges in implementing the national regulatory framework supporting climate and disaster resilient urban transformation. Key challenges include the need for increased financing for retrofitting/reconstruction activities to meet resilience and energy efficiency standards, and the transfer of funding to municipalities to increase investments in resilient urban infrastructure. Accordingly, the sub-project types according to the activity to be realized can be listed as follows: </w:t>
      </w:r>
    </w:p>
    <w:p w14:paraId="135EE73F" w14:textId="77777777" w:rsidR="00921C59" w:rsidRPr="00175D8B" w:rsidRDefault="00921C59">
      <w:pPr>
        <w:numPr>
          <w:ilvl w:val="0"/>
          <w:numId w:val="127"/>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Type-I: Sub-projects involving buildings that have been identified as risky structures but have not been demolished, and for which demolition and reconstruction activities will be carried out.</w:t>
      </w:r>
    </w:p>
    <w:p w14:paraId="3ADA264B" w14:textId="77777777" w:rsidR="00921C59" w:rsidRPr="00175D8B" w:rsidRDefault="00921C59">
      <w:pPr>
        <w:numPr>
          <w:ilvl w:val="0"/>
          <w:numId w:val="127"/>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Type-II: Sub-projects involving buildings that have been identified as risky structures, but have applied for loans for retrofitting instead of demolition and reconstruction, and accordingly, only retrofitting activities will be carried out.</w:t>
      </w:r>
    </w:p>
    <w:p w14:paraId="5DFBCCE2" w14:textId="77777777" w:rsidR="00921C59" w:rsidRPr="00175D8B" w:rsidRDefault="00921C59">
      <w:pPr>
        <w:numPr>
          <w:ilvl w:val="0"/>
          <w:numId w:val="127"/>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Type-III: Sub-projects that have been demolished after being identified as risky buildings and will apply for loans only for reconstruction activities within the scope of Component 2.</w:t>
      </w:r>
    </w:p>
    <w:p w14:paraId="7A3D79B7" w14:textId="77777777" w:rsidR="00CE62A9" w:rsidRPr="00175D8B" w:rsidRDefault="00CE62A9" w:rsidP="00DD7A56">
      <w:pPr>
        <w:spacing w:after="160"/>
        <w:rPr>
          <w:rFonts w:eastAsia="Aptos" w:cs="Aptos"/>
          <w:kern w:val="0"/>
          <w:szCs w:val="22"/>
          <w:lang w:eastAsia="tr-TR"/>
          <w14:ligatures w14:val="none"/>
        </w:rPr>
      </w:pPr>
    </w:p>
    <w:p w14:paraId="4F4F0E76" w14:textId="77777777" w:rsidR="00921C59" w:rsidRPr="00175D8B" w:rsidRDefault="00921C59">
      <w:pPr>
        <w:numPr>
          <w:ilvl w:val="0"/>
          <w:numId w:val="117"/>
        </w:numPr>
        <w:pBdr>
          <w:top w:val="nil"/>
          <w:left w:val="nil"/>
          <w:bottom w:val="nil"/>
          <w:right w:val="nil"/>
          <w:between w:val="nil"/>
        </w:pBdr>
        <w:spacing w:after="160"/>
        <w:jc w:val="left"/>
        <w:rPr>
          <w:rFonts w:eastAsia="Aptos" w:cs="Aptos"/>
          <w:b/>
          <w:color w:val="000000"/>
          <w:kern w:val="0"/>
          <w:szCs w:val="22"/>
          <w:lang w:eastAsia="tr-TR"/>
          <w14:ligatures w14:val="none"/>
        </w:rPr>
      </w:pPr>
      <w:r w:rsidRPr="00175D8B">
        <w:rPr>
          <w:rFonts w:eastAsia="Aptos" w:cs="Aptos"/>
          <w:b/>
          <w:color w:val="000000"/>
          <w:kern w:val="0"/>
          <w:szCs w:val="22"/>
          <w:lang w:eastAsia="tr-TR"/>
          <w14:ligatures w14:val="none"/>
        </w:rPr>
        <w:t xml:space="preserve"> SUMMARY OF IMPACTS</w:t>
      </w:r>
    </w:p>
    <w:p w14:paraId="26EAB38A"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Retrofitting, demolition and reconstruction activities will cause noise and air pollution, as well as hazardous material risks such as chemical leakage risks. In addition, basic retrofitting/reconstruction requirements such as concrete, rebar, insulation material, etc., will be required as resources, as well as water for personnel use and fuels for vehicles and equipment.</w:t>
      </w:r>
    </w:p>
    <w:p w14:paraId="14F6737A"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b/>
          <w:kern w:val="0"/>
          <w:szCs w:val="22"/>
          <w:lang w:eastAsia="tr-TR"/>
          <w14:ligatures w14:val="none"/>
        </w:rPr>
        <w:lastRenderedPageBreak/>
        <w:t>Raw materials:</w:t>
      </w:r>
      <w:r w:rsidRPr="00175D8B">
        <w:rPr>
          <w:rFonts w:eastAsia="Aptos" w:cs="Aptos"/>
          <w:kern w:val="0"/>
          <w:szCs w:val="22"/>
          <w:lang w:eastAsia="tr-TR"/>
          <w14:ligatures w14:val="none"/>
        </w:rPr>
        <w:t xml:space="preserve"> The way materials are used is related to the production and consumption processes. Extracted natural resources are used for manufacturing purposes and then consumed as goods or services. Each process stage generates energy flows and by-products. The by-products are recovered or released into nature as waste and emissions. However, man-made materials are not easily recovered or degraded in nature due to their toxicity and non-degradable nature. Therefore, efficient use of raw materials and by-products is important to save energy and conserve natural resources. </w:t>
      </w:r>
    </w:p>
    <w:p w14:paraId="4DB8C797"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b/>
          <w:kern w:val="0"/>
          <w:szCs w:val="22"/>
          <w:lang w:eastAsia="tr-TR"/>
          <w14:ligatures w14:val="none"/>
        </w:rPr>
        <w:t xml:space="preserve">Energy: </w:t>
      </w:r>
      <w:r w:rsidRPr="00175D8B">
        <w:rPr>
          <w:rFonts w:eastAsia="Aptos" w:cs="Aptos"/>
          <w:kern w:val="0"/>
          <w:szCs w:val="22"/>
          <w:lang w:eastAsia="tr-TR"/>
          <w14:ligatures w14:val="none"/>
        </w:rPr>
        <w:t xml:space="preserve">It is accepted that a country's standard of living and energy consumption follow a parallel course. World energy consumption is constantly increasing. Unfortunately, the world's energy needs are mainly met from fossil fuels with limited reserves. Therefore, sustainable energy use should be ensured by reducing the consumption of fossil fuels, reducing greenhouse gas emissions, using energy efficiently and preferring alternative sources. </w:t>
      </w:r>
    </w:p>
    <w:p w14:paraId="724142DC" w14:textId="3BD02E8B" w:rsidR="00921C59" w:rsidRPr="00175D8B" w:rsidRDefault="00921C59" w:rsidP="00921C59">
      <w:pPr>
        <w:spacing w:after="160"/>
        <w:rPr>
          <w:rFonts w:eastAsia="Aptos" w:cs="Aptos"/>
          <w:kern w:val="0"/>
          <w:szCs w:val="22"/>
          <w:lang w:eastAsia="tr-TR"/>
          <w14:ligatures w14:val="none"/>
        </w:rPr>
      </w:pPr>
      <w:r w:rsidRPr="00175D8B">
        <w:rPr>
          <w:rFonts w:eastAsia="Aptos" w:cs="Aptos"/>
          <w:b/>
          <w:kern w:val="0"/>
          <w:szCs w:val="22"/>
          <w:lang w:eastAsia="tr-TR"/>
          <w14:ligatures w14:val="none"/>
        </w:rPr>
        <w:t xml:space="preserve">Water: </w:t>
      </w:r>
      <w:r w:rsidRPr="00175D8B">
        <w:rPr>
          <w:rFonts w:eastAsia="Aptos" w:cs="Aptos"/>
          <w:kern w:val="0"/>
          <w:szCs w:val="22"/>
          <w:lang w:eastAsia="tr-TR"/>
          <w14:ligatures w14:val="none"/>
        </w:rPr>
        <w:t>Water resources are important for society and ecosystems and are required for agriculture, husbandry, energy production, navigation, recreation and manufacturing. The main issues related to water use are the abundance, availability and quality of resources in nature. While the status of water resources varies according to local conditions, climate change is also an important factor. As a result of climate change, the water demand of living things increases with increasing temperatures. On the other hand, water and energy systems are interconnected. Energy is required for water pumping, transportation and processing. Therefore, efficient use of water is necessary to improve living standards in the future.</w:t>
      </w:r>
    </w:p>
    <w:p w14:paraId="4CAED5E0"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b/>
          <w:kern w:val="0"/>
          <w:szCs w:val="22"/>
          <w:lang w:eastAsia="tr-TR"/>
          <w14:ligatures w14:val="none"/>
        </w:rPr>
        <w:t xml:space="preserve">Wastes: </w:t>
      </w:r>
      <w:r w:rsidRPr="00175D8B">
        <w:rPr>
          <w:rFonts w:eastAsia="Aptos" w:cs="Aptos"/>
          <w:kern w:val="0"/>
          <w:szCs w:val="22"/>
          <w:lang w:eastAsia="tr-TR"/>
          <w14:ligatures w14:val="none"/>
        </w:rPr>
        <w:t>Project activities will result in the generation of various non-hazardous and hazardous wastes.</w:t>
      </w:r>
    </w:p>
    <w:p w14:paraId="6A4FD833"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Non-Hazardous Wastes</w:t>
      </w:r>
    </w:p>
    <w:p w14:paraId="142616F7"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Typical non-hazardous wastes are listed below;</w:t>
      </w:r>
    </w:p>
    <w:p w14:paraId="144BAD91" w14:textId="77777777" w:rsidR="00921C59" w:rsidRPr="00175D8B" w:rsidRDefault="00921C59">
      <w:pPr>
        <w:numPr>
          <w:ilvl w:val="0"/>
          <w:numId w:val="129"/>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Household wastes,</w:t>
      </w:r>
    </w:p>
    <w:p w14:paraId="364E511E" w14:textId="77777777" w:rsidR="00921C59" w:rsidRPr="00175D8B" w:rsidRDefault="00921C59">
      <w:pPr>
        <w:numPr>
          <w:ilvl w:val="0"/>
          <w:numId w:val="129"/>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Recyclable waste (e.g., paper, glass, metals, wood waste, trees, cans, textiles, etc.),</w:t>
      </w:r>
    </w:p>
    <w:p w14:paraId="758AC3A3" w14:textId="77777777" w:rsidR="00921C59" w:rsidRPr="00175D8B" w:rsidRDefault="00921C59">
      <w:pPr>
        <w:numPr>
          <w:ilvl w:val="0"/>
          <w:numId w:val="129"/>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Packaging waste,</w:t>
      </w:r>
    </w:p>
    <w:p w14:paraId="678038F3" w14:textId="77777777" w:rsidR="00921C59" w:rsidRPr="00175D8B" w:rsidRDefault="00921C59">
      <w:pPr>
        <w:numPr>
          <w:ilvl w:val="0"/>
          <w:numId w:val="128"/>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Waste tires and</w:t>
      </w:r>
    </w:p>
    <w:p w14:paraId="3D15C27B" w14:textId="77777777" w:rsidR="00921C59" w:rsidRPr="00175D8B" w:rsidRDefault="00921C59">
      <w:pPr>
        <w:numPr>
          <w:ilvl w:val="0"/>
          <w:numId w:val="128"/>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Excavation wastes.</w:t>
      </w:r>
    </w:p>
    <w:p w14:paraId="06D2BA5C" w14:textId="77777777" w:rsidR="00921C59" w:rsidRPr="00175D8B" w:rsidRDefault="00921C59">
      <w:pPr>
        <w:numPr>
          <w:ilvl w:val="0"/>
          <w:numId w:val="128"/>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Hazardous Wastes</w:t>
      </w:r>
    </w:p>
    <w:p w14:paraId="5D440E72" w14:textId="77777777" w:rsidR="00921C59" w:rsidRPr="00175D8B" w:rsidRDefault="00921C59">
      <w:pPr>
        <w:numPr>
          <w:ilvl w:val="0"/>
          <w:numId w:val="128"/>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The different types of hazardous wastes likely to be generated as a result of the Project activities are listed below:</w:t>
      </w:r>
    </w:p>
    <w:p w14:paraId="16EB2001" w14:textId="77777777" w:rsidR="00921C59" w:rsidRPr="00175D8B" w:rsidRDefault="00921C59">
      <w:pPr>
        <w:numPr>
          <w:ilvl w:val="0"/>
          <w:numId w:val="128"/>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Waste batteries and accumulators,</w:t>
      </w:r>
    </w:p>
    <w:p w14:paraId="5537921D" w14:textId="77777777" w:rsidR="00921C59" w:rsidRPr="00175D8B" w:rsidRDefault="00921C59">
      <w:pPr>
        <w:numPr>
          <w:ilvl w:val="0"/>
          <w:numId w:val="128"/>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lastRenderedPageBreak/>
        <w:t>Waste vegetable oil,</w:t>
      </w:r>
    </w:p>
    <w:p w14:paraId="4FED54E0" w14:textId="77777777" w:rsidR="00921C59" w:rsidRPr="00175D8B" w:rsidRDefault="00921C59">
      <w:pPr>
        <w:numPr>
          <w:ilvl w:val="0"/>
          <w:numId w:val="128"/>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Medical waste,</w:t>
      </w:r>
      <w:bookmarkStart w:id="502" w:name="_1a346fx" w:colFirst="0" w:colLast="0"/>
      <w:bookmarkEnd w:id="502"/>
    </w:p>
    <w:p w14:paraId="5EDDF641" w14:textId="77777777" w:rsidR="00921C59" w:rsidRPr="00175D8B" w:rsidRDefault="00921C59">
      <w:pPr>
        <w:numPr>
          <w:ilvl w:val="0"/>
          <w:numId w:val="128"/>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Waste oil (from maintenance of equipment and vehicles, transformers, etc.),</w:t>
      </w:r>
    </w:p>
    <w:p w14:paraId="043D1680" w14:textId="77777777" w:rsidR="00921C59" w:rsidRPr="00175D8B" w:rsidRDefault="00921C59">
      <w:pPr>
        <w:numPr>
          <w:ilvl w:val="0"/>
          <w:numId w:val="128"/>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Waste paint,</w:t>
      </w:r>
    </w:p>
    <w:p w14:paraId="3694DBC8" w14:textId="77777777" w:rsidR="00921C59" w:rsidRPr="00175D8B" w:rsidRDefault="00921C59">
      <w:pPr>
        <w:numPr>
          <w:ilvl w:val="0"/>
          <w:numId w:val="128"/>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Other hazardous wastes related to operation and maintenance activities and</w:t>
      </w:r>
    </w:p>
    <w:p w14:paraId="07C052BD" w14:textId="77777777" w:rsidR="00921C59" w:rsidRPr="00175D8B" w:rsidRDefault="00921C59">
      <w:pPr>
        <w:numPr>
          <w:ilvl w:val="0"/>
          <w:numId w:val="128"/>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Materials in contact with hazardous substances (including pesticide containers).</w:t>
      </w:r>
    </w:p>
    <w:p w14:paraId="7832D048" w14:textId="77777777" w:rsidR="00921C59" w:rsidRPr="00175D8B" w:rsidRDefault="00921C59">
      <w:pPr>
        <w:numPr>
          <w:ilvl w:val="0"/>
          <w:numId w:val="128"/>
        </w:numPr>
        <w:spacing w:after="160"/>
        <w:contextualSpacing/>
        <w:jc w:val="left"/>
        <w:rPr>
          <w:rFonts w:eastAsia="Aptos" w:cs="Aptos"/>
          <w:kern w:val="0"/>
          <w:szCs w:val="22"/>
          <w:lang w:eastAsia="tr-TR"/>
          <w14:ligatures w14:val="none"/>
        </w:rPr>
      </w:pPr>
      <w:r w:rsidRPr="00175D8B">
        <w:rPr>
          <w:rFonts w:eastAsia="Aptos" w:cs="Aptos"/>
          <w:kern w:val="0"/>
          <w:szCs w:val="22"/>
          <w:lang w:eastAsia="tr-TR"/>
          <w14:ligatures w14:val="none"/>
        </w:rPr>
        <w:t>Excavation, Construction and Demolition Waste</w:t>
      </w:r>
    </w:p>
    <w:p w14:paraId="506D6021"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Soil and rock materials excavated during land preparation and construction will be reused on site as much as possible. Practices will be in place for the management of excess excavated material as well as other construction and demolition waste.</w:t>
      </w:r>
    </w:p>
    <w:p w14:paraId="43BB4091" w14:textId="0DD892DC" w:rsidR="003C5BBF" w:rsidRPr="00175D8B" w:rsidRDefault="00921C59">
      <w:pPr>
        <w:numPr>
          <w:ilvl w:val="0"/>
          <w:numId w:val="117"/>
        </w:numPr>
        <w:pBdr>
          <w:top w:val="nil"/>
          <w:left w:val="nil"/>
          <w:bottom w:val="nil"/>
          <w:right w:val="nil"/>
          <w:between w:val="nil"/>
        </w:pBdr>
        <w:spacing w:after="160" w:line="259" w:lineRule="auto"/>
        <w:contextualSpacing/>
        <w:jc w:val="left"/>
        <w:rPr>
          <w:rFonts w:eastAsia="Aptos" w:cs="Aptos"/>
          <w:b/>
          <w:color w:val="000000"/>
          <w:kern w:val="0"/>
          <w:szCs w:val="22"/>
          <w:lang w:eastAsia="tr-TR"/>
          <w14:ligatures w14:val="none"/>
        </w:rPr>
      </w:pPr>
      <w:r w:rsidRPr="00175D8B">
        <w:rPr>
          <w:rFonts w:eastAsia="Aptos" w:cs="Aptos"/>
          <w:b/>
          <w:color w:val="000000"/>
          <w:kern w:val="0"/>
          <w:szCs w:val="22"/>
          <w:lang w:eastAsia="tr-TR"/>
          <w14:ligatures w14:val="none"/>
        </w:rPr>
        <w:t>MITIGATION MEASURES</w:t>
      </w:r>
    </w:p>
    <w:p w14:paraId="4886C97A" w14:textId="77777777" w:rsidR="003C5BBF" w:rsidRPr="00175D8B" w:rsidRDefault="003C5BBF" w:rsidP="002550A6">
      <w:pPr>
        <w:pBdr>
          <w:top w:val="nil"/>
          <w:left w:val="nil"/>
          <w:bottom w:val="nil"/>
          <w:right w:val="nil"/>
          <w:between w:val="nil"/>
        </w:pBdr>
        <w:spacing w:after="160" w:line="259" w:lineRule="auto"/>
        <w:ind w:left="720"/>
        <w:contextualSpacing/>
        <w:jc w:val="left"/>
        <w:rPr>
          <w:rFonts w:eastAsia="Aptos" w:cs="Aptos"/>
          <w:b/>
          <w:color w:val="000000"/>
          <w:kern w:val="0"/>
          <w:szCs w:val="22"/>
          <w:lang w:eastAsia="tr-TR"/>
          <w14:ligatures w14:val="none"/>
        </w:rPr>
      </w:pPr>
    </w:p>
    <w:p w14:paraId="193844B1" w14:textId="77777777" w:rsidR="00921C59" w:rsidRPr="00175D8B" w:rsidRDefault="00921C59" w:rsidP="00DD7A56">
      <w:pPr>
        <w:spacing w:after="160"/>
        <w:rPr>
          <w:rFonts w:eastAsia="Aptos" w:cs="Aptos"/>
          <w:kern w:val="0"/>
          <w:szCs w:val="20"/>
          <w:lang w:eastAsia="tr-TR"/>
          <w14:ligatures w14:val="none"/>
        </w:rPr>
      </w:pPr>
      <w:r w:rsidRPr="00175D8B">
        <w:rPr>
          <w:rFonts w:eastAsia="Aptos" w:cs="Aptos"/>
          <w:kern w:val="0"/>
          <w:szCs w:val="20"/>
          <w:lang w:eastAsia="tr-TR"/>
          <w14:ligatures w14:val="none"/>
        </w:rPr>
        <w:t xml:space="preserve">Resource efficiency is the efficient and sustainable use of limited and exhaustible resources such as raw materials, energy and water to create more value using fewer inputs. It can also be defined as doing more with fewer resources and reducing the negative impacts of resource use. </w:t>
      </w:r>
    </w:p>
    <w:p w14:paraId="1EAFFF03" w14:textId="77777777" w:rsidR="00921C59" w:rsidRPr="00175D8B" w:rsidRDefault="00921C59" w:rsidP="00921C59">
      <w:pPr>
        <w:spacing w:after="160" w:line="259" w:lineRule="auto"/>
        <w:jc w:val="left"/>
        <w:rPr>
          <w:rFonts w:eastAsia="Aptos" w:cs="Aptos"/>
          <w:b/>
          <w:i/>
          <w:iCs/>
          <w:kern w:val="0"/>
          <w:sz w:val="20"/>
          <w:szCs w:val="20"/>
          <w:lang w:eastAsia="tr-TR"/>
          <w14:ligatures w14:val="none"/>
        </w:rPr>
      </w:pPr>
      <w:r w:rsidRPr="00175D8B">
        <w:rPr>
          <w:rFonts w:eastAsia="Aptos" w:cs="Aptos"/>
          <w:b/>
          <w:i/>
          <w:iCs/>
          <w:kern w:val="0"/>
          <w:sz w:val="20"/>
          <w:szCs w:val="20"/>
          <w:lang w:eastAsia="tr-TR"/>
          <w14:ligatures w14:val="none"/>
        </w:rPr>
        <w:br w:type="page"/>
      </w:r>
    </w:p>
    <w:p w14:paraId="60D6DF38" w14:textId="77777777" w:rsidR="00921C59" w:rsidRPr="00175D8B" w:rsidRDefault="00921C59" w:rsidP="00921C59">
      <w:pPr>
        <w:tabs>
          <w:tab w:val="left" w:pos="2293"/>
        </w:tabs>
        <w:spacing w:after="160" w:line="259" w:lineRule="auto"/>
        <w:jc w:val="center"/>
        <w:rPr>
          <w:rFonts w:eastAsia="Aptos" w:cs="Aptos"/>
          <w:b/>
          <w:i/>
          <w:iCs/>
          <w:kern w:val="0"/>
          <w:sz w:val="20"/>
          <w:szCs w:val="20"/>
          <w:lang w:eastAsia="tr-TR"/>
          <w14:ligatures w14:val="none"/>
        </w:rPr>
      </w:pPr>
      <w:r w:rsidRPr="00175D8B">
        <w:rPr>
          <w:rFonts w:eastAsia="Aptos" w:cs="Aptos"/>
          <w:b/>
          <w:i/>
          <w:iCs/>
          <w:kern w:val="0"/>
          <w:sz w:val="20"/>
          <w:szCs w:val="20"/>
          <w:lang w:eastAsia="tr-TR"/>
          <w14:ligatures w14:val="none"/>
        </w:rPr>
        <w:lastRenderedPageBreak/>
        <w:t>Resource Efficiency and Pollution Prevention Plans</w:t>
      </w:r>
    </w:p>
    <w:tbl>
      <w:tblPr>
        <w:tblStyle w:val="TabloKlavuzu6"/>
        <w:tblW w:w="9072" w:type="dxa"/>
        <w:jc w:val="center"/>
        <w:tblCellMar>
          <w:top w:w="28" w:type="dxa"/>
          <w:left w:w="85" w:type="dxa"/>
          <w:bottom w:w="28" w:type="dxa"/>
          <w:right w:w="85" w:type="dxa"/>
        </w:tblCellMar>
        <w:tblLook w:val="04A0" w:firstRow="1" w:lastRow="0" w:firstColumn="1" w:lastColumn="0" w:noHBand="0" w:noVBand="1"/>
      </w:tblPr>
      <w:tblGrid>
        <w:gridCol w:w="1590"/>
        <w:gridCol w:w="5469"/>
        <w:gridCol w:w="2013"/>
      </w:tblGrid>
      <w:tr w:rsidR="00921C59" w:rsidRPr="00175D8B" w14:paraId="28FB56B8" w14:textId="77777777" w:rsidTr="00DF417A">
        <w:trPr>
          <w:trHeight w:val="20"/>
          <w:tblHeader/>
          <w:jc w:val="center"/>
        </w:trPr>
        <w:tc>
          <w:tcPr>
            <w:tcW w:w="1590" w:type="dxa"/>
            <w:shd w:val="clear" w:color="auto" w:fill="ABB7C1"/>
          </w:tcPr>
          <w:p w14:paraId="2E3E4BF9" w14:textId="77777777" w:rsidR="00921C59" w:rsidRPr="00175D8B" w:rsidRDefault="00921C59" w:rsidP="00921C59">
            <w:pPr>
              <w:spacing w:after="0" w:line="276" w:lineRule="auto"/>
              <w:jc w:val="left"/>
              <w:rPr>
                <w:b/>
                <w:bCs/>
                <w:sz w:val="20"/>
              </w:rPr>
            </w:pPr>
          </w:p>
        </w:tc>
        <w:tc>
          <w:tcPr>
            <w:tcW w:w="5469" w:type="dxa"/>
            <w:shd w:val="clear" w:color="auto" w:fill="ABB7C1"/>
          </w:tcPr>
          <w:p w14:paraId="26F56720" w14:textId="77777777" w:rsidR="00921C59" w:rsidRPr="00175D8B" w:rsidRDefault="00921C59" w:rsidP="00921C59">
            <w:pPr>
              <w:spacing w:after="0" w:line="276" w:lineRule="auto"/>
              <w:jc w:val="left"/>
              <w:rPr>
                <w:b/>
                <w:bCs/>
                <w:sz w:val="20"/>
              </w:rPr>
            </w:pPr>
            <w:r w:rsidRPr="00175D8B">
              <w:rPr>
                <w:b/>
                <w:bCs/>
                <w:sz w:val="20"/>
              </w:rPr>
              <w:t>Mitigation Measures</w:t>
            </w:r>
          </w:p>
        </w:tc>
        <w:tc>
          <w:tcPr>
            <w:tcW w:w="2013" w:type="dxa"/>
            <w:shd w:val="clear" w:color="auto" w:fill="ABB7C1"/>
          </w:tcPr>
          <w:p w14:paraId="2F81FE08" w14:textId="77777777" w:rsidR="00921C59" w:rsidRPr="00175D8B" w:rsidRDefault="00921C59" w:rsidP="00921C59">
            <w:pPr>
              <w:spacing w:after="0" w:line="276" w:lineRule="auto"/>
              <w:jc w:val="left"/>
              <w:rPr>
                <w:b/>
                <w:bCs/>
                <w:sz w:val="20"/>
              </w:rPr>
            </w:pPr>
            <w:r w:rsidRPr="00175D8B">
              <w:rPr>
                <w:b/>
                <w:bCs/>
                <w:sz w:val="20"/>
              </w:rPr>
              <w:t>Duties And Responsibilities</w:t>
            </w:r>
          </w:p>
        </w:tc>
      </w:tr>
      <w:tr w:rsidR="00921C59" w:rsidRPr="00175D8B" w14:paraId="034CF582" w14:textId="77777777" w:rsidTr="00DF417A">
        <w:trPr>
          <w:trHeight w:val="20"/>
          <w:jc w:val="center"/>
        </w:trPr>
        <w:tc>
          <w:tcPr>
            <w:tcW w:w="1590" w:type="dxa"/>
            <w:shd w:val="clear" w:color="auto" w:fill="F2F2F2"/>
            <w:vAlign w:val="center"/>
          </w:tcPr>
          <w:p w14:paraId="4D3A9434" w14:textId="77777777" w:rsidR="00921C59" w:rsidRPr="00175D8B" w:rsidRDefault="00921C59" w:rsidP="00921C59">
            <w:pPr>
              <w:spacing w:after="0" w:line="276" w:lineRule="auto"/>
              <w:jc w:val="left"/>
              <w:rPr>
                <w:sz w:val="20"/>
              </w:rPr>
            </w:pPr>
            <w:r w:rsidRPr="00175D8B">
              <w:rPr>
                <w:sz w:val="20"/>
              </w:rPr>
              <w:t>Air Quality</w:t>
            </w:r>
          </w:p>
        </w:tc>
        <w:tc>
          <w:tcPr>
            <w:tcW w:w="5469" w:type="dxa"/>
            <w:shd w:val="clear" w:color="auto" w:fill="F2F2F2"/>
            <w:vAlign w:val="center"/>
          </w:tcPr>
          <w:p w14:paraId="5B54740B" w14:textId="77777777" w:rsidR="00921C59" w:rsidRPr="00175D8B" w:rsidRDefault="00921C59">
            <w:pPr>
              <w:widowControl w:val="0"/>
              <w:numPr>
                <w:ilvl w:val="0"/>
                <w:numId w:val="120"/>
              </w:numPr>
              <w:tabs>
                <w:tab w:val="left" w:pos="322"/>
              </w:tabs>
              <w:autoSpaceDE w:val="0"/>
              <w:autoSpaceDN w:val="0"/>
              <w:spacing w:before="81" w:after="0" w:line="240" w:lineRule="auto"/>
              <w:jc w:val="left"/>
              <w:rPr>
                <w:rFonts w:eastAsia="Times New Roman" w:cs="Arial"/>
                <w:iCs/>
                <w:sz w:val="20"/>
                <w:lang w:val="tr-TR" w:eastAsia="en-US"/>
              </w:rPr>
            </w:pPr>
            <w:r w:rsidRPr="00175D8B">
              <w:rPr>
                <w:rFonts w:eastAsia="Times New Roman" w:cs="Arial"/>
                <w:iCs/>
                <w:kern w:val="16"/>
                <w:sz w:val="20"/>
                <w:lang w:val="tr-TR" w:eastAsia="en-US"/>
              </w:rPr>
              <w:t>Construction or waste materials shall not be burnt in open areas.</w:t>
            </w:r>
          </w:p>
          <w:p w14:paraId="51F4AC14" w14:textId="77777777" w:rsidR="00921C59" w:rsidRPr="00175D8B" w:rsidRDefault="00921C59">
            <w:pPr>
              <w:numPr>
                <w:ilvl w:val="0"/>
                <w:numId w:val="120"/>
              </w:numPr>
              <w:spacing w:after="0" w:line="276" w:lineRule="auto"/>
              <w:contextualSpacing/>
              <w:jc w:val="left"/>
              <w:rPr>
                <w:sz w:val="20"/>
              </w:rPr>
            </w:pPr>
            <w:r w:rsidRPr="00175D8B">
              <w:rPr>
                <w:sz w:val="20"/>
              </w:rPr>
              <w:t>Construction machinery will not be left idling for prolonged periods.</w:t>
            </w:r>
          </w:p>
          <w:p w14:paraId="327A4C30" w14:textId="77777777" w:rsidR="00921C59" w:rsidRPr="00175D8B" w:rsidRDefault="00921C59">
            <w:pPr>
              <w:numPr>
                <w:ilvl w:val="0"/>
                <w:numId w:val="120"/>
              </w:numPr>
              <w:spacing w:after="0" w:line="276" w:lineRule="auto"/>
              <w:contextualSpacing/>
              <w:jc w:val="left"/>
              <w:rPr>
                <w:sz w:val="20"/>
              </w:rPr>
            </w:pPr>
            <w:r w:rsidRPr="00175D8B">
              <w:rPr>
                <w:sz w:val="20"/>
              </w:rPr>
              <w:t>Trucks used for material transportation will be covered, and speed limits will be enforced.</w:t>
            </w:r>
          </w:p>
          <w:p w14:paraId="18C9ADDF" w14:textId="77777777" w:rsidR="00921C59" w:rsidRPr="00175D8B" w:rsidRDefault="00921C59">
            <w:pPr>
              <w:numPr>
                <w:ilvl w:val="0"/>
                <w:numId w:val="120"/>
              </w:numPr>
              <w:spacing w:after="0" w:line="276" w:lineRule="auto"/>
              <w:contextualSpacing/>
              <w:jc w:val="left"/>
              <w:rPr>
                <w:sz w:val="20"/>
              </w:rPr>
            </w:pPr>
            <w:r w:rsidRPr="00175D8B">
              <w:rPr>
                <w:sz w:val="20"/>
              </w:rPr>
              <w:t>All vehicles operating on-site will have valid exhaust emission permits and undergo regular maintenance.</w:t>
            </w:r>
          </w:p>
          <w:p w14:paraId="0C201516" w14:textId="77777777" w:rsidR="00921C59" w:rsidRPr="00175D8B" w:rsidRDefault="00921C59">
            <w:pPr>
              <w:numPr>
                <w:ilvl w:val="0"/>
                <w:numId w:val="120"/>
              </w:numPr>
              <w:spacing w:after="0" w:line="276" w:lineRule="auto"/>
              <w:contextualSpacing/>
              <w:jc w:val="left"/>
              <w:rPr>
                <w:sz w:val="20"/>
              </w:rPr>
            </w:pPr>
            <w:r w:rsidRPr="00175D8B">
              <w:rPr>
                <w:sz w:val="20"/>
              </w:rPr>
              <w:t>Water spraying will be conducted on transportation routes as needed to prevent dust formation.</w:t>
            </w:r>
          </w:p>
          <w:p w14:paraId="45D5B500" w14:textId="77777777" w:rsidR="00921C59" w:rsidRPr="00175D8B" w:rsidRDefault="00921C59">
            <w:pPr>
              <w:numPr>
                <w:ilvl w:val="0"/>
                <w:numId w:val="120"/>
              </w:numPr>
              <w:spacing w:after="0" w:line="276" w:lineRule="auto"/>
              <w:contextualSpacing/>
              <w:jc w:val="left"/>
              <w:rPr>
                <w:sz w:val="20"/>
              </w:rPr>
            </w:pPr>
            <w:r w:rsidRPr="00175D8B">
              <w:rPr>
                <w:sz w:val="20"/>
              </w:rPr>
              <w:t>Regular maintenance of all vehicles will be ensured to minimize emissions.</w:t>
            </w:r>
          </w:p>
          <w:p w14:paraId="328D89D5" w14:textId="77777777" w:rsidR="00921C59" w:rsidRPr="00175D8B" w:rsidRDefault="00921C59">
            <w:pPr>
              <w:numPr>
                <w:ilvl w:val="0"/>
                <w:numId w:val="120"/>
              </w:numPr>
              <w:spacing w:after="0" w:line="276" w:lineRule="auto"/>
              <w:contextualSpacing/>
              <w:jc w:val="left"/>
              <w:rPr>
                <w:sz w:val="20"/>
              </w:rPr>
            </w:pPr>
            <w:r w:rsidRPr="00175D8B">
              <w:rPr>
                <w:sz w:val="20"/>
              </w:rPr>
              <w:t>If dust is generated during air-powered drilling, mitigation measures such as continuous water spraying or the installation of dust barriers will be implemented.</w:t>
            </w:r>
          </w:p>
        </w:tc>
        <w:tc>
          <w:tcPr>
            <w:tcW w:w="2013" w:type="dxa"/>
            <w:shd w:val="clear" w:color="auto" w:fill="F2F2F2"/>
            <w:vAlign w:val="center"/>
          </w:tcPr>
          <w:p w14:paraId="7AED7922" w14:textId="77777777" w:rsidR="00921C59" w:rsidRPr="00175D8B" w:rsidRDefault="00921C59" w:rsidP="00921C59">
            <w:pPr>
              <w:spacing w:after="0" w:line="276" w:lineRule="auto"/>
              <w:jc w:val="left"/>
              <w:rPr>
                <w:sz w:val="20"/>
              </w:rPr>
            </w:pPr>
            <w:r w:rsidRPr="00175D8B">
              <w:rPr>
                <w:sz w:val="20"/>
              </w:rPr>
              <w:t>Contractors</w:t>
            </w:r>
          </w:p>
        </w:tc>
      </w:tr>
      <w:tr w:rsidR="00921C59" w:rsidRPr="00175D8B" w14:paraId="49938BC0" w14:textId="77777777" w:rsidTr="00DF417A">
        <w:trPr>
          <w:trHeight w:val="20"/>
          <w:jc w:val="center"/>
        </w:trPr>
        <w:tc>
          <w:tcPr>
            <w:tcW w:w="1590" w:type="dxa"/>
            <w:shd w:val="clear" w:color="auto" w:fill="F2F2F2"/>
            <w:vAlign w:val="center"/>
          </w:tcPr>
          <w:p w14:paraId="3A731BEC" w14:textId="77777777" w:rsidR="00921C59" w:rsidRPr="00175D8B" w:rsidRDefault="00921C59" w:rsidP="00921C59">
            <w:pPr>
              <w:spacing w:after="0" w:line="276" w:lineRule="auto"/>
              <w:jc w:val="left"/>
              <w:rPr>
                <w:sz w:val="20"/>
              </w:rPr>
            </w:pPr>
            <w:r w:rsidRPr="00175D8B">
              <w:rPr>
                <w:sz w:val="20"/>
              </w:rPr>
              <w:t>Soil and Groundwater</w:t>
            </w:r>
          </w:p>
        </w:tc>
        <w:tc>
          <w:tcPr>
            <w:tcW w:w="5469" w:type="dxa"/>
            <w:shd w:val="clear" w:color="auto" w:fill="F2F2F2"/>
            <w:vAlign w:val="center"/>
          </w:tcPr>
          <w:p w14:paraId="6D030034" w14:textId="77777777" w:rsidR="00921C59" w:rsidRPr="00175D8B" w:rsidRDefault="00921C59">
            <w:pPr>
              <w:numPr>
                <w:ilvl w:val="0"/>
                <w:numId w:val="121"/>
              </w:numPr>
              <w:spacing w:after="0" w:line="276" w:lineRule="auto"/>
              <w:contextualSpacing/>
              <w:jc w:val="left"/>
              <w:rPr>
                <w:sz w:val="20"/>
              </w:rPr>
            </w:pPr>
            <w:r w:rsidRPr="00175D8B">
              <w:rPr>
                <w:sz w:val="20"/>
              </w:rPr>
              <w:t>Residual (excess) concrete from mixer trucks will not be washed on the construction site, its surroundings, or access roads.</w:t>
            </w:r>
          </w:p>
          <w:p w14:paraId="272BC912" w14:textId="77777777" w:rsidR="00921C59" w:rsidRPr="00175D8B" w:rsidRDefault="00921C59">
            <w:pPr>
              <w:numPr>
                <w:ilvl w:val="0"/>
                <w:numId w:val="121"/>
              </w:numPr>
              <w:spacing w:after="0" w:line="276" w:lineRule="auto"/>
              <w:contextualSpacing/>
              <w:jc w:val="left"/>
              <w:rPr>
                <w:sz w:val="20"/>
              </w:rPr>
            </w:pPr>
            <w:r w:rsidRPr="00175D8B">
              <w:rPr>
                <w:sz w:val="20"/>
              </w:rPr>
              <w:t>Concrete mixer drivers will receive appropriate training on waste management procedures.</w:t>
            </w:r>
          </w:p>
          <w:p w14:paraId="55CD8CE2" w14:textId="77777777" w:rsidR="00921C59" w:rsidRPr="00175D8B" w:rsidRDefault="00921C59">
            <w:pPr>
              <w:numPr>
                <w:ilvl w:val="0"/>
                <w:numId w:val="121"/>
              </w:numPr>
              <w:spacing w:after="0" w:line="276" w:lineRule="auto"/>
              <w:contextualSpacing/>
              <w:jc w:val="left"/>
              <w:rPr>
                <w:sz w:val="20"/>
              </w:rPr>
            </w:pPr>
            <w:r w:rsidRPr="00175D8B">
              <w:rPr>
                <w:sz w:val="20"/>
              </w:rPr>
              <w:t>Hazardous chemicals and materials will be stored in a designated area to prevent leakage and spillage.</w:t>
            </w:r>
          </w:p>
          <w:p w14:paraId="49A28FAB" w14:textId="77777777" w:rsidR="00921C59" w:rsidRPr="00175D8B" w:rsidRDefault="00921C59">
            <w:pPr>
              <w:numPr>
                <w:ilvl w:val="0"/>
                <w:numId w:val="121"/>
              </w:numPr>
              <w:spacing w:after="0" w:line="276" w:lineRule="auto"/>
              <w:contextualSpacing/>
              <w:jc w:val="left"/>
              <w:rPr>
                <w:sz w:val="20"/>
              </w:rPr>
            </w:pPr>
            <w:r w:rsidRPr="00175D8B">
              <w:rPr>
                <w:sz w:val="20"/>
              </w:rPr>
              <w:t>Containers with partially used chemicals will be kept sealed when not in use. In the event of a hazardous substance or waste spillage, containment measures will be implemented to limit exposure. Workers capable of responding to such incidents will be provided with relevant leakage-spillage emergency response training.</w:t>
            </w:r>
          </w:p>
          <w:p w14:paraId="7C6E7D97" w14:textId="77777777" w:rsidR="00921C59" w:rsidRPr="00175D8B" w:rsidRDefault="00921C59">
            <w:pPr>
              <w:numPr>
                <w:ilvl w:val="0"/>
                <w:numId w:val="121"/>
              </w:numPr>
              <w:spacing w:after="0" w:line="276" w:lineRule="auto"/>
              <w:contextualSpacing/>
              <w:jc w:val="left"/>
              <w:rPr>
                <w:sz w:val="20"/>
              </w:rPr>
            </w:pPr>
            <w:r w:rsidRPr="00175D8B">
              <w:rPr>
                <w:sz w:val="20"/>
              </w:rPr>
              <w:t>Proper spill containment kits will be placed at designated locations within the construction site.</w:t>
            </w:r>
          </w:p>
        </w:tc>
        <w:tc>
          <w:tcPr>
            <w:tcW w:w="2013" w:type="dxa"/>
            <w:shd w:val="clear" w:color="auto" w:fill="F2F2F2"/>
            <w:vAlign w:val="center"/>
          </w:tcPr>
          <w:p w14:paraId="35D50E54" w14:textId="77777777" w:rsidR="00921C59" w:rsidRPr="00175D8B" w:rsidRDefault="00921C59" w:rsidP="00921C59">
            <w:pPr>
              <w:spacing w:after="0" w:line="276" w:lineRule="auto"/>
              <w:jc w:val="left"/>
              <w:rPr>
                <w:sz w:val="20"/>
              </w:rPr>
            </w:pPr>
            <w:r w:rsidRPr="00175D8B">
              <w:rPr>
                <w:sz w:val="20"/>
              </w:rPr>
              <w:t>Contractors</w:t>
            </w:r>
          </w:p>
        </w:tc>
      </w:tr>
      <w:tr w:rsidR="00921C59" w:rsidRPr="00175D8B" w14:paraId="1B36FC98" w14:textId="77777777" w:rsidTr="00DF417A">
        <w:trPr>
          <w:trHeight w:val="20"/>
          <w:jc w:val="center"/>
        </w:trPr>
        <w:tc>
          <w:tcPr>
            <w:tcW w:w="1590" w:type="dxa"/>
            <w:shd w:val="clear" w:color="auto" w:fill="F2F2F2"/>
            <w:vAlign w:val="center"/>
          </w:tcPr>
          <w:p w14:paraId="3C65196B" w14:textId="77777777" w:rsidR="00921C59" w:rsidRPr="00175D8B" w:rsidRDefault="00921C59" w:rsidP="00921C59">
            <w:pPr>
              <w:spacing w:after="0" w:line="276" w:lineRule="auto"/>
              <w:jc w:val="left"/>
              <w:rPr>
                <w:sz w:val="20"/>
              </w:rPr>
            </w:pPr>
            <w:r w:rsidRPr="00175D8B">
              <w:rPr>
                <w:sz w:val="20"/>
              </w:rPr>
              <w:t>Solid Waste</w:t>
            </w:r>
          </w:p>
        </w:tc>
        <w:tc>
          <w:tcPr>
            <w:tcW w:w="5469" w:type="dxa"/>
            <w:shd w:val="clear" w:color="auto" w:fill="F2F2F2"/>
            <w:vAlign w:val="center"/>
          </w:tcPr>
          <w:p w14:paraId="0D8D0174" w14:textId="77777777" w:rsidR="00921C59" w:rsidRPr="00175D8B" w:rsidRDefault="00921C59">
            <w:pPr>
              <w:numPr>
                <w:ilvl w:val="0"/>
                <w:numId w:val="122"/>
              </w:numPr>
              <w:spacing w:after="0" w:line="240" w:lineRule="auto"/>
              <w:contextualSpacing/>
              <w:jc w:val="left"/>
              <w:rPr>
                <w:sz w:val="20"/>
              </w:rPr>
            </w:pPr>
            <w:r w:rsidRPr="00175D8B">
              <w:rPr>
                <w:sz w:val="20"/>
              </w:rPr>
              <w:t xml:space="preserve">Household waste will be sorted at the source (plastic, glass, paper, etc.) and recyclable waste will be recycled. </w:t>
            </w:r>
          </w:p>
          <w:p w14:paraId="757D81F9" w14:textId="77777777" w:rsidR="00921C59" w:rsidRPr="00175D8B" w:rsidRDefault="00921C59">
            <w:pPr>
              <w:numPr>
                <w:ilvl w:val="0"/>
                <w:numId w:val="122"/>
              </w:numPr>
              <w:spacing w:after="0" w:line="276" w:lineRule="auto"/>
              <w:contextualSpacing/>
              <w:jc w:val="left"/>
              <w:rPr>
                <w:sz w:val="20"/>
              </w:rPr>
            </w:pPr>
            <w:r w:rsidRPr="00175D8B">
              <w:rPr>
                <w:sz w:val="20"/>
              </w:rPr>
              <w:t>Non-recyclable waste will be collected in leak-proof bins and disposed of via the Sakarya Metropolitan Municipality's solid waste collection system.</w:t>
            </w:r>
          </w:p>
        </w:tc>
        <w:tc>
          <w:tcPr>
            <w:tcW w:w="2013" w:type="dxa"/>
            <w:shd w:val="clear" w:color="auto" w:fill="F2F2F2"/>
            <w:vAlign w:val="center"/>
          </w:tcPr>
          <w:p w14:paraId="6AF02E8E" w14:textId="77777777" w:rsidR="00921C59" w:rsidRPr="00175D8B" w:rsidRDefault="00921C59" w:rsidP="00921C59">
            <w:pPr>
              <w:spacing w:after="0" w:line="276" w:lineRule="auto"/>
              <w:jc w:val="left"/>
              <w:rPr>
                <w:sz w:val="20"/>
              </w:rPr>
            </w:pPr>
            <w:r w:rsidRPr="00175D8B">
              <w:rPr>
                <w:sz w:val="20"/>
              </w:rPr>
              <w:t>Contractors</w:t>
            </w:r>
          </w:p>
        </w:tc>
      </w:tr>
      <w:tr w:rsidR="00921C59" w:rsidRPr="00175D8B" w14:paraId="683E20B2" w14:textId="77777777" w:rsidTr="00DF417A">
        <w:trPr>
          <w:trHeight w:val="20"/>
          <w:jc w:val="center"/>
        </w:trPr>
        <w:tc>
          <w:tcPr>
            <w:tcW w:w="1590" w:type="dxa"/>
            <w:shd w:val="clear" w:color="auto" w:fill="F2F2F2"/>
            <w:vAlign w:val="center"/>
          </w:tcPr>
          <w:p w14:paraId="27850233" w14:textId="77777777" w:rsidR="00921C59" w:rsidRPr="00175D8B" w:rsidRDefault="00921C59" w:rsidP="00921C59">
            <w:pPr>
              <w:spacing w:after="0" w:line="276" w:lineRule="auto"/>
              <w:jc w:val="left"/>
              <w:rPr>
                <w:sz w:val="20"/>
              </w:rPr>
            </w:pPr>
            <w:r w:rsidRPr="00175D8B">
              <w:rPr>
                <w:sz w:val="20"/>
              </w:rPr>
              <w:t>Noise level</w:t>
            </w:r>
          </w:p>
        </w:tc>
        <w:tc>
          <w:tcPr>
            <w:tcW w:w="5469" w:type="dxa"/>
            <w:shd w:val="clear" w:color="auto" w:fill="F2F2F2"/>
            <w:vAlign w:val="center"/>
          </w:tcPr>
          <w:p w14:paraId="34B23419" w14:textId="77777777" w:rsidR="00921C59" w:rsidRPr="00175D8B" w:rsidRDefault="00921C59">
            <w:pPr>
              <w:numPr>
                <w:ilvl w:val="0"/>
                <w:numId w:val="123"/>
              </w:numPr>
              <w:spacing w:after="0" w:line="276" w:lineRule="auto"/>
              <w:contextualSpacing/>
              <w:jc w:val="left"/>
              <w:rPr>
                <w:sz w:val="20"/>
              </w:rPr>
            </w:pPr>
            <w:r w:rsidRPr="00175D8B">
              <w:rPr>
                <w:sz w:val="20"/>
              </w:rPr>
              <w:t>During the construction phase, the engine covers of generators, air compressors, and other mechanical equipment will be kept closed, and the equipment will be placed as far away as possible from residential areas.</w:t>
            </w:r>
          </w:p>
          <w:p w14:paraId="33856731" w14:textId="77777777" w:rsidR="00921C59" w:rsidRPr="00175D8B" w:rsidRDefault="00921C59">
            <w:pPr>
              <w:numPr>
                <w:ilvl w:val="0"/>
                <w:numId w:val="123"/>
              </w:numPr>
              <w:spacing w:after="0" w:line="276" w:lineRule="auto"/>
              <w:contextualSpacing/>
              <w:jc w:val="left"/>
              <w:rPr>
                <w:sz w:val="20"/>
              </w:rPr>
            </w:pPr>
            <w:r w:rsidRPr="00175D8B">
              <w:rPr>
                <w:sz w:val="20"/>
              </w:rPr>
              <w:t xml:space="preserve">The noise generated during the construction phase will be limited to the time periods specified in the permits. Construction activities within or near residential areas will not be carried out during evening and nighttime </w:t>
            </w:r>
            <w:r w:rsidRPr="00175D8B">
              <w:rPr>
                <w:sz w:val="20"/>
              </w:rPr>
              <w:lastRenderedPageBreak/>
              <w:t xml:space="preserve">hours, outside of the designated daytime working hours. </w:t>
            </w:r>
          </w:p>
          <w:p w14:paraId="1FD4A0EA" w14:textId="77777777" w:rsidR="00921C59" w:rsidRPr="00175D8B" w:rsidRDefault="00921C59">
            <w:pPr>
              <w:numPr>
                <w:ilvl w:val="0"/>
                <w:numId w:val="123"/>
              </w:numPr>
              <w:spacing w:after="0" w:line="276" w:lineRule="auto"/>
              <w:contextualSpacing/>
              <w:jc w:val="left"/>
              <w:rPr>
                <w:sz w:val="20"/>
              </w:rPr>
            </w:pPr>
            <w:r w:rsidRPr="00175D8B">
              <w:rPr>
                <w:sz w:val="20"/>
              </w:rPr>
              <w:t>Construction activities will be restricted to daytime hours as much as possible. In the case of activities taking place during evening or nighttime hours, the noise limits of 65 dBA for evening hours and 60 dBA for nighttime hours will be ensured. Additionally, the necessary approval from the Provincial Environmental Board will be obtained for evening and nighttime work.</w:t>
            </w:r>
          </w:p>
          <w:p w14:paraId="3B2DE9E1" w14:textId="77777777" w:rsidR="00921C59" w:rsidRPr="00175D8B" w:rsidRDefault="00921C59">
            <w:pPr>
              <w:numPr>
                <w:ilvl w:val="0"/>
                <w:numId w:val="123"/>
              </w:numPr>
              <w:spacing w:after="0" w:line="276" w:lineRule="auto"/>
              <w:contextualSpacing/>
              <w:jc w:val="left"/>
              <w:rPr>
                <w:sz w:val="20"/>
              </w:rPr>
            </w:pPr>
            <w:r w:rsidRPr="00175D8B">
              <w:rPr>
                <w:sz w:val="20"/>
              </w:rPr>
              <w:t>In case of increased noise levels during construction, measures such as not operating heavy machinery simultaneously or using newer model vehicles as much as possible will be taken.</w:t>
            </w:r>
          </w:p>
          <w:p w14:paraId="6B723168" w14:textId="77777777" w:rsidR="00921C59" w:rsidRPr="00175D8B" w:rsidRDefault="00921C59">
            <w:pPr>
              <w:numPr>
                <w:ilvl w:val="0"/>
                <w:numId w:val="123"/>
              </w:numPr>
              <w:spacing w:after="0" w:line="276" w:lineRule="auto"/>
              <w:contextualSpacing/>
              <w:jc w:val="left"/>
              <w:rPr>
                <w:sz w:val="20"/>
              </w:rPr>
            </w:pPr>
            <w:r w:rsidRPr="00175D8B">
              <w:rPr>
                <w:sz w:val="20"/>
              </w:rPr>
              <w:t>Residents living near the construction site will be informed throughout the construction period.</w:t>
            </w:r>
          </w:p>
        </w:tc>
        <w:tc>
          <w:tcPr>
            <w:tcW w:w="2013" w:type="dxa"/>
            <w:shd w:val="clear" w:color="auto" w:fill="F2F2F2"/>
            <w:vAlign w:val="center"/>
          </w:tcPr>
          <w:p w14:paraId="16DE465D" w14:textId="77777777" w:rsidR="00921C59" w:rsidRPr="00175D8B" w:rsidRDefault="00921C59" w:rsidP="00921C59">
            <w:pPr>
              <w:spacing w:after="0" w:line="276" w:lineRule="auto"/>
              <w:jc w:val="left"/>
              <w:rPr>
                <w:sz w:val="20"/>
              </w:rPr>
            </w:pPr>
            <w:r w:rsidRPr="00175D8B">
              <w:rPr>
                <w:sz w:val="20"/>
              </w:rPr>
              <w:lastRenderedPageBreak/>
              <w:t>Contractors</w:t>
            </w:r>
          </w:p>
        </w:tc>
      </w:tr>
      <w:tr w:rsidR="00921C59" w:rsidRPr="00175D8B" w14:paraId="1B3FA990" w14:textId="77777777" w:rsidTr="00DF417A">
        <w:trPr>
          <w:trHeight w:val="20"/>
          <w:jc w:val="center"/>
        </w:trPr>
        <w:tc>
          <w:tcPr>
            <w:tcW w:w="1590" w:type="dxa"/>
            <w:shd w:val="clear" w:color="auto" w:fill="F2F2F2"/>
            <w:vAlign w:val="center"/>
          </w:tcPr>
          <w:p w14:paraId="32792E5F" w14:textId="77777777" w:rsidR="00921C59" w:rsidRPr="00175D8B" w:rsidRDefault="00921C59" w:rsidP="00921C59">
            <w:pPr>
              <w:spacing w:after="0" w:line="276" w:lineRule="auto"/>
              <w:jc w:val="left"/>
              <w:rPr>
                <w:sz w:val="20"/>
              </w:rPr>
            </w:pPr>
            <w:r w:rsidRPr="00175D8B">
              <w:rPr>
                <w:sz w:val="20"/>
              </w:rPr>
              <w:t>Wastewater</w:t>
            </w:r>
          </w:p>
        </w:tc>
        <w:tc>
          <w:tcPr>
            <w:tcW w:w="5469" w:type="dxa"/>
            <w:shd w:val="clear" w:color="auto" w:fill="F2F2F2"/>
            <w:vAlign w:val="center"/>
          </w:tcPr>
          <w:p w14:paraId="6DF4C6F4" w14:textId="77777777" w:rsidR="00921C59" w:rsidRPr="00175D8B" w:rsidRDefault="00921C59">
            <w:pPr>
              <w:numPr>
                <w:ilvl w:val="0"/>
                <w:numId w:val="124"/>
              </w:numPr>
              <w:spacing w:after="0" w:line="276" w:lineRule="auto"/>
              <w:contextualSpacing/>
              <w:jc w:val="left"/>
              <w:rPr>
                <w:sz w:val="20"/>
              </w:rPr>
            </w:pPr>
            <w:r w:rsidRPr="00175D8B">
              <w:rPr>
                <w:sz w:val="20"/>
              </w:rPr>
              <w:t>The wastewater generated during the construction activities will be integrated into the existing sewage system.</w:t>
            </w:r>
          </w:p>
        </w:tc>
        <w:tc>
          <w:tcPr>
            <w:tcW w:w="2013" w:type="dxa"/>
            <w:shd w:val="clear" w:color="auto" w:fill="F2F2F2"/>
            <w:vAlign w:val="center"/>
          </w:tcPr>
          <w:p w14:paraId="628173AD" w14:textId="77777777" w:rsidR="00921C59" w:rsidRPr="00175D8B" w:rsidRDefault="00921C59" w:rsidP="00921C59">
            <w:pPr>
              <w:spacing w:after="0" w:line="276" w:lineRule="auto"/>
              <w:jc w:val="left"/>
              <w:rPr>
                <w:sz w:val="20"/>
              </w:rPr>
            </w:pPr>
            <w:r w:rsidRPr="00175D8B">
              <w:rPr>
                <w:sz w:val="20"/>
              </w:rPr>
              <w:t>Contractors</w:t>
            </w:r>
          </w:p>
        </w:tc>
      </w:tr>
      <w:tr w:rsidR="00921C59" w:rsidRPr="00175D8B" w14:paraId="0F5F7B4F" w14:textId="77777777" w:rsidTr="00DF417A">
        <w:trPr>
          <w:trHeight w:val="20"/>
          <w:jc w:val="center"/>
        </w:trPr>
        <w:tc>
          <w:tcPr>
            <w:tcW w:w="1590" w:type="dxa"/>
            <w:shd w:val="clear" w:color="auto" w:fill="F2F2F2"/>
            <w:vAlign w:val="center"/>
          </w:tcPr>
          <w:p w14:paraId="7458BA7F" w14:textId="77777777" w:rsidR="00921C59" w:rsidRPr="00175D8B" w:rsidRDefault="00921C59" w:rsidP="00921C59">
            <w:pPr>
              <w:spacing w:after="0" w:line="276" w:lineRule="auto"/>
              <w:jc w:val="left"/>
              <w:rPr>
                <w:sz w:val="20"/>
              </w:rPr>
            </w:pPr>
            <w:r w:rsidRPr="00175D8B">
              <w:rPr>
                <w:sz w:val="20"/>
              </w:rPr>
              <w:t>Waste Oils</w:t>
            </w:r>
          </w:p>
        </w:tc>
        <w:tc>
          <w:tcPr>
            <w:tcW w:w="5469" w:type="dxa"/>
            <w:shd w:val="clear" w:color="auto" w:fill="F2F2F2"/>
            <w:vAlign w:val="center"/>
          </w:tcPr>
          <w:p w14:paraId="0AF79B64" w14:textId="77777777" w:rsidR="00921C59" w:rsidRPr="00175D8B" w:rsidRDefault="00921C59">
            <w:pPr>
              <w:numPr>
                <w:ilvl w:val="0"/>
                <w:numId w:val="124"/>
              </w:numPr>
              <w:spacing w:after="0" w:line="276" w:lineRule="auto"/>
              <w:contextualSpacing/>
              <w:jc w:val="left"/>
              <w:rPr>
                <w:sz w:val="20"/>
              </w:rPr>
            </w:pPr>
            <w:r w:rsidRPr="00175D8B">
              <w:rPr>
                <w:sz w:val="20"/>
              </w:rPr>
              <w:t>Maintenance of machinery and equipment (e.g., oil change, battery replacement, etc.) will be carried out outside the Project Area by qualified service providers.</w:t>
            </w:r>
          </w:p>
          <w:p w14:paraId="58110B8A" w14:textId="77777777" w:rsidR="00921C59" w:rsidRPr="00175D8B" w:rsidRDefault="00921C59">
            <w:pPr>
              <w:numPr>
                <w:ilvl w:val="0"/>
                <w:numId w:val="124"/>
              </w:numPr>
              <w:spacing w:after="0" w:line="276" w:lineRule="auto"/>
              <w:contextualSpacing/>
              <w:jc w:val="left"/>
              <w:rPr>
                <w:sz w:val="20"/>
              </w:rPr>
            </w:pPr>
            <w:r w:rsidRPr="00175D8B">
              <w:rPr>
                <w:sz w:val="20"/>
              </w:rPr>
              <w:t>If oil changes, battery changes, tire changes, etc. are unavoidable at the construction site, dedicated areas (with appropriate drainage) will be used for this purpose.</w:t>
            </w:r>
          </w:p>
          <w:p w14:paraId="20F4A086" w14:textId="77777777" w:rsidR="00921C59" w:rsidRPr="00175D8B" w:rsidRDefault="00921C59">
            <w:pPr>
              <w:numPr>
                <w:ilvl w:val="0"/>
                <w:numId w:val="124"/>
              </w:numPr>
              <w:spacing w:after="0" w:line="276" w:lineRule="auto"/>
              <w:contextualSpacing/>
              <w:jc w:val="left"/>
              <w:rPr>
                <w:sz w:val="20"/>
              </w:rPr>
            </w:pPr>
            <w:r w:rsidRPr="00175D8B">
              <w:rPr>
                <w:sz w:val="20"/>
              </w:rPr>
              <w:t>An impermeable cover will be placed under the vehicles to prevent soil contamination, and this activity will be conducted away from water sources.</w:t>
            </w:r>
          </w:p>
          <w:p w14:paraId="63BF0407" w14:textId="77777777" w:rsidR="00921C59" w:rsidRPr="00175D8B" w:rsidRDefault="00921C59">
            <w:pPr>
              <w:numPr>
                <w:ilvl w:val="0"/>
                <w:numId w:val="124"/>
              </w:numPr>
              <w:spacing w:after="0" w:line="276" w:lineRule="auto"/>
              <w:contextualSpacing/>
              <w:jc w:val="left"/>
              <w:rPr>
                <w:sz w:val="20"/>
              </w:rPr>
            </w:pPr>
            <w:r w:rsidRPr="00175D8B">
              <w:rPr>
                <w:sz w:val="20"/>
              </w:rPr>
              <w:t>In case of any oil/fuel/lubricant spillage or leakage at the construction site, pollution will be controlled using absorbent materials, and contaminated soil (if any) will be removed to a sufficient depth and stored as hazardous waste.</w:t>
            </w:r>
          </w:p>
          <w:p w14:paraId="320A6818" w14:textId="77777777" w:rsidR="00921C59" w:rsidRPr="00175D8B" w:rsidRDefault="00921C59">
            <w:pPr>
              <w:numPr>
                <w:ilvl w:val="0"/>
                <w:numId w:val="124"/>
              </w:numPr>
              <w:spacing w:after="0" w:line="276" w:lineRule="auto"/>
              <w:contextualSpacing/>
              <w:jc w:val="left"/>
              <w:rPr>
                <w:sz w:val="20"/>
              </w:rPr>
            </w:pPr>
            <w:r w:rsidRPr="00175D8B">
              <w:rPr>
                <w:sz w:val="20"/>
              </w:rPr>
              <w:t>All vehicles used in transportation will be equipped with absorbent material against any leakage or spillage. Workers will be instructed on the use and disposal of materials. Filters or materials saturated with petroleum products will be emptied into a suitable container to remove any free product before disposal.</w:t>
            </w:r>
          </w:p>
          <w:p w14:paraId="54483B9B" w14:textId="77777777" w:rsidR="00921C59" w:rsidRPr="00175D8B" w:rsidRDefault="00921C59">
            <w:pPr>
              <w:numPr>
                <w:ilvl w:val="0"/>
                <w:numId w:val="124"/>
              </w:numPr>
              <w:spacing w:after="0" w:line="276" w:lineRule="auto"/>
              <w:contextualSpacing/>
              <w:jc w:val="left"/>
              <w:rPr>
                <w:sz w:val="20"/>
              </w:rPr>
            </w:pPr>
            <w:r w:rsidRPr="00175D8B">
              <w:rPr>
                <w:sz w:val="20"/>
              </w:rPr>
              <w:t xml:space="preserve">Waste oils will be temporarily stored, collected and disposed of in separate containers according to the categories specified in the Regulation on Control of Waste Oils. Waste oil will be collected in containers placed on an impermeable surface. Different containers </w:t>
            </w:r>
            <w:r w:rsidRPr="00175D8B">
              <w:rPr>
                <w:sz w:val="20"/>
              </w:rPr>
              <w:lastRenderedPageBreak/>
              <w:t>will be used for different categories of waste oil. Waste oil temporary storage containers will be marked "Waste Oil".</w:t>
            </w:r>
          </w:p>
          <w:p w14:paraId="72238FCF" w14:textId="77777777" w:rsidR="00921C59" w:rsidRPr="00175D8B" w:rsidRDefault="00921C59">
            <w:pPr>
              <w:numPr>
                <w:ilvl w:val="0"/>
                <w:numId w:val="124"/>
              </w:numPr>
              <w:spacing w:after="0" w:line="276" w:lineRule="auto"/>
              <w:contextualSpacing/>
              <w:jc w:val="left"/>
              <w:rPr>
                <w:sz w:val="20"/>
              </w:rPr>
            </w:pPr>
            <w:r w:rsidRPr="00175D8B">
              <w:rPr>
                <w:sz w:val="20"/>
              </w:rPr>
              <w:t>Waste vegetable oils will be temporarily collected in special containers. Waste oil will not be allowed to be discharged into receiving environments or toilets/sinks.</w:t>
            </w:r>
          </w:p>
        </w:tc>
        <w:tc>
          <w:tcPr>
            <w:tcW w:w="2013" w:type="dxa"/>
            <w:shd w:val="clear" w:color="auto" w:fill="F2F2F2"/>
            <w:vAlign w:val="center"/>
          </w:tcPr>
          <w:p w14:paraId="5950E49F" w14:textId="77777777" w:rsidR="00921C59" w:rsidRPr="00175D8B" w:rsidRDefault="00921C59" w:rsidP="00921C59">
            <w:pPr>
              <w:spacing w:after="0" w:line="276" w:lineRule="auto"/>
              <w:jc w:val="left"/>
              <w:rPr>
                <w:sz w:val="20"/>
              </w:rPr>
            </w:pPr>
            <w:r w:rsidRPr="00175D8B">
              <w:rPr>
                <w:sz w:val="20"/>
              </w:rPr>
              <w:lastRenderedPageBreak/>
              <w:t>Contractors</w:t>
            </w:r>
          </w:p>
        </w:tc>
      </w:tr>
      <w:tr w:rsidR="00921C59" w:rsidRPr="00175D8B" w14:paraId="6B9F977F" w14:textId="77777777" w:rsidTr="00DF417A">
        <w:trPr>
          <w:trHeight w:val="20"/>
          <w:jc w:val="center"/>
        </w:trPr>
        <w:tc>
          <w:tcPr>
            <w:tcW w:w="1590" w:type="dxa"/>
            <w:shd w:val="clear" w:color="auto" w:fill="F2F2F2"/>
            <w:vAlign w:val="center"/>
          </w:tcPr>
          <w:p w14:paraId="5D0A4D7B" w14:textId="77777777" w:rsidR="00921C59" w:rsidRPr="00175D8B" w:rsidRDefault="00921C59" w:rsidP="00921C59">
            <w:pPr>
              <w:spacing w:after="0" w:line="276" w:lineRule="auto"/>
              <w:jc w:val="left"/>
              <w:rPr>
                <w:sz w:val="20"/>
              </w:rPr>
            </w:pPr>
            <w:r w:rsidRPr="00175D8B">
              <w:rPr>
                <w:sz w:val="20"/>
              </w:rPr>
              <w:t>Excavation, Construction and Demolition Waste</w:t>
            </w:r>
          </w:p>
        </w:tc>
        <w:tc>
          <w:tcPr>
            <w:tcW w:w="5469" w:type="dxa"/>
            <w:shd w:val="clear" w:color="auto" w:fill="F2F2F2"/>
            <w:vAlign w:val="center"/>
          </w:tcPr>
          <w:p w14:paraId="6F4B41F8" w14:textId="77777777" w:rsidR="00921C59" w:rsidRPr="00175D8B" w:rsidRDefault="00921C59">
            <w:pPr>
              <w:numPr>
                <w:ilvl w:val="0"/>
                <w:numId w:val="125"/>
              </w:numPr>
              <w:spacing w:after="0" w:line="276" w:lineRule="auto"/>
              <w:contextualSpacing/>
              <w:jc w:val="left"/>
              <w:rPr>
                <w:sz w:val="20"/>
              </w:rPr>
            </w:pPr>
            <w:r w:rsidRPr="00175D8B">
              <w:rPr>
                <w:sz w:val="20"/>
              </w:rPr>
              <w:t>Under no circumstances will excavation, construction, and demolition waste be disposed of on-site.</w:t>
            </w:r>
          </w:p>
          <w:p w14:paraId="352EC294" w14:textId="77777777" w:rsidR="00921C59" w:rsidRPr="00175D8B" w:rsidRDefault="00921C59">
            <w:pPr>
              <w:numPr>
                <w:ilvl w:val="0"/>
                <w:numId w:val="125"/>
              </w:numPr>
              <w:spacing w:after="0" w:line="276" w:lineRule="auto"/>
              <w:contextualSpacing/>
              <w:jc w:val="left"/>
              <w:rPr>
                <w:sz w:val="20"/>
              </w:rPr>
            </w:pPr>
            <w:r w:rsidRPr="00175D8B">
              <w:rPr>
                <w:sz w:val="20"/>
              </w:rPr>
              <w:t>Only the portion of cut trees and shrubs, such as small branches, leaves, etc., not collected by the relevant forestry authority will be left on site, as this material will contribute to increased growth of local flora through fertilization of the soil.</w:t>
            </w:r>
          </w:p>
          <w:p w14:paraId="5DEB686D" w14:textId="77777777" w:rsidR="00921C59" w:rsidRPr="00175D8B" w:rsidRDefault="00921C59">
            <w:pPr>
              <w:numPr>
                <w:ilvl w:val="0"/>
                <w:numId w:val="125"/>
              </w:numPr>
              <w:spacing w:after="0" w:line="240" w:lineRule="auto"/>
              <w:contextualSpacing/>
              <w:jc w:val="left"/>
              <w:rPr>
                <w:sz w:val="20"/>
              </w:rPr>
            </w:pPr>
            <w:r w:rsidRPr="00175D8B">
              <w:rPr>
                <w:sz w:val="20"/>
              </w:rPr>
              <w:t xml:space="preserve">Areas used for temporary storage of excavated waste will be reinstated as soon as the earthworks/construction activities in each relevant area are completed. </w:t>
            </w:r>
          </w:p>
          <w:p w14:paraId="2B12146F" w14:textId="77777777" w:rsidR="00921C59" w:rsidRPr="00175D8B" w:rsidRDefault="00921C59">
            <w:pPr>
              <w:numPr>
                <w:ilvl w:val="0"/>
                <w:numId w:val="125"/>
              </w:numPr>
              <w:spacing w:after="0" w:line="240" w:lineRule="auto"/>
              <w:contextualSpacing/>
              <w:jc w:val="left"/>
              <w:rPr>
                <w:sz w:val="20"/>
              </w:rPr>
            </w:pPr>
            <w:r w:rsidRPr="00175D8B">
              <w:rPr>
                <w:sz w:val="20"/>
              </w:rPr>
              <w:t>Topsoil will be removed separately from the excavated material</w:t>
            </w:r>
          </w:p>
        </w:tc>
        <w:tc>
          <w:tcPr>
            <w:tcW w:w="2013" w:type="dxa"/>
            <w:shd w:val="clear" w:color="auto" w:fill="F2F2F2"/>
            <w:vAlign w:val="center"/>
          </w:tcPr>
          <w:p w14:paraId="6FA6C34F" w14:textId="77777777" w:rsidR="00921C59" w:rsidRPr="00175D8B" w:rsidRDefault="00921C59" w:rsidP="00921C59">
            <w:pPr>
              <w:spacing w:after="0" w:line="276" w:lineRule="auto"/>
              <w:jc w:val="left"/>
              <w:rPr>
                <w:sz w:val="20"/>
              </w:rPr>
            </w:pPr>
            <w:r w:rsidRPr="00175D8B">
              <w:rPr>
                <w:sz w:val="20"/>
              </w:rPr>
              <w:t>Contractors</w:t>
            </w:r>
          </w:p>
        </w:tc>
      </w:tr>
    </w:tbl>
    <w:p w14:paraId="6483CF42" w14:textId="77777777" w:rsidR="00921C59" w:rsidRPr="00175D8B" w:rsidRDefault="00921C59" w:rsidP="00921C59">
      <w:pPr>
        <w:tabs>
          <w:tab w:val="left" w:pos="2293"/>
        </w:tabs>
        <w:spacing w:after="160" w:line="259" w:lineRule="auto"/>
        <w:jc w:val="left"/>
        <w:rPr>
          <w:rFonts w:eastAsia="Aptos" w:cs="Aptos"/>
          <w:bCs/>
          <w:i/>
          <w:iCs/>
          <w:kern w:val="0"/>
          <w:sz w:val="20"/>
          <w:szCs w:val="20"/>
          <w:lang w:eastAsia="tr-TR"/>
          <w14:ligatures w14:val="none"/>
        </w:rPr>
      </w:pPr>
    </w:p>
    <w:p w14:paraId="0D2BD732" w14:textId="77777777" w:rsidR="00921C59" w:rsidRPr="00175D8B" w:rsidRDefault="00921C59" w:rsidP="00921C59">
      <w:pPr>
        <w:spacing w:after="160"/>
        <w:rPr>
          <w:rFonts w:eastAsia="Aptos" w:cs="Aptos"/>
          <w:b/>
          <w:kern w:val="0"/>
          <w:szCs w:val="22"/>
          <w:lang w:eastAsia="tr-TR"/>
          <w14:ligatures w14:val="none"/>
        </w:rPr>
      </w:pPr>
      <w:r w:rsidRPr="00175D8B">
        <w:rPr>
          <w:rFonts w:eastAsia="Aptos" w:cs="Aptos"/>
          <w:b/>
          <w:kern w:val="0"/>
          <w:szCs w:val="22"/>
          <w:lang w:eastAsia="tr-TR"/>
          <w14:ligatures w14:val="none"/>
        </w:rPr>
        <w:t>Duties and Responsibilities</w:t>
      </w:r>
    </w:p>
    <w:p w14:paraId="65EB5149" w14:textId="77777777" w:rsidR="00921C59" w:rsidRPr="00175D8B" w:rsidRDefault="00921C59" w:rsidP="00921C59">
      <w:pPr>
        <w:keepNext/>
        <w:spacing w:after="200" w:line="240" w:lineRule="auto"/>
        <w:jc w:val="center"/>
        <w:rPr>
          <w:rFonts w:eastAsia="Aptos" w:cs="Aptos"/>
          <w:b/>
          <w:i/>
          <w:iCs/>
          <w:color w:val="000000"/>
          <w:kern w:val="0"/>
          <w:sz w:val="20"/>
          <w:szCs w:val="18"/>
          <w:lang w:eastAsia="tr-TR"/>
          <w14:ligatures w14:val="none"/>
        </w:rPr>
      </w:pPr>
      <w:r w:rsidRPr="00175D8B">
        <w:rPr>
          <w:rFonts w:eastAsia="Aptos" w:cs="Aptos"/>
          <w:b/>
          <w:i/>
          <w:iCs/>
          <w:color w:val="000000"/>
          <w:kern w:val="0"/>
          <w:sz w:val="20"/>
          <w:szCs w:val="18"/>
          <w:lang w:eastAsia="tr-TR"/>
          <w14:ligatures w14:val="none"/>
        </w:rPr>
        <w:t>Duties and Responsibilities</w:t>
      </w:r>
    </w:p>
    <w:tbl>
      <w:tblPr>
        <w:tblStyle w:val="26"/>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0"/>
        <w:gridCol w:w="6222"/>
      </w:tblGrid>
      <w:tr w:rsidR="00921C59" w:rsidRPr="00175D8B" w14:paraId="1E4D4DD7" w14:textId="77777777" w:rsidTr="002550A6">
        <w:trPr>
          <w:trHeight w:val="1459"/>
          <w:jc w:val="center"/>
        </w:trPr>
        <w:tc>
          <w:tcPr>
            <w:tcW w:w="2850" w:type="dxa"/>
            <w:shd w:val="clear" w:color="auto" w:fill="F2F2F2"/>
          </w:tcPr>
          <w:p w14:paraId="0F9A393C" w14:textId="77777777" w:rsidR="00921C59" w:rsidRPr="00175D8B" w:rsidRDefault="00921C59" w:rsidP="00921C59">
            <w:pPr>
              <w:spacing w:after="160"/>
              <w:rPr>
                <w:sz w:val="18"/>
                <w:szCs w:val="18"/>
              </w:rPr>
            </w:pPr>
            <w:bookmarkStart w:id="503" w:name="_3u2rp3q" w:colFirst="0" w:colLast="0"/>
            <w:bookmarkEnd w:id="503"/>
            <w:r w:rsidRPr="00175D8B">
              <w:rPr>
                <w:sz w:val="18"/>
                <w:szCs w:val="18"/>
              </w:rPr>
              <w:t xml:space="preserve">Project Management Unit (PMU)  </w:t>
            </w:r>
          </w:p>
        </w:tc>
        <w:tc>
          <w:tcPr>
            <w:tcW w:w="6222" w:type="dxa"/>
            <w:shd w:val="clear" w:color="auto" w:fill="F2F2F2"/>
          </w:tcPr>
          <w:p w14:paraId="2A9272DD" w14:textId="77777777" w:rsidR="00921C59" w:rsidRPr="00175D8B" w:rsidRDefault="00921C59">
            <w:pPr>
              <w:numPr>
                <w:ilvl w:val="0"/>
                <w:numId w:val="126"/>
              </w:numPr>
              <w:spacing w:after="160" w:line="259" w:lineRule="auto"/>
              <w:contextualSpacing/>
              <w:jc w:val="left"/>
              <w:rPr>
                <w:sz w:val="18"/>
                <w:szCs w:val="18"/>
              </w:rPr>
            </w:pPr>
            <w:r w:rsidRPr="00175D8B">
              <w:rPr>
                <w:sz w:val="18"/>
                <w:szCs w:val="18"/>
              </w:rPr>
              <w:t>Ensure that adequate resources are provided for the implementation of this Plan.</w:t>
            </w:r>
          </w:p>
          <w:p w14:paraId="4F4D4760" w14:textId="77777777" w:rsidR="00921C59" w:rsidRPr="00175D8B" w:rsidRDefault="00921C59">
            <w:pPr>
              <w:numPr>
                <w:ilvl w:val="0"/>
                <w:numId w:val="126"/>
              </w:numPr>
              <w:spacing w:after="160" w:line="259" w:lineRule="auto"/>
              <w:contextualSpacing/>
              <w:jc w:val="left"/>
              <w:rPr>
                <w:sz w:val="18"/>
                <w:szCs w:val="18"/>
              </w:rPr>
            </w:pPr>
            <w:r w:rsidRPr="00175D8B">
              <w:rPr>
                <w:sz w:val="18"/>
                <w:szCs w:val="18"/>
              </w:rPr>
              <w:t>Review and update the Plan, as necessary</w:t>
            </w:r>
          </w:p>
          <w:p w14:paraId="62B80577" w14:textId="77777777" w:rsidR="00921C59" w:rsidRPr="00175D8B" w:rsidRDefault="00921C59">
            <w:pPr>
              <w:numPr>
                <w:ilvl w:val="0"/>
                <w:numId w:val="126"/>
              </w:numPr>
              <w:spacing w:after="160" w:line="259" w:lineRule="auto"/>
              <w:contextualSpacing/>
              <w:jc w:val="left"/>
              <w:rPr>
                <w:sz w:val="18"/>
                <w:szCs w:val="18"/>
              </w:rPr>
            </w:pPr>
            <w:r w:rsidRPr="00175D8B">
              <w:rPr>
                <w:sz w:val="18"/>
                <w:szCs w:val="18"/>
              </w:rPr>
              <w:t>Ensure that technical support is provided to contractors for the implementation of the Plan.</w:t>
            </w:r>
          </w:p>
          <w:p w14:paraId="48B68D08" w14:textId="77777777" w:rsidR="00921C59" w:rsidRPr="00175D8B" w:rsidRDefault="00921C59">
            <w:pPr>
              <w:numPr>
                <w:ilvl w:val="0"/>
                <w:numId w:val="126"/>
              </w:numPr>
              <w:spacing w:after="160" w:line="259" w:lineRule="auto"/>
              <w:contextualSpacing/>
              <w:jc w:val="left"/>
              <w:rPr>
                <w:sz w:val="18"/>
                <w:szCs w:val="18"/>
              </w:rPr>
            </w:pPr>
            <w:r w:rsidRPr="00175D8B">
              <w:rPr>
                <w:sz w:val="18"/>
                <w:szCs w:val="18"/>
              </w:rPr>
              <w:t>Oversee contractor compliance with Project requirements through contractor monitoring and reports.</w:t>
            </w:r>
          </w:p>
        </w:tc>
      </w:tr>
      <w:tr w:rsidR="00921C59" w:rsidRPr="00175D8B" w14:paraId="51720E48" w14:textId="77777777" w:rsidTr="002550A6">
        <w:trPr>
          <w:jc w:val="center"/>
        </w:trPr>
        <w:tc>
          <w:tcPr>
            <w:tcW w:w="2850" w:type="dxa"/>
            <w:shd w:val="clear" w:color="auto" w:fill="F2F2F2"/>
          </w:tcPr>
          <w:p w14:paraId="16AFF418" w14:textId="77777777" w:rsidR="00921C59" w:rsidRPr="00175D8B" w:rsidRDefault="00921C59" w:rsidP="00921C59">
            <w:pPr>
              <w:spacing w:after="160"/>
              <w:rPr>
                <w:sz w:val="18"/>
                <w:szCs w:val="18"/>
              </w:rPr>
            </w:pPr>
            <w:r w:rsidRPr="00175D8B">
              <w:rPr>
                <w:sz w:val="18"/>
                <w:szCs w:val="18"/>
              </w:rPr>
              <w:t>Contractors</w:t>
            </w:r>
          </w:p>
        </w:tc>
        <w:tc>
          <w:tcPr>
            <w:tcW w:w="6222" w:type="dxa"/>
            <w:shd w:val="clear" w:color="auto" w:fill="F2F2F2"/>
          </w:tcPr>
          <w:p w14:paraId="7733FF07" w14:textId="77777777" w:rsidR="00921C59" w:rsidRPr="00175D8B" w:rsidRDefault="00921C59">
            <w:pPr>
              <w:numPr>
                <w:ilvl w:val="0"/>
                <w:numId w:val="126"/>
              </w:numPr>
              <w:spacing w:after="160" w:line="259" w:lineRule="auto"/>
              <w:contextualSpacing/>
              <w:jc w:val="left"/>
              <w:rPr>
                <w:sz w:val="18"/>
                <w:szCs w:val="18"/>
              </w:rPr>
            </w:pPr>
            <w:r w:rsidRPr="00175D8B">
              <w:rPr>
                <w:sz w:val="18"/>
                <w:szCs w:val="18"/>
              </w:rPr>
              <w:t>Ensure that this plan is implemented in line with Project standards</w:t>
            </w:r>
          </w:p>
          <w:p w14:paraId="20CBA63B" w14:textId="77777777" w:rsidR="00921C59" w:rsidRPr="00175D8B" w:rsidRDefault="00921C59">
            <w:pPr>
              <w:numPr>
                <w:ilvl w:val="0"/>
                <w:numId w:val="126"/>
              </w:numPr>
              <w:spacing w:after="160" w:line="259" w:lineRule="auto"/>
              <w:contextualSpacing/>
              <w:jc w:val="left"/>
              <w:rPr>
                <w:sz w:val="18"/>
                <w:szCs w:val="18"/>
              </w:rPr>
            </w:pPr>
            <w:r w:rsidRPr="00175D8B">
              <w:rPr>
                <w:sz w:val="18"/>
                <w:szCs w:val="18"/>
              </w:rPr>
              <w:t>Ensure, as its main responsibility, the implementation of the Plan (also by Subcontractors, if any) and report to the PMU on non-compliance and performance of the Plan implementation.</w:t>
            </w:r>
          </w:p>
          <w:p w14:paraId="3FB4F47C" w14:textId="77777777" w:rsidR="00921C59" w:rsidRPr="00175D8B" w:rsidRDefault="00921C59">
            <w:pPr>
              <w:numPr>
                <w:ilvl w:val="0"/>
                <w:numId w:val="126"/>
              </w:numPr>
              <w:spacing w:after="160" w:line="259" w:lineRule="auto"/>
              <w:contextualSpacing/>
              <w:jc w:val="left"/>
              <w:rPr>
                <w:sz w:val="18"/>
                <w:szCs w:val="18"/>
              </w:rPr>
            </w:pPr>
            <w:r w:rsidRPr="00175D8B">
              <w:rPr>
                <w:sz w:val="18"/>
                <w:szCs w:val="18"/>
              </w:rPr>
              <w:t>Participate in the development of corrective and/or remedial actions when necessary (e.g., when non-compliances are identified, when there is a change in the relevant legislation, etc.).</w:t>
            </w:r>
          </w:p>
          <w:p w14:paraId="1C1404BA" w14:textId="77777777" w:rsidR="00921C59" w:rsidRPr="00175D8B" w:rsidRDefault="00921C59">
            <w:pPr>
              <w:numPr>
                <w:ilvl w:val="0"/>
                <w:numId w:val="126"/>
              </w:numPr>
              <w:spacing w:after="160" w:line="259" w:lineRule="auto"/>
              <w:contextualSpacing/>
              <w:jc w:val="left"/>
              <w:rPr>
                <w:sz w:val="18"/>
                <w:szCs w:val="18"/>
              </w:rPr>
            </w:pPr>
            <w:r w:rsidRPr="00175D8B">
              <w:rPr>
                <w:sz w:val="18"/>
                <w:szCs w:val="18"/>
              </w:rPr>
              <w:t>Provide relevant trainings.</w:t>
            </w:r>
          </w:p>
          <w:p w14:paraId="47061894" w14:textId="77777777" w:rsidR="00921C59" w:rsidRPr="00175D8B" w:rsidRDefault="00921C59">
            <w:pPr>
              <w:numPr>
                <w:ilvl w:val="0"/>
                <w:numId w:val="126"/>
              </w:numPr>
              <w:spacing w:after="160" w:line="259" w:lineRule="auto"/>
              <w:contextualSpacing/>
              <w:jc w:val="left"/>
              <w:rPr>
                <w:sz w:val="18"/>
                <w:szCs w:val="18"/>
              </w:rPr>
            </w:pPr>
            <w:r w:rsidRPr="00175D8B">
              <w:rPr>
                <w:sz w:val="18"/>
                <w:szCs w:val="18"/>
              </w:rPr>
              <w:t>Carry out internal audits and daily audits and record non-compliances identified.</w:t>
            </w:r>
          </w:p>
          <w:p w14:paraId="4FE9CAC5" w14:textId="77777777" w:rsidR="00921C59" w:rsidRPr="00175D8B" w:rsidRDefault="00921C59">
            <w:pPr>
              <w:numPr>
                <w:ilvl w:val="0"/>
                <w:numId w:val="126"/>
              </w:numPr>
              <w:spacing w:after="160" w:line="259" w:lineRule="auto"/>
              <w:contextualSpacing/>
              <w:jc w:val="left"/>
              <w:rPr>
                <w:sz w:val="18"/>
                <w:szCs w:val="18"/>
              </w:rPr>
            </w:pPr>
            <w:r w:rsidRPr="00175D8B">
              <w:rPr>
                <w:sz w:val="18"/>
                <w:szCs w:val="18"/>
              </w:rPr>
              <w:t>Ensure that relevant non-compliances are recorded and responded to promptly.</w:t>
            </w:r>
          </w:p>
          <w:p w14:paraId="5714BBB6" w14:textId="77777777" w:rsidR="00921C59" w:rsidRPr="00175D8B" w:rsidRDefault="00921C59">
            <w:pPr>
              <w:numPr>
                <w:ilvl w:val="0"/>
                <w:numId w:val="126"/>
              </w:numPr>
              <w:spacing w:after="160" w:line="259" w:lineRule="auto"/>
              <w:contextualSpacing/>
              <w:jc w:val="left"/>
              <w:rPr>
                <w:sz w:val="18"/>
                <w:szCs w:val="18"/>
              </w:rPr>
            </w:pPr>
            <w:r w:rsidRPr="00175D8B">
              <w:rPr>
                <w:sz w:val="18"/>
                <w:szCs w:val="18"/>
              </w:rPr>
              <w:t>Review and update the Plan when necessary (in coordination with PMU).</w:t>
            </w:r>
          </w:p>
        </w:tc>
      </w:tr>
    </w:tbl>
    <w:p w14:paraId="1F9ABFD8" w14:textId="77777777" w:rsidR="00921C59" w:rsidRPr="00175D8B" w:rsidRDefault="00921C59" w:rsidP="00921C59">
      <w:pPr>
        <w:autoSpaceDE w:val="0"/>
        <w:autoSpaceDN w:val="0"/>
        <w:adjustRightInd w:val="0"/>
        <w:spacing w:after="0" w:line="240" w:lineRule="auto"/>
        <w:jc w:val="left"/>
        <w:rPr>
          <w:rFonts w:eastAsia="Cambria" w:cs="Times New Roman"/>
          <w:color w:val="000000"/>
          <w:kern w:val="0"/>
          <w:sz w:val="24"/>
          <w:lang w:val="tr-TR"/>
        </w:rPr>
      </w:pPr>
    </w:p>
    <w:p w14:paraId="0EBE7339" w14:textId="77777777" w:rsidR="00921C59" w:rsidRPr="00175D8B" w:rsidRDefault="00921C59" w:rsidP="00921C59">
      <w:pPr>
        <w:spacing w:after="160" w:line="259" w:lineRule="auto"/>
        <w:jc w:val="left"/>
        <w:rPr>
          <w:rFonts w:eastAsia="Aptos" w:cs="Aptos"/>
          <w:kern w:val="0"/>
          <w:szCs w:val="22"/>
          <w:lang w:eastAsia="tr-TR"/>
          <w14:ligatures w14:val="none"/>
        </w:rPr>
      </w:pPr>
    </w:p>
    <w:p w14:paraId="5B7EE281" w14:textId="77777777" w:rsidR="00954644" w:rsidRDefault="00954644">
      <w:pPr>
        <w:pStyle w:val="Balk1"/>
        <w:rPr>
          <w:b/>
          <w:sz w:val="28"/>
          <w:szCs w:val="28"/>
          <w:lang w:eastAsia="tr-TR"/>
        </w:rPr>
        <w:sectPr w:rsidR="00954644" w:rsidSect="00E02AE5">
          <w:headerReference w:type="even" r:id="rId48"/>
          <w:headerReference w:type="default" r:id="rId49"/>
          <w:footerReference w:type="default" r:id="rId50"/>
          <w:headerReference w:type="first" r:id="rId51"/>
          <w:pgSz w:w="11906" w:h="16838"/>
          <w:pgMar w:top="1417" w:right="1417" w:bottom="1417" w:left="1417" w:header="708" w:footer="708" w:gutter="0"/>
          <w:cols w:space="708"/>
          <w:docGrid w:linePitch="360"/>
        </w:sectPr>
      </w:pPr>
      <w:bookmarkStart w:id="504" w:name="_Toc207987186"/>
      <w:bookmarkStart w:id="505" w:name="_Toc212541917"/>
      <w:bookmarkStart w:id="506" w:name="_Toc212542428"/>
    </w:p>
    <w:p w14:paraId="79ABCCC7" w14:textId="459B4691" w:rsidR="00921C59" w:rsidRPr="00175D8B" w:rsidRDefault="00921C59">
      <w:pPr>
        <w:pStyle w:val="Balk1"/>
        <w:rPr>
          <w:b/>
          <w:sz w:val="28"/>
          <w:szCs w:val="28"/>
          <w:lang w:eastAsia="tr-TR"/>
        </w:rPr>
      </w:pPr>
      <w:bookmarkStart w:id="507" w:name="_Toc220672837"/>
      <w:r w:rsidRPr="00175D8B">
        <w:rPr>
          <w:b/>
          <w:sz w:val="28"/>
          <w:szCs w:val="28"/>
          <w:lang w:eastAsia="tr-TR"/>
        </w:rPr>
        <w:lastRenderedPageBreak/>
        <w:t xml:space="preserve">ANNEX </w:t>
      </w:r>
      <w:r w:rsidR="00365CEA" w:rsidRPr="00175D8B">
        <w:rPr>
          <w:b/>
          <w:sz w:val="28"/>
          <w:szCs w:val="28"/>
          <w:lang w:eastAsia="tr-TR"/>
        </w:rPr>
        <w:t>8</w:t>
      </w:r>
      <w:r w:rsidRPr="00175D8B">
        <w:rPr>
          <w:b/>
          <w:sz w:val="28"/>
          <w:szCs w:val="28"/>
          <w:lang w:eastAsia="tr-TR"/>
        </w:rPr>
        <w:t>- WASTE MANAGEMENT PLAN</w:t>
      </w:r>
      <w:bookmarkEnd w:id="504"/>
      <w:bookmarkEnd w:id="505"/>
      <w:bookmarkEnd w:id="506"/>
      <w:bookmarkEnd w:id="507"/>
    </w:p>
    <w:p w14:paraId="4EDBEE32" w14:textId="77777777" w:rsidR="00921C59" w:rsidRPr="00175D8B" w:rsidRDefault="00921C59" w:rsidP="002550A6">
      <w:pPr>
        <w:numPr>
          <w:ilvl w:val="0"/>
          <w:numId w:val="136"/>
        </w:numPr>
        <w:spacing w:after="160"/>
        <w:contextualSpacing/>
        <w:jc w:val="left"/>
        <w:rPr>
          <w:rFonts w:eastAsia="Aptos" w:cs="Aptos"/>
          <w:b/>
          <w:kern w:val="0"/>
          <w:szCs w:val="22"/>
          <w:lang w:eastAsia="tr-TR"/>
          <w14:ligatures w14:val="none"/>
        </w:rPr>
      </w:pPr>
      <w:r w:rsidRPr="00175D8B">
        <w:rPr>
          <w:rFonts w:eastAsia="Aptos" w:cs="Aptos"/>
          <w:b/>
          <w:kern w:val="0"/>
          <w:szCs w:val="22"/>
          <w:lang w:eastAsia="tr-TR"/>
          <w14:ligatures w14:val="none"/>
        </w:rPr>
        <w:t>Purpose and Scope</w:t>
      </w:r>
    </w:p>
    <w:p w14:paraId="664DD066"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The Waste Management Plan was developed to identify the primary applicable waste management requirements for the Project in accordance with relevant national legislation, the World Bank Environmental and Social Framework and relevant Environmental and Social Standards (ESSs). The Plan will be implemented during retrofitting/demolition/reconstruction phases of sub-projects under Component 2. </w:t>
      </w:r>
    </w:p>
    <w:p w14:paraId="5240C9E5"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Throughout the Project and sub-projects, different types of waste and materials will be generated from different sources and activities. The purpose of this plan is to guide and ensure the collection, separation, storage, processing, transportation, and disposal of non-hazardous and hazardous wastes resulting from Project activities in a way that minimizes impacts on human health and the environment, including minimizing the loss of valuable reusable/recyclable materials.</w:t>
      </w:r>
    </w:p>
    <w:p w14:paraId="1A8E452A"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The plan is in line with national legislation, Resource Efficiency, Pollution Prevention and Management ESS3 requirements and other applicable Good International Industry Practices (GIIPs). The Plan will be implemented systematically throughout the Project and sub-projects along with the following relevant management plans, documents, and procedures:</w:t>
      </w:r>
    </w:p>
    <w:p w14:paraId="5F00101B" w14:textId="77777777" w:rsidR="00921C59" w:rsidRPr="00175D8B" w:rsidRDefault="00921C59">
      <w:pPr>
        <w:numPr>
          <w:ilvl w:val="0"/>
          <w:numId w:val="102"/>
        </w:numPr>
        <w:spacing w:before="280"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Province-based Environmental and Social Management Plan(s) (ESMP),</w:t>
      </w:r>
    </w:p>
    <w:p w14:paraId="2076D053" w14:textId="77777777" w:rsidR="00921C59" w:rsidRPr="00175D8B" w:rsidRDefault="00921C59">
      <w:pPr>
        <w:numPr>
          <w:ilvl w:val="0"/>
          <w:numId w:val="102"/>
        </w:numPr>
        <w:spacing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Environmental and Social Management Plan Checklist</w:t>
      </w:r>
    </w:p>
    <w:p w14:paraId="0922C4F1" w14:textId="77777777" w:rsidR="00921C59" w:rsidRPr="00175D8B" w:rsidRDefault="00921C59">
      <w:pPr>
        <w:numPr>
          <w:ilvl w:val="0"/>
          <w:numId w:val="102"/>
        </w:numPr>
        <w:spacing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Labor Management Procedure (LMP),</w:t>
      </w:r>
    </w:p>
    <w:p w14:paraId="15E9FB4A" w14:textId="77777777" w:rsidR="00921C59" w:rsidRPr="00175D8B" w:rsidRDefault="00921C59">
      <w:pPr>
        <w:numPr>
          <w:ilvl w:val="0"/>
          <w:numId w:val="102"/>
        </w:numPr>
        <w:spacing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Community Safety and Traffic Management Plan,</w:t>
      </w:r>
    </w:p>
    <w:p w14:paraId="4C5A0007" w14:textId="77777777" w:rsidR="00921C59" w:rsidRPr="00175D8B" w:rsidRDefault="00921C59">
      <w:pPr>
        <w:numPr>
          <w:ilvl w:val="0"/>
          <w:numId w:val="102"/>
        </w:numPr>
        <w:spacing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Province-based Pollution Prevention Plans, and</w:t>
      </w:r>
    </w:p>
    <w:p w14:paraId="33BFE496" w14:textId="77777777" w:rsidR="00921C59" w:rsidRPr="00175D8B" w:rsidRDefault="00921C59">
      <w:pPr>
        <w:numPr>
          <w:ilvl w:val="0"/>
          <w:numId w:val="102"/>
        </w:numPr>
        <w:spacing w:after="280"/>
        <w:ind w:left="1298"/>
        <w:jc w:val="left"/>
        <w:rPr>
          <w:rFonts w:eastAsia="Aptos" w:cs="Aptos"/>
          <w:kern w:val="0"/>
          <w:sz w:val="24"/>
          <w:lang w:eastAsia="tr-TR"/>
          <w14:ligatures w14:val="none"/>
        </w:rPr>
      </w:pPr>
      <w:r w:rsidRPr="00175D8B">
        <w:rPr>
          <w:rFonts w:eastAsia="Aptos" w:cs="Aptos"/>
          <w:kern w:val="0"/>
          <w:szCs w:val="22"/>
          <w:lang w:eastAsia="tr-TR"/>
          <w14:ligatures w14:val="none"/>
        </w:rPr>
        <w:t>Stakeholder Engagement Plan (including grievance mechanism)</w:t>
      </w:r>
    </w:p>
    <w:p w14:paraId="4C6E3928" w14:textId="263A6236" w:rsidR="0050644F"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This Plan is a living document and responsibilities, procedures and compliance actions should be updated as appropriate.</w:t>
      </w:r>
      <w:bookmarkStart w:id="508" w:name="_odc9jc" w:colFirst="0" w:colLast="0"/>
      <w:bookmarkEnd w:id="508"/>
    </w:p>
    <w:p w14:paraId="6239F00D" w14:textId="77777777" w:rsidR="00921C59" w:rsidRPr="00175D8B" w:rsidRDefault="00921C59" w:rsidP="002550A6">
      <w:pPr>
        <w:numPr>
          <w:ilvl w:val="0"/>
          <w:numId w:val="136"/>
        </w:numPr>
        <w:spacing w:after="160"/>
        <w:contextualSpacing/>
        <w:jc w:val="left"/>
        <w:rPr>
          <w:rFonts w:eastAsia="Aptos" w:cs="Aptos"/>
          <w:kern w:val="0"/>
          <w:szCs w:val="22"/>
          <w:lang w:eastAsia="tr-TR"/>
          <w14:ligatures w14:val="none"/>
        </w:rPr>
      </w:pPr>
      <w:r w:rsidRPr="00175D8B">
        <w:rPr>
          <w:rFonts w:eastAsia="Aptos" w:cs="Aptos"/>
          <w:b/>
          <w:kern w:val="0"/>
          <w:szCs w:val="22"/>
          <w:lang w:eastAsia="tr-TR"/>
          <w14:ligatures w14:val="none"/>
        </w:rPr>
        <w:t>Legal Requirements &amp; Standards</w:t>
      </w:r>
    </w:p>
    <w:p w14:paraId="63BB03FA" w14:textId="77777777" w:rsidR="00921C59" w:rsidRPr="00175D8B" w:rsidRDefault="00921C59" w:rsidP="00F02281">
      <w:pPr>
        <w:spacing w:after="160"/>
        <w:ind w:left="360"/>
        <w:rPr>
          <w:rFonts w:eastAsia="Aptos" w:cs="Aptos"/>
          <w:kern w:val="0"/>
          <w:szCs w:val="22"/>
          <w:lang w:eastAsia="tr-TR"/>
          <w14:ligatures w14:val="none"/>
        </w:rPr>
      </w:pPr>
      <w:bookmarkStart w:id="509" w:name="_38czs75" w:colFirst="0" w:colLast="0"/>
      <w:bookmarkEnd w:id="509"/>
      <w:r w:rsidRPr="00175D8B">
        <w:rPr>
          <w:rFonts w:eastAsia="Aptos" w:cs="Aptos"/>
          <w:b/>
          <w:kern w:val="0"/>
          <w:szCs w:val="22"/>
          <w:lang w:eastAsia="tr-TR"/>
          <w14:ligatures w14:val="none"/>
        </w:rPr>
        <w:t xml:space="preserve">2.1. National Legislation </w:t>
      </w:r>
    </w:p>
    <w:p w14:paraId="1894852F" w14:textId="77777777" w:rsidR="00921C59" w:rsidRPr="00175D8B" w:rsidRDefault="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The Environmental Law No. 2872, published in the Official Gazette dated 11 August 1983 and numbered 18132, provides the legal framework for the regulation of sectors and their possible effects on the environment.</w:t>
      </w:r>
    </w:p>
    <w:p w14:paraId="14C61D1D" w14:textId="77777777" w:rsidR="00921C59" w:rsidRPr="00175D8B" w:rsidRDefault="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lastRenderedPageBreak/>
        <w:t>The Environmental Law has allowed the publication of various regulations. Those related to waste management and what the Project and sub-projects must comply with, are explained below.</w:t>
      </w:r>
    </w:p>
    <w:p w14:paraId="0F57AE7D" w14:textId="77777777" w:rsidR="00921C59" w:rsidRPr="00175D8B" w:rsidRDefault="00921C59" w:rsidP="00DD7A56">
      <w:pPr>
        <w:spacing w:after="160"/>
        <w:ind w:left="720"/>
        <w:rPr>
          <w:rFonts w:eastAsia="Aptos" w:cs="Aptos"/>
          <w:b/>
          <w:bCs/>
          <w:kern w:val="0"/>
          <w:szCs w:val="22"/>
          <w:lang w:eastAsia="tr-TR"/>
          <w14:ligatures w14:val="none"/>
        </w:rPr>
      </w:pPr>
      <w:r w:rsidRPr="00175D8B">
        <w:rPr>
          <w:rFonts w:eastAsia="Aptos" w:cs="Aptos"/>
          <w:b/>
          <w:bCs/>
          <w:kern w:val="0"/>
          <w:szCs w:val="22"/>
          <w:lang w:eastAsia="tr-TR"/>
          <w14:ligatures w14:val="none"/>
        </w:rPr>
        <w:t>2.1.1. Waste Management Regulation</w:t>
      </w:r>
    </w:p>
    <w:p w14:paraId="31CDB9CB"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Waste Management Regulation is the implementing regulation published with a purpose to comply with the European Union Waste Framework Directive. The Regulation was published in the Official Gazette No. 29314 and dated 2 April 2015. The Waste Management Regulation provides a single comprehensive framework for waste management. It has repealed and replaced the Solid Waste Management Regulation and the General Principles of Waste Management Regulation as of April 2015 and the Regulation on the Control of Hazardous Wastes as of April 2, 2016.</w:t>
      </w:r>
    </w:p>
    <w:p w14:paraId="3C5D660E"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Article 9 of the Regulation regulates the obligations of waste producers and waste owners, including:</w:t>
      </w:r>
    </w:p>
    <w:p w14:paraId="66210199" w14:textId="77777777" w:rsidR="00921C59" w:rsidRPr="00175D8B" w:rsidRDefault="00921C59">
      <w:pPr>
        <w:numPr>
          <w:ilvl w:val="0"/>
          <w:numId w:val="81"/>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Taking necessary measures to minimize waste production.</w:t>
      </w:r>
    </w:p>
    <w:p w14:paraId="1B47349C" w14:textId="77777777" w:rsidR="00921C59" w:rsidRPr="00175D8B" w:rsidRDefault="00921C59">
      <w:pPr>
        <w:numPr>
          <w:ilvl w:val="0"/>
          <w:numId w:val="8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Preparing and presenting the waste management plan with measures for the produced wastes and the prevention and reduction it.</w:t>
      </w:r>
    </w:p>
    <w:p w14:paraId="15B9F8FA" w14:textId="77777777" w:rsidR="00921C59" w:rsidRPr="00175D8B" w:rsidRDefault="00921C59">
      <w:pPr>
        <w:numPr>
          <w:ilvl w:val="0"/>
          <w:numId w:val="8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Making annual waste production notification through the internet-based system of the MoEUCC and</w:t>
      </w:r>
    </w:p>
    <w:p w14:paraId="1A913A0E" w14:textId="4014FF8F" w:rsidR="00921C59" w:rsidRPr="00175D8B" w:rsidRDefault="00921C59">
      <w:pPr>
        <w:numPr>
          <w:ilvl w:val="0"/>
          <w:numId w:val="8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When required, using the Urbanization and National Waste Transportation Form for wastes (the template is given in Annex </w:t>
      </w:r>
      <w:r w:rsidR="00365CEA" w:rsidRPr="00175D8B">
        <w:rPr>
          <w:rFonts w:eastAsia="Aptos" w:cs="Aptos"/>
          <w:color w:val="000000"/>
          <w:kern w:val="0"/>
          <w:szCs w:val="22"/>
          <w:lang w:eastAsia="tr-TR"/>
          <w14:ligatures w14:val="none"/>
        </w:rPr>
        <w:t>8</w:t>
      </w:r>
      <w:r w:rsidRPr="00175D8B">
        <w:rPr>
          <w:rFonts w:eastAsia="Aptos" w:cs="Aptos"/>
          <w:color w:val="000000"/>
          <w:kern w:val="0"/>
          <w:szCs w:val="22"/>
          <w:lang w:eastAsia="tr-TR"/>
          <w14:ligatures w14:val="none"/>
        </w:rPr>
        <w:t>-A of the Hazardous Waste Control Regulation, which was amended and repealed by the Waste Management Regulation).</w:t>
      </w:r>
    </w:p>
    <w:p w14:paraId="506CFD82" w14:textId="77777777" w:rsidR="00921C59" w:rsidRPr="00175D8B" w:rsidRDefault="00921C59" w:rsidP="00F02281">
      <w:pPr>
        <w:spacing w:after="160"/>
        <w:rPr>
          <w:rFonts w:eastAsia="Aptos" w:cs="Aptos"/>
          <w:b/>
          <w:bCs/>
          <w:kern w:val="0"/>
          <w:szCs w:val="22"/>
          <w:lang w:eastAsia="tr-TR"/>
          <w14:ligatures w14:val="none"/>
        </w:rPr>
      </w:pPr>
      <w:r w:rsidRPr="00175D8B">
        <w:rPr>
          <w:rFonts w:eastAsia="Aptos" w:cs="Aptos"/>
          <w:b/>
          <w:bCs/>
          <w:kern w:val="0"/>
          <w:szCs w:val="22"/>
          <w:lang w:eastAsia="tr-TR"/>
          <w14:ligatures w14:val="none"/>
        </w:rPr>
        <w:t>2.1.2.</w:t>
      </w:r>
      <w:r w:rsidRPr="00175D8B">
        <w:rPr>
          <w:rFonts w:eastAsia="Aptos" w:cs="Aptos"/>
          <w:b/>
          <w:bCs/>
          <w:kern w:val="0"/>
          <w:szCs w:val="22"/>
          <w:lang w:eastAsia="tr-TR"/>
          <w14:ligatures w14:val="none"/>
        </w:rPr>
        <w:tab/>
        <w:t xml:space="preserve">The Regulation on Control of Excavated Soil, Construction and Demolition Wastes </w:t>
      </w:r>
    </w:p>
    <w:p w14:paraId="00463694"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The Regulation on Control of Excavated Soil, Construction and Demolition Wastes was published in the Official Gazette No. 25406 dated 18 March 2004. Articles 10, 34, 35, 36, 37, 38, 39, 40, 41 and 42 regarding the storage of wastes have been repealed by the Regulation on the Regular Storage of Wastes published in the Official Gazette dated 26 March 2010 and numbered 27533.</w:t>
      </w:r>
    </w:p>
    <w:p w14:paraId="20A870C8"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The purpose of this regulation; It is to determine the principles and procedures regarding the collection, temporary storage, transfer, recycling, reuse, and disposal of wastes in an environmentally friendly manner, as well as minimizing excavated soil, construction, and demolition wastes at the source of production.</w:t>
      </w:r>
    </w:p>
    <w:p w14:paraId="78FB7827"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Pursuant to Article 9 of the Regulation; Facilities producing excavation, construction and demolition waste are obliged to manage waste in a way that minimizes the negative impacts of waste on the environment and human health. Facilities must obtain the necessary permits for the generation, </w:t>
      </w:r>
      <w:r w:rsidRPr="00175D8B">
        <w:rPr>
          <w:rFonts w:eastAsia="Aptos" w:cs="Aptos"/>
          <w:kern w:val="0"/>
          <w:szCs w:val="22"/>
          <w:lang w:eastAsia="tr-TR"/>
          <w14:ligatures w14:val="none"/>
        </w:rPr>
        <w:lastRenderedPageBreak/>
        <w:t>transport, and storage of waste. Facilities are not allowed to dump construction waste on places/locations and facilities other than those permitted by municipal or other authorities.</w:t>
      </w:r>
    </w:p>
    <w:p w14:paraId="623D740A"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The regulation also stipulates that the Project owner is responsible for taking the necessary measures to minimize the noise and visual effects and dust emissions during the removal of the excavation material. The activity area should also be closed. In addition, planning should be done so that the amount of excavated soil is equal to the fill volume. Excavated soil should be used within the area of activity as much as possible.</w:t>
      </w:r>
    </w:p>
    <w:p w14:paraId="6A9997D8" w14:textId="77777777" w:rsidR="00921C59" w:rsidRPr="00175D8B" w:rsidRDefault="00921C59" w:rsidP="00DD7A56">
      <w:pPr>
        <w:spacing w:after="160"/>
        <w:ind w:left="720"/>
        <w:rPr>
          <w:rFonts w:eastAsia="Aptos" w:cs="Aptos"/>
          <w:b/>
          <w:bCs/>
          <w:kern w:val="0"/>
          <w:szCs w:val="22"/>
          <w:lang w:eastAsia="tr-TR"/>
          <w14:ligatures w14:val="none"/>
        </w:rPr>
      </w:pPr>
      <w:r w:rsidRPr="00175D8B">
        <w:rPr>
          <w:rFonts w:eastAsia="Aptos" w:cs="Aptos"/>
          <w:b/>
          <w:bCs/>
          <w:kern w:val="0"/>
          <w:szCs w:val="22"/>
          <w:lang w:eastAsia="tr-TR"/>
          <w14:ligatures w14:val="none"/>
        </w:rPr>
        <w:t>2.1.3.</w:t>
      </w:r>
      <w:r w:rsidRPr="00175D8B">
        <w:rPr>
          <w:rFonts w:eastAsia="Aptos" w:cs="Aptos"/>
          <w:b/>
          <w:bCs/>
          <w:kern w:val="0"/>
          <w:szCs w:val="22"/>
          <w:lang w:eastAsia="tr-TR"/>
          <w14:ligatures w14:val="none"/>
        </w:rPr>
        <w:tab/>
        <w:t xml:space="preserve">Packaging Waste Control Regulation </w:t>
      </w:r>
    </w:p>
    <w:p w14:paraId="21632F1C"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Packaging Waste Control Regulation was published in the Official Gazette No. 28035 and dated 24 August 2011. The purpose of the regulation:</w:t>
      </w:r>
    </w:p>
    <w:p w14:paraId="7512FF63" w14:textId="77777777" w:rsidR="00921C59" w:rsidRPr="00175D8B" w:rsidRDefault="00921C59">
      <w:pPr>
        <w:numPr>
          <w:ilvl w:val="0"/>
          <w:numId w:val="104"/>
        </w:numPr>
        <w:spacing w:before="120"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To provide certain environmentally specific criteria, basic conditions, and properties for packaging production,</w:t>
      </w:r>
    </w:p>
    <w:p w14:paraId="74DC7E56" w14:textId="77777777" w:rsidR="00921C59" w:rsidRPr="00175D8B" w:rsidRDefault="00921C59">
      <w:pPr>
        <w:numPr>
          <w:ilvl w:val="0"/>
          <w:numId w:val="104"/>
        </w:numPr>
        <w:spacing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To prevent the direct or indirect disposal of packaging wastes in a way that harms the environment, and</w:t>
      </w:r>
    </w:p>
    <w:p w14:paraId="49E78F5F" w14:textId="77777777" w:rsidR="00921C59" w:rsidRPr="00175D8B" w:rsidRDefault="00921C59">
      <w:pPr>
        <w:numPr>
          <w:ilvl w:val="0"/>
          <w:numId w:val="104"/>
        </w:numPr>
        <w:spacing w:after="280"/>
        <w:ind w:left="1298"/>
        <w:jc w:val="left"/>
        <w:rPr>
          <w:rFonts w:eastAsia="Aptos" w:cs="Aptos"/>
          <w:kern w:val="0"/>
          <w:sz w:val="24"/>
          <w:lang w:eastAsia="tr-TR"/>
          <w14:ligatures w14:val="none"/>
        </w:rPr>
      </w:pPr>
      <w:r w:rsidRPr="00175D8B">
        <w:rPr>
          <w:rFonts w:eastAsia="Aptos" w:cs="Aptos"/>
          <w:kern w:val="0"/>
          <w:szCs w:val="22"/>
          <w:lang w:eastAsia="tr-TR"/>
          <w14:ligatures w14:val="none"/>
        </w:rPr>
        <w:t>To prevent and minimize the creation of packaging waste by using reuse, recycling, and recovery methods.</w:t>
      </w:r>
    </w:p>
    <w:p w14:paraId="5373F92A"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Packaging Waste Control Regulation states that packaging waste should be collected and stored separately from other wastes in order to ensure to reduce environmental pollution, make maximum use of landfills, contribute to the economy and it is disposed of without harming the environment.</w:t>
      </w:r>
    </w:p>
    <w:p w14:paraId="7571DAAE" w14:textId="444FF71F" w:rsidR="00B05B27" w:rsidRPr="00175D8B" w:rsidRDefault="00921C59" w:rsidP="002550A6">
      <w:pPr>
        <w:spacing w:after="160"/>
        <w:rPr>
          <w:rFonts w:eastAsia="Aptos" w:cs="Aptos"/>
          <w:b/>
          <w:bCs/>
          <w:kern w:val="0"/>
          <w:szCs w:val="22"/>
          <w:lang w:eastAsia="tr-TR"/>
          <w14:ligatures w14:val="none"/>
        </w:rPr>
      </w:pPr>
      <w:bookmarkStart w:id="510" w:name="_1nia2ey" w:colFirst="0" w:colLast="0"/>
      <w:bookmarkEnd w:id="510"/>
      <w:r w:rsidRPr="00175D8B">
        <w:rPr>
          <w:rFonts w:eastAsia="Aptos" w:cs="Aptos"/>
          <w:kern w:val="0"/>
          <w:szCs w:val="22"/>
          <w:lang w:eastAsia="tr-TR"/>
          <w14:ligatures w14:val="none"/>
        </w:rPr>
        <w:t>The parties, which produce packaging waste within the borders of municipalities collecting wastes separately, are obliged to deliver the packaging wastes to the responsible municipalities or their contracted and licensed collection/separation organizations.</w:t>
      </w:r>
    </w:p>
    <w:p w14:paraId="3793FE28" w14:textId="7300816B" w:rsidR="00921C59" w:rsidRPr="00175D8B" w:rsidRDefault="00921C59" w:rsidP="00DD7A56">
      <w:pPr>
        <w:spacing w:after="160"/>
        <w:ind w:left="720"/>
        <w:rPr>
          <w:rFonts w:eastAsia="Aptos" w:cs="Aptos"/>
          <w:b/>
          <w:bCs/>
          <w:kern w:val="0"/>
          <w:szCs w:val="22"/>
          <w:lang w:eastAsia="tr-TR"/>
          <w14:ligatures w14:val="none"/>
        </w:rPr>
      </w:pPr>
      <w:r w:rsidRPr="00175D8B">
        <w:rPr>
          <w:rFonts w:eastAsia="Aptos" w:cs="Aptos"/>
          <w:b/>
          <w:bCs/>
          <w:kern w:val="0"/>
          <w:szCs w:val="22"/>
          <w:lang w:eastAsia="tr-TR"/>
          <w14:ligatures w14:val="none"/>
        </w:rPr>
        <w:t>2.1.4.</w:t>
      </w:r>
      <w:r w:rsidRPr="00175D8B">
        <w:rPr>
          <w:rFonts w:eastAsia="Aptos" w:cs="Aptos"/>
          <w:b/>
          <w:bCs/>
          <w:kern w:val="0"/>
          <w:szCs w:val="22"/>
          <w:lang w:eastAsia="tr-TR"/>
          <w14:ligatures w14:val="none"/>
        </w:rPr>
        <w:tab/>
        <w:t xml:space="preserve">Waste Batteries </w:t>
      </w:r>
    </w:p>
    <w:p w14:paraId="438A0E8F"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The Regulation on Control of Waste Batteries and Accumulators was published in the Official Gazette No. 25569 and dated 31 August 2004. The purpose of the regulation:</w:t>
      </w:r>
    </w:p>
    <w:p w14:paraId="225D6F79" w14:textId="77777777" w:rsidR="00921C59" w:rsidRPr="00175D8B" w:rsidRDefault="00921C59">
      <w:pPr>
        <w:numPr>
          <w:ilvl w:val="0"/>
          <w:numId w:val="105"/>
        </w:numPr>
        <w:spacing w:before="120"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To regulate the legal and technical principles for the determination of policies and programs from production to final disposal of batteries and accumulators,</w:t>
      </w:r>
    </w:p>
    <w:p w14:paraId="758A4188" w14:textId="77777777" w:rsidR="00921C59" w:rsidRPr="00175D8B" w:rsidRDefault="00921C59">
      <w:pPr>
        <w:numPr>
          <w:ilvl w:val="0"/>
          <w:numId w:val="105"/>
        </w:numPr>
        <w:spacing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To ensure the production of batteries and accumulators with certain environmental criteria, basic conditions, and features,</w:t>
      </w:r>
    </w:p>
    <w:p w14:paraId="5400F0AC" w14:textId="77777777" w:rsidR="00921C59" w:rsidRPr="00175D8B" w:rsidRDefault="00921C59">
      <w:pPr>
        <w:numPr>
          <w:ilvl w:val="0"/>
          <w:numId w:val="105"/>
        </w:numPr>
        <w:spacing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lastRenderedPageBreak/>
        <w:t>To prevent wastes from reaching to receiving environments,</w:t>
      </w:r>
    </w:p>
    <w:p w14:paraId="431DD079" w14:textId="77777777" w:rsidR="00921C59" w:rsidRPr="00175D8B" w:rsidRDefault="00921C59">
      <w:pPr>
        <w:numPr>
          <w:ilvl w:val="0"/>
          <w:numId w:val="105"/>
        </w:numPr>
        <w:spacing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To provide the necessary technical and administrative standards in its management, and</w:t>
      </w:r>
    </w:p>
    <w:p w14:paraId="69D39190" w14:textId="77777777" w:rsidR="00921C59" w:rsidRPr="00175D8B" w:rsidRDefault="00921C59">
      <w:pPr>
        <w:numPr>
          <w:ilvl w:val="0"/>
          <w:numId w:val="105"/>
        </w:numPr>
        <w:spacing w:after="280"/>
        <w:ind w:left="1298"/>
        <w:jc w:val="left"/>
        <w:rPr>
          <w:rFonts w:eastAsia="Aptos" w:cs="Aptos"/>
          <w:kern w:val="0"/>
          <w:sz w:val="24"/>
          <w:lang w:eastAsia="tr-TR"/>
          <w14:ligatures w14:val="none"/>
        </w:rPr>
      </w:pPr>
      <w:r w:rsidRPr="00175D8B">
        <w:rPr>
          <w:rFonts w:eastAsia="Aptos" w:cs="Aptos"/>
          <w:kern w:val="0"/>
          <w:szCs w:val="22"/>
          <w:lang w:eastAsia="tr-TR"/>
          <w14:ligatures w14:val="none"/>
        </w:rPr>
        <w:t>To establish a collection system for the recovery and final disposal of waste batteries and accumulators.</w:t>
      </w:r>
    </w:p>
    <w:p w14:paraId="748438D2"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According to the regulation, battery and accumulator consumers are obliged to:</w:t>
      </w:r>
    </w:p>
    <w:p w14:paraId="0F84C5A1" w14:textId="77777777" w:rsidR="00921C59" w:rsidRPr="00175D8B" w:rsidRDefault="00921C59">
      <w:pPr>
        <w:numPr>
          <w:ilvl w:val="0"/>
          <w:numId w:val="106"/>
        </w:numPr>
        <w:spacing w:before="120"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To collect waste batteries separately from domestic waste,</w:t>
      </w:r>
    </w:p>
    <w:p w14:paraId="739E7658" w14:textId="77777777" w:rsidR="00921C59" w:rsidRPr="00175D8B" w:rsidRDefault="00921C59">
      <w:pPr>
        <w:numPr>
          <w:ilvl w:val="0"/>
          <w:numId w:val="106"/>
        </w:numPr>
        <w:spacing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Delivering waste batteries to collection points to be established by businesses or municipalities that distribute and sell battery products,</w:t>
      </w:r>
    </w:p>
    <w:p w14:paraId="212F0B67" w14:textId="77777777" w:rsidR="00921C59" w:rsidRPr="00175D8B" w:rsidRDefault="00921C59">
      <w:pPr>
        <w:numPr>
          <w:ilvl w:val="0"/>
          <w:numId w:val="106"/>
        </w:numPr>
        <w:spacing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Delivering old accumulators to temporary storage areas created by businesses that distribute and sell accumulator products and those who operate vehicle maintenance and repair shops (accumulators cannot be delivered by waiting for more than 90 days after they become waste),</w:t>
      </w:r>
    </w:p>
    <w:p w14:paraId="24D52498" w14:textId="77777777" w:rsidR="00921C59" w:rsidRPr="00175D8B" w:rsidRDefault="00921C59">
      <w:pPr>
        <w:numPr>
          <w:ilvl w:val="0"/>
          <w:numId w:val="106"/>
        </w:numPr>
        <w:spacing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Paying a deposit in case of purchasing a new accumulator without delivering the old ones, and</w:t>
      </w:r>
    </w:p>
    <w:p w14:paraId="1FE99B36" w14:textId="117DC9E5" w:rsidR="00921C59" w:rsidRPr="00175D8B" w:rsidRDefault="00921C59">
      <w:pPr>
        <w:numPr>
          <w:ilvl w:val="0"/>
          <w:numId w:val="106"/>
        </w:numPr>
        <w:spacing w:after="280"/>
        <w:ind w:left="1298"/>
        <w:jc w:val="left"/>
        <w:rPr>
          <w:rFonts w:eastAsia="Aptos" w:cs="Aptos"/>
          <w:kern w:val="0"/>
          <w:sz w:val="24"/>
          <w:lang w:eastAsia="tr-TR"/>
          <w14:ligatures w14:val="none"/>
        </w:rPr>
      </w:pPr>
      <w:r w:rsidRPr="00175D8B">
        <w:rPr>
          <w:rFonts w:eastAsia="Aptos" w:cs="Aptos"/>
          <w:kern w:val="0"/>
          <w:szCs w:val="22"/>
          <w:lang w:eastAsia="tr-TR"/>
          <w14:ligatures w14:val="none"/>
        </w:rPr>
        <w:t>To ensure that impermeable ground and other necessary conditions are provided in the temporary storage areas where batteries and accumulators will be stored.</w:t>
      </w:r>
    </w:p>
    <w:p w14:paraId="5FF41EBD" w14:textId="77777777" w:rsidR="00921C59" w:rsidRPr="00175D8B" w:rsidRDefault="00921C59" w:rsidP="00DD7A56">
      <w:pPr>
        <w:spacing w:after="160"/>
        <w:ind w:left="720"/>
        <w:rPr>
          <w:rFonts w:eastAsia="Aptos" w:cs="Aptos"/>
          <w:b/>
          <w:bCs/>
          <w:kern w:val="0"/>
          <w:szCs w:val="22"/>
          <w:lang w:eastAsia="tr-TR"/>
          <w14:ligatures w14:val="none"/>
        </w:rPr>
      </w:pPr>
      <w:r w:rsidRPr="00175D8B">
        <w:rPr>
          <w:rFonts w:eastAsia="Aptos" w:cs="Aptos"/>
          <w:b/>
          <w:bCs/>
          <w:kern w:val="0"/>
          <w:szCs w:val="22"/>
          <w:lang w:eastAsia="tr-TR"/>
          <w14:ligatures w14:val="none"/>
        </w:rPr>
        <w:t>2.1.5.</w:t>
      </w:r>
      <w:r w:rsidRPr="00175D8B">
        <w:rPr>
          <w:rFonts w:eastAsia="Aptos" w:cs="Aptos"/>
          <w:b/>
          <w:bCs/>
          <w:kern w:val="0"/>
          <w:szCs w:val="22"/>
          <w:lang w:eastAsia="tr-TR"/>
          <w14:ligatures w14:val="none"/>
        </w:rPr>
        <w:tab/>
        <w:t xml:space="preserve">Waste Oil Control Regulation </w:t>
      </w:r>
    </w:p>
    <w:p w14:paraId="334C1460"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Waste Oil Control Regulation was published in the Official Gazette No. 26952 and dated 30 June 2008. The purpose of the regulation:</w:t>
      </w:r>
    </w:p>
    <w:p w14:paraId="08B666F1" w14:textId="77777777" w:rsidR="00921C59" w:rsidRPr="00175D8B" w:rsidRDefault="00921C59">
      <w:pPr>
        <w:numPr>
          <w:ilvl w:val="0"/>
          <w:numId w:val="82"/>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To prevent the direct and indirect disposal of electrical waste and electronic waste oils to the environment.</w:t>
      </w:r>
    </w:p>
    <w:p w14:paraId="5897EAA4" w14:textId="77777777" w:rsidR="00921C59" w:rsidRPr="00175D8B" w:rsidRDefault="00921C59">
      <w:pPr>
        <w:numPr>
          <w:ilvl w:val="0"/>
          <w:numId w:val="82"/>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To ensure its temporary storage, transportation, and disposal without harming the environment and human health.</w:t>
      </w:r>
    </w:p>
    <w:p w14:paraId="57116D2B" w14:textId="77777777" w:rsidR="00921C59" w:rsidRPr="00175D8B" w:rsidRDefault="00921C59">
      <w:pPr>
        <w:numPr>
          <w:ilvl w:val="0"/>
          <w:numId w:val="82"/>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To establish the necessary technical and administrative standards in the management of waste oils.</w:t>
      </w:r>
    </w:p>
    <w:p w14:paraId="5295F16C" w14:textId="77777777" w:rsidR="00921C59" w:rsidRPr="00175D8B" w:rsidRDefault="00921C59">
      <w:pPr>
        <w:numPr>
          <w:ilvl w:val="0"/>
          <w:numId w:val="82"/>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To determine the necessary principles and programs for the establishment of temporary storage, collection, and disposal facilities, and</w:t>
      </w:r>
    </w:p>
    <w:p w14:paraId="5D5B9E2A" w14:textId="77777777" w:rsidR="00921C59" w:rsidRPr="00175D8B" w:rsidRDefault="00921C59">
      <w:pPr>
        <w:numPr>
          <w:ilvl w:val="0"/>
          <w:numId w:val="82"/>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To manage these facilities in an environmentally friendly way.</w:t>
      </w:r>
    </w:p>
    <w:p w14:paraId="1ECF9A9C"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According to Article 9 of the Waste Oil Control Regulation, waste oil producers are obliged to take the necessary measures to minimize the creation of waste oils, including waste motor oils and residues </w:t>
      </w:r>
      <w:r w:rsidRPr="00175D8B">
        <w:rPr>
          <w:rFonts w:eastAsia="Aptos" w:cs="Aptos"/>
          <w:kern w:val="0"/>
          <w:szCs w:val="22"/>
          <w:lang w:eastAsia="tr-TR"/>
          <w14:ligatures w14:val="none"/>
        </w:rPr>
        <w:lastRenderedPageBreak/>
        <w:t>from the processing of waste oils. Waste oil producers must make waste oil analyzes and report the production amounts to the MoEUCC. Waste oils of different categories should not be mixed with each other or with other hazardous wastes.</w:t>
      </w:r>
    </w:p>
    <w:p w14:paraId="1D6B14FC"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Waste oil producers must comply with the provisions of the Hazardous Waste Control Regulation for disposal. All records, including waste oil declaration forms and analysis reports, must be kept for at least five years. Regulations prepared by the MoEUCC should be followed for the transportation of waste oils.</w:t>
      </w:r>
    </w:p>
    <w:p w14:paraId="3010D7DF"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Waste oil must be collected in red colored tanks/barrels, labeled as "Waste Oil". The barrels are placed in the warehouse with provisions for a sealed floor (at least 25 cm thick and lined with epoxy, geo membrane and similar insulating materials) as well as protection from rain.</w:t>
      </w:r>
    </w:p>
    <w:p w14:paraId="11365510" w14:textId="77777777" w:rsidR="00921C59" w:rsidRPr="00175D8B" w:rsidRDefault="00921C59" w:rsidP="00DD7A56">
      <w:pPr>
        <w:spacing w:after="160"/>
        <w:ind w:left="720"/>
        <w:rPr>
          <w:rFonts w:eastAsia="Aptos" w:cs="Aptos"/>
          <w:b/>
          <w:bCs/>
          <w:kern w:val="0"/>
          <w:szCs w:val="22"/>
          <w:lang w:eastAsia="tr-TR"/>
          <w14:ligatures w14:val="none"/>
        </w:rPr>
      </w:pPr>
      <w:r w:rsidRPr="00175D8B">
        <w:rPr>
          <w:rFonts w:eastAsia="Aptos" w:cs="Aptos"/>
          <w:b/>
          <w:bCs/>
          <w:kern w:val="0"/>
          <w:szCs w:val="22"/>
          <w:lang w:eastAsia="tr-TR"/>
          <w14:ligatures w14:val="none"/>
        </w:rPr>
        <w:t>2.1.6.</w:t>
      </w:r>
      <w:r w:rsidRPr="00175D8B">
        <w:rPr>
          <w:rFonts w:eastAsia="Aptos" w:cs="Aptos"/>
          <w:b/>
          <w:bCs/>
          <w:kern w:val="0"/>
          <w:szCs w:val="22"/>
          <w:lang w:eastAsia="tr-TR"/>
          <w14:ligatures w14:val="none"/>
        </w:rPr>
        <w:tab/>
        <w:t xml:space="preserve">Electrical and Electronic Equipment Waste Control Regulation </w:t>
      </w:r>
    </w:p>
    <w:p w14:paraId="3C5430C8" w14:textId="5D5A5705" w:rsidR="00921C59" w:rsidRPr="00175D8B" w:rsidRDefault="00921C59" w:rsidP="00B05B27">
      <w:pPr>
        <w:spacing w:after="160"/>
        <w:rPr>
          <w:rFonts w:eastAsia="Aptos" w:cs="Aptos"/>
          <w:kern w:val="0"/>
          <w:szCs w:val="22"/>
          <w:lang w:eastAsia="tr-TR"/>
          <w14:ligatures w14:val="none"/>
        </w:rPr>
      </w:pPr>
      <w:r w:rsidRPr="00175D8B">
        <w:rPr>
          <w:rFonts w:eastAsia="Aptos" w:cs="Aptos"/>
          <w:kern w:val="0"/>
          <w:szCs w:val="22"/>
          <w:lang w:eastAsia="tr-TR"/>
          <w14:ligatures w14:val="none"/>
        </w:rPr>
        <w:t>One of the main purposes of the Regulation, published in the Official Gazette No. 28300 and dated 22 May 2008, is to determine the methods and targets for minimizing the generation of electrical and electronic waste through reuse, recycling, and recovery.</w:t>
      </w:r>
    </w:p>
    <w:p w14:paraId="04E04DBD" w14:textId="77777777" w:rsidR="00921C59" w:rsidRPr="00175D8B" w:rsidRDefault="00921C59" w:rsidP="00921C59">
      <w:pPr>
        <w:spacing w:after="160"/>
        <w:ind w:left="720"/>
        <w:rPr>
          <w:rFonts w:eastAsia="Aptos" w:cs="Aptos"/>
          <w:b/>
          <w:bCs/>
          <w:kern w:val="0"/>
          <w:szCs w:val="22"/>
          <w:lang w:eastAsia="tr-TR"/>
          <w14:ligatures w14:val="none"/>
        </w:rPr>
      </w:pPr>
      <w:r w:rsidRPr="00175D8B">
        <w:rPr>
          <w:rFonts w:eastAsia="Aptos" w:cs="Aptos"/>
          <w:b/>
          <w:bCs/>
          <w:kern w:val="0"/>
          <w:szCs w:val="22"/>
          <w:lang w:eastAsia="tr-TR"/>
          <w14:ligatures w14:val="none"/>
        </w:rPr>
        <w:t>2.1.7.</w:t>
      </w:r>
      <w:r w:rsidRPr="00175D8B">
        <w:rPr>
          <w:rFonts w:eastAsia="Aptos" w:cs="Aptos"/>
          <w:b/>
          <w:bCs/>
          <w:kern w:val="0"/>
          <w:szCs w:val="22"/>
          <w:lang w:eastAsia="tr-TR"/>
          <w14:ligatures w14:val="none"/>
        </w:rPr>
        <w:tab/>
        <w:t xml:space="preserve">Communiqué on Recovery of Certain Non-Hazardous Wastes </w:t>
      </w:r>
    </w:p>
    <w:p w14:paraId="2C130069"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The Communiqué on Recovery of Certain Non-Hazardous Wastes was published in the Official Gazette No. 27967 and dated 17 June 2011. According to this communiqué, non-hazardous waste producers are obliged to prepare and implement a waste management plan for the recovery of these wastes, as well as minimizing their production.</w:t>
      </w:r>
    </w:p>
    <w:p w14:paraId="7003912F"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Waste should be stored in sealed (or similar) containers in an impermeable floor and roof area. Non-hazardous wastes can be temporarily stored at the construction site until they are recovered, up to one year. Producers are also obliged to send their non-hazardous waste to licensed collection and separation or licensed recycling facilities. In addition, a three-year waste management plan must be prepared and submitted to the Provincial Directorate of Environment and Urbanization.</w:t>
      </w:r>
    </w:p>
    <w:p w14:paraId="53E5BE7F"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In addition, it is obligatory to fill in the non-hazardous waste declaration form every year with the information of the previous year and to submit these forms digitally to the MoEUCC. It was also stated that copies of the forms should be kept for 5 years.</w:t>
      </w:r>
    </w:p>
    <w:p w14:paraId="2FC9E2E2" w14:textId="77777777" w:rsidR="00921C59" w:rsidRPr="00175D8B" w:rsidRDefault="00921C59" w:rsidP="00921C59">
      <w:pPr>
        <w:spacing w:after="160"/>
        <w:ind w:left="360"/>
        <w:rPr>
          <w:rFonts w:eastAsia="Aptos" w:cs="Aptos"/>
          <w:kern w:val="0"/>
          <w:szCs w:val="22"/>
          <w:lang w:eastAsia="tr-TR"/>
          <w14:ligatures w14:val="none"/>
        </w:rPr>
      </w:pPr>
      <w:r w:rsidRPr="00175D8B">
        <w:rPr>
          <w:rFonts w:eastAsia="Aptos" w:cs="Aptos"/>
          <w:b/>
          <w:kern w:val="0"/>
          <w:szCs w:val="22"/>
          <w:lang w:eastAsia="tr-TR"/>
          <w14:ligatures w14:val="none"/>
        </w:rPr>
        <w:t>2.2. World Bank ESF Requirements</w:t>
      </w:r>
    </w:p>
    <w:p w14:paraId="6F11BC49" w14:textId="77777777" w:rsidR="00921C59" w:rsidRPr="00175D8B" w:rsidRDefault="00921C59" w:rsidP="00921C59">
      <w:pPr>
        <w:spacing w:after="160"/>
        <w:ind w:left="720"/>
        <w:rPr>
          <w:rFonts w:eastAsia="Aptos" w:cs="Aptos"/>
          <w:b/>
          <w:bCs/>
          <w:kern w:val="0"/>
          <w:szCs w:val="22"/>
          <w:lang w:eastAsia="tr-TR"/>
          <w14:ligatures w14:val="none"/>
        </w:rPr>
      </w:pPr>
      <w:bookmarkStart w:id="511" w:name="_47hxl2r" w:colFirst="0" w:colLast="0"/>
      <w:bookmarkEnd w:id="511"/>
      <w:r w:rsidRPr="00175D8B">
        <w:rPr>
          <w:rFonts w:eastAsia="Aptos" w:cs="Aptos"/>
          <w:b/>
          <w:bCs/>
          <w:kern w:val="0"/>
          <w:szCs w:val="22"/>
          <w:lang w:eastAsia="tr-TR"/>
          <w14:ligatures w14:val="none"/>
        </w:rPr>
        <w:t>2.2.1.</w:t>
      </w:r>
      <w:r w:rsidRPr="00175D8B">
        <w:rPr>
          <w:rFonts w:eastAsia="Aptos" w:cs="Aptos"/>
          <w:b/>
          <w:bCs/>
          <w:kern w:val="0"/>
          <w:szCs w:val="22"/>
          <w:lang w:eastAsia="tr-TR"/>
          <w14:ligatures w14:val="none"/>
        </w:rPr>
        <w:tab/>
        <w:t>Resource Efficiency, Pollution Prevention and Management - ESS3</w:t>
      </w:r>
    </w:p>
    <w:p w14:paraId="1671219A"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lastRenderedPageBreak/>
        <w:t>ESS3 recognizes that economic activity and urbanization often pollute the air, water and soil and consume limited resources and can threaten people, ecosystem services and the environment at local, regional, and global levels. The current and projected atmospheric concentration of greenhouse gases (GHG) threatens the well-being of present and future generations. At the same time, more efficient and effective resource use, pollution prevention and greenhouse gas emission avoidance and reduction technologies and practices have become more accessible.</w:t>
      </w:r>
    </w:p>
    <w:p w14:paraId="0D22C5C6"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Throughout the Project lifecycle, the ESS3 determines the requirements regarding to resource efficiency and pollution</w:t>
      </w:r>
      <w:r w:rsidRPr="00175D8B">
        <w:rPr>
          <w:rFonts w:eastAsia="Aptos" w:cs="Aptos"/>
          <w:kern w:val="0"/>
          <w:szCs w:val="22"/>
          <w:vertAlign w:val="superscript"/>
          <w:lang w:eastAsia="tr-TR"/>
          <w14:ligatures w14:val="none"/>
        </w:rPr>
        <w:footnoteReference w:id="37"/>
      </w:r>
      <w:r w:rsidRPr="00175D8B">
        <w:rPr>
          <w:rFonts w:eastAsia="Aptos" w:cs="Aptos"/>
          <w:kern w:val="0"/>
          <w:szCs w:val="22"/>
          <w:lang w:eastAsia="tr-TR"/>
          <w14:ligatures w14:val="none"/>
        </w:rPr>
        <w:t xml:space="preserve"> prevention and management</w:t>
      </w:r>
      <w:r w:rsidRPr="00175D8B">
        <w:rPr>
          <w:rFonts w:eastAsia="Aptos" w:cs="Aptos"/>
          <w:kern w:val="0"/>
          <w:szCs w:val="22"/>
          <w:vertAlign w:val="superscript"/>
          <w:lang w:eastAsia="tr-TR"/>
          <w14:ligatures w14:val="none"/>
        </w:rPr>
        <w:footnoteReference w:id="38"/>
      </w:r>
      <w:r w:rsidRPr="00175D8B">
        <w:rPr>
          <w:rFonts w:eastAsia="Aptos" w:cs="Aptos"/>
          <w:kern w:val="0"/>
          <w:szCs w:val="22"/>
          <w:lang w:eastAsia="tr-TR"/>
          <w14:ligatures w14:val="none"/>
        </w:rPr>
        <w:t xml:space="preserve"> consistent with Global International Industry Practices (GIIP).</w:t>
      </w:r>
    </w:p>
    <w:p w14:paraId="0A09F295"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The objectives of the Resource Efficiency and Pollution Prevention and Management Standard are given below:</w:t>
      </w:r>
    </w:p>
    <w:p w14:paraId="3AABF3B4" w14:textId="77777777" w:rsidR="00921C59" w:rsidRPr="00175D8B" w:rsidRDefault="00921C59">
      <w:pPr>
        <w:numPr>
          <w:ilvl w:val="0"/>
          <w:numId w:val="107"/>
        </w:numPr>
        <w:spacing w:before="120"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To promote sustainable use of resources, including energy, water, and raw materials</w:t>
      </w:r>
    </w:p>
    <w:p w14:paraId="71B1155B" w14:textId="77777777" w:rsidR="00921C59" w:rsidRPr="00175D8B" w:rsidRDefault="00921C59">
      <w:pPr>
        <w:numPr>
          <w:ilvl w:val="0"/>
          <w:numId w:val="107"/>
        </w:numPr>
        <w:spacing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To prevent or minimize adverse impacts on human health and the environment by preventing or minimizing pollution from Project activities</w:t>
      </w:r>
    </w:p>
    <w:p w14:paraId="318D4383" w14:textId="77777777" w:rsidR="00921C59" w:rsidRPr="00175D8B" w:rsidRDefault="00921C59">
      <w:pPr>
        <w:numPr>
          <w:ilvl w:val="0"/>
          <w:numId w:val="107"/>
        </w:numPr>
        <w:spacing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To prevent or minimize Project-related emissions of short- and long-lived climate pollutants</w:t>
      </w:r>
    </w:p>
    <w:p w14:paraId="1363D162" w14:textId="77777777" w:rsidR="00921C59" w:rsidRPr="00175D8B" w:rsidRDefault="00921C59">
      <w:pPr>
        <w:numPr>
          <w:ilvl w:val="0"/>
          <w:numId w:val="107"/>
        </w:numPr>
        <w:spacing w:after="0"/>
        <w:ind w:left="1298"/>
        <w:jc w:val="left"/>
        <w:rPr>
          <w:rFonts w:eastAsia="Aptos" w:cs="Aptos"/>
          <w:kern w:val="0"/>
          <w:sz w:val="24"/>
          <w:lang w:eastAsia="tr-TR"/>
          <w14:ligatures w14:val="none"/>
        </w:rPr>
      </w:pPr>
      <w:r w:rsidRPr="00175D8B">
        <w:rPr>
          <w:rFonts w:eastAsia="Aptos" w:cs="Aptos"/>
          <w:kern w:val="0"/>
          <w:szCs w:val="22"/>
          <w:lang w:eastAsia="tr-TR"/>
          <w14:ligatures w14:val="none"/>
        </w:rPr>
        <w:t>To prevent or minimize the generation of hazardous and non-hazardous waste</w:t>
      </w:r>
    </w:p>
    <w:p w14:paraId="5FC830C5" w14:textId="31C458AA" w:rsidR="00921C59" w:rsidRPr="00175D8B" w:rsidRDefault="00921C59">
      <w:pPr>
        <w:numPr>
          <w:ilvl w:val="0"/>
          <w:numId w:val="107"/>
        </w:numPr>
        <w:spacing w:after="280"/>
        <w:ind w:left="1298"/>
        <w:jc w:val="left"/>
        <w:rPr>
          <w:rFonts w:eastAsia="Aptos" w:cs="Aptos"/>
          <w:kern w:val="0"/>
          <w:sz w:val="24"/>
          <w:lang w:eastAsia="tr-TR"/>
          <w14:ligatures w14:val="none"/>
        </w:rPr>
      </w:pPr>
      <w:r w:rsidRPr="00175D8B">
        <w:rPr>
          <w:rFonts w:eastAsia="Aptos" w:cs="Aptos"/>
          <w:kern w:val="0"/>
          <w:szCs w:val="22"/>
          <w:lang w:eastAsia="tr-TR"/>
          <w14:ligatures w14:val="none"/>
        </w:rPr>
        <w:t>Minimizing and managing the risks and impacts associated with pesticide use.</w:t>
      </w:r>
    </w:p>
    <w:p w14:paraId="1E03E4FD" w14:textId="77777777" w:rsidR="00921C59" w:rsidRPr="00175D8B" w:rsidRDefault="00921C59" w:rsidP="00921C59">
      <w:pPr>
        <w:spacing w:after="160"/>
        <w:ind w:left="360"/>
        <w:rPr>
          <w:rFonts w:eastAsia="Aptos" w:cs="Aptos"/>
          <w:kern w:val="0"/>
          <w:szCs w:val="22"/>
          <w:lang w:eastAsia="tr-TR"/>
          <w14:ligatures w14:val="none"/>
        </w:rPr>
      </w:pPr>
      <w:r w:rsidRPr="00175D8B">
        <w:rPr>
          <w:rFonts w:eastAsia="Aptos" w:cs="Aptos"/>
          <w:b/>
          <w:kern w:val="0"/>
          <w:szCs w:val="22"/>
          <w:lang w:eastAsia="tr-TR"/>
          <w14:ligatures w14:val="none"/>
        </w:rPr>
        <w:t>2.3. European Union (EU) Legislation</w:t>
      </w:r>
    </w:p>
    <w:p w14:paraId="16747536" w14:textId="77777777" w:rsidR="00921C59" w:rsidRPr="00175D8B" w:rsidRDefault="00921C59" w:rsidP="00921C59">
      <w:pPr>
        <w:spacing w:after="160"/>
        <w:rPr>
          <w:rFonts w:eastAsia="Aptos" w:cs="Aptos"/>
          <w:kern w:val="0"/>
          <w:szCs w:val="22"/>
          <w:lang w:eastAsia="tr-TR"/>
          <w14:ligatures w14:val="none"/>
        </w:rPr>
      </w:pPr>
      <w:bookmarkStart w:id="512" w:name="_2mn7vak" w:colFirst="0" w:colLast="0"/>
      <w:bookmarkEnd w:id="512"/>
      <w:r w:rsidRPr="00175D8B">
        <w:rPr>
          <w:rFonts w:eastAsia="Aptos" w:cs="Aptos"/>
          <w:kern w:val="0"/>
          <w:szCs w:val="22"/>
          <w:lang w:eastAsia="tr-TR"/>
          <w14:ligatures w14:val="none"/>
        </w:rPr>
        <w:t xml:space="preserve">European Union Directive 2000/532/EC2008/98/EC (Waste Framework Directive) predicts the general provisions regarding waste management and determines the basic waste management definitions. It requires the management of wastes without endangering human health and harming the environment, and without posing a risk to water, air, soil, plants, or animals, and without causing disturbance due to noise or odors, and without adversely affecting rural areas or areas of special </w:t>
      </w:r>
      <w:r w:rsidRPr="00175D8B">
        <w:rPr>
          <w:rFonts w:eastAsia="Aptos" w:cs="Aptos"/>
          <w:kern w:val="0"/>
          <w:szCs w:val="22"/>
          <w:lang w:eastAsia="tr-TR"/>
          <w14:ligatures w14:val="none"/>
        </w:rPr>
        <w:lastRenderedPageBreak/>
        <w:t>interest. Directive replaced the old EU directive on waste, hazardous waste and waste oils and now covers all wastes defined by Decision 2000/532/EC (i.e., European Waste Codes).</w:t>
      </w:r>
    </w:p>
    <w:p w14:paraId="39C8D845" w14:textId="009CE83F" w:rsidR="0050644F"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In an effort to adjustment of Turkish environmental protection standards with the EU's Waste Framework Directive (2008/98/EC) and the European Commission Decision (2000/532/EC), which creates a waste list, the Republic of Türkiye the MoEUCC adopted a new waste management regulation that will affect the important waste generating companies in Türkiye. The waste management implementation regulation, published to comply with the Waste Framework Directive, was adopted in 2015. Currently, the waste codes given in Annex </w:t>
      </w:r>
      <w:r w:rsidR="00365CEA" w:rsidRPr="00175D8B">
        <w:rPr>
          <w:rFonts w:eastAsia="Aptos" w:cs="Aptos"/>
          <w:kern w:val="0"/>
          <w:szCs w:val="22"/>
          <w:lang w:eastAsia="tr-TR"/>
          <w14:ligatures w14:val="none"/>
        </w:rPr>
        <w:t>3</w:t>
      </w:r>
      <w:r w:rsidRPr="00175D8B">
        <w:rPr>
          <w:rFonts w:eastAsia="Aptos" w:cs="Aptos"/>
          <w:kern w:val="0"/>
          <w:szCs w:val="22"/>
          <w:lang w:eastAsia="tr-TR"/>
          <w14:ligatures w14:val="none"/>
        </w:rPr>
        <w:t xml:space="preserve"> of the Turkish Waste Management Regulation are exactly the same as the European Waste Codes.</w:t>
      </w:r>
    </w:p>
    <w:p w14:paraId="7FD5C4DF" w14:textId="30E5CCE9" w:rsidR="00921C59" w:rsidRPr="00175D8B" w:rsidRDefault="00921C59">
      <w:pPr>
        <w:pStyle w:val="ListeParagraf"/>
        <w:numPr>
          <w:ilvl w:val="0"/>
          <w:numId w:val="136"/>
        </w:numPr>
        <w:spacing w:after="160"/>
        <w:rPr>
          <w:rFonts w:eastAsia="Aptos" w:cs="Aptos"/>
          <w:kern w:val="0"/>
          <w:szCs w:val="22"/>
          <w:lang w:eastAsia="tr-TR"/>
          <w14:ligatures w14:val="none"/>
        </w:rPr>
      </w:pPr>
      <w:bookmarkStart w:id="513" w:name="_11si5id" w:colFirst="0" w:colLast="0"/>
      <w:bookmarkEnd w:id="513"/>
      <w:r w:rsidRPr="00175D8B">
        <w:rPr>
          <w:rFonts w:eastAsia="Aptos" w:cs="Aptos"/>
          <w:b/>
          <w:kern w:val="0"/>
          <w:szCs w:val="22"/>
          <w:lang w:eastAsia="tr-TR"/>
          <w14:ligatures w14:val="none"/>
        </w:rPr>
        <w:t>Roles and Responsibilities</w:t>
      </w:r>
    </w:p>
    <w:p w14:paraId="46EE9D6A" w14:textId="77777777" w:rsidR="00921C59" w:rsidRPr="00175D8B" w:rsidRDefault="00921C59" w:rsidP="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Roles and responsibilities for the Environmental and Social (E&amp;S) management of the Project are detailed in the Project ESMF. In this context, roles and responsibilities related to asbestos management are given in the table below:</w:t>
      </w:r>
      <w:bookmarkStart w:id="514" w:name="_3ls5o66" w:colFirst="0" w:colLast="0"/>
      <w:bookmarkEnd w:id="514"/>
    </w:p>
    <w:p w14:paraId="4B19D5D5" w14:textId="77777777" w:rsidR="00921C59" w:rsidRPr="00175D8B" w:rsidRDefault="00921C59" w:rsidP="00921C59">
      <w:pPr>
        <w:keepNext/>
        <w:spacing w:after="200" w:line="240" w:lineRule="auto"/>
        <w:jc w:val="center"/>
        <w:rPr>
          <w:rFonts w:eastAsia="Aptos" w:cs="Aptos"/>
          <w:b/>
          <w:i/>
          <w:iCs/>
          <w:color w:val="000000"/>
          <w:kern w:val="0"/>
          <w:sz w:val="20"/>
          <w:szCs w:val="18"/>
          <w:lang w:eastAsia="tr-TR"/>
          <w14:ligatures w14:val="none"/>
        </w:rPr>
      </w:pPr>
      <w:r w:rsidRPr="00175D8B">
        <w:rPr>
          <w:rFonts w:eastAsia="Aptos" w:cs="Aptos"/>
          <w:b/>
          <w:i/>
          <w:iCs/>
          <w:color w:val="000000"/>
          <w:kern w:val="0"/>
          <w:sz w:val="20"/>
          <w:szCs w:val="18"/>
          <w:lang w:eastAsia="tr-TR"/>
          <w14:ligatures w14:val="none"/>
        </w:rPr>
        <w:t>Roles and Responsibilities</w:t>
      </w:r>
    </w:p>
    <w:tbl>
      <w:tblPr>
        <w:tblStyle w:val="25"/>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9"/>
        <w:gridCol w:w="7593"/>
      </w:tblGrid>
      <w:tr w:rsidR="00921C59" w:rsidRPr="00175D8B" w14:paraId="19CB8AF3" w14:textId="77777777" w:rsidTr="002550A6">
        <w:trPr>
          <w:tblHeade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BB7C1"/>
          </w:tcPr>
          <w:p w14:paraId="392D1C8E" w14:textId="77777777" w:rsidR="00921C59" w:rsidRPr="00175D8B" w:rsidRDefault="00921C59" w:rsidP="00921C59">
            <w:pPr>
              <w:pBdr>
                <w:top w:val="nil"/>
                <w:left w:val="nil"/>
                <w:bottom w:val="nil"/>
                <w:right w:val="nil"/>
                <w:between w:val="nil"/>
              </w:pBdr>
              <w:spacing w:before="40" w:after="40"/>
              <w:rPr>
                <w:b/>
                <w:color w:val="000000"/>
                <w:sz w:val="20"/>
                <w:szCs w:val="20"/>
              </w:rPr>
            </w:pPr>
            <w:r w:rsidRPr="00175D8B">
              <w:rPr>
                <w:b/>
                <w:color w:val="000000"/>
                <w:sz w:val="20"/>
                <w:szCs w:val="20"/>
              </w:rPr>
              <w:t>Roles</w:t>
            </w:r>
          </w:p>
        </w:tc>
        <w:tc>
          <w:tcPr>
            <w:tcW w:w="8079" w:type="dxa"/>
            <w:tcBorders>
              <w:top w:val="single" w:sz="4" w:space="0" w:color="000000"/>
              <w:left w:val="single" w:sz="4" w:space="0" w:color="000000"/>
              <w:bottom w:val="single" w:sz="4" w:space="0" w:color="000000"/>
              <w:right w:val="single" w:sz="4" w:space="0" w:color="000000"/>
            </w:tcBorders>
            <w:shd w:val="clear" w:color="auto" w:fill="ABB7C1"/>
          </w:tcPr>
          <w:p w14:paraId="12AD34B4" w14:textId="77777777" w:rsidR="00921C59" w:rsidRPr="00175D8B" w:rsidRDefault="00921C59" w:rsidP="00921C59">
            <w:pPr>
              <w:pBdr>
                <w:top w:val="nil"/>
                <w:left w:val="nil"/>
                <w:bottom w:val="nil"/>
                <w:right w:val="nil"/>
                <w:between w:val="nil"/>
              </w:pBdr>
              <w:spacing w:before="40" w:after="40"/>
              <w:rPr>
                <w:b/>
                <w:color w:val="000000"/>
                <w:sz w:val="20"/>
                <w:szCs w:val="20"/>
              </w:rPr>
            </w:pPr>
            <w:r w:rsidRPr="00175D8B">
              <w:rPr>
                <w:b/>
                <w:color w:val="000000"/>
                <w:sz w:val="20"/>
                <w:szCs w:val="20"/>
              </w:rPr>
              <w:t>Responsibilities</w:t>
            </w:r>
          </w:p>
        </w:tc>
      </w:tr>
      <w:tr w:rsidR="00921C59" w:rsidRPr="00175D8B" w14:paraId="23CF4604" w14:textId="77777777" w:rsidTr="002550A6">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309E508A" w14:textId="77777777" w:rsidR="00921C59" w:rsidRPr="00175D8B" w:rsidRDefault="00921C59" w:rsidP="00921C59">
            <w:pPr>
              <w:pBdr>
                <w:top w:val="nil"/>
                <w:left w:val="nil"/>
                <w:bottom w:val="nil"/>
                <w:right w:val="nil"/>
                <w:between w:val="nil"/>
              </w:pBdr>
              <w:spacing w:before="40" w:after="40"/>
              <w:rPr>
                <w:color w:val="000000"/>
                <w:sz w:val="20"/>
                <w:szCs w:val="20"/>
              </w:rPr>
            </w:pPr>
            <w:r w:rsidRPr="00175D8B">
              <w:rPr>
                <w:color w:val="000000"/>
                <w:sz w:val="20"/>
                <w:szCs w:val="20"/>
              </w:rPr>
              <w:t xml:space="preserve">Project Management Unit </w:t>
            </w:r>
          </w:p>
          <w:p w14:paraId="448483D1" w14:textId="77777777" w:rsidR="00921C59" w:rsidRPr="00175D8B" w:rsidRDefault="00921C59" w:rsidP="00921C59">
            <w:pPr>
              <w:pBdr>
                <w:top w:val="nil"/>
                <w:left w:val="nil"/>
                <w:bottom w:val="nil"/>
                <w:right w:val="nil"/>
                <w:between w:val="nil"/>
              </w:pBdr>
              <w:spacing w:before="40" w:after="40"/>
              <w:rPr>
                <w:color w:val="000000"/>
                <w:sz w:val="20"/>
                <w:szCs w:val="20"/>
              </w:rPr>
            </w:pPr>
            <w:r w:rsidRPr="00175D8B">
              <w:rPr>
                <w:color w:val="000000"/>
                <w:sz w:val="20"/>
                <w:szCs w:val="20"/>
              </w:rPr>
              <w:t>(PMU)</w:t>
            </w:r>
          </w:p>
        </w:tc>
        <w:tc>
          <w:tcPr>
            <w:tcW w:w="8079" w:type="dxa"/>
            <w:tcBorders>
              <w:top w:val="single" w:sz="4" w:space="0" w:color="000000"/>
              <w:left w:val="single" w:sz="4" w:space="0" w:color="000000"/>
              <w:bottom w:val="single" w:sz="4" w:space="0" w:color="000000"/>
              <w:right w:val="single" w:sz="4" w:space="0" w:color="000000"/>
            </w:tcBorders>
            <w:shd w:val="clear" w:color="auto" w:fill="F2F2F2"/>
          </w:tcPr>
          <w:p w14:paraId="2AC1BFEB" w14:textId="77777777" w:rsidR="00921C59" w:rsidRPr="00175D8B" w:rsidRDefault="00921C59">
            <w:pPr>
              <w:numPr>
                <w:ilvl w:val="0"/>
                <w:numId w:val="50"/>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Ensure adequate resources are provided for the implementation of this Plan.</w:t>
            </w:r>
          </w:p>
          <w:p w14:paraId="65EC6FCA" w14:textId="77777777" w:rsidR="00921C59" w:rsidRPr="00175D8B" w:rsidRDefault="00921C59">
            <w:pPr>
              <w:numPr>
                <w:ilvl w:val="0"/>
                <w:numId w:val="50"/>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Review and update the Plan as needed</w:t>
            </w:r>
          </w:p>
          <w:p w14:paraId="3A8974EB" w14:textId="77777777" w:rsidR="00921C59" w:rsidRPr="00175D8B" w:rsidRDefault="00921C59">
            <w:pPr>
              <w:numPr>
                <w:ilvl w:val="0"/>
                <w:numId w:val="50"/>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Ensure that technical support is provided to contractors for the implementation of the plan.</w:t>
            </w:r>
          </w:p>
          <w:p w14:paraId="465741B9" w14:textId="77777777" w:rsidR="00921C59" w:rsidRPr="00175D8B" w:rsidRDefault="00921C59">
            <w:pPr>
              <w:numPr>
                <w:ilvl w:val="0"/>
                <w:numId w:val="50"/>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Ensure that relevant training is provided by contractors through review of training records and relevant training documentation.</w:t>
            </w:r>
          </w:p>
          <w:p w14:paraId="1C8134B2" w14:textId="77777777" w:rsidR="00921C59" w:rsidRPr="00175D8B" w:rsidRDefault="00921C59">
            <w:pPr>
              <w:numPr>
                <w:ilvl w:val="0"/>
                <w:numId w:val="50"/>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Supervising the contractor's compliance with Project requirements through contractor monitoring and reports.</w:t>
            </w:r>
          </w:p>
        </w:tc>
      </w:tr>
      <w:tr w:rsidR="00921C59" w:rsidRPr="00175D8B" w14:paraId="4FB81AC1" w14:textId="77777777" w:rsidTr="002550A6">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61BDC784" w14:textId="77777777" w:rsidR="00921C59" w:rsidRPr="00175D8B" w:rsidRDefault="00921C59" w:rsidP="00921C59">
            <w:pPr>
              <w:pBdr>
                <w:top w:val="nil"/>
                <w:left w:val="nil"/>
                <w:bottom w:val="nil"/>
                <w:right w:val="nil"/>
                <w:between w:val="nil"/>
              </w:pBdr>
              <w:spacing w:before="40" w:after="40"/>
              <w:rPr>
                <w:color w:val="000000"/>
                <w:sz w:val="20"/>
                <w:szCs w:val="20"/>
              </w:rPr>
            </w:pPr>
            <w:r w:rsidRPr="00175D8B">
              <w:rPr>
                <w:color w:val="000000"/>
                <w:sz w:val="20"/>
                <w:szCs w:val="20"/>
              </w:rPr>
              <w:t>Contractors</w:t>
            </w:r>
          </w:p>
        </w:tc>
        <w:tc>
          <w:tcPr>
            <w:tcW w:w="8079" w:type="dxa"/>
            <w:tcBorders>
              <w:top w:val="single" w:sz="4" w:space="0" w:color="000000"/>
              <w:left w:val="single" w:sz="4" w:space="0" w:color="000000"/>
              <w:bottom w:val="single" w:sz="4" w:space="0" w:color="000000"/>
              <w:right w:val="single" w:sz="4" w:space="0" w:color="000000"/>
            </w:tcBorders>
            <w:shd w:val="clear" w:color="auto" w:fill="F2F2F2"/>
          </w:tcPr>
          <w:p w14:paraId="489BF868" w14:textId="77777777" w:rsidR="00921C59" w:rsidRPr="00175D8B" w:rsidRDefault="00921C59">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Ensure that this plan is implemented in line with Project standards</w:t>
            </w:r>
          </w:p>
          <w:p w14:paraId="22958560" w14:textId="77777777" w:rsidR="00921C59" w:rsidRPr="00175D8B" w:rsidRDefault="00921C59">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As its main responsibility, to ensure the implementation of the Plan (also by the Subcontractors, if any) and to report the non-compliances and implementation performance of the Plan to the PMU.</w:t>
            </w:r>
          </w:p>
          <w:p w14:paraId="5D2A7450" w14:textId="77777777" w:rsidR="00921C59" w:rsidRPr="00175D8B" w:rsidRDefault="00921C59">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Participate in the development of corrective and/or remedial actions when necessary (for example, when non-compliances are detected or there is a change in relevant legislation, etc.).</w:t>
            </w:r>
          </w:p>
          <w:p w14:paraId="40BD02FE" w14:textId="77777777" w:rsidR="00921C59" w:rsidRPr="00175D8B" w:rsidRDefault="00921C59">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Provide relevant training.</w:t>
            </w:r>
          </w:p>
          <w:p w14:paraId="2E28B3A0" w14:textId="77777777" w:rsidR="00921C59" w:rsidRPr="00175D8B" w:rsidRDefault="00921C59">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Performing internal and daily inspections and recording any detected non-compliances.</w:t>
            </w:r>
          </w:p>
          <w:p w14:paraId="6A7FC36F" w14:textId="77777777" w:rsidR="00921C59" w:rsidRPr="00175D8B" w:rsidRDefault="00921C59">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Ensuring that relevant non-compliances are recorded and promptly responded.</w:t>
            </w:r>
          </w:p>
          <w:p w14:paraId="42797003" w14:textId="77777777" w:rsidR="00921C59" w:rsidRPr="00175D8B" w:rsidRDefault="00921C59">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Review and update the Plan as needed (in coordination with the PMU).</w:t>
            </w:r>
          </w:p>
          <w:p w14:paraId="47CAF224" w14:textId="77777777" w:rsidR="00921C59" w:rsidRPr="00175D8B" w:rsidRDefault="00921C59">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Ensure that asbestos management considerations are added in the daily checklist, which will be included in the monthly report to the PMU.</w:t>
            </w:r>
          </w:p>
        </w:tc>
      </w:tr>
      <w:tr w:rsidR="00921C59" w:rsidRPr="00175D8B" w14:paraId="044542D1" w14:textId="77777777" w:rsidTr="002550A6">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64E7497C" w14:textId="77777777" w:rsidR="00921C59" w:rsidRPr="00175D8B" w:rsidRDefault="00921C59" w:rsidP="00921C59">
            <w:pPr>
              <w:pBdr>
                <w:top w:val="nil"/>
                <w:left w:val="nil"/>
                <w:bottom w:val="nil"/>
                <w:right w:val="nil"/>
                <w:between w:val="nil"/>
              </w:pBdr>
              <w:spacing w:before="40" w:after="40"/>
              <w:rPr>
                <w:color w:val="000000"/>
                <w:sz w:val="20"/>
                <w:szCs w:val="20"/>
              </w:rPr>
            </w:pPr>
            <w:r w:rsidRPr="00175D8B">
              <w:rPr>
                <w:color w:val="000000"/>
                <w:sz w:val="20"/>
                <w:szCs w:val="20"/>
              </w:rPr>
              <w:lastRenderedPageBreak/>
              <w:t xml:space="preserve">All Personnel </w:t>
            </w:r>
          </w:p>
        </w:tc>
        <w:tc>
          <w:tcPr>
            <w:tcW w:w="8079" w:type="dxa"/>
            <w:tcBorders>
              <w:top w:val="single" w:sz="4" w:space="0" w:color="000000"/>
              <w:left w:val="single" w:sz="4" w:space="0" w:color="000000"/>
              <w:bottom w:val="single" w:sz="4" w:space="0" w:color="000000"/>
              <w:right w:val="single" w:sz="4" w:space="0" w:color="000000"/>
            </w:tcBorders>
            <w:shd w:val="clear" w:color="auto" w:fill="F2F2F2"/>
          </w:tcPr>
          <w:p w14:paraId="17FAFF0E" w14:textId="77777777" w:rsidR="00921C59" w:rsidRPr="00175D8B" w:rsidRDefault="00921C59">
            <w:pPr>
              <w:numPr>
                <w:ilvl w:val="0"/>
                <w:numId w:val="53"/>
              </w:numPr>
              <w:pBdr>
                <w:top w:val="nil"/>
                <w:left w:val="nil"/>
                <w:bottom w:val="nil"/>
                <w:right w:val="nil"/>
                <w:between w:val="nil"/>
              </w:pBdr>
              <w:shd w:val="clear" w:color="auto" w:fill="F2F2F2"/>
              <w:spacing w:before="120" w:after="0" w:line="259" w:lineRule="auto"/>
              <w:jc w:val="left"/>
              <w:rPr>
                <w:color w:val="000000"/>
                <w:sz w:val="20"/>
                <w:szCs w:val="20"/>
              </w:rPr>
            </w:pPr>
            <w:r w:rsidRPr="00175D8B">
              <w:rPr>
                <w:color w:val="000000"/>
                <w:sz w:val="20"/>
                <w:szCs w:val="20"/>
              </w:rPr>
              <w:t>Participating in training required for asbestos management.</w:t>
            </w:r>
          </w:p>
          <w:p w14:paraId="131769DF" w14:textId="77777777" w:rsidR="00921C59" w:rsidRPr="00175D8B" w:rsidRDefault="00921C59">
            <w:pPr>
              <w:numPr>
                <w:ilvl w:val="0"/>
                <w:numId w:val="53"/>
              </w:numPr>
              <w:pBdr>
                <w:top w:val="nil"/>
                <w:left w:val="nil"/>
                <w:bottom w:val="nil"/>
                <w:right w:val="nil"/>
                <w:between w:val="nil"/>
              </w:pBdr>
              <w:shd w:val="clear" w:color="auto" w:fill="F2F2F2"/>
              <w:spacing w:before="40" w:after="40" w:line="259" w:lineRule="auto"/>
              <w:jc w:val="left"/>
              <w:rPr>
                <w:color w:val="000000"/>
                <w:sz w:val="20"/>
                <w:szCs w:val="20"/>
              </w:rPr>
            </w:pPr>
            <w:r w:rsidRPr="00175D8B">
              <w:rPr>
                <w:color w:val="000000"/>
                <w:sz w:val="20"/>
                <w:szCs w:val="20"/>
              </w:rPr>
              <w:t>Provide self-competence for the implementation of this plan.</w:t>
            </w:r>
          </w:p>
        </w:tc>
      </w:tr>
    </w:tbl>
    <w:p w14:paraId="3DD31A01" w14:textId="77777777" w:rsidR="00921C59" w:rsidRPr="00175D8B" w:rsidRDefault="00921C59" w:rsidP="00921C59">
      <w:pPr>
        <w:spacing w:after="160"/>
        <w:rPr>
          <w:rFonts w:eastAsia="Aptos" w:cs="Aptos"/>
          <w:b/>
          <w:kern w:val="0"/>
          <w:szCs w:val="22"/>
          <w:lang w:eastAsia="tr-TR"/>
          <w14:ligatures w14:val="none"/>
        </w:rPr>
      </w:pPr>
      <w:bookmarkStart w:id="515" w:name="_20xfydz" w:colFirst="0" w:colLast="0"/>
      <w:bookmarkEnd w:id="515"/>
    </w:p>
    <w:p w14:paraId="66996337" w14:textId="04432F16" w:rsidR="00921C59" w:rsidRPr="00175D8B" w:rsidRDefault="00921C59" w:rsidP="00921C59">
      <w:pPr>
        <w:spacing w:after="160"/>
        <w:rPr>
          <w:rFonts w:eastAsia="Aptos" w:cs="Aptos"/>
          <w:b/>
          <w:kern w:val="0"/>
          <w:szCs w:val="22"/>
          <w:lang w:eastAsia="tr-TR"/>
          <w14:ligatures w14:val="none"/>
        </w:rPr>
      </w:pPr>
      <w:r w:rsidRPr="00175D8B">
        <w:rPr>
          <w:rFonts w:eastAsia="Aptos" w:cs="Aptos"/>
          <w:b/>
          <w:kern w:val="0"/>
          <w:szCs w:val="22"/>
          <w:lang w:eastAsia="tr-TR"/>
          <w14:ligatures w14:val="none"/>
        </w:rPr>
        <w:t>4.</w:t>
      </w:r>
      <w:r w:rsidR="005C5DEE" w:rsidRPr="00175D8B">
        <w:rPr>
          <w:rFonts w:eastAsia="Aptos" w:cs="Aptos"/>
          <w:b/>
          <w:kern w:val="0"/>
          <w:szCs w:val="22"/>
          <w:lang w:eastAsia="tr-TR"/>
          <w14:ligatures w14:val="none"/>
        </w:rPr>
        <w:t xml:space="preserve"> </w:t>
      </w:r>
      <w:r w:rsidRPr="00175D8B">
        <w:rPr>
          <w:rFonts w:eastAsia="Aptos" w:cs="Aptos"/>
          <w:b/>
          <w:kern w:val="0"/>
          <w:szCs w:val="22"/>
          <w:lang w:eastAsia="tr-TR"/>
          <w14:ligatures w14:val="none"/>
        </w:rPr>
        <w:t>Waste Management</w:t>
      </w:r>
    </w:p>
    <w:p w14:paraId="2580206E" w14:textId="77777777" w:rsidR="00921C59" w:rsidRPr="00175D8B" w:rsidRDefault="00921C59" w:rsidP="00921C59">
      <w:pPr>
        <w:spacing w:after="160"/>
        <w:ind w:left="360"/>
        <w:rPr>
          <w:rFonts w:eastAsia="Aptos" w:cs="Aptos"/>
          <w:kern w:val="0"/>
          <w:szCs w:val="22"/>
          <w:lang w:eastAsia="tr-TR"/>
          <w14:ligatures w14:val="none"/>
        </w:rPr>
      </w:pPr>
      <w:r w:rsidRPr="00175D8B">
        <w:rPr>
          <w:rFonts w:eastAsia="Aptos" w:cs="Aptos"/>
          <w:b/>
          <w:kern w:val="0"/>
          <w:szCs w:val="22"/>
          <w:lang w:eastAsia="tr-TR"/>
          <w14:ligatures w14:val="none"/>
        </w:rPr>
        <w:t>4.1. Waste Management Approach</w:t>
      </w:r>
    </w:p>
    <w:p w14:paraId="3F68E192" w14:textId="77777777" w:rsidR="00921C59" w:rsidRPr="00175D8B" w:rsidRDefault="00921C59" w:rsidP="00921C59">
      <w:pPr>
        <w:spacing w:after="160"/>
        <w:rPr>
          <w:rFonts w:eastAsia="Aptos" w:cs="Aptos"/>
          <w:kern w:val="0"/>
          <w:szCs w:val="22"/>
          <w:lang w:eastAsia="tr-TR"/>
          <w14:ligatures w14:val="none"/>
        </w:rPr>
      </w:pPr>
      <w:bookmarkStart w:id="516" w:name="_4kx3h1s" w:colFirst="0" w:colLast="0"/>
      <w:bookmarkEnd w:id="516"/>
      <w:r w:rsidRPr="00175D8B">
        <w:rPr>
          <w:rFonts w:eastAsia="Aptos" w:cs="Aptos"/>
          <w:kern w:val="0"/>
          <w:szCs w:val="22"/>
          <w:lang w:eastAsia="tr-TR"/>
          <w14:ligatures w14:val="none"/>
        </w:rPr>
        <w:t>The Waste Framework Directive (Directive 2008/98/EC) provides a waste hierarchy that sets priorities for the best overall environmental option in current waste legislation and policy. In this context, the EU waste hierarchy will also be the hierarchical approach of the Project and the waste management will be based on the following in descending order of preference:</w:t>
      </w:r>
    </w:p>
    <w:p w14:paraId="35A26E10" w14:textId="77777777" w:rsidR="00921C59" w:rsidRPr="00175D8B" w:rsidRDefault="00921C59" w:rsidP="00921C59">
      <w:pPr>
        <w:keepNext/>
        <w:spacing w:after="200" w:line="240" w:lineRule="auto"/>
        <w:jc w:val="center"/>
        <w:rPr>
          <w:rFonts w:eastAsia="Aptos" w:cs="Aptos"/>
          <w:b/>
          <w:i/>
          <w:iCs/>
          <w:color w:val="000000"/>
          <w:kern w:val="0"/>
          <w:sz w:val="20"/>
          <w:szCs w:val="18"/>
          <w:lang w:eastAsia="tr-TR"/>
          <w14:ligatures w14:val="none"/>
        </w:rPr>
      </w:pPr>
      <w:r w:rsidRPr="00175D8B">
        <w:rPr>
          <w:rFonts w:eastAsia="Aptos" w:cs="Aptos"/>
          <w:b/>
          <w:i/>
          <w:iCs/>
          <w:color w:val="000000"/>
          <w:kern w:val="0"/>
          <w:sz w:val="20"/>
          <w:szCs w:val="18"/>
          <w:lang w:eastAsia="tr-TR"/>
          <w14:ligatures w14:val="none"/>
        </w:rPr>
        <w:t>EU Waste Hierarchy</w:t>
      </w:r>
    </w:p>
    <w:p w14:paraId="3365355A" w14:textId="77777777" w:rsidR="00921C59" w:rsidRPr="00175D8B" w:rsidRDefault="00921C59" w:rsidP="00921C59">
      <w:pPr>
        <w:spacing w:after="160"/>
        <w:rPr>
          <w:rFonts w:eastAsia="Aptos" w:cs="Aptos"/>
          <w:kern w:val="0"/>
          <w:sz w:val="20"/>
          <w:szCs w:val="20"/>
          <w:lang w:eastAsia="tr-TR"/>
          <w14:ligatures w14:val="none"/>
        </w:rPr>
      </w:pPr>
      <w:r w:rsidRPr="00175D8B">
        <w:rPr>
          <w:rFonts w:eastAsia="Aptos" w:cs="Aptos"/>
          <w:noProof/>
          <w:kern w:val="0"/>
          <w:szCs w:val="22"/>
          <w:lang w:val="tr-TR" w:eastAsia="tr-TR"/>
          <w14:ligatures w14:val="none"/>
        </w:rPr>
        <mc:AlternateContent>
          <mc:Choice Requires="wpg">
            <w:drawing>
              <wp:inline distT="0" distB="0" distL="0" distR="0" wp14:anchorId="0D2F653A" wp14:editId="6E4B0CB4">
                <wp:extent cx="6010275" cy="2867025"/>
                <wp:effectExtent l="0" t="0" r="9525" b="9525"/>
                <wp:docPr id="2012017261" name="Group 2012017261"/>
                <wp:cNvGraphicFramePr/>
                <a:graphic xmlns:a="http://schemas.openxmlformats.org/drawingml/2006/main">
                  <a:graphicData uri="http://schemas.microsoft.com/office/word/2010/wordprocessingGroup">
                    <wpg:wgp>
                      <wpg:cNvGrpSpPr/>
                      <wpg:grpSpPr>
                        <a:xfrm>
                          <a:off x="0" y="0"/>
                          <a:ext cx="6010275" cy="2867025"/>
                          <a:chOff x="2331325" y="2336950"/>
                          <a:chExt cx="6019850" cy="2876600"/>
                        </a:xfrm>
                      </wpg:grpSpPr>
                      <wpg:grpSp>
                        <wpg:cNvPr id="1033813672" name="Group 1033813672"/>
                        <wpg:cNvGrpSpPr/>
                        <wpg:grpSpPr>
                          <a:xfrm>
                            <a:off x="2340863" y="2346488"/>
                            <a:ext cx="6010275" cy="2867025"/>
                            <a:chOff x="0" y="0"/>
                            <a:chExt cx="6019800" cy="2876550"/>
                          </a:xfrm>
                        </wpg:grpSpPr>
                        <wps:wsp>
                          <wps:cNvPr id="216653313" name="Rectangle 216653313"/>
                          <wps:cNvSpPr/>
                          <wps:spPr>
                            <a:xfrm>
                              <a:off x="0" y="0"/>
                              <a:ext cx="6019800" cy="2876550"/>
                            </a:xfrm>
                            <a:prstGeom prst="rect">
                              <a:avLst/>
                            </a:prstGeom>
                            <a:noFill/>
                            <a:ln>
                              <a:noFill/>
                            </a:ln>
                          </wps:spPr>
                          <wps:txbx>
                            <w:txbxContent>
                              <w:p w14:paraId="60B64D51" w14:textId="77777777" w:rsidR="001F6155" w:rsidRPr="00D513D6" w:rsidRDefault="001F6155" w:rsidP="00921C59">
                                <w:pPr>
                                  <w:spacing w:after="0" w:line="240" w:lineRule="auto"/>
                                  <w:textDirection w:val="btLr"/>
                                </w:pPr>
                              </w:p>
                            </w:txbxContent>
                          </wps:txbx>
                          <wps:bodyPr spcFirstLastPara="1" wrap="square" lIns="91425" tIns="91425" rIns="91425" bIns="91425" anchor="ctr" anchorCtr="0">
                            <a:noAutofit/>
                          </wps:bodyPr>
                        </wps:wsp>
                        <wpg:grpSp>
                          <wpg:cNvPr id="1114188733" name="Group 1114188733"/>
                          <wpg:cNvGrpSpPr/>
                          <wpg:grpSpPr>
                            <a:xfrm>
                              <a:off x="0" y="0"/>
                              <a:ext cx="6010275" cy="2867025"/>
                              <a:chOff x="0" y="0"/>
                              <a:chExt cx="6010275" cy="2867025"/>
                            </a:xfrm>
                          </wpg:grpSpPr>
                          <wps:wsp>
                            <wps:cNvPr id="393419899" name="Rectangle 393419899"/>
                            <wps:cNvSpPr/>
                            <wps:spPr>
                              <a:xfrm>
                                <a:off x="0" y="0"/>
                                <a:ext cx="6010275" cy="2867025"/>
                              </a:xfrm>
                              <a:prstGeom prst="rect">
                                <a:avLst/>
                              </a:prstGeom>
                              <a:noFill/>
                              <a:ln>
                                <a:noFill/>
                              </a:ln>
                            </wps:spPr>
                            <wps:txbx>
                              <w:txbxContent>
                                <w:p w14:paraId="2204DCC2" w14:textId="77777777" w:rsidR="001F6155" w:rsidRPr="00D513D6" w:rsidRDefault="001F6155" w:rsidP="00921C59">
                                  <w:pPr>
                                    <w:spacing w:after="0" w:line="240" w:lineRule="auto"/>
                                    <w:textDirection w:val="btLr"/>
                                  </w:pPr>
                                </w:p>
                              </w:txbxContent>
                            </wps:txbx>
                            <wps:bodyPr spcFirstLastPara="1" wrap="square" lIns="91425" tIns="91425" rIns="91425" bIns="91425" anchor="ctr" anchorCtr="0">
                              <a:noAutofit/>
                            </wps:bodyPr>
                          </wps:wsp>
                          <wps:wsp>
                            <wps:cNvPr id="1710408011" name="Rectangle: Rounded Corners 1710408011"/>
                            <wps:cNvSpPr/>
                            <wps:spPr>
                              <a:xfrm>
                                <a:off x="0" y="0"/>
                                <a:ext cx="4627911" cy="516064"/>
                              </a:xfrm>
                              <a:prstGeom prst="roundRect">
                                <a:avLst>
                                  <a:gd name="adj" fmla="val 10000"/>
                                </a:avLst>
                              </a:prstGeom>
                              <a:solidFill>
                                <a:srgbClr val="1F497D">
                                  <a:lumMod val="10000"/>
                                  <a:lumOff val="90000"/>
                                </a:srgbClr>
                              </a:solidFill>
                              <a:ln w="19050" cap="flat" cmpd="sng">
                                <a:solidFill>
                                  <a:srgbClr val="EEECE1"/>
                                </a:solidFill>
                                <a:prstDash val="solid"/>
                                <a:miter lim="800000"/>
                                <a:headEnd type="none" w="sm" len="sm"/>
                                <a:tailEnd type="none" w="sm" len="sm"/>
                              </a:ln>
                            </wps:spPr>
                            <wps:txbx>
                              <w:txbxContent>
                                <w:p w14:paraId="1CBBF09C" w14:textId="77777777" w:rsidR="001F6155" w:rsidRPr="00D513D6" w:rsidRDefault="001F6155" w:rsidP="00921C59">
                                  <w:pPr>
                                    <w:spacing w:after="0" w:line="240" w:lineRule="auto"/>
                                    <w:textDirection w:val="btLr"/>
                                  </w:pPr>
                                </w:p>
                              </w:txbxContent>
                            </wps:txbx>
                            <wps:bodyPr spcFirstLastPara="1" wrap="square" lIns="91425" tIns="91425" rIns="91425" bIns="91425" anchor="ctr" anchorCtr="0">
                              <a:noAutofit/>
                            </wps:bodyPr>
                          </wps:wsp>
                          <wps:wsp>
                            <wps:cNvPr id="1491496320" name="Rectangle 1491496320"/>
                            <wps:cNvSpPr/>
                            <wps:spPr>
                              <a:xfrm>
                                <a:off x="15115" y="15115"/>
                                <a:ext cx="4010658" cy="485834"/>
                              </a:xfrm>
                              <a:prstGeom prst="rect">
                                <a:avLst/>
                              </a:prstGeom>
                              <a:solidFill>
                                <a:srgbClr val="1F497D">
                                  <a:lumMod val="10000"/>
                                  <a:lumOff val="90000"/>
                                </a:srgbClr>
                              </a:solidFill>
                              <a:ln>
                                <a:noFill/>
                              </a:ln>
                            </wps:spPr>
                            <wps:txbx>
                              <w:txbxContent>
                                <w:p w14:paraId="32413357" w14:textId="77777777" w:rsidR="001F6155" w:rsidRPr="00D513D6" w:rsidRDefault="001F6155" w:rsidP="00921C59">
                                  <w:pPr>
                                    <w:spacing w:after="0" w:line="215" w:lineRule="auto"/>
                                    <w:textDirection w:val="btLr"/>
                                  </w:pPr>
                                  <w:r w:rsidRPr="00B74B6E">
                                    <w:rPr>
                                      <w:color w:val="000000"/>
                                    </w:rPr>
                                    <w:t>No waste production if possible</w:t>
                                  </w:r>
                                </w:p>
                              </w:txbxContent>
                            </wps:txbx>
                            <wps:bodyPr spcFirstLastPara="1" wrap="square" lIns="41900" tIns="41900" rIns="41900" bIns="41900" anchor="ctr" anchorCtr="0">
                              <a:noAutofit/>
                            </wps:bodyPr>
                          </wps:wsp>
                          <wps:wsp>
                            <wps:cNvPr id="1216931020" name="Rectangle: Rounded Corners 1216931020"/>
                            <wps:cNvSpPr/>
                            <wps:spPr>
                              <a:xfrm>
                                <a:off x="345590" y="587740"/>
                                <a:ext cx="4627911" cy="516064"/>
                              </a:xfrm>
                              <a:prstGeom prst="roundRect">
                                <a:avLst>
                                  <a:gd name="adj" fmla="val 10000"/>
                                </a:avLst>
                              </a:prstGeom>
                              <a:solidFill>
                                <a:srgbClr val="1F497D">
                                  <a:lumMod val="10000"/>
                                  <a:lumOff val="90000"/>
                                </a:srgbClr>
                              </a:solidFill>
                              <a:ln w="19050" cap="flat" cmpd="sng">
                                <a:solidFill>
                                  <a:srgbClr val="EEECE1"/>
                                </a:solidFill>
                                <a:prstDash val="solid"/>
                                <a:miter lim="800000"/>
                                <a:headEnd type="none" w="sm" len="sm"/>
                                <a:tailEnd type="none" w="sm" len="sm"/>
                              </a:ln>
                            </wps:spPr>
                            <wps:txbx>
                              <w:txbxContent>
                                <w:p w14:paraId="6D800692" w14:textId="77777777" w:rsidR="001F6155" w:rsidRPr="00D513D6" w:rsidRDefault="001F6155" w:rsidP="00921C59">
                                  <w:pPr>
                                    <w:spacing w:after="0" w:line="240" w:lineRule="auto"/>
                                    <w:textDirection w:val="btLr"/>
                                  </w:pPr>
                                </w:p>
                              </w:txbxContent>
                            </wps:txbx>
                            <wps:bodyPr spcFirstLastPara="1" wrap="square" lIns="91425" tIns="91425" rIns="91425" bIns="91425" anchor="ctr" anchorCtr="0">
                              <a:noAutofit/>
                            </wps:bodyPr>
                          </wps:wsp>
                          <wps:wsp>
                            <wps:cNvPr id="380319620" name="Rectangle 380319620"/>
                            <wps:cNvSpPr/>
                            <wps:spPr>
                              <a:xfrm>
                                <a:off x="360705" y="602855"/>
                                <a:ext cx="3916649" cy="485834"/>
                              </a:xfrm>
                              <a:prstGeom prst="rect">
                                <a:avLst/>
                              </a:prstGeom>
                              <a:solidFill>
                                <a:srgbClr val="1F497D">
                                  <a:lumMod val="10000"/>
                                  <a:lumOff val="90000"/>
                                </a:srgbClr>
                              </a:solidFill>
                              <a:ln>
                                <a:noFill/>
                              </a:ln>
                            </wps:spPr>
                            <wps:txbx>
                              <w:txbxContent>
                                <w:p w14:paraId="191DF1AC" w14:textId="77777777" w:rsidR="001F6155" w:rsidRPr="00D513D6" w:rsidRDefault="001F6155" w:rsidP="00921C59">
                                  <w:pPr>
                                    <w:spacing w:after="0" w:line="215" w:lineRule="auto"/>
                                    <w:textDirection w:val="btLr"/>
                                  </w:pPr>
                                  <w:r w:rsidRPr="00B74B6E">
                                    <w:rPr>
                                      <w:color w:val="000000"/>
                                    </w:rPr>
                                    <w:t>Reducing waste generation at source</w:t>
                                  </w:r>
                                </w:p>
                              </w:txbxContent>
                            </wps:txbx>
                            <wps:bodyPr spcFirstLastPara="1" wrap="square" lIns="41900" tIns="41900" rIns="41900" bIns="41900" anchor="ctr" anchorCtr="0">
                              <a:noAutofit/>
                            </wps:bodyPr>
                          </wps:wsp>
                          <wps:wsp>
                            <wps:cNvPr id="741044510" name="Rectangle: Rounded Corners 741044510"/>
                            <wps:cNvSpPr/>
                            <wps:spPr>
                              <a:xfrm>
                                <a:off x="691181" y="1175480"/>
                                <a:ext cx="4627911" cy="516064"/>
                              </a:xfrm>
                              <a:prstGeom prst="roundRect">
                                <a:avLst>
                                  <a:gd name="adj" fmla="val 10000"/>
                                </a:avLst>
                              </a:prstGeom>
                              <a:solidFill>
                                <a:srgbClr val="1F497D">
                                  <a:lumMod val="10000"/>
                                  <a:lumOff val="90000"/>
                                </a:srgbClr>
                              </a:solidFill>
                              <a:ln w="19050" cap="flat" cmpd="sng">
                                <a:solidFill>
                                  <a:srgbClr val="EEECE1"/>
                                </a:solidFill>
                                <a:prstDash val="solid"/>
                                <a:miter lim="800000"/>
                                <a:headEnd type="none" w="sm" len="sm"/>
                                <a:tailEnd type="none" w="sm" len="sm"/>
                              </a:ln>
                            </wps:spPr>
                            <wps:txbx>
                              <w:txbxContent>
                                <w:p w14:paraId="54D80BC4" w14:textId="77777777" w:rsidR="001F6155" w:rsidRPr="00D513D6" w:rsidRDefault="001F6155" w:rsidP="00921C59">
                                  <w:pPr>
                                    <w:spacing w:after="0" w:line="240" w:lineRule="auto"/>
                                    <w:textDirection w:val="btLr"/>
                                  </w:pPr>
                                </w:p>
                              </w:txbxContent>
                            </wps:txbx>
                            <wps:bodyPr spcFirstLastPara="1" wrap="square" lIns="91425" tIns="91425" rIns="91425" bIns="91425" anchor="ctr" anchorCtr="0">
                              <a:noAutofit/>
                            </wps:bodyPr>
                          </wps:wsp>
                          <wps:wsp>
                            <wps:cNvPr id="1927325717" name="Rectangle 1927325717"/>
                            <wps:cNvSpPr/>
                            <wps:spPr>
                              <a:xfrm>
                                <a:off x="706296" y="1190595"/>
                                <a:ext cx="3916649" cy="485834"/>
                              </a:xfrm>
                              <a:prstGeom prst="rect">
                                <a:avLst/>
                              </a:prstGeom>
                              <a:solidFill>
                                <a:srgbClr val="1F497D">
                                  <a:lumMod val="10000"/>
                                  <a:lumOff val="90000"/>
                                </a:srgbClr>
                              </a:solidFill>
                              <a:ln>
                                <a:noFill/>
                              </a:ln>
                            </wps:spPr>
                            <wps:txbx>
                              <w:txbxContent>
                                <w:p w14:paraId="10F3EBA9" w14:textId="77777777" w:rsidR="001F6155" w:rsidRPr="00D513D6" w:rsidRDefault="001F6155" w:rsidP="00921C59">
                                  <w:pPr>
                                    <w:spacing w:before="75" w:after="0" w:line="215" w:lineRule="auto"/>
                                    <w:textDirection w:val="btLr"/>
                                  </w:pPr>
                                  <w:r w:rsidRPr="00B74B6E">
                                    <w:rPr>
                                      <w:color w:val="000000"/>
                                    </w:rPr>
                                    <w:t>Reuse of waste/excess materials if possible</w:t>
                                  </w:r>
                                </w:p>
                              </w:txbxContent>
                            </wps:txbx>
                            <wps:bodyPr spcFirstLastPara="1" wrap="square" lIns="41900" tIns="41900" rIns="41900" bIns="41900" anchor="ctr" anchorCtr="0">
                              <a:noAutofit/>
                            </wps:bodyPr>
                          </wps:wsp>
                          <wps:wsp>
                            <wps:cNvPr id="340078538" name="Rectangle: Rounded Corners 340078538"/>
                            <wps:cNvSpPr/>
                            <wps:spPr>
                              <a:xfrm>
                                <a:off x="1036772" y="1763220"/>
                                <a:ext cx="4627911" cy="516064"/>
                              </a:xfrm>
                              <a:prstGeom prst="roundRect">
                                <a:avLst>
                                  <a:gd name="adj" fmla="val 10000"/>
                                </a:avLst>
                              </a:prstGeom>
                              <a:solidFill>
                                <a:srgbClr val="1F497D">
                                  <a:lumMod val="10000"/>
                                  <a:lumOff val="90000"/>
                                </a:srgbClr>
                              </a:solidFill>
                              <a:ln w="19050" cap="flat" cmpd="sng">
                                <a:solidFill>
                                  <a:srgbClr val="EEECE1"/>
                                </a:solidFill>
                                <a:prstDash val="solid"/>
                                <a:miter lim="800000"/>
                                <a:headEnd type="none" w="sm" len="sm"/>
                                <a:tailEnd type="none" w="sm" len="sm"/>
                              </a:ln>
                            </wps:spPr>
                            <wps:txbx>
                              <w:txbxContent>
                                <w:p w14:paraId="59B081F8" w14:textId="77777777" w:rsidR="001F6155" w:rsidRPr="00D513D6" w:rsidRDefault="001F6155" w:rsidP="00921C59">
                                  <w:pPr>
                                    <w:spacing w:after="0" w:line="240" w:lineRule="auto"/>
                                    <w:textDirection w:val="btLr"/>
                                  </w:pPr>
                                </w:p>
                              </w:txbxContent>
                            </wps:txbx>
                            <wps:bodyPr spcFirstLastPara="1" wrap="square" lIns="91425" tIns="91425" rIns="91425" bIns="91425" anchor="ctr" anchorCtr="0">
                              <a:noAutofit/>
                            </wps:bodyPr>
                          </wps:wsp>
                          <wps:wsp>
                            <wps:cNvPr id="141886569" name="Rectangle 141886569"/>
                            <wps:cNvSpPr/>
                            <wps:spPr>
                              <a:xfrm>
                                <a:off x="1051887" y="1778335"/>
                                <a:ext cx="3916649" cy="485834"/>
                              </a:xfrm>
                              <a:prstGeom prst="rect">
                                <a:avLst/>
                              </a:prstGeom>
                              <a:solidFill>
                                <a:srgbClr val="1F497D">
                                  <a:lumMod val="10000"/>
                                  <a:lumOff val="90000"/>
                                </a:srgbClr>
                              </a:solidFill>
                              <a:ln>
                                <a:noFill/>
                              </a:ln>
                            </wps:spPr>
                            <wps:txbx>
                              <w:txbxContent>
                                <w:p w14:paraId="6688557D" w14:textId="77777777" w:rsidR="001F6155" w:rsidRPr="00D513D6" w:rsidRDefault="001F6155" w:rsidP="00921C59">
                                  <w:pPr>
                                    <w:spacing w:after="0" w:line="215" w:lineRule="auto"/>
                                    <w:textDirection w:val="btLr"/>
                                  </w:pPr>
                                  <w:r w:rsidRPr="00B74B6E">
                                    <w:rPr>
                                      <w:color w:val="000000"/>
                                    </w:rPr>
                                    <w:t>Recovery/recycling of waste materials, if possible</w:t>
                                  </w:r>
                                </w:p>
                              </w:txbxContent>
                            </wps:txbx>
                            <wps:bodyPr spcFirstLastPara="1" wrap="square" lIns="41900" tIns="41900" rIns="41900" bIns="41900" anchor="ctr" anchorCtr="0">
                              <a:noAutofit/>
                            </wps:bodyPr>
                          </wps:wsp>
                          <wps:wsp>
                            <wps:cNvPr id="207409730" name="Rectangle: Rounded Corners 207409730"/>
                            <wps:cNvSpPr/>
                            <wps:spPr>
                              <a:xfrm>
                                <a:off x="1382363" y="2350960"/>
                                <a:ext cx="4627911" cy="516064"/>
                              </a:xfrm>
                              <a:prstGeom prst="roundRect">
                                <a:avLst>
                                  <a:gd name="adj" fmla="val 10000"/>
                                </a:avLst>
                              </a:prstGeom>
                              <a:solidFill>
                                <a:srgbClr val="1F497D">
                                  <a:lumMod val="10000"/>
                                  <a:lumOff val="90000"/>
                                </a:srgbClr>
                              </a:solidFill>
                              <a:ln w="19050" cap="flat" cmpd="sng">
                                <a:solidFill>
                                  <a:srgbClr val="EEECE1"/>
                                </a:solidFill>
                                <a:prstDash val="solid"/>
                                <a:miter lim="800000"/>
                                <a:headEnd type="none" w="sm" len="sm"/>
                                <a:tailEnd type="none" w="sm" len="sm"/>
                              </a:ln>
                            </wps:spPr>
                            <wps:txbx>
                              <w:txbxContent>
                                <w:p w14:paraId="3BF45ED5" w14:textId="77777777" w:rsidR="001F6155" w:rsidRPr="00D513D6" w:rsidRDefault="001F6155" w:rsidP="00921C59">
                                  <w:pPr>
                                    <w:spacing w:after="0" w:line="240" w:lineRule="auto"/>
                                    <w:textDirection w:val="btLr"/>
                                  </w:pPr>
                                </w:p>
                              </w:txbxContent>
                            </wps:txbx>
                            <wps:bodyPr spcFirstLastPara="1" wrap="square" lIns="91425" tIns="91425" rIns="91425" bIns="91425" anchor="ctr" anchorCtr="0">
                              <a:noAutofit/>
                            </wps:bodyPr>
                          </wps:wsp>
                          <wps:wsp>
                            <wps:cNvPr id="1032850692" name="Rectangle 1032850692"/>
                            <wps:cNvSpPr/>
                            <wps:spPr>
                              <a:xfrm>
                                <a:off x="1397478" y="2366075"/>
                                <a:ext cx="3916649" cy="485834"/>
                              </a:xfrm>
                              <a:prstGeom prst="rect">
                                <a:avLst/>
                              </a:prstGeom>
                              <a:solidFill>
                                <a:srgbClr val="1F497D">
                                  <a:lumMod val="10000"/>
                                  <a:lumOff val="90000"/>
                                </a:srgbClr>
                              </a:solidFill>
                              <a:ln>
                                <a:noFill/>
                              </a:ln>
                            </wps:spPr>
                            <wps:txbx>
                              <w:txbxContent>
                                <w:p w14:paraId="3C0EA9B5" w14:textId="77777777" w:rsidR="001F6155" w:rsidRPr="00D513D6" w:rsidRDefault="001F6155" w:rsidP="00921C59">
                                  <w:pPr>
                                    <w:spacing w:after="0" w:line="215" w:lineRule="auto"/>
                                    <w:textDirection w:val="btLr"/>
                                  </w:pPr>
                                  <w:r w:rsidRPr="00B74B6E">
                                    <w:rPr>
                                      <w:color w:val="000000"/>
                                    </w:rPr>
                                    <w:t>Disposal of waste off-site by a licensed waste company/municipality</w:t>
                                  </w:r>
                                </w:p>
                              </w:txbxContent>
                            </wps:txbx>
                            <wps:bodyPr spcFirstLastPara="1" wrap="square" lIns="41900" tIns="41900" rIns="41900" bIns="41900" anchor="ctr" anchorCtr="0">
                              <a:noAutofit/>
                            </wps:bodyPr>
                          </wps:wsp>
                          <wps:wsp>
                            <wps:cNvPr id="186792471" name="Arrow: Down 186792471"/>
                            <wps:cNvSpPr/>
                            <wps:spPr>
                              <a:xfrm>
                                <a:off x="4292469" y="377013"/>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79E97340" w14:textId="77777777" w:rsidR="001F6155" w:rsidRPr="00D513D6" w:rsidRDefault="001F6155" w:rsidP="00921C59">
                                  <w:pPr>
                                    <w:spacing w:after="0" w:line="240" w:lineRule="auto"/>
                                    <w:textDirection w:val="btLr"/>
                                  </w:pPr>
                                </w:p>
                              </w:txbxContent>
                            </wps:txbx>
                            <wps:bodyPr spcFirstLastPara="1" wrap="square" lIns="91425" tIns="91425" rIns="91425" bIns="91425" anchor="ctr" anchorCtr="0">
                              <a:noAutofit/>
                            </wps:bodyPr>
                          </wps:wsp>
                          <wps:wsp>
                            <wps:cNvPr id="1572466890" name="Rectangle 1572466890"/>
                            <wps:cNvSpPr/>
                            <wps:spPr>
                              <a:xfrm>
                                <a:off x="4367943" y="377013"/>
                                <a:ext cx="184493" cy="252419"/>
                              </a:xfrm>
                              <a:prstGeom prst="rect">
                                <a:avLst/>
                              </a:prstGeom>
                              <a:noFill/>
                              <a:ln>
                                <a:noFill/>
                              </a:ln>
                            </wps:spPr>
                            <wps:txbx>
                              <w:txbxContent>
                                <w:p w14:paraId="280706E5" w14:textId="77777777" w:rsidR="001F6155" w:rsidRPr="00D513D6" w:rsidRDefault="001F6155" w:rsidP="00921C59">
                                  <w:pPr>
                                    <w:spacing w:after="0" w:line="215" w:lineRule="auto"/>
                                    <w:jc w:val="center"/>
                                    <w:textDirection w:val="btLr"/>
                                  </w:pPr>
                                </w:p>
                              </w:txbxContent>
                            </wps:txbx>
                            <wps:bodyPr spcFirstLastPara="1" wrap="square" lIns="19050" tIns="19050" rIns="19050" bIns="19050" anchor="ctr" anchorCtr="0">
                              <a:noAutofit/>
                            </wps:bodyPr>
                          </wps:wsp>
                          <wps:wsp>
                            <wps:cNvPr id="298022139" name="Arrow: Down 298022139"/>
                            <wps:cNvSpPr/>
                            <wps:spPr>
                              <a:xfrm>
                                <a:off x="4638060" y="964753"/>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0FF21732" w14:textId="77777777" w:rsidR="001F6155" w:rsidRPr="00D513D6" w:rsidRDefault="001F6155" w:rsidP="00921C59">
                                  <w:pPr>
                                    <w:spacing w:after="0" w:line="240" w:lineRule="auto"/>
                                    <w:textDirection w:val="btLr"/>
                                  </w:pPr>
                                </w:p>
                              </w:txbxContent>
                            </wps:txbx>
                            <wps:bodyPr spcFirstLastPara="1" wrap="square" lIns="91425" tIns="91425" rIns="91425" bIns="91425" anchor="ctr" anchorCtr="0">
                              <a:noAutofit/>
                            </wps:bodyPr>
                          </wps:wsp>
                          <wps:wsp>
                            <wps:cNvPr id="695992774" name="Rectangle 695992774"/>
                            <wps:cNvSpPr/>
                            <wps:spPr>
                              <a:xfrm>
                                <a:off x="4713534" y="964753"/>
                                <a:ext cx="184493" cy="252419"/>
                              </a:xfrm>
                              <a:prstGeom prst="rect">
                                <a:avLst/>
                              </a:prstGeom>
                              <a:noFill/>
                              <a:ln>
                                <a:noFill/>
                              </a:ln>
                            </wps:spPr>
                            <wps:txbx>
                              <w:txbxContent>
                                <w:p w14:paraId="5D317A52" w14:textId="77777777" w:rsidR="001F6155" w:rsidRPr="00D513D6" w:rsidRDefault="001F6155" w:rsidP="00921C59">
                                  <w:pPr>
                                    <w:spacing w:after="0" w:line="215" w:lineRule="auto"/>
                                    <w:jc w:val="center"/>
                                    <w:textDirection w:val="btLr"/>
                                  </w:pPr>
                                </w:p>
                              </w:txbxContent>
                            </wps:txbx>
                            <wps:bodyPr spcFirstLastPara="1" wrap="square" lIns="19050" tIns="19050" rIns="19050" bIns="19050" anchor="ctr" anchorCtr="0">
                              <a:noAutofit/>
                            </wps:bodyPr>
                          </wps:wsp>
                          <wps:wsp>
                            <wps:cNvPr id="1310541104" name="Arrow: Down 1310541104"/>
                            <wps:cNvSpPr/>
                            <wps:spPr>
                              <a:xfrm>
                                <a:off x="4983651" y="1543892"/>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6B2667D5" w14:textId="77777777" w:rsidR="001F6155" w:rsidRPr="00D513D6" w:rsidRDefault="001F6155" w:rsidP="00921C59">
                                  <w:pPr>
                                    <w:spacing w:after="0" w:line="240" w:lineRule="auto"/>
                                    <w:textDirection w:val="btLr"/>
                                  </w:pPr>
                                </w:p>
                              </w:txbxContent>
                            </wps:txbx>
                            <wps:bodyPr spcFirstLastPara="1" wrap="square" lIns="91425" tIns="91425" rIns="91425" bIns="91425" anchor="ctr" anchorCtr="0">
                              <a:noAutofit/>
                            </wps:bodyPr>
                          </wps:wsp>
                          <wps:wsp>
                            <wps:cNvPr id="330840778" name="Rectangle 330840778"/>
                            <wps:cNvSpPr/>
                            <wps:spPr>
                              <a:xfrm>
                                <a:off x="5059125" y="1543892"/>
                                <a:ext cx="184493" cy="252419"/>
                              </a:xfrm>
                              <a:prstGeom prst="rect">
                                <a:avLst/>
                              </a:prstGeom>
                              <a:noFill/>
                              <a:ln>
                                <a:noFill/>
                              </a:ln>
                            </wps:spPr>
                            <wps:txbx>
                              <w:txbxContent>
                                <w:p w14:paraId="798B43AB" w14:textId="77777777" w:rsidR="001F6155" w:rsidRPr="00D513D6" w:rsidRDefault="001F6155" w:rsidP="00921C59">
                                  <w:pPr>
                                    <w:spacing w:after="0" w:line="215" w:lineRule="auto"/>
                                    <w:jc w:val="center"/>
                                    <w:textDirection w:val="btLr"/>
                                  </w:pPr>
                                </w:p>
                              </w:txbxContent>
                            </wps:txbx>
                            <wps:bodyPr spcFirstLastPara="1" wrap="square" lIns="19050" tIns="19050" rIns="19050" bIns="19050" anchor="ctr" anchorCtr="0">
                              <a:noAutofit/>
                            </wps:bodyPr>
                          </wps:wsp>
                          <wps:wsp>
                            <wps:cNvPr id="1336608743" name="Arrow: Down 1336608743"/>
                            <wps:cNvSpPr/>
                            <wps:spPr>
                              <a:xfrm>
                                <a:off x="5329242" y="2137367"/>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6F00A4DC" w14:textId="77777777" w:rsidR="001F6155" w:rsidRPr="00D513D6" w:rsidRDefault="001F6155" w:rsidP="00921C59">
                                  <w:pPr>
                                    <w:spacing w:after="0" w:line="240" w:lineRule="auto"/>
                                    <w:textDirection w:val="btLr"/>
                                  </w:pPr>
                                </w:p>
                              </w:txbxContent>
                            </wps:txbx>
                            <wps:bodyPr spcFirstLastPara="1" wrap="square" lIns="91425" tIns="91425" rIns="91425" bIns="91425" anchor="ctr" anchorCtr="0">
                              <a:noAutofit/>
                            </wps:bodyPr>
                          </wps:wsp>
                          <wps:wsp>
                            <wps:cNvPr id="1251477394" name="Rectangle 1251477394"/>
                            <wps:cNvSpPr/>
                            <wps:spPr>
                              <a:xfrm>
                                <a:off x="5404716" y="2137367"/>
                                <a:ext cx="184493" cy="252419"/>
                              </a:xfrm>
                              <a:prstGeom prst="rect">
                                <a:avLst/>
                              </a:prstGeom>
                              <a:noFill/>
                              <a:ln>
                                <a:noFill/>
                              </a:ln>
                            </wps:spPr>
                            <wps:txbx>
                              <w:txbxContent>
                                <w:p w14:paraId="499F7F94" w14:textId="77777777" w:rsidR="001F6155" w:rsidRPr="00D513D6" w:rsidRDefault="001F6155" w:rsidP="00921C59">
                                  <w:pPr>
                                    <w:spacing w:after="0" w:line="215" w:lineRule="auto"/>
                                    <w:jc w:val="center"/>
                                    <w:textDirection w:val="btLr"/>
                                  </w:pPr>
                                </w:p>
                              </w:txbxContent>
                            </wps:txbx>
                            <wps:bodyPr spcFirstLastPara="1" wrap="square" lIns="19050" tIns="19050" rIns="19050" bIns="19050" anchor="ctr" anchorCtr="0">
                              <a:noAutofit/>
                            </wps:bodyPr>
                          </wps:wsp>
                        </wpg:grpSp>
                      </wpg:grpSp>
                    </wpg:wgp>
                  </a:graphicData>
                </a:graphic>
              </wp:inline>
            </w:drawing>
          </mc:Choice>
          <mc:Fallback xmlns:oel="http://schemas.microsoft.com/office/2019/extlst" xmlns:w16du="http://schemas.microsoft.com/office/word/2023/wordml/word16du" xmlns:w16sdtfl="http://schemas.microsoft.com/office/word/2024/wordml/sdtformatlock">
            <w:pict>
              <v:group w14:anchorId="0D2F653A" id="Group 2012017261" o:spid="_x0000_s1044" style="width:473.25pt;height:225.75pt;mso-position-horizontal-relative:char;mso-position-vertical-relative:line" coordorigin="23313,23369" coordsize="60198,2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r3IAcAALc8AAAOAAAAZHJzL2Uyb0RvYy54bWzsW9lu2zgUfR9g/kHQ+9SiSJGiUacoshQD&#10;zFK0Mx+gyPIy0DaSEqd/P4eLJTl2msptM2msoHDFReS95L2Hh7zU6zd3WercJlW9LvKZS155rpPk&#10;cTFf58uZ+/dfV7+ErlM3UT6P0iJPZu6npHbfnP380+tNOU38YlWk86Ry0EheTzflzF01TTmdTOp4&#10;lWRR/aookxyFi6LKogbJajmZV9EGrWfpxPc8PtkU1bysijipa+RemEL3TLe/WCRx8+diUSeNk85c&#10;yNbo30r/XqvfydnraLqsonK1jq0Y0RFSZNE6R6dtUxdREzk31XqvqWwdV0VdLJpXcZFNisViHSda&#10;B2hDvHvavKuKm1LrspxulmU7TBjae+N0dLPxH7fvK2c9n7noH/+Ez4nr5FGGudLdO718DNamXE7x&#10;zruq/Fi+r2zG0qSU/neLKlP/QzPnTg/zp3aYk7vGiZHJoakvAteJUeaHXHh+YCYiXmG21Hs+pYQi&#10;11E1KOUysFMVry67VmSIbNuK4NzTdSZbISZK1la0NtHqYPUmHqUhoVz4u3r38ofr7VPmhZxa+Rln&#10;YWg0HDAGUK0bu3t6Q9VW78CMzYN6w7Hqznbqr7Odj6uoTLRJ1soOtrZDOA/UlG2H8AMcL8qXaeL4&#10;bZEeRf1Wazr1tIYVDbAbGX5O82haVnXzLikyRz3M3ApiaLeMbn+rGwiAQdpWUb3mxdU6TZEfTdN8&#10;JwMVVQ5saCujemruru+0sxBtsCrruph/wijUZXy1Rp+/RXXzPqqAIXCjDXBl5tb/3kRV4jrprzkG&#10;XxKm7LrpJ6p+4rqfiPJ4VQCu4qZyHZM4bzR8GWnf3jTFYq0164SxYmPWja1rH9gze0IYCUNB2zkz&#10;7k66/OFmv2Oy38TUDwLF/2nqVFJGZCjlvql3Rd/C1D+veWfH393UuUKuzrqesak/AdIRQTxAu0fa&#10;VbKFuqnzobjJ58ncOS+qHJTI6VX+aotg3BdS9aoWzYBwjzM1L60r7BuEEkYJ1wGgwozl3K7u0fwf&#10;11lkKaDqNkod4uHPtqjRcg8s6yJdzxVeqmbqanl9nlYOXgXUXTEpLnQ/6U32ezG32dsmgaU3mVrZ&#10;dW25zYbsthnd1077ae5s0LD09AqvYHSRRg20z0pwlTpf6t52XtkR6fLy8vySWH12qin8v4jqlRFG&#10;F6lq0TRbN6Ci6TqbuVhl8GeyV0k0v8znTvOpBCfKwWIB7BAhA6In4Lx40K830Tp9vN5j64pQjY3O&#10;ZigpYVgtJac+1hVDSVtnc3pldsRARx4nFiQgWLsVsTJPeuq2KxUDMeUBdizKx1gYhPQxH9txL7SF&#10;6e3zix3D27HP7+IyhhNYSvOYpWlCeoylYflTJMwwGJswDMYmDIOxiW/AYJ4C1kFTJcW2ZN/SDsB6&#10;V3mI6VEWBNIwpCAUgll8aY1vBPhTAHg5Any3b6ShR4nkB7zO6YoG+Rj3hGfwnXt+GNhzha2PUYnd&#10;KAN1PwGAx6DakRu6RX2JAC8YeDsLyJfge1d3iOlxsPMQ/FxRCyICFo74foIE3td7jmNo1ZMfDD0F&#10;rZK+wDGuIOIAge/KhriZ8LgvuXUzbA/lKUO8P0J8j0wwzxNhQLF/u7dZ3KfwOJ63dYfYHkICXKg4&#10;gcJ4gX2pWWOj6ZZfjIc0p3BI49Nj3e5FYrwKI/CAHzgQ1xEGXTTMywIVmLBeJkJKTxni9QnUMXzi&#10;JbJ438OxiRT0S1h8V3eQ8dHQp23gNvAkH2n8KdL4Hye++xQ03qM4S/G4bK9I9M7hu7JhfiYFE6Bq&#10;oFJwOBzbnDLIHx1ifYkgT3AjSPpMtBHWt1VVbKbORbHJna5wiLUxHw0qhgJro0J4uKiC1zveDorB&#10;mI2t2meUI4Kyvc60DerYYPscomipHo6torUuuIorOttwYj/+Cnfq6rBtHXQ7NAB7fnF+dUGNMGm5&#10;ikxsM5QMAWOjyGOBVl+omE48PND6FV0/60isP0Ziexe8SCDgQDxU8at7m2unVzbIJ7GXlsxckTvk&#10;kyRkTKJYXxIMfCCdNeUHfLJ6JBZ79F0v/+hIqb2+YCKlNmEipTZhIqU28WNESn1cwfN9QtvtXh+d&#10;u8JBlsAR7AHPVugsORPBiM7bazb2GsyIzuZSTHv/0h/DqD10xvVoidN0wfbBuSsa5JGC0ACXXx7y&#10;yGeDzTgJsHoNDXK+RGwmuMESgPN5rSH0wblXOsgWZEh5YAObAaMhdoF4fyTPGIIRng9fj6djFLQH&#10;z5R6IfOEOu24z527oiEuGSDsSezXMeSQSz4ffD46Qvky8VmddIVC7XqMJezic1s6yBioOtwwQUnw&#10;coFt1YjP9pb6iM8P4PMYwezhM6CUMCGobGlT73i7KxvklMzDAaa5pnLQKZ8PQh8dYHxihO4+58TJ&#10;bO9rTv2Mr2P1ea39kld9fttP6ze6743P/gMAAP//AwBQSwMEFAAGAAgAAAAhAJh7LKHeAAAABQEA&#10;AA8AAABkcnMvZG93bnJldi54bWxMj81qwzAQhO+FvIPYQm+N7DQOrWs5hND2FAr5gdLbxtrYJtbK&#10;WIrtvH3VXprLwjDDzLfZcjSN6KlztWUF8TQCQVxYXXOp4LB/f3wG4TyyxsYyKbiSg2U+ucsw1Xbg&#10;LfU7X4pQwi5FBZX3bSqlKyoy6Ka2JQ7eyXYGfZBdKXWHQyg3jZxF0UIarDksVNjSuqLivLsYBR8D&#10;Dqun+K3fnE/r6/c++fzaxKTUw/24egXhafT/YfjFD+iQB6ajvbB2olEQHvF/N3gv80UC4qhgnsQJ&#10;yDyTt/T5DwAAAP//AwBQSwECLQAUAAYACAAAACEAtoM4kv4AAADhAQAAEwAAAAAAAAAAAAAAAAAA&#10;AAAAW0NvbnRlbnRfVHlwZXNdLnhtbFBLAQItABQABgAIAAAAIQA4/SH/1gAAAJQBAAALAAAAAAAA&#10;AAAAAAAAAC8BAABfcmVscy8ucmVsc1BLAQItABQABgAIAAAAIQBtcWr3IAcAALc8AAAOAAAAAAAA&#10;AAAAAAAAAC4CAABkcnMvZTJvRG9jLnhtbFBLAQItABQABgAIAAAAIQCYeyyh3gAAAAUBAAAPAAAA&#10;AAAAAAAAAAAAAHoJAABkcnMvZG93bnJldi54bWxQSwUGAAAAAAQABADzAAAAhQoAAAAA&#10;">
                <v:group id="Group 1033813672" o:spid="_x0000_s1045" style="position:absolute;left:23408;top:23464;width:60103;height:28671" coordsize="60198,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n0yAAAAOMAAAAPAAAAZHJzL2Rvd25yZXYueG1sRE/NasJA&#10;EL4LvsMygre6iaFWUlcRUfEghWqh9DZkxySYnQ3ZNYlv3xUEj/P9z2LVm0q01LjSsoJ4EoEgzqwu&#10;OVfwc969zUE4j6yxskwK7uRgtRwOFphq2/E3tSefixDCLkUFhfd1KqXLCjLoJrYmDtzFNgZ9OJtc&#10;6ga7EG4qOY2imTRYcmgosKZNQdn1dDMK9h126yTetsfrZXP/O79//R5jUmo86tefIDz1/iV+ug86&#10;zI+SZB4ns48pPH4KAMjlPwAAAP//AwBQSwECLQAUAAYACAAAACEA2+H2y+4AAACFAQAAEwAAAAAA&#10;AAAAAAAAAAAAAAAAW0NvbnRlbnRfVHlwZXNdLnhtbFBLAQItABQABgAIAAAAIQBa9CxbvwAAABUB&#10;AAALAAAAAAAAAAAAAAAAAB8BAABfcmVscy8ucmVsc1BLAQItABQABgAIAAAAIQDrsUn0yAAAAOMA&#10;AAAPAAAAAAAAAAAAAAAAAAcCAABkcnMvZG93bnJldi54bWxQSwUGAAAAAAMAAwC3AAAA/AIAAAAA&#10;">
                  <v:rect id="Rectangle 216653313" o:spid="_x0000_s1046" style="position:absolute;width:60198;height:28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TcZyQAAAOIAAAAPAAAAZHJzL2Rvd25yZXYueG1sRI/NTsMw&#10;EITvlXgHa5G4tc5PiWioWxUEEvRU0j7AEi9xRLxOY9Omb4+RkHoczcw3muV6tJ040eBbxwrSWQKC&#10;uHa65UbBYf86fQDhA7LGzjEpuJCH9epmssRSuzN/0KkKjYgQ9iUqMCH0pZS+NmTRz1xPHL0vN1gM&#10;UQ6N1AOeI9x2MkuSQlpsOS4Y7OnZUP1d/VgFu7mj7CXzT1VjF2b83G/fj1godXc7bh5BBBrDNfzf&#10;ftMKsrQo7vM8zeHvUrwDcvULAAD//wMAUEsBAi0AFAAGAAgAAAAhANvh9svuAAAAhQEAABMAAAAA&#10;AAAAAAAAAAAAAAAAAFtDb250ZW50X1R5cGVzXS54bWxQSwECLQAUAAYACAAAACEAWvQsW78AAAAV&#10;AQAACwAAAAAAAAAAAAAAAAAfAQAAX3JlbHMvLnJlbHNQSwECLQAUAAYACAAAACEAxdk3GckAAADi&#10;AAAADwAAAAAAAAAAAAAAAAAHAgAAZHJzL2Rvd25yZXYueG1sUEsFBgAAAAADAAMAtwAAAP0CAAAA&#10;AA==&#10;" filled="f" stroked="f">
                    <v:textbox inset="2.53958mm,2.53958mm,2.53958mm,2.53958mm">
                      <w:txbxContent>
                        <w:p w14:paraId="60B64D51" w14:textId="77777777" w:rsidR="001F6155" w:rsidRPr="00D513D6" w:rsidRDefault="001F6155" w:rsidP="00921C59">
                          <w:pPr>
                            <w:spacing w:after="0" w:line="240" w:lineRule="auto"/>
                            <w:textDirection w:val="btLr"/>
                          </w:pPr>
                        </w:p>
                      </w:txbxContent>
                    </v:textbox>
                  </v:rect>
                  <v:group id="Group 1114188733" o:spid="_x0000_s1047" style="position:absolute;width:60102;height:28670" coordsize="60102,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6gyQAAAOMAAAAPAAAAZHJzL2Rvd25yZXYueG1sRE9fa8Iw&#10;EH8f+B3CDfY209jNlc4oItvYgwjqQHw7mrMtNpfSZG399stgsMf7/b/FarSN6KnztWMNapqAIC6c&#10;qbnU8HV8f8xA+IBssHFMGm7kYbWc3C0wN27gPfWHUIoYwj5HDVUIbS6lLyqy6KeuJY7cxXUWQzy7&#10;UpoOhxhuGzlLkrm0WHNsqLClTUXF9fBtNXwMOKxT9dZvr5fN7Xx83p22irR+uB/XryACjeFf/Of+&#10;NHG+Uk8qy17SFH5/igDI5Q8AAAD//wMAUEsBAi0AFAAGAAgAAAAhANvh9svuAAAAhQEAABMAAAAA&#10;AAAAAAAAAAAAAAAAAFtDb250ZW50X1R5cGVzXS54bWxQSwECLQAUAAYACAAAACEAWvQsW78AAAAV&#10;AQAACwAAAAAAAAAAAAAAAAAfAQAAX3JlbHMvLnJlbHNQSwECLQAUAAYACAAAACEASm2eoMkAAADj&#10;AAAADwAAAAAAAAAAAAAAAAAHAgAAZHJzL2Rvd25yZXYueG1sUEsFBgAAAAADAAMAtwAAAP0CAAAA&#10;AA==&#10;">
                    <v:rect id="Rectangle 393419899" o:spid="_x0000_s1048" style="position:absolute;width:60102;height:2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JyQAAAOIAAAAPAAAAZHJzL2Rvd25yZXYueG1sRI/BbsIw&#10;EETvSP0HaytxA4eAEE4xqEVUantqQz9gG2/jqPE6jQ2Ev8eVKnEczcwbzXo7uFacqA+NZw2zaQaC&#10;uPKm4VrD5+F5sgIRIrLB1jNpuFCA7eZutMbC+DN/0KmMtUgQDgVqsDF2hZShsuQwTH1HnLxv3zuM&#10;Sfa1ND2eE9y1Ms+ypXTYcFqw2NHOUvVTHp2G94WnfJ+Hp7J2yg5fh7fXX1xqPb4fHh9ARBriLfzf&#10;fjEa5mq+mKmVUvB3Kd0BubkCAAD//wMAUEsBAi0AFAAGAAgAAAAhANvh9svuAAAAhQEAABMAAAAA&#10;AAAAAAAAAAAAAAAAAFtDb250ZW50X1R5cGVzXS54bWxQSwECLQAUAAYACAAAACEAWvQsW78AAAAV&#10;AQAACwAAAAAAAAAAAAAAAAAfAQAAX3JlbHMvLnJlbHNQSwECLQAUAAYACAAAACEAVj8FCckAAADi&#10;AAAADwAAAAAAAAAAAAAAAAAHAgAAZHJzL2Rvd25yZXYueG1sUEsFBgAAAAADAAMAtwAAAP0CAAAA&#10;AA==&#10;" filled="f" stroked="f">
                      <v:textbox inset="2.53958mm,2.53958mm,2.53958mm,2.53958mm">
                        <w:txbxContent>
                          <w:p w14:paraId="2204DCC2" w14:textId="77777777" w:rsidR="001F6155" w:rsidRPr="00D513D6" w:rsidRDefault="001F6155" w:rsidP="00921C59">
                            <w:pPr>
                              <w:spacing w:after="0" w:line="240" w:lineRule="auto"/>
                              <w:textDirection w:val="btLr"/>
                            </w:pPr>
                          </w:p>
                        </w:txbxContent>
                      </v:textbox>
                    </v:rect>
                    <v:roundrect id="Rectangle: Rounded Corners 1710408011" o:spid="_x0000_s1049" style="position:absolute;width:46279;height:51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wgygAAAOMAAAAPAAAAZHJzL2Rvd25yZXYueG1sRI/NasMw&#10;EITvhbyD2EAvpZHUvwQ3SggthdJTGucBFmtjm1orR1Jip09fFQo97s7sfLPL9eg6caYQW88G9EyB&#10;IK68bbk2sC/fbhcgYkK22HkmAxeKsF5NrpZYWD/wJ513qRY5hGOBBpqU+kLKWDXkMM58T5y1gw8O&#10;Ux5DLW3AIYe7Tt4p9SQdtpwJDfb00lD1tTs5A+U9huHjVVfbY8buH2++j3wpjbmejptnEInG9G/+&#10;u363uf5cqwe1UFrD7095AXL1AwAA//8DAFBLAQItABQABgAIAAAAIQDb4fbL7gAAAIUBAAATAAAA&#10;AAAAAAAAAAAAAAAAAABbQ29udGVudF9UeXBlc10ueG1sUEsBAi0AFAAGAAgAAAAhAFr0LFu/AAAA&#10;FQEAAAsAAAAAAAAAAAAAAAAAHwEAAF9yZWxzLy5yZWxzUEsBAi0AFAAGAAgAAAAhACsZ/CDKAAAA&#10;4wAAAA8AAAAAAAAAAAAAAAAABwIAAGRycy9kb3ducmV2LnhtbFBLBQYAAAAAAwADALcAAAD+AgAA&#10;AAA=&#10;" fillcolor="#e3ecf8" strokecolor="#eeece1" strokeweight="1.5pt">
                      <v:stroke startarrowwidth="narrow" startarrowlength="short" endarrowwidth="narrow" endarrowlength="short" joinstyle="miter"/>
                      <v:textbox inset="2.53958mm,2.53958mm,2.53958mm,2.53958mm">
                        <w:txbxContent>
                          <w:p w14:paraId="1CBBF09C" w14:textId="77777777" w:rsidR="001F6155" w:rsidRPr="00D513D6" w:rsidRDefault="001F6155" w:rsidP="00921C59">
                            <w:pPr>
                              <w:spacing w:after="0" w:line="240" w:lineRule="auto"/>
                              <w:textDirection w:val="btLr"/>
                            </w:pPr>
                          </w:p>
                        </w:txbxContent>
                      </v:textbox>
                    </v:roundrect>
                    <v:rect id="Rectangle 1491496320" o:spid="_x0000_s1050" style="position:absolute;left:151;top:151;width:4010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gpywAAAOMAAAAPAAAAZHJzL2Rvd25yZXYueG1sRE9NS8NA&#10;EL0X/A/LCN7ajVVKTLstIgpaQdraS29jdtwEs7Npdk1Tf71zEIS5zLyPeW+xGnyjeupiHdjA9SQD&#10;RVwGW7MzsH9/GuegYkK22AQmA2eKsFpejBZY2HDiLfW75JSYcCzQQJVSW2gdy4o8xkloiQX7DJ3H&#10;JGvntO3wJOa+0dMsm2mPNcuHClt6qKj82n17A879bNZv+SEPxz4eHo8vH+tzejXm6nK4n4NKNKR/&#10;8p/62Ur82zuZ2c1UWkgnOYBe/gIAAP//AwBQSwECLQAUAAYACAAAACEA2+H2y+4AAACFAQAAEwAA&#10;AAAAAAAAAAAAAAAAAAAAW0NvbnRlbnRfVHlwZXNdLnhtbFBLAQItABQABgAIAAAAIQBa9CxbvwAA&#10;ABUBAAALAAAAAAAAAAAAAAAAAB8BAABfcmVscy8ucmVsc1BLAQItABQABgAIAAAAIQCglRgpywAA&#10;AOMAAAAPAAAAAAAAAAAAAAAAAAcCAABkcnMvZG93bnJldi54bWxQSwUGAAAAAAMAAwC3AAAA/wIA&#10;AAAA&#10;" fillcolor="#e3ecf8" stroked="f">
                      <v:textbox inset="1.1639mm,1.1639mm,1.1639mm,1.1639mm">
                        <w:txbxContent>
                          <w:p w14:paraId="32413357" w14:textId="77777777" w:rsidR="001F6155" w:rsidRPr="00D513D6" w:rsidRDefault="001F6155" w:rsidP="00921C59">
                            <w:pPr>
                              <w:spacing w:after="0" w:line="215" w:lineRule="auto"/>
                              <w:textDirection w:val="btLr"/>
                            </w:pPr>
                            <w:r w:rsidRPr="00B74B6E">
                              <w:rPr>
                                <w:color w:val="000000"/>
                              </w:rPr>
                              <w:t>No waste production if possible</w:t>
                            </w:r>
                          </w:p>
                        </w:txbxContent>
                      </v:textbox>
                    </v:rect>
                    <v:roundrect id="Rectangle: Rounded Corners 1216931020" o:spid="_x0000_s1051" style="position:absolute;left:3455;top:5877;width:46280;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FuygAAAOMAAAAPAAAAZHJzL2Rvd25yZXYueG1sRI9BT8Mw&#10;DIXvSPyHyEi7IJa2ExOUZRMCTUI7sXU/wGpMW9E4XRLWjl8/H5A42n7vfX6rzeR6daYQO88G8nkG&#10;irj2tuPGwLHaPjyBignZYu+ZDFwowmZ9e7PC0vqR93Q+pEZJCMcSDbQpDaXWsW7JYZz7gVhuXz44&#10;TDKGRtuAo4S7XhdZttQOOxZCiwO9tVR/H36cgWqBYdy95/XnSbDHx/vfE18qY2Z30+sLqERT+hf/&#10;uT+svF/ky+dFnhXSQjrJAvT6CgAA//8DAFBLAQItABQABgAIAAAAIQDb4fbL7gAAAIUBAAATAAAA&#10;AAAAAAAAAAAAAAAAAABbQ29udGVudF9UeXBlc10ueG1sUEsBAi0AFAAGAAgAAAAhAFr0LFu/AAAA&#10;FQEAAAsAAAAAAAAAAAAAAAAAHwEAAF9yZWxzLy5yZWxzUEsBAi0AFAAGAAgAAAAhAJ9VYW7KAAAA&#10;4wAAAA8AAAAAAAAAAAAAAAAABwIAAGRycy9kb3ducmV2LnhtbFBLBQYAAAAAAwADALcAAAD+AgAA&#10;AAA=&#10;" fillcolor="#e3ecf8" strokecolor="#eeece1" strokeweight="1.5pt">
                      <v:stroke startarrowwidth="narrow" startarrowlength="short" endarrowwidth="narrow" endarrowlength="short" joinstyle="miter"/>
                      <v:textbox inset="2.53958mm,2.53958mm,2.53958mm,2.53958mm">
                        <w:txbxContent>
                          <w:p w14:paraId="6D800692" w14:textId="77777777" w:rsidR="001F6155" w:rsidRPr="00D513D6" w:rsidRDefault="001F6155" w:rsidP="00921C59">
                            <w:pPr>
                              <w:spacing w:after="0" w:line="240" w:lineRule="auto"/>
                              <w:textDirection w:val="btLr"/>
                            </w:pPr>
                          </w:p>
                        </w:txbxContent>
                      </v:textbox>
                    </v:roundrect>
                    <v:rect id="Rectangle 380319620" o:spid="_x0000_s1052" style="position:absolute;left:3607;top:6028;width:3916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y/ygAAAOIAAAAPAAAAZHJzL2Rvd25yZXYueG1sRI/NasJA&#10;FIX3Bd9huIK7OlFBYuooIi1YC6K2G3e3meskmLkTM9MY+/TOotDl4fzxzZedrURLjS8dKxgNExDE&#10;udMlGwVfn2/PKQgfkDVWjknBnTwsF72nOWba3fhA7TEYEUfYZ6igCKHOpPR5QRb90NXE0Tu7xmKI&#10;sjFSN3iL47aS4ySZSoslx4cCa1oXlF+OP1aBMb/77S49pe7a+tPr9f17ew8fSg363eoFRKAu/If/&#10;2hutYJImk9FsOo4QESnigFw8AAAA//8DAFBLAQItABQABgAIAAAAIQDb4fbL7gAAAIUBAAATAAAA&#10;AAAAAAAAAAAAAAAAAABbQ29udGVudF9UeXBlc10ueG1sUEsBAi0AFAAGAAgAAAAhAFr0LFu/AAAA&#10;FQEAAAsAAAAAAAAAAAAAAAAAHwEAAF9yZWxzLy5yZWxzUEsBAi0AFAAGAAgAAAAhAOI+/L/KAAAA&#10;4gAAAA8AAAAAAAAAAAAAAAAABwIAAGRycy9kb3ducmV2LnhtbFBLBQYAAAAAAwADALcAAAD+AgAA&#10;AAA=&#10;" fillcolor="#e3ecf8" stroked="f">
                      <v:textbox inset="1.1639mm,1.1639mm,1.1639mm,1.1639mm">
                        <w:txbxContent>
                          <w:p w14:paraId="191DF1AC" w14:textId="77777777" w:rsidR="001F6155" w:rsidRPr="00D513D6" w:rsidRDefault="001F6155" w:rsidP="00921C59">
                            <w:pPr>
                              <w:spacing w:after="0" w:line="215" w:lineRule="auto"/>
                              <w:textDirection w:val="btLr"/>
                            </w:pPr>
                            <w:r w:rsidRPr="00B74B6E">
                              <w:rPr>
                                <w:color w:val="000000"/>
                              </w:rPr>
                              <w:t>Reducing waste generation at source</w:t>
                            </w:r>
                          </w:p>
                        </w:txbxContent>
                      </v:textbox>
                    </v:rect>
                    <v:roundrect id="Rectangle: Rounded Corners 741044510" o:spid="_x0000_s1053" style="position:absolute;left:6911;top:11754;width:46279;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49yAAAAOIAAAAPAAAAZHJzL2Rvd25yZXYueG1sRI/PSsNA&#10;EMbvgu+wjOBF7CaaVondlqII4qlt+gBDdkyC2dl0d9ukPr1zEDx+fP/4LdeT69WZQuw8G8hnGSji&#10;2tuOGwOH6v3+GVRMyBZ7z2TgQhHWq+urJZbWj7yj8z41SkY4lmigTWkotY51Sw7jzA/E4n354DCJ&#10;DI22AUcZd71+yLKFdtixPLQ40GtL9ff+5AxUjxjGz7e83h7l9jC/+znypTLm9mbavIBKNKX/8F/7&#10;wxp4KvKsKOa5QAiS4IBe/QIAAP//AwBQSwECLQAUAAYACAAAACEA2+H2y+4AAACFAQAAEwAAAAAA&#10;AAAAAAAAAAAAAAAAW0NvbnRlbnRfVHlwZXNdLnhtbFBLAQItABQABgAIAAAAIQBa9CxbvwAAABUB&#10;AAALAAAAAAAAAAAAAAAAAB8BAABfcmVscy8ucmVsc1BLAQItABQABgAIAAAAIQBNrr49yAAAAOIA&#10;AAAPAAAAAAAAAAAAAAAAAAcCAABkcnMvZG93bnJldi54bWxQSwUGAAAAAAMAAwC3AAAA/AIAAAAA&#10;" fillcolor="#e3ecf8" strokecolor="#eeece1" strokeweight="1.5pt">
                      <v:stroke startarrowwidth="narrow" startarrowlength="short" endarrowwidth="narrow" endarrowlength="short" joinstyle="miter"/>
                      <v:textbox inset="2.53958mm,2.53958mm,2.53958mm,2.53958mm">
                        <w:txbxContent>
                          <w:p w14:paraId="54D80BC4" w14:textId="77777777" w:rsidR="001F6155" w:rsidRPr="00D513D6" w:rsidRDefault="001F6155" w:rsidP="00921C59">
                            <w:pPr>
                              <w:spacing w:after="0" w:line="240" w:lineRule="auto"/>
                              <w:textDirection w:val="btLr"/>
                            </w:pPr>
                          </w:p>
                        </w:txbxContent>
                      </v:textbox>
                    </v:roundrect>
                    <v:rect id="Rectangle 1927325717" o:spid="_x0000_s1054" style="position:absolute;left:7062;top:11905;width:39167;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iAygAAAOMAAAAPAAAAZHJzL2Rvd25yZXYueG1sRE9fS8Mw&#10;EH8X9h3CDXxz6SraWpcNEQXdQNzmy97O5paWNZeuiV3npzeC4OP9/t9sMdhG9NT52rGC6SQBQVw6&#10;XbNR8LF9vspB+ICssXFMCs7kYTEfXcyw0O7Ea+o3wYgYwr5ABVUIbSGlLyuy6CeuJY7c3nUWQzw7&#10;I3WHpxhuG5kmya20WHNsqLClx4rKw+bLKjDm+335lu9yd+z97un4+rk8h5VSl+Ph4R5EoCH8i//c&#10;LzrOv0uz6/Qmm2bw+1MEQM5/AAAA//8DAFBLAQItABQABgAIAAAAIQDb4fbL7gAAAIUBAAATAAAA&#10;AAAAAAAAAAAAAAAAAABbQ29udGVudF9UeXBlc10ueG1sUEsBAi0AFAAGAAgAAAAhAFr0LFu/AAAA&#10;FQEAAAsAAAAAAAAAAAAAAAAAHwEAAF9yZWxzLy5yZWxzUEsBAi0AFAAGAAgAAAAhAHGDCIDKAAAA&#10;4wAAAA8AAAAAAAAAAAAAAAAABwIAAGRycy9kb3ducmV2LnhtbFBLBQYAAAAAAwADALcAAAD+AgAA&#10;AAA=&#10;" fillcolor="#e3ecf8" stroked="f">
                      <v:textbox inset="1.1639mm,1.1639mm,1.1639mm,1.1639mm">
                        <w:txbxContent>
                          <w:p w14:paraId="10F3EBA9" w14:textId="77777777" w:rsidR="001F6155" w:rsidRPr="00D513D6" w:rsidRDefault="001F6155" w:rsidP="00921C59">
                            <w:pPr>
                              <w:spacing w:before="75" w:after="0" w:line="215" w:lineRule="auto"/>
                              <w:textDirection w:val="btLr"/>
                            </w:pPr>
                            <w:r w:rsidRPr="00B74B6E">
                              <w:rPr>
                                <w:color w:val="000000"/>
                              </w:rPr>
                              <w:t>Reuse of waste/excess materials if possible</w:t>
                            </w:r>
                          </w:p>
                        </w:txbxContent>
                      </v:textbox>
                    </v:rect>
                    <v:roundrect id="Rectangle: Rounded Corners 340078538" o:spid="_x0000_s1055" style="position:absolute;left:10367;top:17632;width:46279;height:51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WyWxgAAAOIAAAAPAAAAZHJzL2Rvd25yZXYueG1sRE/NSsNA&#10;EL4LvsMyghexuzXWlthtEUUQT9r0AYbsNAlmZ9PdtUl9eucgePz4/tfbyffqRDF1gS3MZwYUcR1c&#10;x42FffV6uwKVMrLDPjBZOFOC7ebyYo2lCyN/0mmXGyUhnEq00OY8lFqnuiWPaRYGYuEOIXrMAmOj&#10;XcRRwn2v74x50B47loYWB3puqf7afXsLVYFxfH+Z1x9Hqd0vbn6OfK6svb6anh5BZZryv/jP/eYs&#10;FPfGLFeLQjbLJbkDevMLAAD//wMAUEsBAi0AFAAGAAgAAAAhANvh9svuAAAAhQEAABMAAAAAAAAA&#10;AAAAAAAAAAAAAFtDb250ZW50X1R5cGVzXS54bWxQSwECLQAUAAYACAAAACEAWvQsW78AAAAVAQAA&#10;CwAAAAAAAAAAAAAAAAAfAQAAX3JlbHMvLnJlbHNQSwECLQAUAAYACAAAACEAVi1slsYAAADiAAAA&#10;DwAAAAAAAAAAAAAAAAAHAgAAZHJzL2Rvd25yZXYueG1sUEsFBgAAAAADAAMAtwAAAPoCAAAAAA==&#10;" fillcolor="#e3ecf8" strokecolor="#eeece1" strokeweight="1.5pt">
                      <v:stroke startarrowwidth="narrow" startarrowlength="short" endarrowwidth="narrow" endarrowlength="short" joinstyle="miter"/>
                      <v:textbox inset="2.53958mm,2.53958mm,2.53958mm,2.53958mm">
                        <w:txbxContent>
                          <w:p w14:paraId="59B081F8" w14:textId="77777777" w:rsidR="001F6155" w:rsidRPr="00D513D6" w:rsidRDefault="001F6155" w:rsidP="00921C59">
                            <w:pPr>
                              <w:spacing w:after="0" w:line="240" w:lineRule="auto"/>
                              <w:textDirection w:val="btLr"/>
                            </w:pPr>
                          </w:p>
                        </w:txbxContent>
                      </v:textbox>
                    </v:roundrect>
                    <v:rect id="Rectangle 141886569" o:spid="_x0000_s1056" style="position:absolute;left:10518;top:17783;width:39167;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FnyAAAAOIAAAAPAAAAZHJzL2Rvd25yZXYueG1sRE9dS8Mw&#10;FH0X/A/hCr65dKIlq8vGEAWdMObmy96uzTUta266Jnadv94IAx8P53s6H1wjeupC7VnDeJSBIC69&#10;qdlq+Ng+3ygQISIbbDyThhMFmM8uL6ZYGH/kd+o30YoUwqFADVWMbSFlKCtyGEa+JU7cl+8cxgQ7&#10;K02HxxTuGnmbZbl0WHNqqLClx4rK/ebbabD2Z71cqZ3yhz7sng6vn8tTfNP6+mpYPICINMR/8dn9&#10;YtL8u7FS+X0+gb9LCYOc/QIAAP//AwBQSwECLQAUAAYACAAAACEA2+H2y+4AAACFAQAAEwAAAAAA&#10;AAAAAAAAAAAAAAAAW0NvbnRlbnRfVHlwZXNdLnhtbFBLAQItABQABgAIAAAAIQBa9CxbvwAAABUB&#10;AAALAAAAAAAAAAAAAAAAAB8BAABfcmVscy8ucmVsc1BLAQItABQABgAIAAAAIQBtQqFnyAAAAOIA&#10;AAAPAAAAAAAAAAAAAAAAAAcCAABkcnMvZG93bnJldi54bWxQSwUGAAAAAAMAAwC3AAAA/AIAAAAA&#10;" fillcolor="#e3ecf8" stroked="f">
                      <v:textbox inset="1.1639mm,1.1639mm,1.1639mm,1.1639mm">
                        <w:txbxContent>
                          <w:p w14:paraId="6688557D" w14:textId="77777777" w:rsidR="001F6155" w:rsidRPr="00D513D6" w:rsidRDefault="001F6155" w:rsidP="00921C59">
                            <w:pPr>
                              <w:spacing w:after="0" w:line="215" w:lineRule="auto"/>
                              <w:textDirection w:val="btLr"/>
                            </w:pPr>
                            <w:r w:rsidRPr="00B74B6E">
                              <w:rPr>
                                <w:color w:val="000000"/>
                              </w:rPr>
                              <w:t>Recovery/recycling of waste materials, if possible</w:t>
                            </w:r>
                          </w:p>
                        </w:txbxContent>
                      </v:textbox>
                    </v:rect>
                    <v:roundrect id="Rectangle: Rounded Corners 207409730" o:spid="_x0000_s1057" style="position:absolute;left:13823;top:23509;width:46279;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UryAAAAOIAAAAPAAAAZHJzL2Rvd25yZXYueG1sRI/PSsNA&#10;EMbvgu+wjOBF2t22amvstogiSE/a9AGG7JgEs7Pp7tqkPr1zEDx+fP/4rbej79SJYmoDW5hNDSji&#10;KriWawuH8nWyApUyssMuMFk4U4Lt5vJijYULA3/QaZ9rJSOcCrTQ5NwXWqeqIY9pGnpi8T5D9JhF&#10;xlq7iIOM+07PjbnXHluWhwZ7em6o+tp/ewvlAuOwe5lV70e5Pdzd/Bz5XFp7fTU+PYLKNOb/8F/7&#10;zVmYm+WteVguBEKQBAf05hcAAP//AwBQSwECLQAUAAYACAAAACEA2+H2y+4AAACFAQAAEwAAAAAA&#10;AAAAAAAAAAAAAAAAW0NvbnRlbnRfVHlwZXNdLnhtbFBLAQItABQABgAIAAAAIQBa9CxbvwAAABUB&#10;AAALAAAAAAAAAAAAAAAAAB8BAABfcmVscy8ucmVsc1BLAQItABQABgAIAAAAIQCXpyUryAAAAOIA&#10;AAAPAAAAAAAAAAAAAAAAAAcCAABkcnMvZG93bnJldi54bWxQSwUGAAAAAAMAAwC3AAAA/AIAAAAA&#10;" fillcolor="#e3ecf8" strokecolor="#eeece1" strokeweight="1.5pt">
                      <v:stroke startarrowwidth="narrow" startarrowlength="short" endarrowwidth="narrow" endarrowlength="short" joinstyle="miter"/>
                      <v:textbox inset="2.53958mm,2.53958mm,2.53958mm,2.53958mm">
                        <w:txbxContent>
                          <w:p w14:paraId="3BF45ED5" w14:textId="77777777" w:rsidR="001F6155" w:rsidRPr="00D513D6" w:rsidRDefault="001F6155" w:rsidP="00921C59">
                            <w:pPr>
                              <w:spacing w:after="0" w:line="240" w:lineRule="auto"/>
                              <w:textDirection w:val="btLr"/>
                            </w:pPr>
                          </w:p>
                        </w:txbxContent>
                      </v:textbox>
                    </v:roundrect>
                    <v:rect id="Rectangle 1032850692" o:spid="_x0000_s1058" style="position:absolute;left:13974;top:23660;width:39167;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dvyQAAAOMAAAAPAAAAZHJzL2Rvd25yZXYueG1sRE9fS8Mw&#10;EH8X9h3CCb65xIqjq8uGiIJOGHPzZW9nc6ZlzaVrYtf56Y0w8PF+/2+2GFwjeupC7VnDzViBIC69&#10;qdlq+Ng+X+cgQkQ22HgmDScKsJiPLmZYGH/kd+o30YoUwqFADVWMbSFlKCtyGMa+JU7cl+8cxnR2&#10;VpoOjyncNTJTaiId1pwaKmzpsaJyv/l2Gqz9WS9X+S73hz7sng6vn8tTfNP66nJ4uAcRaYj/4rP7&#10;xaT56jbL79RkmsHfTwkAOf8FAAD//wMAUEsBAi0AFAAGAAgAAAAhANvh9svuAAAAhQEAABMAAAAA&#10;AAAAAAAAAAAAAAAAAFtDb250ZW50X1R5cGVzXS54bWxQSwECLQAUAAYACAAAACEAWvQsW78AAAAV&#10;AQAACwAAAAAAAAAAAAAAAAAfAQAAX3JlbHMvLnJlbHNQSwECLQAUAAYACAAAACEA1Zj3b8kAAADj&#10;AAAADwAAAAAAAAAAAAAAAAAHAgAAZHJzL2Rvd25yZXYueG1sUEsFBgAAAAADAAMAtwAAAP0CAAAA&#10;AA==&#10;" fillcolor="#e3ecf8" stroked="f">
                      <v:textbox inset="1.1639mm,1.1639mm,1.1639mm,1.1639mm">
                        <w:txbxContent>
                          <w:p w14:paraId="3C0EA9B5" w14:textId="77777777" w:rsidR="001F6155" w:rsidRPr="00D513D6" w:rsidRDefault="001F6155" w:rsidP="00921C59">
                            <w:pPr>
                              <w:spacing w:after="0" w:line="215" w:lineRule="auto"/>
                              <w:textDirection w:val="btLr"/>
                            </w:pPr>
                            <w:r w:rsidRPr="00B74B6E">
                              <w:rPr>
                                <w:color w:val="000000"/>
                              </w:rPr>
                              <w:t>Disposal of waste off-site by a licensed waste company/municipality</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6792471" o:spid="_x0000_s1059" type="#_x0000_t67" style="position:absolute;left:42924;top:3770;width:3355;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89yAAAAOIAAAAPAAAAZHJzL2Rvd25yZXYueG1sRE9dS8Mw&#10;FH0X9h/CFXxz6aZ0XbdsyEAUQZh14PZ2aa5NZ3NTmtjWf28Ggo+H873ejrYRPXW+dqxgNk1AEJdO&#10;11wpOLw/3mYgfEDW2DgmBT/kYbuZXK0x127gN+qLUIkYwj5HBSaENpfSl4Ys+qlriSP36TqLIcKu&#10;krrDIYbbRs6TJJUWa44NBlvaGSq/im+r4LQ3H3e0649VZg/D61NIz/viRamb6/FhBSLQGP7Ff+5n&#10;Hedn6WI5v1/M4HIpYpCbXwAAAP//AwBQSwECLQAUAAYACAAAACEA2+H2y+4AAACFAQAAEwAAAAAA&#10;AAAAAAAAAAAAAAAAW0NvbnRlbnRfVHlwZXNdLnhtbFBLAQItABQABgAIAAAAIQBa9CxbvwAAABUB&#10;AAALAAAAAAAAAAAAAAAAAB8BAABfcmVscy8ucmVsc1BLAQItABQABgAIAAAAIQD8XK89yAAAAOI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79E97340" w14:textId="77777777" w:rsidR="001F6155" w:rsidRPr="00D513D6" w:rsidRDefault="001F6155" w:rsidP="00921C59">
                            <w:pPr>
                              <w:spacing w:after="0" w:line="240" w:lineRule="auto"/>
                              <w:textDirection w:val="btLr"/>
                            </w:pPr>
                          </w:p>
                        </w:txbxContent>
                      </v:textbox>
                    </v:shape>
                    <v:rect id="Rectangle 1572466890" o:spid="_x0000_s1060" style="position:absolute;left:43679;top:3770;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sEzAAAAOMAAAAPAAAAZHJzL2Rvd25yZXYueG1sRI/NTsMw&#10;EITvSH0Ha5G4UacFTBvqVhWoUiVO/Tn0uLK3cURsR7GTBp6ePSBx3N3ZmflWm9E3YqAu1TFomE0L&#10;EBRMtHWoNJxPu8cFiJQxWGxiIA3flGCzntytsLTxFg40HHMl2CSkEjW4nNtSymQceUzT2FLg2zV2&#10;HjOPXSVthzc2942cF4WSHuvACQ5bendkvo6911B8/KgnMyzd7NPsVH/xe9NfL1o/3I/bNxCZxvwv&#10;/vveW67/8jp/VmqxZApm4gXI9S8AAAD//wMAUEsBAi0AFAAGAAgAAAAhANvh9svuAAAAhQEAABMA&#10;AAAAAAAAAAAAAAAAAAAAAFtDb250ZW50X1R5cGVzXS54bWxQSwECLQAUAAYACAAAACEAWvQsW78A&#10;AAAVAQAACwAAAAAAAAAAAAAAAAAfAQAAX3JlbHMvLnJlbHNQSwECLQAUAAYACAAAACEAaawLBMwA&#10;AADjAAAADwAAAAAAAAAAAAAAAAAHAgAAZHJzL2Rvd25yZXYueG1sUEsFBgAAAAADAAMAtwAAAAAD&#10;AAAAAA==&#10;" filled="f" stroked="f">
                      <v:textbox inset="1.5pt,1.5pt,1.5pt,1.5pt">
                        <w:txbxContent>
                          <w:p w14:paraId="280706E5" w14:textId="77777777" w:rsidR="001F6155" w:rsidRPr="00D513D6" w:rsidRDefault="001F6155" w:rsidP="00921C59">
                            <w:pPr>
                              <w:spacing w:after="0" w:line="215" w:lineRule="auto"/>
                              <w:jc w:val="center"/>
                              <w:textDirection w:val="btLr"/>
                            </w:pPr>
                          </w:p>
                        </w:txbxContent>
                      </v:textbox>
                    </v:rect>
                    <v:shape id="Arrow: Down 298022139" o:spid="_x0000_s1061" type="#_x0000_t67" style="position:absolute;left:46380;top:9647;width:3355;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ZkywAAAOIAAAAPAAAAZHJzL2Rvd25yZXYueG1sRI9Ba8JA&#10;FITvBf/D8gRvdWMEiamrFEGUQsGmQtvbI/uaTZt9G7LbJP33rlDocZiZb5jNbrSN6KnztWMFi3kC&#10;grh0uuZKweX1cJ+B8AFZY+OYFPySh912crfBXLuBX6gvQiUihH2OCkwIbS6lLw1Z9HPXEkfv03UW&#10;Q5RdJXWHQ4TbRqZJspIWa44LBlvaGyq/ix+r4ONs3pa079+rzF6G52NYfZ2LJ6Vm0/HxAUSgMfyH&#10;/9onrSBdZ0maLpZruF2Kd0BurwAAAP//AwBQSwECLQAUAAYACAAAACEA2+H2y+4AAACFAQAAEwAA&#10;AAAAAAAAAAAAAAAAAAAAW0NvbnRlbnRfVHlwZXNdLnhtbFBLAQItABQABgAIAAAAIQBa9CxbvwAA&#10;ABUBAAALAAAAAAAAAAAAAAAAAB8BAABfcmVscy8ucmVsc1BLAQItABQABgAIAAAAIQAUppZkywAA&#10;AOIAAAAPAAAAAAAAAAAAAAAAAAcCAABkcnMvZG93bnJldi54bWxQSwUGAAAAAAMAAwC3AAAA/wIA&#10;AAAA&#10;" adj="11880,4860" fillcolor="#cdcfd3" strokecolor="#cdcfd3" strokeweight="1pt">
                      <v:fill opacity="58596f"/>
                      <v:stroke startarrowwidth="narrow" startarrowlength="short" endarrowwidth="narrow" endarrowlength="short" opacity="58596f"/>
                      <v:textbox inset="2.53958mm,2.53958mm,2.53958mm,2.53958mm">
                        <w:txbxContent>
                          <w:p w14:paraId="0FF21732" w14:textId="77777777" w:rsidR="001F6155" w:rsidRPr="00D513D6" w:rsidRDefault="001F6155" w:rsidP="00921C59">
                            <w:pPr>
                              <w:spacing w:after="0" w:line="240" w:lineRule="auto"/>
                              <w:textDirection w:val="btLr"/>
                            </w:pPr>
                          </w:p>
                        </w:txbxContent>
                      </v:textbox>
                    </v:shape>
                    <v:rect id="Rectangle 695992774" o:spid="_x0000_s1062" style="position:absolute;left:47135;top:9647;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P1ygAAAOIAAAAPAAAAZHJzL2Rvd25yZXYueG1sRI9Ba8JA&#10;FITvBf/D8gq91Y22jSa6irQIQk+1PXh87D6zodm3IbuJaX99VxB6HGbmG2a9HV0jBupC7VnBbJqB&#10;INbe1Fwp+PrcPy5BhIhssPFMCn4owHYzuVtjafyFP2g4xkokCIcSFdgY21LKoC05DFPfEifv7DuH&#10;McmukqbDS4K7Rs6zLJcOa04LFlt6taS/j71TkL395k96KOzsXe/z/uQOuj+flHq4H3crEJHG+B++&#10;tQ9GQV68FMV8sXiG66V0B+TmDwAA//8DAFBLAQItABQABgAIAAAAIQDb4fbL7gAAAIUBAAATAAAA&#10;AAAAAAAAAAAAAAAAAABbQ29udGVudF9UeXBlc10ueG1sUEsBAi0AFAAGAAgAAAAhAFr0LFu/AAAA&#10;FQEAAAsAAAAAAAAAAAAAAAAAHwEAAF9yZWxzLy5yZWxzUEsBAi0AFAAGAAgAAAAhACrV0/XKAAAA&#10;4gAAAA8AAAAAAAAAAAAAAAAABwIAAGRycy9kb3ducmV2LnhtbFBLBQYAAAAAAwADALcAAAD+AgAA&#10;AAA=&#10;" filled="f" stroked="f">
                      <v:textbox inset="1.5pt,1.5pt,1.5pt,1.5pt">
                        <w:txbxContent>
                          <w:p w14:paraId="5D317A52" w14:textId="77777777" w:rsidR="001F6155" w:rsidRPr="00D513D6" w:rsidRDefault="001F6155" w:rsidP="00921C59">
                            <w:pPr>
                              <w:spacing w:after="0" w:line="215" w:lineRule="auto"/>
                              <w:jc w:val="center"/>
                              <w:textDirection w:val="btLr"/>
                            </w:pPr>
                          </w:p>
                        </w:txbxContent>
                      </v:textbox>
                    </v:rect>
                    <v:shape id="Arrow: Down 1310541104" o:spid="_x0000_s1063" type="#_x0000_t67" style="position:absolute;left:49836;top:15438;width:3354;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TN8yAAAAOMAAAAPAAAAZHJzL2Rvd25yZXYueG1sRE9fS8Mw&#10;EH8X9h3CCb65pG6O0S0bMhBFEGYduL0dza2pay6liW399kYQfLzf/1tvR9eInrpQe9aQTRUI4tKb&#10;misNh/fH2yWIEJENNp5JwzcF2G4mV2vMjR/4jfoiViKFcMhRg42xzaUMpSWHYepb4sSdfecwprOr&#10;pOlwSOGukXdKLaTDmlODxZZ2lspL8eU0nPb2Y0a7/lgt3WF4fYqLz33xovXN9fiwAhFpjP/iP/ez&#10;SfNnmbqfZ5maw+9PCQC5+QEAAP//AwBQSwECLQAUAAYACAAAACEA2+H2y+4AAACFAQAAEwAAAAAA&#10;AAAAAAAAAAAAAAAAW0NvbnRlbnRfVHlwZXNdLnhtbFBLAQItABQABgAIAAAAIQBa9CxbvwAAABUB&#10;AAALAAAAAAAAAAAAAAAAAB8BAABfcmVscy8ucmVsc1BLAQItABQABgAIAAAAIQD9hTN8yAAAAOM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6B2667D5" w14:textId="77777777" w:rsidR="001F6155" w:rsidRPr="00D513D6" w:rsidRDefault="001F6155" w:rsidP="00921C59">
                            <w:pPr>
                              <w:spacing w:after="0" w:line="240" w:lineRule="auto"/>
                              <w:textDirection w:val="btLr"/>
                            </w:pPr>
                          </w:p>
                        </w:txbxContent>
                      </v:textbox>
                    </v:shape>
                    <v:rect id="Rectangle 330840778" o:spid="_x0000_s1064" style="position:absolute;left:50591;top:15438;width:1845;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ZkxwAAAOIAAAAPAAAAZHJzL2Rvd25yZXYueG1sRE/PS8Mw&#10;FL4L+x/CE3Zzyax0sy4bwzEYeHJ62PGRvDXF5qU0aVf9681B8Pjx/d7sJt+KkfrYBNawXCgQxCbY&#10;hmsNnx/HhzWImJAttoFJwzdF2G1ndxusbLjxO43nVIscwrFCDS6lrpIyGkce4yJ0xJm7ht5jyrCv&#10;pe3xlsN9Kx+VKqXHhnODw45eHZmv8+A1qMNPWZjx2S3fzLEcLv5khutF6/n9tH8BkWhK/+I/98lq&#10;KAq1flKrVd6cL+U7ILe/AAAA//8DAFBLAQItABQABgAIAAAAIQDb4fbL7gAAAIUBAAATAAAAAAAA&#10;AAAAAAAAAAAAAABbQ29udGVudF9UeXBlc10ueG1sUEsBAi0AFAAGAAgAAAAhAFr0LFu/AAAAFQEA&#10;AAsAAAAAAAAAAAAAAAAAHwEAAF9yZWxzLy5yZWxzUEsBAi0AFAAGAAgAAAAhAKwK1mTHAAAA4gAA&#10;AA8AAAAAAAAAAAAAAAAABwIAAGRycy9kb3ducmV2LnhtbFBLBQYAAAAAAwADALcAAAD7AgAAAAA=&#10;" filled="f" stroked="f">
                      <v:textbox inset="1.5pt,1.5pt,1.5pt,1.5pt">
                        <w:txbxContent>
                          <w:p w14:paraId="798B43AB" w14:textId="77777777" w:rsidR="001F6155" w:rsidRPr="00D513D6" w:rsidRDefault="001F6155" w:rsidP="00921C59">
                            <w:pPr>
                              <w:spacing w:after="0" w:line="215" w:lineRule="auto"/>
                              <w:jc w:val="center"/>
                              <w:textDirection w:val="btLr"/>
                            </w:pPr>
                          </w:p>
                        </w:txbxContent>
                      </v:textbox>
                    </v:rect>
                    <v:shape id="Arrow: Down 1336608743" o:spid="_x0000_s1065" type="#_x0000_t67" style="position:absolute;left:53292;top:21373;width:3354;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8G7yAAAAOMAAAAPAAAAZHJzL2Rvd25yZXYueG1sRE9fS8Mw&#10;EH8X/A7hhL25VCu11GVDBmMiDGYdqG9HczbV5lKarK3ffhkMfLzf/1usJtuKgXrfOFZwN09AEFdO&#10;N1wrOLxvbnMQPiBrbB2Tgj/ysFpeXy2w0G7kNxrKUIsYwr5ABSaErpDSV4Ys+rnriCP37XqLIZ59&#10;LXWPYwy3rbxPkkxabDg2GOxobaj6LY9WwdfefKS0Hj7r3B7G3TZkP/vyVanZzfT8BCLQFP7FF/eL&#10;jvPTNMuS/PEhhfNPEQC5PAEAAP//AwBQSwECLQAUAAYACAAAACEA2+H2y+4AAACFAQAAEwAAAAAA&#10;AAAAAAAAAAAAAAAAW0NvbnRlbnRfVHlwZXNdLnhtbFBLAQItABQABgAIAAAAIQBa9CxbvwAAABUB&#10;AAALAAAAAAAAAAAAAAAAAB8BAABfcmVscy8ucmVsc1BLAQItABQABgAIAAAAIQBK98G7yAAAAOM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6F00A4DC" w14:textId="77777777" w:rsidR="001F6155" w:rsidRPr="00D513D6" w:rsidRDefault="001F6155" w:rsidP="00921C59">
                            <w:pPr>
                              <w:spacing w:after="0" w:line="240" w:lineRule="auto"/>
                              <w:textDirection w:val="btLr"/>
                            </w:pPr>
                          </w:p>
                        </w:txbxContent>
                      </v:textbox>
                    </v:shape>
                    <v:rect id="Rectangle 1251477394" o:spid="_x0000_s1066" style="position:absolute;left:54047;top:21373;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9AgyAAAAOMAAAAPAAAAZHJzL2Rvd25yZXYueG1sRE9Pa8Iw&#10;FL8P/A7hDXabadXV2RlFJoKw09wOHh/JsylrXkqT1rpPvwwGO77f/7fejq4RA3Wh9qwgn2YgiLU3&#10;NVcKPj8Oj88gQkQ22HgmBTcKsN1M7tZYGn/ldxpOsRIphEOJCmyMbSll0JYchqlviRN38Z3DmM6u&#10;kqbDawp3jZxlWSEd1pwaLLb0akl/nXqnINt/F3M9rGz+pg9Ff3ZH3V/OSj3cj7sXEJHG+C/+cx9N&#10;mj97yhfL5Xy1gN+fEgBy8wMAAP//AwBQSwECLQAUAAYACAAAACEA2+H2y+4AAACFAQAAEwAAAAAA&#10;AAAAAAAAAAAAAAAAW0NvbnRlbnRfVHlwZXNdLnhtbFBLAQItABQABgAIAAAAIQBa9CxbvwAAABUB&#10;AAALAAAAAAAAAAAAAAAAAB8BAABfcmVscy8ucmVsc1BLAQItABQABgAIAAAAIQCCm9AgyAAAAOMA&#10;AAAPAAAAAAAAAAAAAAAAAAcCAABkcnMvZG93bnJldi54bWxQSwUGAAAAAAMAAwC3AAAA/AIAAAAA&#10;" filled="f" stroked="f">
                      <v:textbox inset="1.5pt,1.5pt,1.5pt,1.5pt">
                        <w:txbxContent>
                          <w:p w14:paraId="499F7F94" w14:textId="77777777" w:rsidR="001F6155" w:rsidRPr="00D513D6" w:rsidRDefault="001F6155" w:rsidP="00921C59">
                            <w:pPr>
                              <w:spacing w:after="0" w:line="215" w:lineRule="auto"/>
                              <w:jc w:val="center"/>
                              <w:textDirection w:val="btLr"/>
                            </w:pPr>
                          </w:p>
                        </w:txbxContent>
                      </v:textbox>
                    </v:rect>
                  </v:group>
                </v:group>
                <w10:anchorlock/>
              </v:group>
            </w:pict>
          </mc:Fallback>
        </mc:AlternateContent>
      </w:r>
    </w:p>
    <w:p w14:paraId="4CBC99DB"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The following good management practices will be used to minimize and appropriately manage site waste:</w:t>
      </w:r>
    </w:p>
    <w:p w14:paraId="7A67506E" w14:textId="77777777" w:rsidR="00921C59" w:rsidRPr="00175D8B" w:rsidRDefault="00921C59">
      <w:pPr>
        <w:numPr>
          <w:ilvl w:val="0"/>
          <w:numId w:val="83"/>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Reducing waste generation (through management practices, avoiding or reducing material use, etc.) is the primary objective of this plan.</w:t>
      </w:r>
    </w:p>
    <w:p w14:paraId="68857F0C" w14:textId="77777777" w:rsidR="00921C59" w:rsidRPr="00175D8B" w:rsidRDefault="00921C59">
      <w:pPr>
        <w:numPr>
          <w:ilvl w:val="0"/>
          <w:numId w:val="8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Non-hazardous wastes will be separated from hazardous wastes.</w:t>
      </w:r>
    </w:p>
    <w:p w14:paraId="6467EF8F" w14:textId="77777777" w:rsidR="00921C59" w:rsidRPr="00175D8B" w:rsidRDefault="00921C59">
      <w:pPr>
        <w:numPr>
          <w:ilvl w:val="0"/>
          <w:numId w:val="8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Waste recycling will be mandatory throughout all Project activities and relevant training will be provided.</w:t>
      </w:r>
    </w:p>
    <w:p w14:paraId="025E38FD" w14:textId="77777777" w:rsidR="00921C59" w:rsidRPr="00175D8B" w:rsidRDefault="00921C59">
      <w:pPr>
        <w:numPr>
          <w:ilvl w:val="0"/>
          <w:numId w:val="8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lastRenderedPageBreak/>
        <w:t>Wastes to be sent to licensed recycling/recovery companies will be separated according to their types.</w:t>
      </w:r>
    </w:p>
    <w:p w14:paraId="73BCF4EF" w14:textId="77777777" w:rsidR="00921C59" w:rsidRPr="00175D8B" w:rsidRDefault="00921C59">
      <w:pPr>
        <w:numPr>
          <w:ilvl w:val="0"/>
          <w:numId w:val="8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Efforts will be made to minimize the amount of hazardous materials used.</w:t>
      </w:r>
    </w:p>
    <w:p w14:paraId="330D696B" w14:textId="77777777" w:rsidR="00921C59" w:rsidRPr="00175D8B" w:rsidRDefault="00921C59">
      <w:pPr>
        <w:numPr>
          <w:ilvl w:val="0"/>
          <w:numId w:val="8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Personnel working with hazardous materials and waste will be trained in proper use and management.</w:t>
      </w:r>
    </w:p>
    <w:p w14:paraId="2491EA57" w14:textId="77777777" w:rsidR="00921C59" w:rsidRPr="00175D8B" w:rsidRDefault="00921C59">
      <w:pPr>
        <w:numPr>
          <w:ilvl w:val="0"/>
          <w:numId w:val="8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Hazardous material leaks will be prevented through careful and logical management of materials.</w:t>
      </w:r>
    </w:p>
    <w:p w14:paraId="0CD7D57D" w14:textId="77777777" w:rsidR="00921C59" w:rsidRPr="00175D8B" w:rsidRDefault="00921C59">
      <w:pPr>
        <w:numPr>
          <w:ilvl w:val="0"/>
          <w:numId w:val="8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Where possible, non-hazardous alternatives will be used instead of hazardous materials.</w:t>
      </w:r>
    </w:p>
    <w:p w14:paraId="4F25D3A2" w14:textId="77777777" w:rsidR="00921C59" w:rsidRPr="00175D8B" w:rsidRDefault="00921C59">
      <w:pPr>
        <w:numPr>
          <w:ilvl w:val="0"/>
          <w:numId w:val="8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Regular inspections of storage areas will be made. Damaged or leaking containers will be replaced when detected.</w:t>
      </w:r>
    </w:p>
    <w:p w14:paraId="7934C2AB" w14:textId="77777777" w:rsidR="00921C59" w:rsidRPr="00175D8B" w:rsidRDefault="00921C59">
      <w:pPr>
        <w:numPr>
          <w:ilvl w:val="0"/>
          <w:numId w:val="8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Corrective/Preventive maintenance will be performed on the equipment to prevent possible leaks.</w:t>
      </w:r>
    </w:p>
    <w:p w14:paraId="781D0BA2" w14:textId="77777777" w:rsidR="00921C59" w:rsidRPr="00175D8B" w:rsidRDefault="00921C59">
      <w:pPr>
        <w:numPr>
          <w:ilvl w:val="0"/>
          <w:numId w:val="8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Waste storage areas will have secondary safety barriers or overflow containers.</w:t>
      </w:r>
    </w:p>
    <w:p w14:paraId="0D544D40" w14:textId="77777777" w:rsidR="00921C59" w:rsidRPr="00175D8B" w:rsidRDefault="00921C59">
      <w:pPr>
        <w:numPr>
          <w:ilvl w:val="0"/>
          <w:numId w:val="83"/>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Under no circumstances, wastes will be disposed of at the construction site.</w:t>
      </w:r>
    </w:p>
    <w:p w14:paraId="76244C6A" w14:textId="77777777" w:rsidR="00921C59" w:rsidRPr="00175D8B" w:rsidRDefault="00921C59" w:rsidP="00DD7A56">
      <w:pPr>
        <w:pBdr>
          <w:top w:val="nil"/>
          <w:left w:val="nil"/>
          <w:bottom w:val="nil"/>
          <w:right w:val="nil"/>
          <w:between w:val="nil"/>
        </w:pBdr>
        <w:spacing w:after="0"/>
        <w:rPr>
          <w:rFonts w:eastAsia="Aptos" w:cs="Aptos"/>
          <w:color w:val="000000"/>
          <w:kern w:val="0"/>
          <w:szCs w:val="22"/>
          <w:lang w:eastAsia="tr-TR"/>
          <w14:ligatures w14:val="none"/>
        </w:rPr>
      </w:pPr>
    </w:p>
    <w:p w14:paraId="6994793D" w14:textId="77777777" w:rsidR="00921C59" w:rsidRPr="00175D8B" w:rsidRDefault="00921C59" w:rsidP="002550A6">
      <w:pPr>
        <w:spacing w:after="160"/>
        <w:rPr>
          <w:rFonts w:eastAsia="Aptos" w:cs="Aptos"/>
          <w:kern w:val="0"/>
          <w:szCs w:val="22"/>
          <w:lang w:eastAsia="tr-TR"/>
          <w14:ligatures w14:val="none"/>
        </w:rPr>
      </w:pPr>
      <w:r w:rsidRPr="00175D8B">
        <w:rPr>
          <w:rFonts w:eastAsia="Aptos" w:cs="Aptos"/>
          <w:b/>
          <w:kern w:val="0"/>
          <w:szCs w:val="22"/>
          <w:lang w:eastAsia="tr-TR"/>
          <w14:ligatures w14:val="none"/>
        </w:rPr>
        <w:t>4.1. Classification of Waste</w:t>
      </w:r>
      <w:bookmarkStart w:id="517" w:name="_302dr9l" w:colFirst="0" w:colLast="0"/>
      <w:bookmarkEnd w:id="517"/>
    </w:p>
    <w:p w14:paraId="7FFC0760"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Project activities will result in the generation of various non-hazardous and hazardous wastes.</w:t>
      </w:r>
    </w:p>
    <w:p w14:paraId="02B3F580" w14:textId="77777777" w:rsidR="00921C59" w:rsidRPr="00175D8B" w:rsidRDefault="00921C59" w:rsidP="002550A6">
      <w:pPr>
        <w:spacing w:after="160"/>
        <w:rPr>
          <w:rFonts w:eastAsia="Aptos" w:cs="Aptos"/>
          <w:b/>
          <w:bCs/>
          <w:kern w:val="0"/>
          <w:szCs w:val="22"/>
          <w:lang w:eastAsia="tr-TR"/>
          <w14:ligatures w14:val="none"/>
        </w:rPr>
      </w:pPr>
      <w:r w:rsidRPr="00175D8B">
        <w:rPr>
          <w:rFonts w:eastAsia="Aptos" w:cs="Aptos"/>
          <w:b/>
          <w:bCs/>
          <w:kern w:val="0"/>
          <w:szCs w:val="22"/>
          <w:lang w:eastAsia="tr-TR"/>
          <w14:ligatures w14:val="none"/>
        </w:rPr>
        <w:t>4.2.1.</w:t>
      </w:r>
      <w:r w:rsidRPr="00175D8B">
        <w:rPr>
          <w:rFonts w:eastAsia="Aptos" w:cs="Aptos"/>
          <w:b/>
          <w:bCs/>
          <w:kern w:val="0"/>
          <w:szCs w:val="22"/>
          <w:lang w:eastAsia="tr-TR"/>
          <w14:ligatures w14:val="none"/>
        </w:rPr>
        <w:tab/>
        <w:t xml:space="preserve">Non-Hazardous Wastes </w:t>
      </w:r>
    </w:p>
    <w:p w14:paraId="4CDDDA49"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Typical non-hazardous wastes are listed below.</w:t>
      </w:r>
    </w:p>
    <w:p w14:paraId="760BF17E" w14:textId="77777777" w:rsidR="00921C59" w:rsidRPr="00175D8B" w:rsidRDefault="00921C59">
      <w:pPr>
        <w:numPr>
          <w:ilvl w:val="0"/>
          <w:numId w:val="84"/>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Domestic waste,</w:t>
      </w:r>
    </w:p>
    <w:p w14:paraId="433C70D9" w14:textId="77777777" w:rsidR="00921C59" w:rsidRPr="00175D8B" w:rsidRDefault="00921C59">
      <w:pPr>
        <w:numPr>
          <w:ilvl w:val="0"/>
          <w:numId w:val="8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Recyclable waste (e.g., paper, glass, metals, wood waste, trees, tin cans, textiles, etc.),</w:t>
      </w:r>
    </w:p>
    <w:p w14:paraId="00C21B43" w14:textId="77777777" w:rsidR="00921C59" w:rsidRPr="00175D8B" w:rsidRDefault="00921C59">
      <w:pPr>
        <w:numPr>
          <w:ilvl w:val="0"/>
          <w:numId w:val="8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Packaging waste,</w:t>
      </w:r>
    </w:p>
    <w:p w14:paraId="319C986E" w14:textId="77777777" w:rsidR="00921C59" w:rsidRPr="00175D8B" w:rsidRDefault="00921C59">
      <w:pPr>
        <w:numPr>
          <w:ilvl w:val="0"/>
          <w:numId w:val="8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Waste tires and</w:t>
      </w:r>
    </w:p>
    <w:p w14:paraId="5F908B8D" w14:textId="77777777" w:rsidR="00921C59" w:rsidRPr="00175D8B" w:rsidRDefault="00921C59">
      <w:pPr>
        <w:numPr>
          <w:ilvl w:val="0"/>
          <w:numId w:val="84"/>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Excavation waste.</w:t>
      </w:r>
    </w:p>
    <w:p w14:paraId="47469287" w14:textId="00F64BC4" w:rsidR="00921C59" w:rsidRPr="00175D8B" w:rsidRDefault="00921C59" w:rsidP="002550A6">
      <w:pPr>
        <w:spacing w:after="160"/>
        <w:rPr>
          <w:rFonts w:eastAsia="Aptos" w:cs="Aptos"/>
          <w:b/>
          <w:bCs/>
          <w:kern w:val="0"/>
          <w:szCs w:val="22"/>
          <w:lang w:eastAsia="tr-TR"/>
          <w14:ligatures w14:val="none"/>
        </w:rPr>
      </w:pPr>
      <w:r w:rsidRPr="00175D8B">
        <w:rPr>
          <w:rFonts w:eastAsia="Aptos" w:cs="Aptos"/>
          <w:b/>
          <w:bCs/>
          <w:kern w:val="0"/>
          <w:szCs w:val="22"/>
          <w:lang w:eastAsia="tr-TR"/>
          <w14:ligatures w14:val="none"/>
        </w:rPr>
        <w:t>4.2.2.</w:t>
      </w:r>
      <w:r w:rsidR="002561E6" w:rsidRPr="00175D8B">
        <w:rPr>
          <w:rFonts w:eastAsia="Aptos" w:cs="Aptos"/>
          <w:b/>
          <w:bCs/>
          <w:kern w:val="0"/>
          <w:szCs w:val="22"/>
          <w:lang w:eastAsia="tr-TR"/>
          <w14:ligatures w14:val="none"/>
        </w:rPr>
        <w:t xml:space="preserve">  </w:t>
      </w:r>
      <w:r w:rsidRPr="00175D8B">
        <w:rPr>
          <w:rFonts w:eastAsia="Aptos" w:cs="Aptos"/>
          <w:b/>
          <w:bCs/>
          <w:kern w:val="0"/>
          <w:szCs w:val="22"/>
          <w:lang w:eastAsia="tr-TR"/>
          <w14:ligatures w14:val="none"/>
        </w:rPr>
        <w:t xml:space="preserve">Hazardous Wastes </w:t>
      </w:r>
    </w:p>
    <w:p w14:paraId="79700F38"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Different types of hazardous wastes possibly to be generated as a result of Project activities are listed below:</w:t>
      </w:r>
    </w:p>
    <w:p w14:paraId="5B04D0CD" w14:textId="77777777" w:rsidR="00921C59" w:rsidRPr="00175D8B" w:rsidRDefault="00921C59">
      <w:pPr>
        <w:numPr>
          <w:ilvl w:val="0"/>
          <w:numId w:val="85"/>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Waste batteries and accumulators,</w:t>
      </w:r>
    </w:p>
    <w:p w14:paraId="62CB333E" w14:textId="77777777" w:rsidR="00921C59" w:rsidRPr="00175D8B" w:rsidRDefault="00921C59">
      <w:pPr>
        <w:numPr>
          <w:ilvl w:val="0"/>
          <w:numId w:val="85"/>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Waste vegetable oil,</w:t>
      </w:r>
    </w:p>
    <w:p w14:paraId="2879CB82" w14:textId="77777777" w:rsidR="00921C59" w:rsidRPr="00175D8B" w:rsidRDefault="00921C59">
      <w:pPr>
        <w:numPr>
          <w:ilvl w:val="0"/>
          <w:numId w:val="85"/>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Medical waste,</w:t>
      </w:r>
    </w:p>
    <w:p w14:paraId="638108F9" w14:textId="77777777" w:rsidR="00921C59" w:rsidRPr="00175D8B" w:rsidRDefault="00921C59">
      <w:pPr>
        <w:numPr>
          <w:ilvl w:val="0"/>
          <w:numId w:val="85"/>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Waste oil (from the maintenance of equipment and vehicles, transformers, etc.),</w:t>
      </w:r>
    </w:p>
    <w:p w14:paraId="684234FC" w14:textId="77777777" w:rsidR="00921C59" w:rsidRPr="00175D8B" w:rsidRDefault="00921C59">
      <w:pPr>
        <w:numPr>
          <w:ilvl w:val="0"/>
          <w:numId w:val="85"/>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lastRenderedPageBreak/>
        <w:t>Waste paint,</w:t>
      </w:r>
    </w:p>
    <w:p w14:paraId="4EF7A367" w14:textId="77777777" w:rsidR="00921C59" w:rsidRPr="00175D8B" w:rsidRDefault="00921C59">
      <w:pPr>
        <w:numPr>
          <w:ilvl w:val="0"/>
          <w:numId w:val="85"/>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Other hazardous wastes related to operation and maintenance activities and</w:t>
      </w:r>
    </w:p>
    <w:p w14:paraId="0D4489ED" w14:textId="77777777" w:rsidR="00921C59" w:rsidRPr="00175D8B" w:rsidRDefault="00921C59">
      <w:pPr>
        <w:numPr>
          <w:ilvl w:val="0"/>
          <w:numId w:val="85"/>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Materials that come into contact with hazardous materials (including pesticide boxes).</w:t>
      </w:r>
      <w:bookmarkStart w:id="518" w:name="_1f7o1he" w:colFirst="0" w:colLast="0"/>
      <w:bookmarkEnd w:id="518"/>
    </w:p>
    <w:p w14:paraId="196C04F8" w14:textId="03C54279" w:rsidR="00921C59" w:rsidRPr="00175D8B" w:rsidRDefault="00921C59" w:rsidP="002550A6">
      <w:pPr>
        <w:spacing w:after="160"/>
        <w:rPr>
          <w:rFonts w:eastAsia="Aptos" w:cs="Aptos"/>
          <w:kern w:val="0"/>
          <w:szCs w:val="22"/>
          <w:lang w:eastAsia="tr-TR"/>
          <w14:ligatures w14:val="none"/>
        </w:rPr>
      </w:pPr>
      <w:r w:rsidRPr="00175D8B">
        <w:rPr>
          <w:rFonts w:eastAsia="Aptos" w:cs="Aptos"/>
          <w:b/>
          <w:kern w:val="0"/>
          <w:szCs w:val="22"/>
          <w:lang w:eastAsia="tr-TR"/>
          <w14:ligatures w14:val="none"/>
        </w:rPr>
        <w:t>4.3.</w:t>
      </w:r>
      <w:r w:rsidR="002561E6" w:rsidRPr="00175D8B">
        <w:rPr>
          <w:rFonts w:eastAsia="Aptos" w:cs="Aptos"/>
          <w:b/>
          <w:kern w:val="0"/>
          <w:szCs w:val="22"/>
          <w:lang w:eastAsia="tr-TR"/>
          <w14:ligatures w14:val="none"/>
        </w:rPr>
        <w:t xml:space="preserve">  </w:t>
      </w:r>
      <w:r w:rsidRPr="00175D8B">
        <w:rPr>
          <w:rFonts w:eastAsia="Aptos" w:cs="Aptos"/>
          <w:b/>
          <w:kern w:val="0"/>
          <w:szCs w:val="22"/>
          <w:lang w:eastAsia="tr-TR"/>
          <w14:ligatures w14:val="none"/>
        </w:rPr>
        <w:t>Implementation</w:t>
      </w:r>
    </w:p>
    <w:p w14:paraId="60075697" w14:textId="77777777" w:rsidR="00921C59" w:rsidRPr="00175D8B" w:rsidRDefault="00921C59" w:rsidP="00DD7A56">
      <w:pPr>
        <w:spacing w:after="160"/>
        <w:ind w:left="720"/>
        <w:rPr>
          <w:rFonts w:eastAsia="Aptos" w:cs="Aptos"/>
          <w:b/>
          <w:bCs/>
          <w:kern w:val="0"/>
          <w:szCs w:val="22"/>
          <w:lang w:eastAsia="tr-TR"/>
          <w14:ligatures w14:val="none"/>
        </w:rPr>
      </w:pPr>
      <w:r w:rsidRPr="00175D8B">
        <w:rPr>
          <w:rFonts w:eastAsia="Aptos" w:cs="Aptos"/>
          <w:b/>
          <w:bCs/>
          <w:kern w:val="0"/>
          <w:szCs w:val="22"/>
          <w:lang w:eastAsia="tr-TR"/>
          <w14:ligatures w14:val="none"/>
        </w:rPr>
        <w:t>4.3.1.</w:t>
      </w:r>
      <w:r w:rsidRPr="00175D8B">
        <w:rPr>
          <w:rFonts w:eastAsia="Aptos" w:cs="Aptos"/>
          <w:b/>
          <w:bCs/>
          <w:kern w:val="0"/>
          <w:szCs w:val="22"/>
          <w:lang w:eastAsia="tr-TR"/>
          <w14:ligatures w14:val="none"/>
        </w:rPr>
        <w:tab/>
        <w:t>Waste Collection, Storage, Transportation and Disposal</w:t>
      </w:r>
    </w:p>
    <w:p w14:paraId="7722A7DF" w14:textId="5E0B382F" w:rsidR="00A22808"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An industrial (hazardous and non-hazardous) waste management plan will be prepared in line with legal requirements and submitted to the Provincial Directorate of Environment and Urbanization. In addition, it is obligatory to fill in the waste declaration form every year in March, with the information of the previous year and to submit these forms digitally to the MoEUCC.</w:t>
      </w:r>
    </w:p>
    <w:p w14:paraId="3528192F" w14:textId="77777777" w:rsidR="00921C59" w:rsidRPr="00175D8B" w:rsidRDefault="00921C59" w:rsidP="002550A6">
      <w:pPr>
        <w:spacing w:after="160"/>
        <w:rPr>
          <w:rFonts w:eastAsia="Aptos" w:cs="Aptos"/>
          <w:b/>
          <w:bCs/>
          <w:kern w:val="0"/>
          <w:szCs w:val="22"/>
          <w:lang w:eastAsia="tr-TR"/>
          <w14:ligatures w14:val="none"/>
        </w:rPr>
      </w:pPr>
      <w:r w:rsidRPr="00175D8B">
        <w:rPr>
          <w:rFonts w:eastAsia="Aptos" w:cs="Aptos"/>
          <w:b/>
          <w:bCs/>
          <w:kern w:val="0"/>
          <w:szCs w:val="22"/>
          <w:lang w:eastAsia="tr-TR"/>
          <w14:ligatures w14:val="none"/>
        </w:rPr>
        <w:t>4.3.2.</w:t>
      </w:r>
      <w:r w:rsidRPr="00175D8B">
        <w:rPr>
          <w:rFonts w:eastAsia="Aptos" w:cs="Aptos"/>
          <w:b/>
          <w:bCs/>
          <w:kern w:val="0"/>
          <w:szCs w:val="22"/>
          <w:lang w:eastAsia="tr-TR"/>
          <w14:ligatures w14:val="none"/>
        </w:rPr>
        <w:tab/>
        <w:t xml:space="preserve">Collection, Separation and Storage </w:t>
      </w:r>
    </w:p>
    <w:p w14:paraId="5E5AE109"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Wastes will be separated and temporarily stored in safe storage areas that are defined separately for hazardous and non-hazardous wastes. Transportation and final disposal activities are explained in Part 4.3.3.</w:t>
      </w:r>
    </w:p>
    <w:p w14:paraId="5F78029D" w14:textId="77777777" w:rsidR="00921C59" w:rsidRPr="00175D8B" w:rsidRDefault="00921C59" w:rsidP="00DD7A56">
      <w:pPr>
        <w:spacing w:after="160"/>
        <w:rPr>
          <w:rFonts w:eastAsia="Aptos" w:cs="Aptos"/>
          <w:i/>
          <w:kern w:val="0"/>
          <w:szCs w:val="22"/>
          <w:lang w:eastAsia="tr-TR"/>
          <w14:ligatures w14:val="none"/>
        </w:rPr>
      </w:pPr>
      <w:r w:rsidRPr="00175D8B">
        <w:rPr>
          <w:rFonts w:eastAsia="Aptos" w:cs="Aptos"/>
          <w:i/>
          <w:kern w:val="0"/>
          <w:szCs w:val="22"/>
          <w:lang w:eastAsia="tr-TR"/>
          <w14:ligatures w14:val="none"/>
        </w:rPr>
        <w:t>Non-Hazardous Wastes</w:t>
      </w:r>
    </w:p>
    <w:p w14:paraId="1A0933E7"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The management of non-hazardous wastes will be as follows:</w:t>
      </w:r>
    </w:p>
    <w:p w14:paraId="6E18E9D9" w14:textId="77777777" w:rsidR="00921C59" w:rsidRPr="00175D8B" w:rsidRDefault="00921C59">
      <w:pPr>
        <w:numPr>
          <w:ilvl w:val="0"/>
          <w:numId w:val="87"/>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Domestic wastes will be collected in special bins in accordance with the Waste Management Regulation and will be temporarily stored at the construction site.</w:t>
      </w:r>
    </w:p>
    <w:p w14:paraId="4CD02E3B" w14:textId="77777777" w:rsidR="00921C59" w:rsidRPr="00175D8B" w:rsidRDefault="00921C59">
      <w:pPr>
        <w:numPr>
          <w:ilvl w:val="0"/>
          <w:numId w:val="8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Recyclable wastes will be separated and temporarily stored on site in designated areas.</w:t>
      </w:r>
    </w:p>
    <w:p w14:paraId="698A65C6" w14:textId="77777777" w:rsidR="00921C59" w:rsidRPr="00175D8B" w:rsidRDefault="00921C59">
      <w:pPr>
        <w:numPr>
          <w:ilvl w:val="0"/>
          <w:numId w:val="8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Packaging wastes will be collected separately and temporarily stored in the areas reserved for them at the construction site in accordance with the Packaging Waste Control Regulation.</w:t>
      </w:r>
    </w:p>
    <w:p w14:paraId="7D6F3CAF" w14:textId="77777777" w:rsidR="00921C59" w:rsidRPr="00175D8B" w:rsidRDefault="00921C59">
      <w:pPr>
        <w:numPr>
          <w:ilvl w:val="0"/>
          <w:numId w:val="87"/>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Appropriate waste containers will be provided at waste generation sites to facilitate safe and environmentally sound temporary storage. All containers will be clearly marked according to their contents.</w:t>
      </w:r>
    </w:p>
    <w:p w14:paraId="2F780B06" w14:textId="77777777" w:rsidR="00921C59" w:rsidRPr="00175D8B" w:rsidRDefault="00921C59" w:rsidP="00DD7A56">
      <w:pPr>
        <w:spacing w:after="160"/>
        <w:rPr>
          <w:rFonts w:eastAsia="Aptos" w:cs="Aptos"/>
          <w:i/>
          <w:kern w:val="0"/>
          <w:szCs w:val="22"/>
          <w:lang w:eastAsia="tr-TR"/>
          <w14:ligatures w14:val="none"/>
        </w:rPr>
      </w:pPr>
      <w:r w:rsidRPr="00175D8B">
        <w:rPr>
          <w:rFonts w:eastAsia="Aptos" w:cs="Aptos"/>
          <w:i/>
          <w:kern w:val="0"/>
          <w:szCs w:val="22"/>
          <w:lang w:eastAsia="tr-TR"/>
          <w14:ligatures w14:val="none"/>
        </w:rPr>
        <w:t xml:space="preserve">Hazardous Wastes </w:t>
      </w:r>
    </w:p>
    <w:p w14:paraId="2B4BABFD"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The management of hazardous wastes will be as follows:</w:t>
      </w:r>
    </w:p>
    <w:p w14:paraId="1111D557" w14:textId="77777777" w:rsidR="00921C59" w:rsidRPr="00175D8B" w:rsidRDefault="00921C59">
      <w:pPr>
        <w:numPr>
          <w:ilvl w:val="0"/>
          <w:numId w:val="88"/>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In accordance with international standards and international common practice, hazardous wastes will be stored in undamaged, leak-proof, safe and suitable containers. In line with the relevant legislation, a specific area with a concrete floor will be used for storage.</w:t>
      </w:r>
    </w:p>
    <w:p w14:paraId="74322891" w14:textId="77777777" w:rsidR="00921C59" w:rsidRPr="00175D8B" w:rsidRDefault="00921C59">
      <w:pPr>
        <w:numPr>
          <w:ilvl w:val="0"/>
          <w:numId w:val="8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All waste containers to be used, will have a clear label and an accurate description of the waste type. This will inform site and external personnel for the safe collection and transport </w:t>
      </w:r>
      <w:r w:rsidRPr="00175D8B">
        <w:rPr>
          <w:rFonts w:eastAsia="Aptos" w:cs="Aptos"/>
          <w:color w:val="000000"/>
          <w:kern w:val="0"/>
          <w:szCs w:val="22"/>
          <w:lang w:eastAsia="tr-TR"/>
          <w14:ligatures w14:val="none"/>
        </w:rPr>
        <w:lastRenderedPageBreak/>
        <w:t>of waste. All unidentified waste will be considered hazardous waste. Waste labels will include information such as waste classification/category, waste volume, MSDS and required PPE. All old labels on containers will be removed or sealed to avoid confusion.</w:t>
      </w:r>
    </w:p>
    <w:p w14:paraId="434B4B32" w14:textId="77777777" w:rsidR="00921C59" w:rsidRPr="00175D8B" w:rsidRDefault="00921C59">
      <w:pPr>
        <w:numPr>
          <w:ilvl w:val="0"/>
          <w:numId w:val="8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Hazardous waste containers will be inspected regularly to determine if they are damaged or has any leaks.</w:t>
      </w:r>
    </w:p>
    <w:p w14:paraId="3A909535" w14:textId="77777777" w:rsidR="00921C59" w:rsidRPr="00175D8B" w:rsidRDefault="00921C59">
      <w:pPr>
        <w:numPr>
          <w:ilvl w:val="0"/>
          <w:numId w:val="8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Hazardous waste containers will be kept closed and wastes will be stored in a way that no chemical reaction occurs.</w:t>
      </w:r>
    </w:p>
    <w:p w14:paraId="57B8D623" w14:textId="77777777" w:rsidR="00921C59" w:rsidRPr="00175D8B" w:rsidRDefault="00921C59">
      <w:pPr>
        <w:numPr>
          <w:ilvl w:val="0"/>
          <w:numId w:val="8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Vehicles and construction machinery will be used in the land preparation, construction, and closure phases of the Project. Maintenance of machinery and equipment (e.g., oil change, battery change, etc.) is planned to be done by qualified service providers outside the Project Area. If it is necessary to perform such activities (oil change, battery change, tire change etc.) at the construction site, areas reserved for this work (with appropriate drainage) will be used. In order to prevent soil contamination, a sealed cover will be placed under the vehicles and this activity will be performed away from water sources. If any oil/fuel/lubricant spills or leaks occur at the construction site, the pollution will be controlled by using absorbent materials and the contaminated soil (if any) will be taken to a sufficient depth and stored as hazardous waste.</w:t>
      </w:r>
    </w:p>
    <w:p w14:paraId="68FBEC48" w14:textId="77777777" w:rsidR="00921C59" w:rsidRPr="00175D8B" w:rsidRDefault="00921C59">
      <w:pPr>
        <w:numPr>
          <w:ilvl w:val="0"/>
          <w:numId w:val="8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All vehicles used for transportation will have absorbent material against any leakage or spillage. Workers will be informed about the use and disposal of materials. Filters or materials saturated with petroleum products will be discharged into a suitable container to remove any free products prior to disposal.</w:t>
      </w:r>
    </w:p>
    <w:p w14:paraId="23A471C1" w14:textId="77777777" w:rsidR="00921C59" w:rsidRPr="00175D8B" w:rsidRDefault="00921C59">
      <w:pPr>
        <w:numPr>
          <w:ilvl w:val="0"/>
          <w:numId w:val="8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Waste oils will be temporarily stored, collected, and disposed of in separate containers according to the categories specified in the Waste Oil Control Regulation. Waste oil will be collected in containers placed on an impermeable surface. Different containers will be used for different categories of waste oils. There will be a "Waste Oil" sign on the waste oil temporary storage containers.</w:t>
      </w:r>
    </w:p>
    <w:p w14:paraId="76ACCCA8" w14:textId="77777777" w:rsidR="00921C59" w:rsidRPr="00175D8B" w:rsidRDefault="00921C59">
      <w:pPr>
        <w:numPr>
          <w:ilvl w:val="0"/>
          <w:numId w:val="8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Waste vegetable oils will be temporarily collected in special containers.</w:t>
      </w:r>
    </w:p>
    <w:p w14:paraId="5E34372D" w14:textId="77777777" w:rsidR="00921C59" w:rsidRPr="00175D8B" w:rsidRDefault="00921C59">
      <w:pPr>
        <w:numPr>
          <w:ilvl w:val="0"/>
          <w:numId w:val="8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Bulbs containing mercury</w:t>
      </w:r>
    </w:p>
    <w:p w14:paraId="143593CA" w14:textId="77777777" w:rsidR="00921C59" w:rsidRPr="00175D8B" w:rsidRDefault="00921C59">
      <w:pPr>
        <w:numPr>
          <w:ilvl w:val="0"/>
          <w:numId w:val="8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Waste oils will not be allowed to be discharged into receiving environments or toilets/sinks.</w:t>
      </w:r>
    </w:p>
    <w:p w14:paraId="66736913" w14:textId="77777777" w:rsidR="00921C59" w:rsidRPr="00175D8B" w:rsidRDefault="00921C59">
      <w:pPr>
        <w:numPr>
          <w:ilvl w:val="0"/>
          <w:numId w:val="8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Waste batteries and accumulators will be collected and stored separately in accordance with the Regulation on Control of Waste Batteries and Accumulators.</w:t>
      </w:r>
    </w:p>
    <w:p w14:paraId="7492DCAF" w14:textId="77777777" w:rsidR="00921C59" w:rsidRPr="00175D8B" w:rsidRDefault="00921C59">
      <w:pPr>
        <w:numPr>
          <w:ilvl w:val="0"/>
          <w:numId w:val="8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Vehicle maintenance in the Project will be done outside the construction site. However, when it is necessary to change the tires of vehicles and construction machines, the changed </w:t>
      </w:r>
      <w:r w:rsidRPr="00175D8B">
        <w:rPr>
          <w:rFonts w:eastAsia="Aptos" w:cs="Aptos"/>
          <w:color w:val="000000"/>
          <w:kern w:val="0"/>
          <w:szCs w:val="22"/>
          <w:lang w:eastAsia="tr-TR"/>
          <w14:ligatures w14:val="none"/>
        </w:rPr>
        <w:lastRenderedPageBreak/>
        <w:t>tires will be kept in the places reserved for them in accordance with the Waste Tire Control Regulation.</w:t>
      </w:r>
    </w:p>
    <w:p w14:paraId="41291D29" w14:textId="77777777" w:rsidR="00921C59" w:rsidRPr="00175D8B" w:rsidRDefault="00921C59">
      <w:pPr>
        <w:numPr>
          <w:ilvl w:val="0"/>
          <w:numId w:val="8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Medical wastes will be collected separately from other wastes in accordance with the Regulation on Control of Medical Wastes.</w:t>
      </w:r>
    </w:p>
    <w:p w14:paraId="615083D6" w14:textId="77777777" w:rsidR="00921C59" w:rsidRPr="00175D8B" w:rsidRDefault="00921C59">
      <w:pPr>
        <w:numPr>
          <w:ilvl w:val="0"/>
          <w:numId w:val="88"/>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Project activities do not require the use of explosives. However, if necessary, waste explosives will be stored in containers of the same type as the original but marked as explosive waste and transported by licensed companies.</w:t>
      </w:r>
    </w:p>
    <w:p w14:paraId="68DE8FB1" w14:textId="77777777" w:rsidR="00921C59" w:rsidRPr="00175D8B" w:rsidRDefault="00921C59" w:rsidP="00DD7A56">
      <w:pPr>
        <w:spacing w:after="160"/>
        <w:rPr>
          <w:rFonts w:eastAsia="Aptos" w:cs="Aptos"/>
          <w:i/>
          <w:kern w:val="0"/>
          <w:szCs w:val="22"/>
          <w:lang w:eastAsia="tr-TR"/>
          <w14:ligatures w14:val="none"/>
        </w:rPr>
      </w:pPr>
      <w:r w:rsidRPr="00175D8B">
        <w:rPr>
          <w:rFonts w:eastAsia="Aptos" w:cs="Aptos"/>
          <w:i/>
          <w:kern w:val="0"/>
          <w:szCs w:val="22"/>
          <w:lang w:eastAsia="tr-TR"/>
          <w14:ligatures w14:val="none"/>
        </w:rPr>
        <w:t>Excavation, Construction and Demolition Wastes</w:t>
      </w:r>
    </w:p>
    <w:p w14:paraId="3D3B692B"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Soil and rock materials excavated during the land preparation and construction phase will be reused on site as much as possible. In addition to the excess excavation material to be generated, the following practices will be conducted for the management of other construction and demolition wastes:</w:t>
      </w:r>
    </w:p>
    <w:p w14:paraId="2B3E77BB" w14:textId="77777777" w:rsidR="00921C59" w:rsidRPr="00175D8B" w:rsidRDefault="00921C59">
      <w:pPr>
        <w:numPr>
          <w:ilvl w:val="0"/>
          <w:numId w:val="89"/>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Excavation, construction, and demolition wastes will not be disposed of at the construction site, under any circumstances.</w:t>
      </w:r>
    </w:p>
    <w:p w14:paraId="168403FF" w14:textId="77777777" w:rsidR="00921C59" w:rsidRPr="00175D8B" w:rsidRDefault="00921C59">
      <w:pPr>
        <w:numPr>
          <w:ilvl w:val="0"/>
          <w:numId w:val="89"/>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Only the part of cut trees and shrubs such as small branches, leaves that is not collected by the relevant forestry authority will be left on the site, as this material will contribute to increased local flora growth through soil fertilization.</w:t>
      </w:r>
    </w:p>
    <w:p w14:paraId="619A16EA" w14:textId="77777777" w:rsidR="00921C59" w:rsidRPr="00175D8B" w:rsidRDefault="00921C59">
      <w:pPr>
        <w:numPr>
          <w:ilvl w:val="0"/>
          <w:numId w:val="89"/>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Areas used for temporary storage of excavation waste will be restored as soon as the excavation works/construction activities in each relevant area are concluded.</w:t>
      </w:r>
    </w:p>
    <w:p w14:paraId="6F6E0192" w14:textId="77777777" w:rsidR="00921C59" w:rsidRPr="00175D8B" w:rsidRDefault="00921C59">
      <w:pPr>
        <w:numPr>
          <w:ilvl w:val="0"/>
          <w:numId w:val="89"/>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Topsoil will be taken separately from the excavation material.</w:t>
      </w:r>
    </w:p>
    <w:p w14:paraId="6A3F33D3" w14:textId="77777777" w:rsidR="00921C59" w:rsidRPr="00175D8B" w:rsidRDefault="00921C59" w:rsidP="00DD7A56">
      <w:pPr>
        <w:pBdr>
          <w:top w:val="nil"/>
          <w:left w:val="nil"/>
          <w:bottom w:val="nil"/>
          <w:right w:val="nil"/>
          <w:between w:val="nil"/>
        </w:pBdr>
        <w:spacing w:after="0"/>
        <w:ind w:left="720"/>
        <w:rPr>
          <w:rFonts w:eastAsia="Aptos" w:cs="Aptos"/>
          <w:color w:val="000000"/>
          <w:kern w:val="0"/>
          <w:szCs w:val="22"/>
          <w:lang w:eastAsia="tr-TR"/>
          <w14:ligatures w14:val="none"/>
        </w:rPr>
      </w:pPr>
    </w:p>
    <w:p w14:paraId="15B4142D" w14:textId="77777777" w:rsidR="00921C59" w:rsidRPr="00175D8B" w:rsidRDefault="00921C59" w:rsidP="002550A6">
      <w:pPr>
        <w:spacing w:after="160"/>
        <w:rPr>
          <w:rFonts w:eastAsia="Aptos" w:cs="Aptos"/>
          <w:b/>
          <w:bCs/>
          <w:kern w:val="0"/>
          <w:szCs w:val="22"/>
          <w:lang w:eastAsia="tr-TR"/>
          <w14:ligatures w14:val="none"/>
        </w:rPr>
      </w:pPr>
      <w:bookmarkStart w:id="519" w:name="_3z7bk57" w:colFirst="0" w:colLast="0"/>
      <w:bookmarkEnd w:id="519"/>
      <w:r w:rsidRPr="00175D8B">
        <w:rPr>
          <w:rFonts w:eastAsia="Aptos" w:cs="Aptos"/>
          <w:b/>
          <w:bCs/>
          <w:kern w:val="0"/>
          <w:szCs w:val="22"/>
          <w:lang w:eastAsia="tr-TR"/>
          <w14:ligatures w14:val="none"/>
        </w:rPr>
        <w:t>4.3.3.</w:t>
      </w:r>
      <w:r w:rsidRPr="00175D8B">
        <w:rPr>
          <w:rFonts w:eastAsia="Aptos" w:cs="Aptos"/>
          <w:b/>
          <w:bCs/>
          <w:kern w:val="0"/>
          <w:szCs w:val="22"/>
          <w:lang w:eastAsia="tr-TR"/>
          <w14:ligatures w14:val="none"/>
        </w:rPr>
        <w:tab/>
        <w:t>Transportation and Disposal</w:t>
      </w:r>
    </w:p>
    <w:p w14:paraId="3876B2C1" w14:textId="77777777" w:rsidR="00921C59" w:rsidRPr="00175D8B" w:rsidRDefault="00921C59" w:rsidP="00DD7A56">
      <w:pPr>
        <w:spacing w:after="160"/>
        <w:rPr>
          <w:rFonts w:eastAsia="Aptos" w:cs="Aptos"/>
          <w:i/>
          <w:kern w:val="0"/>
          <w:szCs w:val="22"/>
          <w:lang w:eastAsia="tr-TR"/>
          <w14:ligatures w14:val="none"/>
        </w:rPr>
      </w:pPr>
      <w:r w:rsidRPr="00175D8B">
        <w:rPr>
          <w:rFonts w:eastAsia="Aptos" w:cs="Aptos"/>
          <w:i/>
          <w:kern w:val="0"/>
          <w:szCs w:val="22"/>
          <w:lang w:eastAsia="tr-TR"/>
          <w14:ligatures w14:val="none"/>
        </w:rPr>
        <w:t>Non-Hazardous Wastes</w:t>
      </w:r>
    </w:p>
    <w:p w14:paraId="3CB456A1"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The following management controls will be implemented for the transport and recycling, recovery, and disposal of non-hazardous wastes:</w:t>
      </w:r>
    </w:p>
    <w:p w14:paraId="6D6C2106" w14:textId="77777777" w:rsidR="00921C59" w:rsidRPr="00175D8B" w:rsidRDefault="00921C59">
      <w:pPr>
        <w:numPr>
          <w:ilvl w:val="0"/>
          <w:numId w:val="90"/>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 protocol will be signed with the relevant municipality for the transportation of domestic wastes to the sanitary landfill.</w:t>
      </w:r>
    </w:p>
    <w:p w14:paraId="683BC868" w14:textId="77777777" w:rsidR="00921C59" w:rsidRPr="00175D8B" w:rsidRDefault="00921C59">
      <w:pPr>
        <w:numPr>
          <w:ilvl w:val="0"/>
          <w:numId w:val="9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Agreements will be signed with licensed companies for the transport of separated recyclable waste and packaging waste.</w:t>
      </w:r>
    </w:p>
    <w:p w14:paraId="588426E8" w14:textId="77777777" w:rsidR="00921C59" w:rsidRPr="00175D8B" w:rsidRDefault="00921C59">
      <w:pPr>
        <w:numPr>
          <w:ilvl w:val="0"/>
          <w:numId w:val="90"/>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The part of the excavation waste that cannot be reused at the construction site will be transported to the excavation, construction, and demolition waste disposal areas, which are </w:t>
      </w:r>
      <w:r w:rsidRPr="00175D8B">
        <w:rPr>
          <w:rFonts w:eastAsia="Aptos" w:cs="Aptos"/>
          <w:color w:val="000000"/>
          <w:kern w:val="0"/>
          <w:szCs w:val="22"/>
          <w:lang w:eastAsia="tr-TR"/>
          <w14:ligatures w14:val="none"/>
        </w:rPr>
        <w:lastRenderedPageBreak/>
        <w:t>approved by the relevant municipality. This process must comply with the Regulation on Control of Excavation, Construction and Demolition Wastes.</w:t>
      </w:r>
    </w:p>
    <w:p w14:paraId="60D5660D" w14:textId="77777777" w:rsidR="00921C59" w:rsidRPr="00175D8B" w:rsidRDefault="00921C59" w:rsidP="002550A6">
      <w:pPr>
        <w:numPr>
          <w:ilvl w:val="0"/>
          <w:numId w:val="90"/>
        </w:numPr>
        <w:pBdr>
          <w:top w:val="nil"/>
          <w:left w:val="nil"/>
          <w:bottom w:val="nil"/>
          <w:right w:val="nil"/>
          <w:between w:val="nil"/>
        </w:pBdr>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company's agreements with licensed waste facilities will be added to this plan.</w:t>
      </w:r>
    </w:p>
    <w:p w14:paraId="75B8DD68" w14:textId="77777777" w:rsidR="00921C59" w:rsidRPr="00175D8B" w:rsidRDefault="00921C59" w:rsidP="00DD7A56">
      <w:pPr>
        <w:spacing w:after="160"/>
        <w:rPr>
          <w:rFonts w:eastAsia="Aptos" w:cs="Aptos"/>
          <w:i/>
          <w:kern w:val="0"/>
          <w:szCs w:val="22"/>
          <w:lang w:eastAsia="tr-TR"/>
          <w14:ligatures w14:val="none"/>
        </w:rPr>
      </w:pPr>
      <w:r w:rsidRPr="00175D8B">
        <w:rPr>
          <w:rFonts w:eastAsia="Aptos" w:cs="Aptos"/>
          <w:i/>
          <w:kern w:val="0"/>
          <w:szCs w:val="22"/>
          <w:lang w:eastAsia="tr-TR"/>
          <w14:ligatures w14:val="none"/>
        </w:rPr>
        <w:t>Hazardous Waste</w:t>
      </w:r>
    </w:p>
    <w:p w14:paraId="5012D312"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The following management controls will be implemented for the transport and reuse, recovery, recycling, and disposal of hazardous waste:</w:t>
      </w:r>
    </w:p>
    <w:p w14:paraId="7D382FC7" w14:textId="77777777" w:rsidR="00921C59" w:rsidRPr="00175D8B" w:rsidRDefault="00921C59">
      <w:pPr>
        <w:numPr>
          <w:ilvl w:val="0"/>
          <w:numId w:val="91"/>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Hazardous wastes will be transported out of the construction site when the storage at the construction site approaches the maximum storage capacity levels. Hazardous wastes will be securely packaged and labeled before they are removed from the site to ensure they are transported safely to an approved landfill without harming the collectors or the environment.</w:t>
      </w:r>
    </w:p>
    <w:p w14:paraId="6F8DE81D" w14:textId="77777777" w:rsidR="00921C59" w:rsidRPr="00175D8B" w:rsidRDefault="00921C59">
      <w:pPr>
        <w:numPr>
          <w:ilvl w:val="0"/>
          <w:numId w:val="9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Waste batteries and accumulators collected separately; will be delivered to collection points established by municipalities or businesses engaged in the recovery, distribution, and sale of battery products. </w:t>
      </w:r>
    </w:p>
    <w:p w14:paraId="320EA66F" w14:textId="77777777" w:rsidR="00921C59" w:rsidRPr="00175D8B" w:rsidRDefault="00921C59">
      <w:pPr>
        <w:numPr>
          <w:ilvl w:val="0"/>
          <w:numId w:val="9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Waste tires; will be handed over to licensed transport, recycling or (as fuel) reuse companies.</w:t>
      </w:r>
    </w:p>
    <w:p w14:paraId="7713BA93" w14:textId="77777777" w:rsidR="00921C59" w:rsidRPr="00175D8B" w:rsidRDefault="00921C59">
      <w:pPr>
        <w:numPr>
          <w:ilvl w:val="0"/>
          <w:numId w:val="9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Medical wastes will be sent to a nearby health facility or medical waste disposal company under the supervision of the workplace physician.</w:t>
      </w:r>
    </w:p>
    <w:p w14:paraId="4AE999D4" w14:textId="77777777" w:rsidR="00921C59" w:rsidRPr="00175D8B" w:rsidRDefault="00921C59">
      <w:pPr>
        <w:numPr>
          <w:ilvl w:val="0"/>
          <w:numId w:val="9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Waste oils will be transported to licensed processing and disposal facilities by licensed carriers. Before the transportation, the National Transportation Form will be filled, and the annual waste oil declaration form will be submitted to the relevant authorities.</w:t>
      </w:r>
    </w:p>
    <w:p w14:paraId="7EBF40BD" w14:textId="77777777" w:rsidR="00921C59" w:rsidRPr="00175D8B" w:rsidRDefault="00921C59">
      <w:pPr>
        <w:numPr>
          <w:ilvl w:val="0"/>
          <w:numId w:val="9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Waste vegetable oils collected in special containers will be sent to licensed companies for reuse/recovery.</w:t>
      </w:r>
    </w:p>
    <w:p w14:paraId="0A2393FD" w14:textId="77777777" w:rsidR="00921C59" w:rsidRPr="00175D8B" w:rsidRDefault="00921C59">
      <w:pPr>
        <w:numPr>
          <w:ilvl w:val="0"/>
          <w:numId w:val="91"/>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Licensed disposal facilities will be used for the transportation and disposal of other hazardous wastes.</w:t>
      </w:r>
    </w:p>
    <w:p w14:paraId="11F1182C" w14:textId="77777777" w:rsidR="00921C59" w:rsidRPr="00175D8B" w:rsidRDefault="00921C59" w:rsidP="002550A6">
      <w:pPr>
        <w:numPr>
          <w:ilvl w:val="0"/>
          <w:numId w:val="91"/>
        </w:numPr>
        <w:pBdr>
          <w:top w:val="nil"/>
          <w:left w:val="nil"/>
          <w:bottom w:val="nil"/>
          <w:right w:val="nil"/>
          <w:between w:val="nil"/>
        </w:pBdr>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company's agreements with licensed waste facilities will be added to this plan.</w:t>
      </w:r>
    </w:p>
    <w:p w14:paraId="6938F97E" w14:textId="33243670" w:rsidR="00921C59" w:rsidRPr="00175D8B" w:rsidRDefault="005C5DEE">
      <w:pPr>
        <w:rPr>
          <w:b/>
          <w:bCs/>
          <w:lang w:eastAsia="tr-TR"/>
        </w:rPr>
      </w:pPr>
      <w:bookmarkStart w:id="520" w:name="_2eclud0" w:colFirst="0" w:colLast="0"/>
      <w:bookmarkEnd w:id="520"/>
      <w:r w:rsidRPr="00175D8B">
        <w:rPr>
          <w:b/>
          <w:bCs/>
          <w:lang w:eastAsia="tr-TR"/>
        </w:rPr>
        <w:t xml:space="preserve">5. </w:t>
      </w:r>
      <w:r w:rsidR="00921C59" w:rsidRPr="00175D8B">
        <w:rPr>
          <w:b/>
          <w:bCs/>
          <w:lang w:eastAsia="tr-TR"/>
        </w:rPr>
        <w:t xml:space="preserve">Monitoring and Reporting </w:t>
      </w:r>
    </w:p>
    <w:p w14:paraId="49C848BD" w14:textId="77777777" w:rsidR="00921C59" w:rsidRPr="00175D8B" w:rsidRDefault="00921C59">
      <w:pPr>
        <w:spacing w:after="160"/>
        <w:rPr>
          <w:rFonts w:eastAsia="Aptos" w:cs="Aptos"/>
          <w:kern w:val="0"/>
          <w:szCs w:val="22"/>
          <w:lang w:eastAsia="tr-TR"/>
          <w14:ligatures w14:val="none"/>
        </w:rPr>
      </w:pPr>
      <w:r w:rsidRPr="00175D8B">
        <w:rPr>
          <w:rFonts w:eastAsia="Aptos" w:cs="Aptos"/>
          <w:kern w:val="0"/>
          <w:szCs w:val="22"/>
          <w:lang w:eastAsia="tr-TR"/>
          <w14:ligatures w14:val="none"/>
        </w:rPr>
        <w:t>Waste types, amount of collected waste of each type and waste classifications will be recorded monthly. Records of generated waste, from the time of production to the destination, will be kept. A sample waste registration form for this purpose is presented in Annex-1.</w:t>
      </w:r>
    </w:p>
    <w:p w14:paraId="239B5F11" w14:textId="1E865D74"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Annual waste declaration forms (online internet-based system of the MoEUCC, http://online.cevre.gov.tr) and National Waste Transport Forms (template, given in Hazardous Waste </w:t>
      </w:r>
      <w:r w:rsidRPr="00175D8B">
        <w:rPr>
          <w:rFonts w:eastAsia="Aptos" w:cs="Aptos"/>
          <w:kern w:val="0"/>
          <w:szCs w:val="22"/>
          <w:lang w:eastAsia="tr-TR"/>
          <w14:ligatures w14:val="none"/>
        </w:rPr>
        <w:lastRenderedPageBreak/>
        <w:t xml:space="preserve">Control Regulation – Annex </w:t>
      </w:r>
      <w:r w:rsidR="00365CEA" w:rsidRPr="00175D8B">
        <w:rPr>
          <w:rFonts w:eastAsia="Aptos" w:cs="Aptos"/>
          <w:kern w:val="0"/>
          <w:szCs w:val="22"/>
          <w:lang w:eastAsia="tr-TR"/>
          <w14:ligatures w14:val="none"/>
        </w:rPr>
        <w:t>8</w:t>
      </w:r>
      <w:r w:rsidRPr="00175D8B">
        <w:rPr>
          <w:rFonts w:eastAsia="Aptos" w:cs="Aptos"/>
          <w:kern w:val="0"/>
          <w:szCs w:val="22"/>
          <w:lang w:eastAsia="tr-TR"/>
          <w14:ligatures w14:val="none"/>
        </w:rPr>
        <w:t>-A, which was repealed on April 2, 2016) will be stored at the construction site for 5 years.</w:t>
      </w:r>
    </w:p>
    <w:p w14:paraId="1A9AD1F1"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During the construction and operation phase, daily inspections will be conducted regarding the management of waste at the construction site.</w:t>
      </w:r>
    </w:p>
    <w:p w14:paraId="4074B7F5"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A sample checklist of issues to be addressed during inspections is provided in Annex-2. In addition to these inspections, quarterly internal inspections will be conducted during the construction phase. Inspection and monitoring results will be presented to the PMU and the World Bank as part of the biennial report.</w:t>
      </w:r>
    </w:p>
    <w:p w14:paraId="58C20EB0"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Based on monitoring and inspection results, corrective and/or remedial actions will be determined and implemented. The performance of these activities will also be monitored and reported.</w:t>
      </w:r>
    </w:p>
    <w:p w14:paraId="27BA6A3A" w14:textId="51F89E85" w:rsidR="00921C59" w:rsidRPr="00175D8B" w:rsidRDefault="00921C59">
      <w:pPr>
        <w:pStyle w:val="ListeParagraf"/>
        <w:numPr>
          <w:ilvl w:val="0"/>
          <w:numId w:val="133"/>
        </w:numPr>
        <w:rPr>
          <w:b/>
          <w:bCs/>
        </w:rPr>
      </w:pPr>
      <w:bookmarkStart w:id="521" w:name="_thw4kt" w:colFirst="0" w:colLast="0"/>
      <w:bookmarkEnd w:id="521"/>
      <w:r w:rsidRPr="00175D8B">
        <w:rPr>
          <w:b/>
          <w:bCs/>
        </w:rPr>
        <w:t>Trainings</w:t>
      </w:r>
    </w:p>
    <w:p w14:paraId="358A0950"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The contractors will ensure that adequate training is provided to all personnel (including those of subcontractors, if any). The scope of the training covers the waste management duties and functions of workers; and ensures them to be aware of relevant aspects of this plan, relevant legislation and standards, and general waste management practices (e.g., tidiness, waste separation).</w:t>
      </w:r>
    </w:p>
    <w:p w14:paraId="0B941E87" w14:textId="77777777" w:rsidR="00921C59"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Details of the training (e.g., participants, topics, training hours provided) will be recorded and records kept on site. Personnel who routinely work with hazardous wastes and materials; will receive additional specialization training in which special handling, separation, labeling, storage, spill response and disposal requirements are explained in detail.</w:t>
      </w:r>
    </w:p>
    <w:p w14:paraId="4C63DA10" w14:textId="136D1287" w:rsidR="00921C59" w:rsidRPr="00175D8B" w:rsidRDefault="00921C59">
      <w:pPr>
        <w:pStyle w:val="ListeParagraf"/>
        <w:numPr>
          <w:ilvl w:val="0"/>
          <w:numId w:val="133"/>
        </w:numPr>
        <w:rPr>
          <w:b/>
          <w:bCs/>
          <w:lang w:eastAsia="tr-TR"/>
        </w:rPr>
      </w:pPr>
      <w:r w:rsidRPr="00175D8B">
        <w:rPr>
          <w:b/>
          <w:bCs/>
          <w:lang w:eastAsia="tr-TR"/>
        </w:rPr>
        <w:t>Review &amp; Update</w:t>
      </w:r>
    </w:p>
    <w:p w14:paraId="72DC3A0E" w14:textId="06987ACD" w:rsidR="0050644F" w:rsidRPr="00175D8B" w:rsidRDefault="00921C59" w:rsidP="00DD7A56">
      <w:pPr>
        <w:spacing w:after="160"/>
        <w:rPr>
          <w:rFonts w:eastAsia="Aptos" w:cs="Aptos"/>
          <w:kern w:val="0"/>
          <w:szCs w:val="22"/>
          <w:lang w:eastAsia="tr-TR"/>
          <w14:ligatures w14:val="none"/>
        </w:rPr>
      </w:pPr>
      <w:r w:rsidRPr="00175D8B">
        <w:rPr>
          <w:rFonts w:eastAsia="Aptos" w:cs="Aptos"/>
          <w:kern w:val="0"/>
          <w:szCs w:val="22"/>
          <w:lang w:eastAsia="tr-TR"/>
          <w14:ligatures w14:val="none"/>
        </w:rPr>
        <w:t>This Plan is a 'living' document and responsibilities, procedures and compliance actions should be updated if needed (for example, following a change in legislation). It is the responsibility of PMU and contractors to be fully aware of its contents. Contractors will provide relevant training to personnel and ensure that measures/commitments are implemented to ensure compliance with this Plan</w:t>
      </w:r>
      <w:r w:rsidR="00A00BA9">
        <w:rPr>
          <w:rFonts w:eastAsia="Aptos" w:cs="Aptos"/>
          <w:kern w:val="0"/>
          <w:szCs w:val="22"/>
          <w:lang w:eastAsia="tr-TR"/>
          <w14:ligatures w14:val="none"/>
        </w:rPr>
        <w:t>.</w:t>
      </w:r>
    </w:p>
    <w:p w14:paraId="0CB23636" w14:textId="77777777" w:rsidR="00921C59" w:rsidRPr="00175D8B" w:rsidRDefault="00921C59" w:rsidP="00921C59">
      <w:pPr>
        <w:spacing w:after="160"/>
        <w:rPr>
          <w:rFonts w:eastAsia="Aptos" w:cs="Aptos"/>
          <w:kern w:val="0"/>
          <w:sz w:val="20"/>
          <w:szCs w:val="20"/>
          <w:lang w:eastAsia="tr-TR"/>
          <w14:ligatures w14:val="none"/>
        </w:rPr>
      </w:pPr>
      <w:bookmarkStart w:id="522" w:name="_1smtxgf" w:colFirst="0" w:colLast="0"/>
      <w:bookmarkEnd w:id="522"/>
      <w:r w:rsidRPr="00175D8B">
        <w:rPr>
          <w:rFonts w:eastAsia="Aptos" w:cs="Aptos"/>
          <w:kern w:val="0"/>
          <w:sz w:val="20"/>
          <w:szCs w:val="20"/>
          <w:lang w:eastAsia="tr-TR"/>
          <w14:ligatures w14:val="none"/>
        </w:rPr>
        <w:t xml:space="preserve">Date (Month/Year): </w:t>
      </w:r>
      <w:r w:rsidRPr="00175D8B">
        <w:rPr>
          <w:rFonts w:eastAsia="Aptos" w:cs="Aptos"/>
          <w:kern w:val="0"/>
          <w:sz w:val="20"/>
          <w:szCs w:val="20"/>
          <w:lang w:eastAsia="tr-TR"/>
          <w14:ligatures w14:val="none"/>
        </w:rPr>
        <w:tab/>
      </w:r>
      <w:r w:rsidRPr="00175D8B">
        <w:rPr>
          <w:rFonts w:eastAsia="Aptos" w:cs="Aptos"/>
          <w:kern w:val="0"/>
          <w:sz w:val="20"/>
          <w:szCs w:val="20"/>
          <w:lang w:eastAsia="tr-TR"/>
          <w14:ligatures w14:val="none"/>
        </w:rPr>
        <w:tab/>
      </w:r>
      <w:r w:rsidRPr="00175D8B">
        <w:rPr>
          <w:rFonts w:eastAsia="Aptos" w:cs="Aptos"/>
          <w:kern w:val="0"/>
          <w:sz w:val="20"/>
          <w:szCs w:val="20"/>
          <w:lang w:eastAsia="tr-TR"/>
          <w14:ligatures w14:val="none"/>
        </w:rPr>
        <w:tab/>
      </w:r>
      <w:r w:rsidRPr="00175D8B">
        <w:rPr>
          <w:rFonts w:eastAsia="Aptos" w:cs="Aptos"/>
          <w:kern w:val="0"/>
          <w:sz w:val="20"/>
          <w:szCs w:val="20"/>
          <w:lang w:eastAsia="tr-TR"/>
          <w14:ligatures w14:val="none"/>
        </w:rPr>
        <w:tab/>
      </w:r>
      <w:r w:rsidRPr="00175D8B">
        <w:rPr>
          <w:rFonts w:eastAsia="Aptos" w:cs="Aptos"/>
          <w:kern w:val="0"/>
          <w:sz w:val="20"/>
          <w:szCs w:val="20"/>
          <w:lang w:eastAsia="tr-TR"/>
          <w14:ligatures w14:val="none"/>
        </w:rPr>
        <w:tab/>
      </w:r>
      <w:r w:rsidRPr="00175D8B">
        <w:rPr>
          <w:rFonts w:eastAsia="Aptos" w:cs="Aptos"/>
          <w:kern w:val="0"/>
          <w:sz w:val="20"/>
          <w:szCs w:val="20"/>
          <w:lang w:eastAsia="tr-TR"/>
          <w14:ligatures w14:val="none"/>
        </w:rPr>
        <w:tab/>
      </w:r>
      <w:r w:rsidRPr="00175D8B">
        <w:rPr>
          <w:rFonts w:eastAsia="Aptos" w:cs="Aptos"/>
          <w:kern w:val="0"/>
          <w:sz w:val="20"/>
          <w:szCs w:val="20"/>
          <w:lang w:eastAsia="tr-TR"/>
          <w14:ligatures w14:val="none"/>
        </w:rPr>
        <w:tab/>
        <w:t xml:space="preserve">Waste Registration Form No: </w:t>
      </w:r>
    </w:p>
    <w:tbl>
      <w:tblPr>
        <w:tblStyle w:val="24"/>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
        <w:gridCol w:w="732"/>
        <w:gridCol w:w="1825"/>
        <w:gridCol w:w="1070"/>
        <w:gridCol w:w="1201"/>
        <w:gridCol w:w="1312"/>
        <w:gridCol w:w="1172"/>
        <w:gridCol w:w="1242"/>
      </w:tblGrid>
      <w:tr w:rsidR="00921C59" w:rsidRPr="00175D8B" w14:paraId="4FEC1B0D" w14:textId="77777777" w:rsidTr="002550A6">
        <w:trPr>
          <w:jc w:val="center"/>
        </w:trPr>
        <w:tc>
          <w:tcPr>
            <w:tcW w:w="518" w:type="dxa"/>
            <w:tcBorders>
              <w:top w:val="single" w:sz="4" w:space="0" w:color="000000"/>
              <w:left w:val="single" w:sz="4" w:space="0" w:color="000000"/>
              <w:bottom w:val="single" w:sz="4" w:space="0" w:color="000000"/>
              <w:right w:val="single" w:sz="4" w:space="0" w:color="000000"/>
            </w:tcBorders>
          </w:tcPr>
          <w:p w14:paraId="2BD67934" w14:textId="77777777" w:rsidR="00921C59" w:rsidRPr="00175D8B" w:rsidRDefault="00921C59" w:rsidP="00921C59">
            <w:pPr>
              <w:spacing w:after="0"/>
              <w:jc w:val="left"/>
              <w:rPr>
                <w:rFonts w:cs="Aptos"/>
                <w:b/>
                <w:sz w:val="20"/>
              </w:rPr>
            </w:pPr>
            <w:r w:rsidRPr="00175D8B">
              <w:rPr>
                <w:rFonts w:cs="Aptos"/>
                <w:b/>
                <w:sz w:val="20"/>
              </w:rPr>
              <w:t>No</w:t>
            </w:r>
          </w:p>
        </w:tc>
        <w:tc>
          <w:tcPr>
            <w:tcW w:w="732" w:type="dxa"/>
            <w:tcBorders>
              <w:top w:val="single" w:sz="4" w:space="0" w:color="000000"/>
              <w:left w:val="single" w:sz="4" w:space="0" w:color="000000"/>
              <w:bottom w:val="single" w:sz="4" w:space="0" w:color="000000"/>
              <w:right w:val="single" w:sz="4" w:space="0" w:color="000000"/>
            </w:tcBorders>
          </w:tcPr>
          <w:p w14:paraId="5DF49396" w14:textId="77777777" w:rsidR="00921C59" w:rsidRPr="00175D8B" w:rsidRDefault="00921C59" w:rsidP="00921C59">
            <w:pPr>
              <w:spacing w:after="0"/>
              <w:jc w:val="left"/>
              <w:rPr>
                <w:rFonts w:cs="Aptos"/>
                <w:b/>
                <w:sz w:val="20"/>
              </w:rPr>
            </w:pPr>
            <w:r w:rsidRPr="00175D8B">
              <w:rPr>
                <w:rFonts w:cs="Aptos"/>
                <w:b/>
                <w:sz w:val="20"/>
              </w:rPr>
              <w:t>Date</w:t>
            </w:r>
          </w:p>
        </w:tc>
        <w:tc>
          <w:tcPr>
            <w:tcW w:w="1825" w:type="dxa"/>
            <w:tcBorders>
              <w:top w:val="single" w:sz="4" w:space="0" w:color="000000"/>
              <w:left w:val="single" w:sz="4" w:space="0" w:color="000000"/>
              <w:bottom w:val="single" w:sz="4" w:space="0" w:color="000000"/>
              <w:right w:val="single" w:sz="4" w:space="0" w:color="000000"/>
            </w:tcBorders>
          </w:tcPr>
          <w:p w14:paraId="0ACEB737" w14:textId="77777777" w:rsidR="00921C59" w:rsidRPr="00175D8B" w:rsidRDefault="00921C59" w:rsidP="00921C59">
            <w:pPr>
              <w:spacing w:after="0"/>
              <w:jc w:val="left"/>
              <w:rPr>
                <w:rFonts w:cs="Aptos"/>
                <w:b/>
                <w:sz w:val="20"/>
              </w:rPr>
            </w:pPr>
            <w:r w:rsidRPr="00175D8B">
              <w:rPr>
                <w:rFonts w:cs="Aptos"/>
                <w:b/>
                <w:sz w:val="20"/>
              </w:rPr>
              <w:t>Waste Type (Hazardous/Non-Hazardous)</w:t>
            </w:r>
          </w:p>
        </w:tc>
        <w:tc>
          <w:tcPr>
            <w:tcW w:w="1070" w:type="dxa"/>
            <w:tcBorders>
              <w:top w:val="single" w:sz="4" w:space="0" w:color="000000"/>
              <w:left w:val="single" w:sz="4" w:space="0" w:color="000000"/>
              <w:bottom w:val="single" w:sz="4" w:space="0" w:color="000000"/>
              <w:right w:val="single" w:sz="4" w:space="0" w:color="000000"/>
            </w:tcBorders>
          </w:tcPr>
          <w:p w14:paraId="375764AA" w14:textId="77777777" w:rsidR="00921C59" w:rsidRPr="00175D8B" w:rsidRDefault="00921C59" w:rsidP="00921C59">
            <w:pPr>
              <w:spacing w:after="0"/>
              <w:jc w:val="left"/>
              <w:rPr>
                <w:rFonts w:cs="Aptos"/>
                <w:b/>
                <w:sz w:val="20"/>
              </w:rPr>
            </w:pPr>
            <w:r w:rsidRPr="00175D8B">
              <w:rPr>
                <w:rFonts w:cs="Aptos"/>
                <w:b/>
                <w:sz w:val="20"/>
              </w:rPr>
              <w:t>Subtype</w:t>
            </w:r>
          </w:p>
        </w:tc>
        <w:tc>
          <w:tcPr>
            <w:tcW w:w="1201" w:type="dxa"/>
            <w:tcBorders>
              <w:top w:val="single" w:sz="4" w:space="0" w:color="000000"/>
              <w:left w:val="single" w:sz="4" w:space="0" w:color="000000"/>
              <w:bottom w:val="single" w:sz="4" w:space="0" w:color="000000"/>
              <w:right w:val="single" w:sz="4" w:space="0" w:color="000000"/>
            </w:tcBorders>
          </w:tcPr>
          <w:p w14:paraId="2EBDA3A1" w14:textId="77777777" w:rsidR="00921C59" w:rsidRPr="00175D8B" w:rsidRDefault="00921C59" w:rsidP="00921C59">
            <w:pPr>
              <w:spacing w:after="0"/>
              <w:jc w:val="left"/>
              <w:rPr>
                <w:rFonts w:cs="Aptos"/>
                <w:b/>
                <w:sz w:val="20"/>
              </w:rPr>
            </w:pPr>
            <w:r w:rsidRPr="00175D8B">
              <w:rPr>
                <w:rFonts w:cs="Aptos"/>
                <w:b/>
                <w:sz w:val="20"/>
              </w:rPr>
              <w:t>Waste Amount (ton/m</w:t>
            </w:r>
            <w:r w:rsidRPr="00175D8B">
              <w:rPr>
                <w:rFonts w:cs="Aptos"/>
                <w:b/>
                <w:sz w:val="20"/>
                <w:vertAlign w:val="superscript"/>
              </w:rPr>
              <w:t>3</w:t>
            </w:r>
            <w:r w:rsidRPr="00175D8B">
              <w:rPr>
                <w:rFonts w:cs="Aptos"/>
                <w:b/>
                <w:sz w:val="20"/>
              </w:rPr>
              <w:t>)</w:t>
            </w:r>
          </w:p>
        </w:tc>
        <w:tc>
          <w:tcPr>
            <w:tcW w:w="1312" w:type="dxa"/>
            <w:tcBorders>
              <w:top w:val="single" w:sz="4" w:space="0" w:color="000000"/>
              <w:left w:val="single" w:sz="4" w:space="0" w:color="000000"/>
              <w:bottom w:val="single" w:sz="4" w:space="0" w:color="000000"/>
              <w:right w:val="single" w:sz="4" w:space="0" w:color="000000"/>
            </w:tcBorders>
          </w:tcPr>
          <w:p w14:paraId="3C3B111C" w14:textId="77777777" w:rsidR="00921C59" w:rsidRPr="00175D8B" w:rsidRDefault="00921C59" w:rsidP="00921C59">
            <w:pPr>
              <w:spacing w:after="0"/>
              <w:jc w:val="left"/>
              <w:rPr>
                <w:rFonts w:cs="Aptos"/>
                <w:b/>
                <w:sz w:val="20"/>
              </w:rPr>
            </w:pPr>
            <w:r w:rsidRPr="00175D8B">
              <w:rPr>
                <w:rFonts w:cs="Aptos"/>
                <w:b/>
                <w:sz w:val="20"/>
              </w:rPr>
              <w:t>Transporter</w:t>
            </w:r>
          </w:p>
        </w:tc>
        <w:tc>
          <w:tcPr>
            <w:tcW w:w="1172" w:type="dxa"/>
            <w:tcBorders>
              <w:top w:val="single" w:sz="4" w:space="0" w:color="000000"/>
              <w:left w:val="single" w:sz="4" w:space="0" w:color="000000"/>
              <w:bottom w:val="single" w:sz="4" w:space="0" w:color="000000"/>
              <w:right w:val="single" w:sz="4" w:space="0" w:color="000000"/>
            </w:tcBorders>
          </w:tcPr>
          <w:p w14:paraId="410C2CCC" w14:textId="77777777" w:rsidR="00921C59" w:rsidRPr="00175D8B" w:rsidRDefault="00921C59" w:rsidP="00921C59">
            <w:pPr>
              <w:spacing w:after="0"/>
              <w:jc w:val="left"/>
              <w:rPr>
                <w:rFonts w:cs="Aptos"/>
                <w:b/>
                <w:sz w:val="20"/>
              </w:rPr>
            </w:pPr>
            <w:r w:rsidRPr="00175D8B">
              <w:rPr>
                <w:rFonts w:cs="Aptos"/>
                <w:b/>
                <w:sz w:val="20"/>
              </w:rPr>
              <w:t>Disposal</w:t>
            </w:r>
          </w:p>
        </w:tc>
        <w:tc>
          <w:tcPr>
            <w:tcW w:w="1242" w:type="dxa"/>
            <w:tcBorders>
              <w:top w:val="single" w:sz="4" w:space="0" w:color="000000"/>
              <w:left w:val="single" w:sz="4" w:space="0" w:color="000000"/>
              <w:bottom w:val="single" w:sz="4" w:space="0" w:color="000000"/>
              <w:right w:val="single" w:sz="4" w:space="0" w:color="000000"/>
            </w:tcBorders>
          </w:tcPr>
          <w:p w14:paraId="0B1F6ED8" w14:textId="77777777" w:rsidR="00921C59" w:rsidRPr="00175D8B" w:rsidRDefault="00921C59" w:rsidP="00921C59">
            <w:pPr>
              <w:spacing w:after="0"/>
              <w:jc w:val="left"/>
              <w:rPr>
                <w:rFonts w:cs="Aptos"/>
                <w:b/>
                <w:sz w:val="20"/>
              </w:rPr>
            </w:pPr>
            <w:r w:rsidRPr="00175D8B">
              <w:rPr>
                <w:rFonts w:cs="Aptos"/>
                <w:b/>
                <w:sz w:val="20"/>
              </w:rPr>
              <w:t>Disposal Method</w:t>
            </w:r>
          </w:p>
        </w:tc>
      </w:tr>
      <w:tr w:rsidR="00921C59" w:rsidRPr="00175D8B" w14:paraId="4D2E41CF" w14:textId="77777777" w:rsidTr="002550A6">
        <w:trPr>
          <w:jc w:val="center"/>
        </w:trPr>
        <w:tc>
          <w:tcPr>
            <w:tcW w:w="518" w:type="dxa"/>
            <w:tcBorders>
              <w:top w:val="single" w:sz="4" w:space="0" w:color="000000"/>
              <w:left w:val="single" w:sz="4" w:space="0" w:color="000000"/>
              <w:bottom w:val="single" w:sz="4" w:space="0" w:color="000000"/>
              <w:right w:val="single" w:sz="4" w:space="0" w:color="000000"/>
            </w:tcBorders>
          </w:tcPr>
          <w:p w14:paraId="2FD69F9C" w14:textId="77777777" w:rsidR="00921C59" w:rsidRPr="00175D8B" w:rsidRDefault="00921C59" w:rsidP="00921C59">
            <w:pPr>
              <w:spacing w:after="0"/>
              <w:rPr>
                <w:rFonts w:cs="Aptos"/>
                <w:sz w:val="20"/>
              </w:rPr>
            </w:pPr>
            <w:r w:rsidRPr="00175D8B">
              <w:rPr>
                <w:rFonts w:cs="Aptos"/>
                <w:sz w:val="20"/>
              </w:rPr>
              <w:t>1</w:t>
            </w:r>
          </w:p>
        </w:tc>
        <w:tc>
          <w:tcPr>
            <w:tcW w:w="732" w:type="dxa"/>
            <w:tcBorders>
              <w:top w:val="single" w:sz="4" w:space="0" w:color="000000"/>
              <w:left w:val="single" w:sz="4" w:space="0" w:color="000000"/>
              <w:bottom w:val="single" w:sz="4" w:space="0" w:color="000000"/>
              <w:right w:val="single" w:sz="4" w:space="0" w:color="000000"/>
            </w:tcBorders>
          </w:tcPr>
          <w:p w14:paraId="57B5EE00" w14:textId="77777777" w:rsidR="00921C59" w:rsidRPr="00175D8B" w:rsidRDefault="00921C59" w:rsidP="00921C59">
            <w:pPr>
              <w:spacing w:after="0"/>
              <w:rPr>
                <w:rFonts w:cs="Aptos"/>
                <w:sz w:val="20"/>
              </w:rPr>
            </w:pPr>
          </w:p>
        </w:tc>
        <w:tc>
          <w:tcPr>
            <w:tcW w:w="1825" w:type="dxa"/>
            <w:tcBorders>
              <w:top w:val="single" w:sz="4" w:space="0" w:color="000000"/>
              <w:left w:val="single" w:sz="4" w:space="0" w:color="000000"/>
              <w:bottom w:val="single" w:sz="4" w:space="0" w:color="000000"/>
              <w:right w:val="single" w:sz="4" w:space="0" w:color="000000"/>
            </w:tcBorders>
          </w:tcPr>
          <w:p w14:paraId="79785707" w14:textId="77777777" w:rsidR="00921C59" w:rsidRPr="00175D8B" w:rsidRDefault="00921C59" w:rsidP="00921C59">
            <w:pPr>
              <w:spacing w:after="0"/>
              <w:rPr>
                <w:rFonts w:cs="Aptos"/>
                <w:sz w:val="20"/>
              </w:rPr>
            </w:pPr>
          </w:p>
        </w:tc>
        <w:tc>
          <w:tcPr>
            <w:tcW w:w="1070" w:type="dxa"/>
            <w:tcBorders>
              <w:top w:val="single" w:sz="4" w:space="0" w:color="000000"/>
              <w:left w:val="single" w:sz="4" w:space="0" w:color="000000"/>
              <w:bottom w:val="single" w:sz="4" w:space="0" w:color="000000"/>
              <w:right w:val="single" w:sz="4" w:space="0" w:color="000000"/>
            </w:tcBorders>
          </w:tcPr>
          <w:p w14:paraId="18AFB05D" w14:textId="77777777" w:rsidR="00921C59" w:rsidRPr="00175D8B" w:rsidRDefault="00921C59" w:rsidP="00921C59">
            <w:pPr>
              <w:spacing w:after="0"/>
              <w:rPr>
                <w:rFonts w:cs="Aptos"/>
                <w:sz w:val="20"/>
              </w:rPr>
            </w:pPr>
          </w:p>
        </w:tc>
        <w:tc>
          <w:tcPr>
            <w:tcW w:w="1201" w:type="dxa"/>
            <w:tcBorders>
              <w:top w:val="single" w:sz="4" w:space="0" w:color="000000"/>
              <w:left w:val="single" w:sz="4" w:space="0" w:color="000000"/>
              <w:bottom w:val="single" w:sz="4" w:space="0" w:color="000000"/>
              <w:right w:val="single" w:sz="4" w:space="0" w:color="000000"/>
            </w:tcBorders>
          </w:tcPr>
          <w:p w14:paraId="270DAD56" w14:textId="77777777" w:rsidR="00921C59" w:rsidRPr="00175D8B" w:rsidRDefault="00921C59" w:rsidP="00921C59">
            <w:pPr>
              <w:spacing w:after="0"/>
              <w:rPr>
                <w:rFonts w:cs="Aptos"/>
                <w:sz w:val="20"/>
              </w:rPr>
            </w:pPr>
          </w:p>
        </w:tc>
        <w:tc>
          <w:tcPr>
            <w:tcW w:w="1312" w:type="dxa"/>
            <w:tcBorders>
              <w:top w:val="single" w:sz="4" w:space="0" w:color="000000"/>
              <w:left w:val="single" w:sz="4" w:space="0" w:color="000000"/>
              <w:bottom w:val="single" w:sz="4" w:space="0" w:color="000000"/>
              <w:right w:val="single" w:sz="4" w:space="0" w:color="000000"/>
            </w:tcBorders>
          </w:tcPr>
          <w:p w14:paraId="52BF9601" w14:textId="77777777" w:rsidR="00921C59" w:rsidRPr="00175D8B" w:rsidRDefault="00921C59" w:rsidP="00921C59">
            <w:pPr>
              <w:spacing w:after="0"/>
              <w:rPr>
                <w:rFonts w:cs="Aptos"/>
                <w:sz w:val="20"/>
              </w:rPr>
            </w:pPr>
          </w:p>
        </w:tc>
        <w:tc>
          <w:tcPr>
            <w:tcW w:w="1172" w:type="dxa"/>
            <w:tcBorders>
              <w:top w:val="single" w:sz="4" w:space="0" w:color="000000"/>
              <w:left w:val="single" w:sz="4" w:space="0" w:color="000000"/>
              <w:bottom w:val="single" w:sz="4" w:space="0" w:color="000000"/>
              <w:right w:val="single" w:sz="4" w:space="0" w:color="000000"/>
            </w:tcBorders>
          </w:tcPr>
          <w:p w14:paraId="1AEA956F" w14:textId="77777777" w:rsidR="00921C59" w:rsidRPr="00175D8B" w:rsidRDefault="00921C59" w:rsidP="00921C59">
            <w:pPr>
              <w:spacing w:after="0"/>
              <w:rPr>
                <w:rFonts w:cs="Aptos"/>
                <w:sz w:val="20"/>
              </w:rPr>
            </w:pPr>
          </w:p>
        </w:tc>
        <w:tc>
          <w:tcPr>
            <w:tcW w:w="1242" w:type="dxa"/>
            <w:tcBorders>
              <w:top w:val="single" w:sz="4" w:space="0" w:color="000000"/>
              <w:left w:val="single" w:sz="4" w:space="0" w:color="000000"/>
              <w:bottom w:val="single" w:sz="4" w:space="0" w:color="000000"/>
              <w:right w:val="single" w:sz="4" w:space="0" w:color="000000"/>
            </w:tcBorders>
          </w:tcPr>
          <w:p w14:paraId="34737A79" w14:textId="77777777" w:rsidR="00921C59" w:rsidRPr="00175D8B" w:rsidRDefault="00921C59" w:rsidP="00921C59">
            <w:pPr>
              <w:spacing w:after="0"/>
              <w:rPr>
                <w:rFonts w:cs="Aptos"/>
                <w:sz w:val="20"/>
              </w:rPr>
            </w:pPr>
          </w:p>
        </w:tc>
      </w:tr>
      <w:tr w:rsidR="00921C59" w:rsidRPr="00175D8B" w14:paraId="61F1E17F" w14:textId="77777777" w:rsidTr="002550A6">
        <w:trPr>
          <w:jc w:val="center"/>
        </w:trPr>
        <w:tc>
          <w:tcPr>
            <w:tcW w:w="518" w:type="dxa"/>
            <w:tcBorders>
              <w:top w:val="single" w:sz="4" w:space="0" w:color="000000"/>
              <w:left w:val="single" w:sz="4" w:space="0" w:color="000000"/>
              <w:bottom w:val="single" w:sz="4" w:space="0" w:color="000000"/>
              <w:right w:val="single" w:sz="4" w:space="0" w:color="000000"/>
            </w:tcBorders>
          </w:tcPr>
          <w:p w14:paraId="029F717A" w14:textId="77777777" w:rsidR="00921C59" w:rsidRPr="00175D8B" w:rsidRDefault="00921C59" w:rsidP="00921C59">
            <w:pPr>
              <w:spacing w:after="0"/>
              <w:rPr>
                <w:rFonts w:cs="Aptos"/>
                <w:sz w:val="20"/>
              </w:rPr>
            </w:pPr>
            <w:r w:rsidRPr="00175D8B">
              <w:rPr>
                <w:rFonts w:cs="Aptos"/>
                <w:sz w:val="20"/>
              </w:rPr>
              <w:t>2</w:t>
            </w:r>
          </w:p>
        </w:tc>
        <w:tc>
          <w:tcPr>
            <w:tcW w:w="732" w:type="dxa"/>
            <w:tcBorders>
              <w:top w:val="single" w:sz="4" w:space="0" w:color="000000"/>
              <w:left w:val="single" w:sz="4" w:space="0" w:color="000000"/>
              <w:bottom w:val="single" w:sz="4" w:space="0" w:color="000000"/>
              <w:right w:val="single" w:sz="4" w:space="0" w:color="000000"/>
            </w:tcBorders>
          </w:tcPr>
          <w:p w14:paraId="39D10F8A" w14:textId="77777777" w:rsidR="00921C59" w:rsidRPr="00175D8B" w:rsidRDefault="00921C59" w:rsidP="00921C59">
            <w:pPr>
              <w:spacing w:after="0"/>
              <w:rPr>
                <w:rFonts w:cs="Aptos"/>
                <w:sz w:val="20"/>
              </w:rPr>
            </w:pPr>
          </w:p>
        </w:tc>
        <w:tc>
          <w:tcPr>
            <w:tcW w:w="1825" w:type="dxa"/>
            <w:tcBorders>
              <w:top w:val="single" w:sz="4" w:space="0" w:color="000000"/>
              <w:left w:val="single" w:sz="4" w:space="0" w:color="000000"/>
              <w:bottom w:val="single" w:sz="4" w:space="0" w:color="000000"/>
              <w:right w:val="single" w:sz="4" w:space="0" w:color="000000"/>
            </w:tcBorders>
          </w:tcPr>
          <w:p w14:paraId="244E0025" w14:textId="77777777" w:rsidR="00921C59" w:rsidRPr="00175D8B" w:rsidRDefault="00921C59" w:rsidP="00921C59">
            <w:pPr>
              <w:spacing w:after="0"/>
              <w:rPr>
                <w:rFonts w:cs="Aptos"/>
                <w:sz w:val="20"/>
              </w:rPr>
            </w:pPr>
          </w:p>
        </w:tc>
        <w:tc>
          <w:tcPr>
            <w:tcW w:w="1070" w:type="dxa"/>
            <w:tcBorders>
              <w:top w:val="single" w:sz="4" w:space="0" w:color="000000"/>
              <w:left w:val="single" w:sz="4" w:space="0" w:color="000000"/>
              <w:bottom w:val="single" w:sz="4" w:space="0" w:color="000000"/>
              <w:right w:val="single" w:sz="4" w:space="0" w:color="000000"/>
            </w:tcBorders>
          </w:tcPr>
          <w:p w14:paraId="5F686235" w14:textId="77777777" w:rsidR="00921C59" w:rsidRPr="00175D8B" w:rsidRDefault="00921C59" w:rsidP="00921C59">
            <w:pPr>
              <w:spacing w:after="0"/>
              <w:rPr>
                <w:rFonts w:cs="Aptos"/>
                <w:sz w:val="20"/>
              </w:rPr>
            </w:pPr>
          </w:p>
        </w:tc>
        <w:tc>
          <w:tcPr>
            <w:tcW w:w="1201" w:type="dxa"/>
            <w:tcBorders>
              <w:top w:val="single" w:sz="4" w:space="0" w:color="000000"/>
              <w:left w:val="single" w:sz="4" w:space="0" w:color="000000"/>
              <w:bottom w:val="single" w:sz="4" w:space="0" w:color="000000"/>
              <w:right w:val="single" w:sz="4" w:space="0" w:color="000000"/>
            </w:tcBorders>
          </w:tcPr>
          <w:p w14:paraId="428C7221" w14:textId="77777777" w:rsidR="00921C59" w:rsidRPr="00175D8B" w:rsidRDefault="00921C59" w:rsidP="00921C59">
            <w:pPr>
              <w:spacing w:after="0"/>
              <w:rPr>
                <w:rFonts w:cs="Aptos"/>
                <w:sz w:val="20"/>
              </w:rPr>
            </w:pPr>
          </w:p>
        </w:tc>
        <w:tc>
          <w:tcPr>
            <w:tcW w:w="1312" w:type="dxa"/>
            <w:tcBorders>
              <w:top w:val="single" w:sz="4" w:space="0" w:color="000000"/>
              <w:left w:val="single" w:sz="4" w:space="0" w:color="000000"/>
              <w:bottom w:val="single" w:sz="4" w:space="0" w:color="000000"/>
              <w:right w:val="single" w:sz="4" w:space="0" w:color="000000"/>
            </w:tcBorders>
          </w:tcPr>
          <w:p w14:paraId="210344E4" w14:textId="77777777" w:rsidR="00921C59" w:rsidRPr="00175D8B" w:rsidRDefault="00921C59" w:rsidP="00921C59">
            <w:pPr>
              <w:spacing w:after="0"/>
              <w:rPr>
                <w:rFonts w:cs="Aptos"/>
                <w:sz w:val="20"/>
              </w:rPr>
            </w:pPr>
          </w:p>
        </w:tc>
        <w:tc>
          <w:tcPr>
            <w:tcW w:w="1172" w:type="dxa"/>
            <w:tcBorders>
              <w:top w:val="single" w:sz="4" w:space="0" w:color="000000"/>
              <w:left w:val="single" w:sz="4" w:space="0" w:color="000000"/>
              <w:bottom w:val="single" w:sz="4" w:space="0" w:color="000000"/>
              <w:right w:val="single" w:sz="4" w:space="0" w:color="000000"/>
            </w:tcBorders>
          </w:tcPr>
          <w:p w14:paraId="15769DB2" w14:textId="77777777" w:rsidR="00921C59" w:rsidRPr="00175D8B" w:rsidRDefault="00921C59" w:rsidP="00921C59">
            <w:pPr>
              <w:spacing w:after="0"/>
              <w:rPr>
                <w:rFonts w:cs="Aptos"/>
                <w:sz w:val="20"/>
              </w:rPr>
            </w:pPr>
          </w:p>
        </w:tc>
        <w:tc>
          <w:tcPr>
            <w:tcW w:w="1242" w:type="dxa"/>
            <w:tcBorders>
              <w:top w:val="single" w:sz="4" w:space="0" w:color="000000"/>
              <w:left w:val="single" w:sz="4" w:space="0" w:color="000000"/>
              <w:bottom w:val="single" w:sz="4" w:space="0" w:color="000000"/>
              <w:right w:val="single" w:sz="4" w:space="0" w:color="000000"/>
            </w:tcBorders>
          </w:tcPr>
          <w:p w14:paraId="028C785B" w14:textId="77777777" w:rsidR="00921C59" w:rsidRPr="00175D8B" w:rsidRDefault="00921C59" w:rsidP="00921C59">
            <w:pPr>
              <w:spacing w:after="0"/>
              <w:rPr>
                <w:rFonts w:cs="Aptos"/>
                <w:sz w:val="20"/>
              </w:rPr>
            </w:pPr>
          </w:p>
        </w:tc>
      </w:tr>
      <w:tr w:rsidR="00921C59" w:rsidRPr="00175D8B" w14:paraId="72EB8A3D" w14:textId="77777777" w:rsidTr="002550A6">
        <w:trPr>
          <w:jc w:val="center"/>
        </w:trPr>
        <w:tc>
          <w:tcPr>
            <w:tcW w:w="518" w:type="dxa"/>
            <w:tcBorders>
              <w:top w:val="single" w:sz="4" w:space="0" w:color="000000"/>
              <w:left w:val="single" w:sz="4" w:space="0" w:color="000000"/>
              <w:bottom w:val="single" w:sz="4" w:space="0" w:color="000000"/>
              <w:right w:val="single" w:sz="4" w:space="0" w:color="000000"/>
            </w:tcBorders>
          </w:tcPr>
          <w:p w14:paraId="1764A5F3" w14:textId="77777777" w:rsidR="00921C59" w:rsidRPr="00175D8B" w:rsidRDefault="00921C59" w:rsidP="00921C59">
            <w:pPr>
              <w:spacing w:after="0"/>
              <w:rPr>
                <w:rFonts w:cs="Aptos"/>
                <w:sz w:val="20"/>
              </w:rPr>
            </w:pPr>
            <w:r w:rsidRPr="00175D8B">
              <w:rPr>
                <w:rFonts w:cs="Aptos"/>
                <w:sz w:val="20"/>
              </w:rPr>
              <w:lastRenderedPageBreak/>
              <w:t>3</w:t>
            </w:r>
          </w:p>
        </w:tc>
        <w:tc>
          <w:tcPr>
            <w:tcW w:w="732" w:type="dxa"/>
            <w:tcBorders>
              <w:top w:val="single" w:sz="4" w:space="0" w:color="000000"/>
              <w:left w:val="single" w:sz="4" w:space="0" w:color="000000"/>
              <w:bottom w:val="single" w:sz="4" w:space="0" w:color="000000"/>
              <w:right w:val="single" w:sz="4" w:space="0" w:color="000000"/>
            </w:tcBorders>
          </w:tcPr>
          <w:p w14:paraId="0B3F1979" w14:textId="77777777" w:rsidR="00921C59" w:rsidRPr="00175D8B" w:rsidRDefault="00921C59" w:rsidP="00921C59">
            <w:pPr>
              <w:spacing w:after="0"/>
              <w:rPr>
                <w:rFonts w:cs="Aptos"/>
                <w:sz w:val="20"/>
              </w:rPr>
            </w:pPr>
          </w:p>
        </w:tc>
        <w:tc>
          <w:tcPr>
            <w:tcW w:w="1825" w:type="dxa"/>
            <w:tcBorders>
              <w:top w:val="single" w:sz="4" w:space="0" w:color="000000"/>
              <w:left w:val="single" w:sz="4" w:space="0" w:color="000000"/>
              <w:bottom w:val="single" w:sz="4" w:space="0" w:color="000000"/>
              <w:right w:val="single" w:sz="4" w:space="0" w:color="000000"/>
            </w:tcBorders>
          </w:tcPr>
          <w:p w14:paraId="0EC0E14B" w14:textId="77777777" w:rsidR="00921C59" w:rsidRPr="00175D8B" w:rsidRDefault="00921C59" w:rsidP="00921C59">
            <w:pPr>
              <w:spacing w:after="0"/>
              <w:rPr>
                <w:rFonts w:cs="Aptos"/>
                <w:sz w:val="20"/>
              </w:rPr>
            </w:pPr>
          </w:p>
        </w:tc>
        <w:tc>
          <w:tcPr>
            <w:tcW w:w="1070" w:type="dxa"/>
            <w:tcBorders>
              <w:top w:val="single" w:sz="4" w:space="0" w:color="000000"/>
              <w:left w:val="single" w:sz="4" w:space="0" w:color="000000"/>
              <w:bottom w:val="single" w:sz="4" w:space="0" w:color="000000"/>
              <w:right w:val="single" w:sz="4" w:space="0" w:color="000000"/>
            </w:tcBorders>
          </w:tcPr>
          <w:p w14:paraId="188FC5C7" w14:textId="77777777" w:rsidR="00921C59" w:rsidRPr="00175D8B" w:rsidRDefault="00921C59" w:rsidP="00921C59">
            <w:pPr>
              <w:spacing w:after="0"/>
              <w:rPr>
                <w:rFonts w:cs="Aptos"/>
                <w:sz w:val="20"/>
              </w:rPr>
            </w:pPr>
          </w:p>
        </w:tc>
        <w:tc>
          <w:tcPr>
            <w:tcW w:w="1201" w:type="dxa"/>
            <w:tcBorders>
              <w:top w:val="single" w:sz="4" w:space="0" w:color="000000"/>
              <w:left w:val="single" w:sz="4" w:space="0" w:color="000000"/>
              <w:bottom w:val="single" w:sz="4" w:space="0" w:color="000000"/>
              <w:right w:val="single" w:sz="4" w:space="0" w:color="000000"/>
            </w:tcBorders>
          </w:tcPr>
          <w:p w14:paraId="5EA31A5D" w14:textId="77777777" w:rsidR="00921C59" w:rsidRPr="00175D8B" w:rsidRDefault="00921C59" w:rsidP="00921C59">
            <w:pPr>
              <w:spacing w:after="0"/>
              <w:rPr>
                <w:rFonts w:cs="Aptos"/>
                <w:sz w:val="20"/>
              </w:rPr>
            </w:pPr>
          </w:p>
        </w:tc>
        <w:tc>
          <w:tcPr>
            <w:tcW w:w="1312" w:type="dxa"/>
            <w:tcBorders>
              <w:top w:val="single" w:sz="4" w:space="0" w:color="000000"/>
              <w:left w:val="single" w:sz="4" w:space="0" w:color="000000"/>
              <w:bottom w:val="single" w:sz="4" w:space="0" w:color="000000"/>
              <w:right w:val="single" w:sz="4" w:space="0" w:color="000000"/>
            </w:tcBorders>
          </w:tcPr>
          <w:p w14:paraId="32374F08" w14:textId="77777777" w:rsidR="00921C59" w:rsidRPr="00175D8B" w:rsidRDefault="00921C59" w:rsidP="00921C59">
            <w:pPr>
              <w:spacing w:after="0"/>
              <w:rPr>
                <w:rFonts w:cs="Aptos"/>
                <w:sz w:val="20"/>
              </w:rPr>
            </w:pPr>
          </w:p>
        </w:tc>
        <w:tc>
          <w:tcPr>
            <w:tcW w:w="1172" w:type="dxa"/>
            <w:tcBorders>
              <w:top w:val="single" w:sz="4" w:space="0" w:color="000000"/>
              <w:left w:val="single" w:sz="4" w:space="0" w:color="000000"/>
              <w:bottom w:val="single" w:sz="4" w:space="0" w:color="000000"/>
              <w:right w:val="single" w:sz="4" w:space="0" w:color="000000"/>
            </w:tcBorders>
          </w:tcPr>
          <w:p w14:paraId="0EDFB94E" w14:textId="77777777" w:rsidR="00921C59" w:rsidRPr="00175D8B" w:rsidRDefault="00921C59" w:rsidP="00921C59">
            <w:pPr>
              <w:spacing w:after="0"/>
              <w:rPr>
                <w:rFonts w:cs="Aptos"/>
                <w:sz w:val="20"/>
              </w:rPr>
            </w:pPr>
          </w:p>
        </w:tc>
        <w:tc>
          <w:tcPr>
            <w:tcW w:w="1242" w:type="dxa"/>
            <w:tcBorders>
              <w:top w:val="single" w:sz="4" w:space="0" w:color="000000"/>
              <w:left w:val="single" w:sz="4" w:space="0" w:color="000000"/>
              <w:bottom w:val="single" w:sz="4" w:space="0" w:color="000000"/>
              <w:right w:val="single" w:sz="4" w:space="0" w:color="000000"/>
            </w:tcBorders>
          </w:tcPr>
          <w:p w14:paraId="37D49F2E" w14:textId="77777777" w:rsidR="00921C59" w:rsidRPr="00175D8B" w:rsidRDefault="00921C59" w:rsidP="00921C59">
            <w:pPr>
              <w:spacing w:after="0"/>
              <w:rPr>
                <w:rFonts w:cs="Aptos"/>
                <w:sz w:val="20"/>
              </w:rPr>
            </w:pPr>
          </w:p>
        </w:tc>
      </w:tr>
      <w:tr w:rsidR="00921C59" w:rsidRPr="00175D8B" w14:paraId="1C3026E4" w14:textId="77777777" w:rsidTr="002550A6">
        <w:trPr>
          <w:jc w:val="center"/>
        </w:trPr>
        <w:tc>
          <w:tcPr>
            <w:tcW w:w="518" w:type="dxa"/>
            <w:tcBorders>
              <w:top w:val="single" w:sz="4" w:space="0" w:color="000000"/>
              <w:left w:val="single" w:sz="4" w:space="0" w:color="000000"/>
              <w:bottom w:val="single" w:sz="4" w:space="0" w:color="000000"/>
              <w:right w:val="single" w:sz="4" w:space="0" w:color="000000"/>
            </w:tcBorders>
          </w:tcPr>
          <w:p w14:paraId="512340E4" w14:textId="77777777" w:rsidR="00921C59" w:rsidRPr="00175D8B" w:rsidRDefault="00921C59" w:rsidP="00921C59">
            <w:pPr>
              <w:spacing w:after="0"/>
              <w:rPr>
                <w:rFonts w:cs="Aptos"/>
                <w:sz w:val="20"/>
              </w:rPr>
            </w:pPr>
            <w:r w:rsidRPr="00175D8B">
              <w:rPr>
                <w:rFonts w:cs="Aptos"/>
                <w:sz w:val="20"/>
              </w:rPr>
              <w:t>4</w:t>
            </w:r>
          </w:p>
        </w:tc>
        <w:tc>
          <w:tcPr>
            <w:tcW w:w="732" w:type="dxa"/>
            <w:tcBorders>
              <w:top w:val="single" w:sz="4" w:space="0" w:color="000000"/>
              <w:left w:val="single" w:sz="4" w:space="0" w:color="000000"/>
              <w:bottom w:val="single" w:sz="4" w:space="0" w:color="000000"/>
              <w:right w:val="single" w:sz="4" w:space="0" w:color="000000"/>
            </w:tcBorders>
          </w:tcPr>
          <w:p w14:paraId="507D590C" w14:textId="77777777" w:rsidR="00921C59" w:rsidRPr="00175D8B" w:rsidRDefault="00921C59" w:rsidP="00921C59">
            <w:pPr>
              <w:spacing w:after="0"/>
              <w:rPr>
                <w:rFonts w:cs="Aptos"/>
                <w:sz w:val="20"/>
              </w:rPr>
            </w:pPr>
          </w:p>
        </w:tc>
        <w:tc>
          <w:tcPr>
            <w:tcW w:w="1825" w:type="dxa"/>
            <w:tcBorders>
              <w:top w:val="single" w:sz="4" w:space="0" w:color="000000"/>
              <w:left w:val="single" w:sz="4" w:space="0" w:color="000000"/>
              <w:bottom w:val="single" w:sz="4" w:space="0" w:color="000000"/>
              <w:right w:val="single" w:sz="4" w:space="0" w:color="000000"/>
            </w:tcBorders>
          </w:tcPr>
          <w:p w14:paraId="73CE029D" w14:textId="77777777" w:rsidR="00921C59" w:rsidRPr="00175D8B" w:rsidRDefault="00921C59" w:rsidP="00921C59">
            <w:pPr>
              <w:spacing w:after="0"/>
              <w:rPr>
                <w:rFonts w:cs="Aptos"/>
                <w:sz w:val="20"/>
              </w:rPr>
            </w:pPr>
          </w:p>
        </w:tc>
        <w:tc>
          <w:tcPr>
            <w:tcW w:w="1070" w:type="dxa"/>
            <w:tcBorders>
              <w:top w:val="single" w:sz="4" w:space="0" w:color="000000"/>
              <w:left w:val="single" w:sz="4" w:space="0" w:color="000000"/>
              <w:bottom w:val="single" w:sz="4" w:space="0" w:color="000000"/>
              <w:right w:val="single" w:sz="4" w:space="0" w:color="000000"/>
            </w:tcBorders>
          </w:tcPr>
          <w:p w14:paraId="41473865" w14:textId="77777777" w:rsidR="00921C59" w:rsidRPr="00175D8B" w:rsidRDefault="00921C59" w:rsidP="00921C59">
            <w:pPr>
              <w:spacing w:after="0"/>
              <w:rPr>
                <w:rFonts w:cs="Aptos"/>
                <w:sz w:val="20"/>
              </w:rPr>
            </w:pPr>
          </w:p>
        </w:tc>
        <w:tc>
          <w:tcPr>
            <w:tcW w:w="1201" w:type="dxa"/>
            <w:tcBorders>
              <w:top w:val="single" w:sz="4" w:space="0" w:color="000000"/>
              <w:left w:val="single" w:sz="4" w:space="0" w:color="000000"/>
              <w:bottom w:val="single" w:sz="4" w:space="0" w:color="000000"/>
              <w:right w:val="single" w:sz="4" w:space="0" w:color="000000"/>
            </w:tcBorders>
          </w:tcPr>
          <w:p w14:paraId="644B622A" w14:textId="77777777" w:rsidR="00921C59" w:rsidRPr="00175D8B" w:rsidRDefault="00921C59" w:rsidP="00921C59">
            <w:pPr>
              <w:spacing w:after="0"/>
              <w:rPr>
                <w:rFonts w:cs="Aptos"/>
                <w:sz w:val="20"/>
              </w:rPr>
            </w:pPr>
          </w:p>
        </w:tc>
        <w:tc>
          <w:tcPr>
            <w:tcW w:w="1312" w:type="dxa"/>
            <w:tcBorders>
              <w:top w:val="single" w:sz="4" w:space="0" w:color="000000"/>
              <w:left w:val="single" w:sz="4" w:space="0" w:color="000000"/>
              <w:bottom w:val="single" w:sz="4" w:space="0" w:color="000000"/>
              <w:right w:val="single" w:sz="4" w:space="0" w:color="000000"/>
            </w:tcBorders>
          </w:tcPr>
          <w:p w14:paraId="3B01DF8B" w14:textId="77777777" w:rsidR="00921C59" w:rsidRPr="00175D8B" w:rsidRDefault="00921C59" w:rsidP="00921C59">
            <w:pPr>
              <w:spacing w:after="0"/>
              <w:rPr>
                <w:rFonts w:cs="Aptos"/>
                <w:sz w:val="20"/>
              </w:rPr>
            </w:pPr>
          </w:p>
        </w:tc>
        <w:tc>
          <w:tcPr>
            <w:tcW w:w="1172" w:type="dxa"/>
            <w:tcBorders>
              <w:top w:val="single" w:sz="4" w:space="0" w:color="000000"/>
              <w:left w:val="single" w:sz="4" w:space="0" w:color="000000"/>
              <w:bottom w:val="single" w:sz="4" w:space="0" w:color="000000"/>
              <w:right w:val="single" w:sz="4" w:space="0" w:color="000000"/>
            </w:tcBorders>
          </w:tcPr>
          <w:p w14:paraId="51E99BC1" w14:textId="77777777" w:rsidR="00921C59" w:rsidRPr="00175D8B" w:rsidRDefault="00921C59" w:rsidP="00921C59">
            <w:pPr>
              <w:spacing w:after="0"/>
              <w:rPr>
                <w:rFonts w:cs="Aptos"/>
                <w:sz w:val="20"/>
              </w:rPr>
            </w:pPr>
          </w:p>
        </w:tc>
        <w:tc>
          <w:tcPr>
            <w:tcW w:w="1242" w:type="dxa"/>
            <w:tcBorders>
              <w:top w:val="single" w:sz="4" w:space="0" w:color="000000"/>
              <w:left w:val="single" w:sz="4" w:space="0" w:color="000000"/>
              <w:bottom w:val="single" w:sz="4" w:space="0" w:color="000000"/>
              <w:right w:val="single" w:sz="4" w:space="0" w:color="000000"/>
            </w:tcBorders>
          </w:tcPr>
          <w:p w14:paraId="0A09272A" w14:textId="77777777" w:rsidR="00921C59" w:rsidRPr="00175D8B" w:rsidRDefault="00921C59" w:rsidP="00921C59">
            <w:pPr>
              <w:spacing w:after="0"/>
              <w:rPr>
                <w:rFonts w:cs="Aptos"/>
                <w:sz w:val="20"/>
              </w:rPr>
            </w:pPr>
          </w:p>
        </w:tc>
      </w:tr>
      <w:tr w:rsidR="00921C59" w:rsidRPr="00175D8B" w14:paraId="6F58FE77" w14:textId="77777777" w:rsidTr="002550A6">
        <w:trPr>
          <w:jc w:val="center"/>
        </w:trPr>
        <w:tc>
          <w:tcPr>
            <w:tcW w:w="518" w:type="dxa"/>
            <w:tcBorders>
              <w:top w:val="single" w:sz="4" w:space="0" w:color="000000"/>
              <w:left w:val="single" w:sz="4" w:space="0" w:color="000000"/>
              <w:bottom w:val="single" w:sz="4" w:space="0" w:color="000000"/>
              <w:right w:val="single" w:sz="4" w:space="0" w:color="000000"/>
            </w:tcBorders>
          </w:tcPr>
          <w:p w14:paraId="7E50A7E1" w14:textId="77777777" w:rsidR="00921C59" w:rsidRPr="00175D8B" w:rsidRDefault="00921C59" w:rsidP="00921C59">
            <w:pPr>
              <w:spacing w:after="0"/>
              <w:rPr>
                <w:rFonts w:cs="Aptos"/>
                <w:sz w:val="20"/>
              </w:rPr>
            </w:pPr>
            <w:r w:rsidRPr="00175D8B">
              <w:rPr>
                <w:rFonts w:cs="Aptos"/>
                <w:sz w:val="20"/>
              </w:rPr>
              <w:t>5</w:t>
            </w:r>
          </w:p>
        </w:tc>
        <w:tc>
          <w:tcPr>
            <w:tcW w:w="732" w:type="dxa"/>
            <w:tcBorders>
              <w:top w:val="single" w:sz="4" w:space="0" w:color="000000"/>
              <w:left w:val="single" w:sz="4" w:space="0" w:color="000000"/>
              <w:bottom w:val="single" w:sz="4" w:space="0" w:color="000000"/>
              <w:right w:val="single" w:sz="4" w:space="0" w:color="000000"/>
            </w:tcBorders>
          </w:tcPr>
          <w:p w14:paraId="774565A3" w14:textId="77777777" w:rsidR="00921C59" w:rsidRPr="00175D8B" w:rsidRDefault="00921C59" w:rsidP="00921C59">
            <w:pPr>
              <w:spacing w:after="0"/>
              <w:rPr>
                <w:rFonts w:cs="Aptos"/>
                <w:sz w:val="20"/>
              </w:rPr>
            </w:pPr>
          </w:p>
        </w:tc>
        <w:tc>
          <w:tcPr>
            <w:tcW w:w="1825" w:type="dxa"/>
            <w:tcBorders>
              <w:top w:val="single" w:sz="4" w:space="0" w:color="000000"/>
              <w:left w:val="single" w:sz="4" w:space="0" w:color="000000"/>
              <w:bottom w:val="single" w:sz="4" w:space="0" w:color="000000"/>
              <w:right w:val="single" w:sz="4" w:space="0" w:color="000000"/>
            </w:tcBorders>
          </w:tcPr>
          <w:p w14:paraId="3C5904A4" w14:textId="77777777" w:rsidR="00921C59" w:rsidRPr="00175D8B" w:rsidRDefault="00921C59" w:rsidP="00921C59">
            <w:pPr>
              <w:spacing w:after="0"/>
              <w:rPr>
                <w:rFonts w:cs="Aptos"/>
                <w:sz w:val="20"/>
              </w:rPr>
            </w:pPr>
          </w:p>
        </w:tc>
        <w:tc>
          <w:tcPr>
            <w:tcW w:w="1070" w:type="dxa"/>
            <w:tcBorders>
              <w:top w:val="single" w:sz="4" w:space="0" w:color="000000"/>
              <w:left w:val="single" w:sz="4" w:space="0" w:color="000000"/>
              <w:bottom w:val="single" w:sz="4" w:space="0" w:color="000000"/>
              <w:right w:val="single" w:sz="4" w:space="0" w:color="000000"/>
            </w:tcBorders>
          </w:tcPr>
          <w:p w14:paraId="3E13ED1B" w14:textId="77777777" w:rsidR="00921C59" w:rsidRPr="00175D8B" w:rsidRDefault="00921C59" w:rsidP="00921C59">
            <w:pPr>
              <w:spacing w:after="0"/>
              <w:rPr>
                <w:rFonts w:cs="Aptos"/>
                <w:sz w:val="20"/>
              </w:rPr>
            </w:pPr>
          </w:p>
        </w:tc>
        <w:tc>
          <w:tcPr>
            <w:tcW w:w="1201" w:type="dxa"/>
            <w:tcBorders>
              <w:top w:val="single" w:sz="4" w:space="0" w:color="000000"/>
              <w:left w:val="single" w:sz="4" w:space="0" w:color="000000"/>
              <w:bottom w:val="single" w:sz="4" w:space="0" w:color="000000"/>
              <w:right w:val="single" w:sz="4" w:space="0" w:color="000000"/>
            </w:tcBorders>
          </w:tcPr>
          <w:p w14:paraId="1D7C035F" w14:textId="77777777" w:rsidR="00921C59" w:rsidRPr="00175D8B" w:rsidRDefault="00921C59" w:rsidP="00921C59">
            <w:pPr>
              <w:spacing w:after="0"/>
              <w:rPr>
                <w:rFonts w:cs="Aptos"/>
                <w:sz w:val="20"/>
              </w:rPr>
            </w:pPr>
          </w:p>
        </w:tc>
        <w:tc>
          <w:tcPr>
            <w:tcW w:w="1312" w:type="dxa"/>
            <w:tcBorders>
              <w:top w:val="single" w:sz="4" w:space="0" w:color="000000"/>
              <w:left w:val="single" w:sz="4" w:space="0" w:color="000000"/>
              <w:bottom w:val="single" w:sz="4" w:space="0" w:color="000000"/>
              <w:right w:val="single" w:sz="4" w:space="0" w:color="000000"/>
            </w:tcBorders>
          </w:tcPr>
          <w:p w14:paraId="399A0FD4" w14:textId="77777777" w:rsidR="00921C59" w:rsidRPr="00175D8B" w:rsidRDefault="00921C59" w:rsidP="00921C59">
            <w:pPr>
              <w:spacing w:after="0"/>
              <w:rPr>
                <w:rFonts w:cs="Aptos"/>
                <w:sz w:val="20"/>
              </w:rPr>
            </w:pPr>
          </w:p>
        </w:tc>
        <w:tc>
          <w:tcPr>
            <w:tcW w:w="1172" w:type="dxa"/>
            <w:tcBorders>
              <w:top w:val="single" w:sz="4" w:space="0" w:color="000000"/>
              <w:left w:val="single" w:sz="4" w:space="0" w:color="000000"/>
              <w:bottom w:val="single" w:sz="4" w:space="0" w:color="000000"/>
              <w:right w:val="single" w:sz="4" w:space="0" w:color="000000"/>
            </w:tcBorders>
          </w:tcPr>
          <w:p w14:paraId="665E1A52" w14:textId="77777777" w:rsidR="00921C59" w:rsidRPr="00175D8B" w:rsidRDefault="00921C59" w:rsidP="00921C59">
            <w:pPr>
              <w:spacing w:after="0"/>
              <w:rPr>
                <w:rFonts w:cs="Aptos"/>
                <w:sz w:val="20"/>
              </w:rPr>
            </w:pPr>
          </w:p>
        </w:tc>
        <w:tc>
          <w:tcPr>
            <w:tcW w:w="1242" w:type="dxa"/>
            <w:tcBorders>
              <w:top w:val="single" w:sz="4" w:space="0" w:color="000000"/>
              <w:left w:val="single" w:sz="4" w:space="0" w:color="000000"/>
              <w:bottom w:val="single" w:sz="4" w:space="0" w:color="000000"/>
              <w:right w:val="single" w:sz="4" w:space="0" w:color="000000"/>
            </w:tcBorders>
          </w:tcPr>
          <w:p w14:paraId="4324A19E" w14:textId="77777777" w:rsidR="00921C59" w:rsidRPr="00175D8B" w:rsidRDefault="00921C59" w:rsidP="00921C59">
            <w:pPr>
              <w:spacing w:after="0"/>
              <w:rPr>
                <w:rFonts w:cs="Aptos"/>
                <w:sz w:val="20"/>
              </w:rPr>
            </w:pPr>
          </w:p>
        </w:tc>
      </w:tr>
    </w:tbl>
    <w:p w14:paraId="79FF38A9" w14:textId="6003FC07" w:rsidR="006260C1" w:rsidRPr="00175D8B" w:rsidRDefault="006260C1">
      <w:pPr>
        <w:spacing w:after="160" w:line="278" w:lineRule="auto"/>
        <w:jc w:val="left"/>
      </w:pPr>
    </w:p>
    <w:p w14:paraId="31D83014" w14:textId="538D0F8C" w:rsidR="00E02AE5" w:rsidRPr="00175D8B" w:rsidRDefault="006260C1" w:rsidP="00A00BA9">
      <w:pPr>
        <w:pStyle w:val="Balk1"/>
        <w:rPr>
          <w:b/>
          <w:sz w:val="28"/>
          <w:szCs w:val="28"/>
        </w:rPr>
      </w:pPr>
      <w:r w:rsidRPr="00175D8B">
        <w:br w:type="page"/>
      </w:r>
      <w:bookmarkStart w:id="523" w:name="_Toc212541918"/>
      <w:bookmarkStart w:id="524" w:name="_Toc212542429"/>
      <w:bookmarkStart w:id="525" w:name="_Toc220672838"/>
      <w:r w:rsidR="00E02AE5" w:rsidRPr="00175D8B">
        <w:rPr>
          <w:b/>
          <w:sz w:val="28"/>
          <w:szCs w:val="28"/>
          <w:lang w:eastAsia="tr-TR"/>
        </w:rPr>
        <w:lastRenderedPageBreak/>
        <w:t xml:space="preserve">ANNEX </w:t>
      </w:r>
      <w:r w:rsidR="00A00BA9">
        <w:rPr>
          <w:b/>
          <w:sz w:val="28"/>
          <w:szCs w:val="28"/>
          <w:lang w:eastAsia="tr-TR"/>
        </w:rPr>
        <w:t>9</w:t>
      </w:r>
      <w:r w:rsidR="00E02AE5" w:rsidRPr="00175D8B">
        <w:rPr>
          <w:b/>
          <w:sz w:val="28"/>
          <w:szCs w:val="28"/>
          <w:lang w:eastAsia="tr-TR"/>
        </w:rPr>
        <w:t>- ASBESTOS MANAGEMENT PLAN</w:t>
      </w:r>
      <w:bookmarkEnd w:id="523"/>
      <w:bookmarkEnd w:id="524"/>
      <w:bookmarkEnd w:id="525"/>
    </w:p>
    <w:p w14:paraId="4DB93732" w14:textId="77777777" w:rsidR="00E02AE5" w:rsidRPr="00175D8B" w:rsidRDefault="00E02AE5">
      <w:pPr>
        <w:pStyle w:val="ListeParagraf"/>
        <w:numPr>
          <w:ilvl w:val="0"/>
          <w:numId w:val="32"/>
        </w:numPr>
        <w:rPr>
          <w:b/>
          <w:bCs/>
        </w:rPr>
      </w:pPr>
      <w:r w:rsidRPr="00175D8B">
        <w:rPr>
          <w:b/>
          <w:bCs/>
        </w:rPr>
        <w:t>Purpose and Scope</w:t>
      </w:r>
    </w:p>
    <w:p w14:paraId="55876163" w14:textId="77777777" w:rsidR="00E02AE5" w:rsidRPr="00175D8B" w:rsidRDefault="00E02AE5" w:rsidP="00E02AE5">
      <w:r w:rsidRPr="00175D8B">
        <w:t>This Asbestos Management Plan (AMP) explains how the risks arising from asbestos-containing materials should be managed in all subprojects. This AMP also specifies asbestos-related procedures within line the Climate and Disaster Resilient Cities Project (Project) and is designed to effectively manage and minimize asbestos-related health risks to those working on the Project.</w:t>
      </w:r>
    </w:p>
    <w:p w14:paraId="45B00634" w14:textId="77777777" w:rsidR="00E02AE5" w:rsidRPr="00175D8B" w:rsidRDefault="00E02AE5" w:rsidP="00E02AE5">
      <w:r w:rsidRPr="00175D8B">
        <w:t>This plan is applied to the employees of the Urban Transformation Presidency of the Ministry of Environment, Urbanization and Climate Change, and all contractors who will work in deconstruction and construction works to be assigned within the Project.</w:t>
      </w:r>
    </w:p>
    <w:p w14:paraId="0CEAE0AB" w14:textId="77777777" w:rsidR="00E02AE5" w:rsidRPr="00175D8B" w:rsidRDefault="00E02AE5" w:rsidP="00E02AE5">
      <w:pPr>
        <w:rPr>
          <w:b/>
          <w:bCs/>
        </w:rPr>
      </w:pPr>
      <w:r w:rsidRPr="00175D8B">
        <w:t>This Plan is a 'living' document and responsibilities, procedures and compliance actions should be updated as appropriate.</w:t>
      </w:r>
    </w:p>
    <w:p w14:paraId="29B9C98D" w14:textId="77777777" w:rsidR="00E02AE5" w:rsidRPr="00175D8B" w:rsidRDefault="00E02AE5">
      <w:pPr>
        <w:pStyle w:val="ListeParagraf"/>
        <w:numPr>
          <w:ilvl w:val="0"/>
          <w:numId w:val="32"/>
        </w:numPr>
        <w:rPr>
          <w:b/>
          <w:bCs/>
        </w:rPr>
      </w:pPr>
      <w:r w:rsidRPr="00175D8B">
        <w:rPr>
          <w:b/>
          <w:bCs/>
        </w:rPr>
        <w:t>Legal Requirements &amp; Standards</w:t>
      </w:r>
    </w:p>
    <w:p w14:paraId="5776005C" w14:textId="77777777" w:rsidR="00E02AE5" w:rsidRPr="00175D8B" w:rsidRDefault="00E02AE5">
      <w:pPr>
        <w:pStyle w:val="ListeParagraf"/>
        <w:numPr>
          <w:ilvl w:val="1"/>
          <w:numId w:val="32"/>
        </w:numPr>
        <w:rPr>
          <w:b/>
          <w:bCs/>
        </w:rPr>
      </w:pPr>
      <w:r w:rsidRPr="00175D8B">
        <w:rPr>
          <w:b/>
          <w:bCs/>
        </w:rPr>
        <w:t>National Legislation</w:t>
      </w:r>
    </w:p>
    <w:p w14:paraId="64F8B6F7" w14:textId="77777777" w:rsidR="00E02AE5" w:rsidRPr="00175D8B" w:rsidRDefault="00E02AE5" w:rsidP="00E02AE5">
      <w:r w:rsidRPr="00175D8B">
        <w:t>The rules regarding the use of asbestos in Türkiye are regulated by the regulations, communiqués, and standards of different ministries.</w:t>
      </w:r>
    </w:p>
    <w:p w14:paraId="34901100" w14:textId="77777777" w:rsidR="00E02AE5" w:rsidRPr="00175D8B" w:rsidRDefault="00E02AE5" w:rsidP="00E02AE5">
      <w:r w:rsidRPr="00175D8B">
        <w:t>In this context, the most important legislation is the Regulation on Health and Safety Precautions in Working with Asbestos, prepared by the Ministry of Labor and Social Security (MoLSS) and published in the Official Gazette (OG) dated 25/01/2013 and numbered 28539. With this legislation, regulations were made on the prevention of exposure of employees to asbestos dust in asbestos removal, deconstruction, repair, maintenance, and removal works, and protection from health risks arising from this exposure, and also on determination of limit values and other special precautions.</w:t>
      </w:r>
    </w:p>
    <w:p w14:paraId="15E8FCBA" w14:textId="77777777" w:rsidR="00E02AE5" w:rsidRPr="00175D8B" w:rsidRDefault="00E02AE5" w:rsidP="00E02AE5">
      <w:r w:rsidRPr="00175D8B">
        <w:t>With the Dust Fighting Regulation (Date of OG: 02/04/2015, No:29314), prepared by the MoLSS and published in the OG dated 05/11/2013 and numbered 28812; the procedures and principles regarding the necessary precautions to be taken in order to combat dust in terms of occupational health and safety and to protect the workers from the effects of dust and prevent the risks that may arise from dust in the workplaces, were determined.</w:t>
      </w:r>
    </w:p>
    <w:p w14:paraId="2AEF3D50" w14:textId="77777777" w:rsidR="007819D2" w:rsidRPr="00175D8B" w:rsidRDefault="007819D2" w:rsidP="007819D2">
      <w:r w:rsidRPr="00175D8B">
        <w:t xml:space="preserve">The most up-to-date regulation regarding asbestos safety in national legislation is the "TS 13633 Practice Rules for Complete and Partial Demolition of Buildings" standard, published by the Turkish Standards Institute. In the aforementioned standard, the basic principles of the operations regarding asbestos, which may cause significant health and safety risks, during the office work and field research </w:t>
      </w:r>
      <w:r w:rsidRPr="00175D8B">
        <w:lastRenderedPageBreak/>
        <w:t>to be performed before the complete and partial (restoration, deconstruction, etc.) demolition operations for the buildings are specified, and a special title is given on the subject of asbestos.</w:t>
      </w:r>
    </w:p>
    <w:p w14:paraId="3A1ECF72" w14:textId="77777777" w:rsidR="00E02AE5" w:rsidRPr="00175D8B" w:rsidRDefault="00E02AE5" w:rsidP="00E02AE5">
      <w:r w:rsidRPr="00175D8B">
        <w:t>With the Communiqué on Asbestos Removal Training Programs, prepared by the MoLSS and published in the OG dated 29/06/2015 and numbered 28692; procedures and principles regarding the qualifications, training, training programs and exams to be held at the end of the asbestos removal training of the specialists and the training, training programs and their certification of the asbestos removal workers who will take part in asbestos removal, deconstruction, repair, maintenance and removal works, were determined.</w:t>
      </w:r>
    </w:p>
    <w:p w14:paraId="4B090A6D" w14:textId="77777777" w:rsidR="00E02AE5" w:rsidRPr="00175D8B" w:rsidRDefault="00E02AE5" w:rsidP="00E02AE5">
      <w:r w:rsidRPr="00175D8B">
        <w:t>Issues related to the management of asbestos wastes in Türkiye are regulated by the Environmental Legislation. In accordance with this legislation, asbestos-containing waste is considered as “hazardous waste” and its packaging, transportation and disposal by storage should be conducted within this framework. The relevant legislation is presented below;</w:t>
      </w:r>
    </w:p>
    <w:p w14:paraId="34E1D269" w14:textId="77777777" w:rsidR="00E02AE5" w:rsidRPr="00175D8B" w:rsidRDefault="00E02AE5">
      <w:pPr>
        <w:numPr>
          <w:ilvl w:val="0"/>
          <w:numId w:val="60"/>
        </w:numPr>
      </w:pPr>
      <w:r w:rsidRPr="00175D8B">
        <w:t>Waste Management Regulation (Date of OG: 02/04/2015, No:29314)</w:t>
      </w:r>
    </w:p>
    <w:p w14:paraId="5651E5AD" w14:textId="77777777" w:rsidR="00E02AE5" w:rsidRPr="00175D8B" w:rsidRDefault="00E02AE5">
      <w:pPr>
        <w:numPr>
          <w:ilvl w:val="0"/>
          <w:numId w:val="60"/>
        </w:numPr>
      </w:pPr>
      <w:r w:rsidRPr="00175D8B">
        <w:t>Regulation on Regular Storage of Wastes (Date of OG: 26/03/2010, No: 27533)</w:t>
      </w:r>
    </w:p>
    <w:p w14:paraId="1EE50E64" w14:textId="77777777" w:rsidR="00E02AE5" w:rsidRPr="00175D8B" w:rsidRDefault="00E02AE5">
      <w:pPr>
        <w:pStyle w:val="ListeParagraf"/>
        <w:numPr>
          <w:ilvl w:val="1"/>
          <w:numId w:val="32"/>
        </w:numPr>
        <w:rPr>
          <w:b/>
          <w:bCs/>
        </w:rPr>
      </w:pPr>
      <w:r w:rsidRPr="00175D8B">
        <w:rPr>
          <w:b/>
          <w:bCs/>
        </w:rPr>
        <w:t>World Bank ESF Requirements</w:t>
      </w:r>
    </w:p>
    <w:p w14:paraId="5465E56C" w14:textId="77777777" w:rsidR="00E02AE5" w:rsidRPr="00175D8B" w:rsidRDefault="00E02AE5">
      <w:pPr>
        <w:pStyle w:val="ListeParagraf"/>
        <w:numPr>
          <w:ilvl w:val="2"/>
          <w:numId w:val="32"/>
        </w:numPr>
        <w:rPr>
          <w:b/>
          <w:bCs/>
          <w:u w:val="single"/>
        </w:rPr>
      </w:pPr>
      <w:r w:rsidRPr="00175D8B">
        <w:rPr>
          <w:b/>
          <w:bCs/>
          <w:u w:val="single"/>
        </w:rPr>
        <w:t>Resource Efficiency, Pollution Prevention and Management - ESS3</w:t>
      </w:r>
    </w:p>
    <w:p w14:paraId="641F4AEE" w14:textId="77777777" w:rsidR="00E02AE5" w:rsidRPr="00175D8B" w:rsidRDefault="00E02AE5" w:rsidP="00E02AE5">
      <w:r w:rsidRPr="00175D8B">
        <w:t>ESS3 recognizes that economic activity and urbanization often pollute the air, water and soil and consume limited resources that can threaten people, ecosystem services and the environment at local, regional, and global levels.</w:t>
      </w:r>
    </w:p>
    <w:p w14:paraId="1F8A7F7A" w14:textId="77777777" w:rsidR="00E02AE5" w:rsidRPr="00175D8B" w:rsidRDefault="00E02AE5" w:rsidP="00E02AE5">
      <w:r w:rsidRPr="00175D8B">
        <w:t>Hazardous wastes pose risks to human health, property, ecosystem services and the environment due to their physical or chemical properties. Wastes containing asbestos should be classified as hazardous waste.</w:t>
      </w:r>
    </w:p>
    <w:p w14:paraId="1F493E31" w14:textId="77777777" w:rsidR="00E02AE5" w:rsidRPr="00175D8B" w:rsidRDefault="00E02AE5" w:rsidP="00E02AE5">
      <w:r w:rsidRPr="00175D8B">
        <w:t xml:space="preserve">If the waste generated is considered hazardous, the Project is expected to comply with current requirements, national legislation, and applicable international conventions, including those related to cross-border movement, for the management of hazardous waste (including storage, transportation, and disposal). In the absence of such requirements, Good International Industrial Practice (GIIP) alternatives will be adopted for an environmentally valid and safe waste management and disposal. If hazardous waste management is conducted by third parties, they will use reputable and legitimate contractors that are licensed by the relevant governmental institutions and obtain chain of custody documentation regarding transportation and disposal to the final destination. </w:t>
      </w:r>
    </w:p>
    <w:p w14:paraId="57E3B398" w14:textId="77777777" w:rsidR="00E02AE5" w:rsidRPr="00175D8B" w:rsidRDefault="00E02AE5" w:rsidP="00E02AE5">
      <w:r w:rsidRPr="00175D8B">
        <w:lastRenderedPageBreak/>
        <w:t>Within the scope of the Project, licensed waste sites, which are operated at acceptable standards will be determined and these sites will be used. Where licensed sites are not operated to acceptable standards, waste sent to these sites will be minimized and alternative disposal options will be considered, including the possibility of developing recovery or disposal facilities at the Project site or elsewhere.</w:t>
      </w:r>
    </w:p>
    <w:p w14:paraId="556DA73C" w14:textId="77777777" w:rsidR="00E02AE5" w:rsidRPr="00175D8B" w:rsidRDefault="00E02AE5">
      <w:pPr>
        <w:pStyle w:val="ListeParagraf"/>
        <w:numPr>
          <w:ilvl w:val="2"/>
          <w:numId w:val="32"/>
        </w:numPr>
        <w:rPr>
          <w:b/>
          <w:bCs/>
          <w:color w:val="000000"/>
        </w:rPr>
      </w:pPr>
      <w:r w:rsidRPr="00175D8B">
        <w:rPr>
          <w:b/>
          <w:bCs/>
          <w:color w:val="000000"/>
        </w:rPr>
        <w:t>Community Health and Safety – ESS4</w:t>
      </w:r>
    </w:p>
    <w:p w14:paraId="6AB57A8B" w14:textId="77777777" w:rsidR="00E02AE5" w:rsidRPr="00175D8B" w:rsidRDefault="00E02AE5" w:rsidP="00E02AE5">
      <w:pPr>
        <w:rPr>
          <w:color w:val="000000"/>
        </w:rPr>
      </w:pPr>
      <w:r w:rsidRPr="00175D8B">
        <w:rPr>
          <w:color w:val="000000"/>
        </w:rPr>
        <w:t>ESS4 recognizes that Project activities, equipment and infrastructure can increase community exposure to risks and impacts. The ESS4 defines requirements for the management and safety of hazardous materials.</w:t>
      </w:r>
    </w:p>
    <w:p w14:paraId="4F2B06DA" w14:textId="77777777" w:rsidR="00E02AE5" w:rsidRPr="00175D8B" w:rsidRDefault="00E02AE5" w:rsidP="00E02AE5">
      <w:pPr>
        <w:rPr>
          <w:color w:val="000000"/>
        </w:rPr>
      </w:pPr>
      <w:r w:rsidRPr="00175D8B">
        <w:rPr>
          <w:color w:val="000000"/>
        </w:rPr>
        <w:t>The Project will prevent or minimize the possibility of community exposure to hazardous substances that may occur due to the Project. Where there is potential for the public (including workers and their families) to be exposed to hazards, particularly life-threatening hazards, the Project will take exceptional care to avoid or minimize exposure by modifying or removing the situation or substances that cause potential hazards. Where hazardous materials are part of existing Project infrastructure or components, the Project will use due diligence to eliminate exposure during construction and Project implementation, including abandoning.</w:t>
      </w:r>
    </w:p>
    <w:p w14:paraId="40B2C9AA" w14:textId="77777777" w:rsidR="00E02AE5" w:rsidRPr="00175D8B" w:rsidRDefault="00E02AE5" w:rsidP="00E02AE5">
      <w:pPr>
        <w:rPr>
          <w:color w:val="000000"/>
        </w:rPr>
      </w:pPr>
      <w:r w:rsidRPr="00175D8B">
        <w:rPr>
          <w:color w:val="000000"/>
        </w:rPr>
        <w:t>The Project will implement measures and actions to control the safety of the transfer of hazardous materials and the storage, transportation and disposal of hazardous materials and waste, and will implement measures to prevent or control community exposure to such hazardous materials.</w:t>
      </w:r>
    </w:p>
    <w:p w14:paraId="25EF4AE3" w14:textId="77777777" w:rsidR="00E02AE5" w:rsidRPr="00175D8B" w:rsidRDefault="00E02AE5">
      <w:pPr>
        <w:pStyle w:val="ListeParagraf"/>
        <w:numPr>
          <w:ilvl w:val="0"/>
          <w:numId w:val="32"/>
        </w:numPr>
        <w:rPr>
          <w:b/>
          <w:bCs/>
        </w:rPr>
      </w:pPr>
      <w:r w:rsidRPr="00175D8B">
        <w:rPr>
          <w:b/>
          <w:bCs/>
        </w:rPr>
        <w:t>Roles and Responsibilities</w:t>
      </w:r>
    </w:p>
    <w:p w14:paraId="6818AEEB" w14:textId="77777777" w:rsidR="00E02AE5" w:rsidRPr="00175D8B" w:rsidRDefault="00E02AE5" w:rsidP="00E02AE5">
      <w:r w:rsidRPr="00175D8B">
        <w:t>Roles and responsibilities for the Environmental and Social (E&amp;S) management of the Project are detailed in the main body of the Project ESMF. In this context, roles and responsibilities related to asbestos management are given in the table below:</w:t>
      </w:r>
    </w:p>
    <w:p w14:paraId="77D2831B" w14:textId="77777777" w:rsidR="00E02AE5" w:rsidRPr="00175D8B" w:rsidRDefault="00E02AE5" w:rsidP="00E02AE5">
      <w:pPr>
        <w:jc w:val="center"/>
        <w:rPr>
          <w:b/>
          <w:i/>
          <w:iCs/>
          <w:sz w:val="20"/>
          <w:szCs w:val="20"/>
        </w:rPr>
      </w:pPr>
      <w:r w:rsidRPr="00175D8B">
        <w:rPr>
          <w:b/>
          <w:i/>
          <w:iCs/>
          <w:sz w:val="20"/>
          <w:szCs w:val="20"/>
        </w:rPr>
        <w:t>Roles and Responsibilities</w:t>
      </w:r>
    </w:p>
    <w:tbl>
      <w:tblPr>
        <w:tblStyle w:val="23"/>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7"/>
        <w:gridCol w:w="6065"/>
      </w:tblGrid>
      <w:tr w:rsidR="00E02AE5" w:rsidRPr="00175D8B" w14:paraId="4E858B74" w14:textId="77777777" w:rsidTr="002550A6">
        <w:trPr>
          <w:tblHeader/>
          <w:jc w:val="center"/>
        </w:trPr>
        <w:tc>
          <w:tcPr>
            <w:tcW w:w="3153" w:type="dxa"/>
            <w:shd w:val="clear" w:color="auto" w:fill="ABB7C1"/>
          </w:tcPr>
          <w:p w14:paraId="61FC9FF0" w14:textId="77777777" w:rsidR="00E02AE5" w:rsidRPr="00175D8B" w:rsidRDefault="00E02AE5" w:rsidP="00DF417A">
            <w:pPr>
              <w:pBdr>
                <w:top w:val="nil"/>
                <w:left w:val="nil"/>
                <w:bottom w:val="nil"/>
                <w:right w:val="nil"/>
                <w:between w:val="nil"/>
              </w:pBdr>
              <w:spacing w:before="40" w:after="40"/>
              <w:rPr>
                <w:b/>
                <w:color w:val="000000"/>
                <w:sz w:val="20"/>
                <w:szCs w:val="20"/>
              </w:rPr>
            </w:pPr>
            <w:r w:rsidRPr="00175D8B">
              <w:rPr>
                <w:b/>
                <w:color w:val="000000"/>
                <w:sz w:val="20"/>
                <w:szCs w:val="20"/>
              </w:rPr>
              <w:t>Roles</w:t>
            </w:r>
          </w:p>
        </w:tc>
        <w:tc>
          <w:tcPr>
            <w:tcW w:w="6373" w:type="dxa"/>
            <w:shd w:val="clear" w:color="auto" w:fill="ABB7C1"/>
          </w:tcPr>
          <w:p w14:paraId="3390A137" w14:textId="77777777" w:rsidR="00E02AE5" w:rsidRPr="00175D8B" w:rsidRDefault="00E02AE5" w:rsidP="00DF417A">
            <w:pPr>
              <w:pBdr>
                <w:top w:val="nil"/>
                <w:left w:val="nil"/>
                <w:bottom w:val="nil"/>
                <w:right w:val="nil"/>
                <w:between w:val="nil"/>
              </w:pBdr>
              <w:spacing w:before="40" w:after="40"/>
              <w:rPr>
                <w:b/>
                <w:color w:val="000000"/>
                <w:sz w:val="20"/>
                <w:szCs w:val="20"/>
              </w:rPr>
            </w:pPr>
            <w:r w:rsidRPr="00175D8B">
              <w:rPr>
                <w:b/>
                <w:color w:val="000000"/>
                <w:sz w:val="20"/>
                <w:szCs w:val="20"/>
              </w:rPr>
              <w:t>Responsibilities</w:t>
            </w:r>
          </w:p>
        </w:tc>
      </w:tr>
      <w:tr w:rsidR="00E02AE5" w:rsidRPr="00175D8B" w14:paraId="398AC1A8" w14:textId="77777777" w:rsidTr="002550A6">
        <w:trPr>
          <w:jc w:val="center"/>
        </w:trPr>
        <w:tc>
          <w:tcPr>
            <w:tcW w:w="3153" w:type="dxa"/>
            <w:shd w:val="clear" w:color="auto" w:fill="F2F2F2"/>
          </w:tcPr>
          <w:p w14:paraId="7443BE20" w14:textId="77777777" w:rsidR="00E02AE5" w:rsidRPr="00175D8B" w:rsidRDefault="00E02AE5" w:rsidP="00DF417A">
            <w:pPr>
              <w:pBdr>
                <w:top w:val="nil"/>
                <w:left w:val="nil"/>
                <w:bottom w:val="nil"/>
                <w:right w:val="nil"/>
                <w:between w:val="nil"/>
              </w:pBdr>
              <w:spacing w:before="40" w:after="40"/>
              <w:rPr>
                <w:color w:val="000000"/>
                <w:sz w:val="20"/>
                <w:szCs w:val="20"/>
              </w:rPr>
            </w:pPr>
            <w:r w:rsidRPr="00175D8B">
              <w:rPr>
                <w:color w:val="000000"/>
                <w:sz w:val="20"/>
                <w:szCs w:val="20"/>
              </w:rPr>
              <w:t xml:space="preserve">Project Management Unit </w:t>
            </w:r>
          </w:p>
          <w:p w14:paraId="65E1BB6C" w14:textId="77777777" w:rsidR="00E02AE5" w:rsidRPr="00175D8B" w:rsidRDefault="00E02AE5" w:rsidP="00DF417A">
            <w:pPr>
              <w:pBdr>
                <w:top w:val="nil"/>
                <w:left w:val="nil"/>
                <w:bottom w:val="nil"/>
                <w:right w:val="nil"/>
                <w:between w:val="nil"/>
              </w:pBdr>
              <w:spacing w:before="40" w:after="40"/>
              <w:rPr>
                <w:color w:val="000000"/>
                <w:sz w:val="20"/>
                <w:szCs w:val="20"/>
              </w:rPr>
            </w:pPr>
            <w:r w:rsidRPr="00175D8B">
              <w:rPr>
                <w:color w:val="000000"/>
                <w:sz w:val="20"/>
                <w:szCs w:val="20"/>
              </w:rPr>
              <w:t>(PMU)</w:t>
            </w:r>
          </w:p>
        </w:tc>
        <w:tc>
          <w:tcPr>
            <w:tcW w:w="6373" w:type="dxa"/>
            <w:shd w:val="clear" w:color="auto" w:fill="F2F2F2"/>
          </w:tcPr>
          <w:p w14:paraId="1FE00A5C" w14:textId="77777777" w:rsidR="00E02AE5" w:rsidRPr="00175D8B" w:rsidRDefault="00E02AE5">
            <w:pPr>
              <w:numPr>
                <w:ilvl w:val="0"/>
                <w:numId w:val="50"/>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Ensure adequate resources are provided for the implementation of this Plan.</w:t>
            </w:r>
          </w:p>
          <w:p w14:paraId="70FA2304" w14:textId="77777777" w:rsidR="00E02AE5" w:rsidRPr="00175D8B" w:rsidRDefault="00E02AE5">
            <w:pPr>
              <w:numPr>
                <w:ilvl w:val="0"/>
                <w:numId w:val="50"/>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Review and update the Plan as needed</w:t>
            </w:r>
          </w:p>
          <w:p w14:paraId="471E481D" w14:textId="77777777" w:rsidR="00E02AE5" w:rsidRPr="00175D8B" w:rsidRDefault="00E02AE5">
            <w:pPr>
              <w:numPr>
                <w:ilvl w:val="0"/>
                <w:numId w:val="50"/>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Ensure that technical support is provided to contractors for the implementation of the plan.</w:t>
            </w:r>
          </w:p>
          <w:p w14:paraId="6FC15D85" w14:textId="77777777" w:rsidR="00E02AE5" w:rsidRPr="00175D8B" w:rsidRDefault="00E02AE5">
            <w:pPr>
              <w:numPr>
                <w:ilvl w:val="0"/>
                <w:numId w:val="50"/>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Ensure that relevant training is provided by contractors through review of training records and relevant training documentation.</w:t>
            </w:r>
          </w:p>
          <w:p w14:paraId="682DA11D" w14:textId="77777777" w:rsidR="00E02AE5" w:rsidRPr="00175D8B" w:rsidRDefault="00E02AE5">
            <w:pPr>
              <w:numPr>
                <w:ilvl w:val="0"/>
                <w:numId w:val="50"/>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lastRenderedPageBreak/>
              <w:t xml:space="preserve">Supervise the contractor's compliance with Project requirements through contractor monitoring and reports. </w:t>
            </w:r>
          </w:p>
        </w:tc>
      </w:tr>
      <w:tr w:rsidR="00E02AE5" w:rsidRPr="00175D8B" w14:paraId="56F0EADF" w14:textId="77777777" w:rsidTr="002550A6">
        <w:trPr>
          <w:jc w:val="center"/>
        </w:trPr>
        <w:tc>
          <w:tcPr>
            <w:tcW w:w="3153" w:type="dxa"/>
            <w:shd w:val="clear" w:color="auto" w:fill="F2F2F2"/>
          </w:tcPr>
          <w:p w14:paraId="1B3427FE" w14:textId="77777777" w:rsidR="00E02AE5" w:rsidRPr="00175D8B" w:rsidRDefault="00E02AE5" w:rsidP="00DF417A">
            <w:pPr>
              <w:pBdr>
                <w:top w:val="nil"/>
                <w:left w:val="nil"/>
                <w:bottom w:val="nil"/>
                <w:right w:val="nil"/>
                <w:between w:val="nil"/>
              </w:pBdr>
              <w:spacing w:before="40" w:after="40"/>
              <w:rPr>
                <w:color w:val="000000"/>
                <w:sz w:val="20"/>
                <w:szCs w:val="20"/>
              </w:rPr>
            </w:pPr>
            <w:r w:rsidRPr="00175D8B">
              <w:rPr>
                <w:color w:val="000000"/>
                <w:sz w:val="20"/>
                <w:szCs w:val="20"/>
              </w:rPr>
              <w:lastRenderedPageBreak/>
              <w:t>Contractors</w:t>
            </w:r>
          </w:p>
        </w:tc>
        <w:tc>
          <w:tcPr>
            <w:tcW w:w="6373" w:type="dxa"/>
            <w:shd w:val="clear" w:color="auto" w:fill="F2F2F2"/>
          </w:tcPr>
          <w:p w14:paraId="3AEF0C92" w14:textId="77777777" w:rsidR="00E02AE5" w:rsidRPr="00175D8B" w:rsidRDefault="00E02AE5">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Ensure that this plan is implemented in line with Project standards</w:t>
            </w:r>
          </w:p>
          <w:p w14:paraId="7FC219F2" w14:textId="77777777" w:rsidR="00E02AE5" w:rsidRPr="00175D8B" w:rsidRDefault="00E02AE5">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As its main responsibility, to ensure the implementation of the Plan (also by the Subcontractors, if any) and to report the non-compliances and implementation performance of the Plan to the PMU.</w:t>
            </w:r>
          </w:p>
          <w:p w14:paraId="546A621B" w14:textId="77777777" w:rsidR="00E02AE5" w:rsidRPr="00175D8B" w:rsidRDefault="00E02AE5">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Participate in the development of corrective and/or remedial actions when necessary (for example, when non-compliances are detected or there is a change in relevant legislation, etc.).</w:t>
            </w:r>
          </w:p>
          <w:p w14:paraId="10429621" w14:textId="77777777" w:rsidR="00E02AE5" w:rsidRPr="00175D8B" w:rsidRDefault="00E02AE5">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Provide relevant training.</w:t>
            </w:r>
          </w:p>
          <w:p w14:paraId="65862E2D" w14:textId="77777777" w:rsidR="00E02AE5" w:rsidRPr="00175D8B" w:rsidRDefault="00E02AE5">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Performing internal and daily inspections and recording any detected non-compliances.</w:t>
            </w:r>
          </w:p>
          <w:p w14:paraId="67A66B68" w14:textId="77777777" w:rsidR="00E02AE5" w:rsidRPr="00175D8B" w:rsidRDefault="00E02AE5">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Ensuring that relevant non-compliances are recorded and promptly responded.</w:t>
            </w:r>
          </w:p>
          <w:p w14:paraId="767366AB" w14:textId="77777777" w:rsidR="00E02AE5" w:rsidRPr="00175D8B" w:rsidRDefault="00E02AE5">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Review and update the Plan as needed (in coordination with the PMU).</w:t>
            </w:r>
          </w:p>
          <w:p w14:paraId="4436B1EC" w14:textId="77777777" w:rsidR="00E02AE5" w:rsidRPr="00175D8B" w:rsidRDefault="00E02AE5">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Ensure that asbestos management considerations are added in the daily checklist, which will be included in the monthly report to the PMU.</w:t>
            </w:r>
          </w:p>
          <w:p w14:paraId="015471B2" w14:textId="77777777" w:rsidR="00E02AE5" w:rsidRPr="00175D8B" w:rsidRDefault="00E02AE5">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Negative health effects on workers, service providers and society due to accidents and incidents that may occur during the asbestos inventory, removal, transportation and disposal process.</w:t>
            </w:r>
          </w:p>
          <w:p w14:paraId="1F9A6DAB" w14:textId="77777777" w:rsidR="00E02AE5" w:rsidRPr="00175D8B" w:rsidRDefault="00E02AE5">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General occupational health and safety risks that may apply to any demolition activity.</w:t>
            </w:r>
          </w:p>
          <w:p w14:paraId="026DEEDA" w14:textId="77777777" w:rsidR="00E02AE5" w:rsidRPr="00175D8B" w:rsidRDefault="00E02AE5">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Demolished material is harmful to environment if it is not disposed of adequately. Especially if the material or waste is dangerous or might be dangerous.</w:t>
            </w:r>
          </w:p>
          <w:p w14:paraId="4E70C2E0" w14:textId="77777777" w:rsidR="00E02AE5" w:rsidRPr="00175D8B" w:rsidRDefault="00E02AE5">
            <w:pPr>
              <w:numPr>
                <w:ilvl w:val="0"/>
                <w:numId w:val="52"/>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 xml:space="preserve">Check out the Mitigation Plan in Section 5.1 and the measures presented in Section 3.1. </w:t>
            </w:r>
          </w:p>
        </w:tc>
      </w:tr>
      <w:tr w:rsidR="00E02AE5" w:rsidRPr="00175D8B" w14:paraId="18E8FBFB" w14:textId="77777777" w:rsidTr="002550A6">
        <w:trPr>
          <w:jc w:val="center"/>
        </w:trPr>
        <w:tc>
          <w:tcPr>
            <w:tcW w:w="3153" w:type="dxa"/>
            <w:shd w:val="clear" w:color="auto" w:fill="F2F2F2"/>
          </w:tcPr>
          <w:p w14:paraId="736F5DDA" w14:textId="77777777" w:rsidR="00E02AE5" w:rsidRPr="00175D8B" w:rsidRDefault="00E02AE5" w:rsidP="00DF417A">
            <w:pPr>
              <w:pBdr>
                <w:top w:val="nil"/>
                <w:left w:val="nil"/>
                <w:bottom w:val="nil"/>
                <w:right w:val="nil"/>
                <w:between w:val="nil"/>
              </w:pBdr>
              <w:spacing w:before="40" w:after="40"/>
              <w:rPr>
                <w:color w:val="000000"/>
                <w:sz w:val="20"/>
                <w:szCs w:val="20"/>
              </w:rPr>
            </w:pPr>
            <w:r w:rsidRPr="00175D8B">
              <w:rPr>
                <w:color w:val="000000"/>
                <w:sz w:val="20"/>
                <w:szCs w:val="20"/>
              </w:rPr>
              <w:t xml:space="preserve">All Personnel </w:t>
            </w:r>
          </w:p>
        </w:tc>
        <w:tc>
          <w:tcPr>
            <w:tcW w:w="6373" w:type="dxa"/>
            <w:shd w:val="clear" w:color="auto" w:fill="F2F2F2"/>
          </w:tcPr>
          <w:p w14:paraId="1270632B" w14:textId="77777777" w:rsidR="00E02AE5" w:rsidRPr="00175D8B" w:rsidRDefault="00E02AE5">
            <w:pPr>
              <w:numPr>
                <w:ilvl w:val="0"/>
                <w:numId w:val="53"/>
              </w:numPr>
              <w:pBdr>
                <w:top w:val="nil"/>
                <w:left w:val="nil"/>
                <w:bottom w:val="nil"/>
                <w:right w:val="nil"/>
                <w:between w:val="nil"/>
              </w:pBdr>
              <w:spacing w:before="120" w:after="0" w:line="259" w:lineRule="auto"/>
              <w:jc w:val="left"/>
              <w:rPr>
                <w:color w:val="000000"/>
                <w:sz w:val="20"/>
                <w:szCs w:val="20"/>
              </w:rPr>
            </w:pPr>
            <w:r w:rsidRPr="00175D8B">
              <w:rPr>
                <w:color w:val="000000"/>
                <w:sz w:val="20"/>
                <w:szCs w:val="20"/>
              </w:rPr>
              <w:t>Participating in training required for asbestos management.</w:t>
            </w:r>
          </w:p>
          <w:p w14:paraId="7C991C8B" w14:textId="77777777" w:rsidR="00E02AE5" w:rsidRPr="00175D8B" w:rsidRDefault="00E02AE5">
            <w:pPr>
              <w:numPr>
                <w:ilvl w:val="0"/>
                <w:numId w:val="53"/>
              </w:numPr>
              <w:pBdr>
                <w:top w:val="nil"/>
                <w:left w:val="nil"/>
                <w:bottom w:val="nil"/>
                <w:right w:val="nil"/>
                <w:between w:val="nil"/>
              </w:pBdr>
              <w:spacing w:before="40" w:after="40" w:line="259" w:lineRule="auto"/>
              <w:jc w:val="left"/>
              <w:rPr>
                <w:color w:val="000000"/>
                <w:sz w:val="20"/>
                <w:szCs w:val="20"/>
              </w:rPr>
            </w:pPr>
            <w:r w:rsidRPr="00175D8B">
              <w:rPr>
                <w:color w:val="000000"/>
                <w:sz w:val="20"/>
                <w:szCs w:val="20"/>
              </w:rPr>
              <w:t>Provide self-competence for the implementation of this plan.</w:t>
            </w:r>
          </w:p>
        </w:tc>
      </w:tr>
    </w:tbl>
    <w:p w14:paraId="24C3CD17" w14:textId="77777777" w:rsidR="00B05B27" w:rsidRPr="00175D8B" w:rsidRDefault="00B05B27" w:rsidP="00E02AE5"/>
    <w:p w14:paraId="4B83314E" w14:textId="77777777" w:rsidR="00E02AE5" w:rsidRPr="00175D8B" w:rsidRDefault="00E02AE5">
      <w:pPr>
        <w:pStyle w:val="ListeParagraf"/>
        <w:numPr>
          <w:ilvl w:val="0"/>
          <w:numId w:val="32"/>
        </w:numPr>
        <w:rPr>
          <w:b/>
          <w:bCs/>
        </w:rPr>
      </w:pPr>
      <w:r w:rsidRPr="00175D8B">
        <w:rPr>
          <w:b/>
          <w:bCs/>
        </w:rPr>
        <w:t>Asbestos Management</w:t>
      </w:r>
    </w:p>
    <w:p w14:paraId="16892821" w14:textId="05E0D896" w:rsidR="00A22808" w:rsidRPr="00175D8B" w:rsidRDefault="00E02AE5" w:rsidP="00E02AE5">
      <w:r w:rsidRPr="00175D8B">
        <w:t>The General Directorate of Occupational Health and Safety of the MoLSS explained the steps to be followed in asbestos work with a workflow chart. The aforementioned workflow chart is presented in Annex -1 (Workflow in Asbestos Studies). Within the scope of the Project, the steps given in Annex-1 will be followed in the works with asbestos in the demolition, maintenance and repair activities that will be performed in the buildings.</w:t>
      </w:r>
    </w:p>
    <w:p w14:paraId="4C20E596" w14:textId="77777777" w:rsidR="00E02AE5" w:rsidRPr="00175D8B" w:rsidRDefault="00E02AE5">
      <w:pPr>
        <w:pStyle w:val="ListeParagraf"/>
        <w:numPr>
          <w:ilvl w:val="1"/>
          <w:numId w:val="32"/>
        </w:numPr>
        <w:rPr>
          <w:b/>
          <w:bCs/>
        </w:rPr>
      </w:pPr>
      <w:r w:rsidRPr="00175D8B">
        <w:rPr>
          <w:b/>
          <w:bCs/>
        </w:rPr>
        <w:lastRenderedPageBreak/>
        <w:t>Course of Action Before Starting Deconstruction</w:t>
      </w:r>
    </w:p>
    <w:p w14:paraId="10FBE601" w14:textId="77777777" w:rsidR="002E4F26" w:rsidRPr="00175D8B" w:rsidRDefault="002E4F26" w:rsidP="002E4F26">
      <w:r w:rsidRPr="00175D8B">
        <w:t>Although it is not a requirement in terms of legislation within the scope of urban transformation practices, during the issuance of the demolition license before the demolition of the buildings, the relevant municipalities require the contractors to conduct an asbestos inventory study and prepare an asbestos inventory report in order to determine whether there is asbestos in the building to be demolished. The diagram describing the asbestos detection process in question is given below. Definition of the relevant steps are also provided below.</w:t>
      </w:r>
    </w:p>
    <w:p w14:paraId="2AB35BC7" w14:textId="77777777" w:rsidR="002E4F26" w:rsidRPr="00175D8B" w:rsidRDefault="002E4F26" w:rsidP="002E4F26">
      <w:r w:rsidRPr="00175D8B">
        <w:t>Identification of parts of buildings, containing asbestos</w:t>
      </w:r>
    </w:p>
    <w:p w14:paraId="0B4F3ECE" w14:textId="77777777" w:rsidR="007819D2" w:rsidRPr="00175D8B" w:rsidRDefault="002E4F26" w:rsidP="002550A6">
      <w:pPr>
        <w:numPr>
          <w:ilvl w:val="0"/>
          <w:numId w:val="108"/>
        </w:numPr>
        <w:ind w:left="1371"/>
      </w:pPr>
      <w:r w:rsidRPr="00175D8B">
        <w:t>Identification of Asbestos-Containing Components in Buildings</w:t>
      </w:r>
    </w:p>
    <w:p w14:paraId="227B374A" w14:textId="6A34EC04" w:rsidR="002E4F26" w:rsidRPr="00175D8B" w:rsidRDefault="002E4F26" w:rsidP="002550A6">
      <w:pPr>
        <w:numPr>
          <w:ilvl w:val="0"/>
          <w:numId w:val="108"/>
        </w:numPr>
        <w:ind w:left="1371"/>
      </w:pPr>
      <w:r w:rsidRPr="00175D8B">
        <w:t>Determining the type of asbestos</w:t>
      </w:r>
    </w:p>
    <w:p w14:paraId="6C04CA27" w14:textId="77777777" w:rsidR="002E4F26" w:rsidRPr="00175D8B" w:rsidRDefault="002E4F26" w:rsidP="002550A6">
      <w:pPr>
        <w:numPr>
          <w:ilvl w:val="0"/>
          <w:numId w:val="108"/>
        </w:numPr>
        <w:ind w:left="1371"/>
      </w:pPr>
      <w:r w:rsidRPr="00175D8B">
        <w:t>Preparation of business plan and institution structure</w:t>
      </w:r>
    </w:p>
    <w:p w14:paraId="0ECC23D2" w14:textId="77777777" w:rsidR="002E4F26" w:rsidRPr="00175D8B" w:rsidRDefault="002E4F26" w:rsidP="002550A6">
      <w:pPr>
        <w:numPr>
          <w:ilvl w:val="0"/>
          <w:numId w:val="108"/>
        </w:numPr>
        <w:ind w:left="1371"/>
      </w:pPr>
      <w:r w:rsidRPr="00175D8B">
        <w:t>Assignment of Occupational Safety Specialist (construction sites are classified in very hazardous class according to NACE code)</w:t>
      </w:r>
    </w:p>
    <w:p w14:paraId="4886E743" w14:textId="77777777" w:rsidR="002E4F26" w:rsidRPr="00175D8B" w:rsidRDefault="002E4F26" w:rsidP="002550A6">
      <w:pPr>
        <w:numPr>
          <w:ilvl w:val="0"/>
          <w:numId w:val="108"/>
        </w:numPr>
        <w:ind w:left="1371"/>
      </w:pPr>
      <w:r w:rsidRPr="00175D8B">
        <w:t>Preparation of a risk assessment</w:t>
      </w:r>
    </w:p>
    <w:p w14:paraId="7A62C31D" w14:textId="77777777" w:rsidR="002E4F26" w:rsidRPr="00175D8B" w:rsidRDefault="002E4F26" w:rsidP="002550A6">
      <w:pPr>
        <w:numPr>
          <w:ilvl w:val="0"/>
          <w:numId w:val="108"/>
        </w:numPr>
        <w:ind w:left="1371"/>
      </w:pPr>
      <w:r w:rsidRPr="00175D8B">
        <w:t>Preparation of asbestos risk analysis</w:t>
      </w:r>
    </w:p>
    <w:p w14:paraId="39E41E34" w14:textId="77777777" w:rsidR="002E4F26" w:rsidRPr="00175D8B" w:rsidRDefault="002E4F26" w:rsidP="002550A6">
      <w:pPr>
        <w:numPr>
          <w:ilvl w:val="0"/>
          <w:numId w:val="108"/>
        </w:numPr>
        <w:ind w:left="1371"/>
      </w:pPr>
      <w:r w:rsidRPr="00175D8B">
        <w:t>Photographing the current condition of the construction site</w:t>
      </w:r>
    </w:p>
    <w:p w14:paraId="7F6795AA" w14:textId="77777777" w:rsidR="002E4F26" w:rsidRPr="00175D8B" w:rsidRDefault="002E4F26" w:rsidP="002550A6">
      <w:pPr>
        <w:numPr>
          <w:ilvl w:val="0"/>
          <w:numId w:val="108"/>
        </w:numPr>
        <w:ind w:left="1371"/>
      </w:pPr>
      <w:r w:rsidRPr="00175D8B">
        <w:t>Determination of the required number of employees with Asbestos Removal Certificate and their duties</w:t>
      </w:r>
    </w:p>
    <w:p w14:paraId="43E5A6B9" w14:textId="77777777" w:rsidR="002E4F26" w:rsidRPr="00175D8B" w:rsidRDefault="002E4F26" w:rsidP="002550A6">
      <w:pPr>
        <w:numPr>
          <w:ilvl w:val="0"/>
          <w:numId w:val="108"/>
        </w:numPr>
        <w:ind w:left="1371"/>
      </w:pPr>
      <w:r w:rsidRPr="00175D8B">
        <w:t xml:space="preserve">Assignment of Asbestos Removal Specialist </w:t>
      </w:r>
    </w:p>
    <w:p w14:paraId="5C39ECBC" w14:textId="77777777" w:rsidR="002E4F26" w:rsidRPr="00175D8B" w:rsidRDefault="002E4F26" w:rsidP="002550A6">
      <w:pPr>
        <w:numPr>
          <w:ilvl w:val="0"/>
          <w:numId w:val="108"/>
        </w:numPr>
        <w:ind w:left="1371"/>
      </w:pPr>
      <w:r w:rsidRPr="00175D8B">
        <w:t>Completion of Social Security Institution (SGK) entrances, health checks (including working at height and respiratory system examinations), occupational safety trainings and certification of these trainings or checking related documents.</w:t>
      </w:r>
    </w:p>
    <w:p w14:paraId="353BC6DB" w14:textId="77777777" w:rsidR="002E4F26" w:rsidRPr="00175D8B" w:rsidRDefault="002E4F26" w:rsidP="002550A6">
      <w:pPr>
        <w:numPr>
          <w:ilvl w:val="0"/>
          <w:numId w:val="108"/>
        </w:numPr>
        <w:ind w:left="1371"/>
      </w:pPr>
      <w:r w:rsidRPr="00175D8B">
        <w:t>The Asbestos Removal Specialist will prepare and review documents and files.</w:t>
      </w:r>
    </w:p>
    <w:p w14:paraId="19E8A12A" w14:textId="4C67D5BB" w:rsidR="00A22808" w:rsidRPr="00175D8B" w:rsidRDefault="002E4F26" w:rsidP="002550A6">
      <w:pPr>
        <w:numPr>
          <w:ilvl w:val="0"/>
          <w:numId w:val="108"/>
        </w:numPr>
        <w:ind w:left="1371"/>
      </w:pPr>
      <w:r w:rsidRPr="00175D8B">
        <w:t>Notification of the Provincial Directorate of the Turkish Employment Agency and the MoLSS</w:t>
      </w:r>
    </w:p>
    <w:p w14:paraId="71772611" w14:textId="77777777" w:rsidR="00E02AE5" w:rsidRPr="00175D8B" w:rsidRDefault="00E02AE5" w:rsidP="00E02AE5">
      <w:pPr>
        <w:jc w:val="center"/>
        <w:rPr>
          <w:b/>
          <w:i/>
          <w:sz w:val="20"/>
          <w:szCs w:val="20"/>
        </w:rPr>
      </w:pPr>
      <w:r w:rsidRPr="00175D8B">
        <w:rPr>
          <w:b/>
          <w:i/>
          <w:sz w:val="20"/>
          <w:szCs w:val="20"/>
        </w:rPr>
        <w:t>Asbestos Identification and Management Flowchart</w:t>
      </w:r>
    </w:p>
    <w:p w14:paraId="02FC5357" w14:textId="77777777" w:rsidR="00E02AE5" w:rsidRPr="00175D8B" w:rsidRDefault="00E02AE5" w:rsidP="00E02AE5">
      <w:pPr>
        <w:jc w:val="center"/>
        <w:rPr>
          <w:b/>
          <w:i/>
          <w:sz w:val="20"/>
          <w:szCs w:val="20"/>
        </w:rPr>
      </w:pPr>
      <w:r w:rsidRPr="00175D8B">
        <w:rPr>
          <w:rFonts w:eastAsia="Aptos" w:cs="Aptos"/>
          <w:noProof/>
          <w:kern w:val="0"/>
          <w:sz w:val="20"/>
          <w:szCs w:val="20"/>
          <w:lang w:val="tr-TR" w:eastAsia="tr-TR"/>
          <w14:ligatures w14:val="none"/>
        </w:rPr>
        <w:lastRenderedPageBreak/>
        <w:drawing>
          <wp:inline distT="0" distB="0" distL="0" distR="0" wp14:anchorId="36ACB3A9" wp14:editId="1A7533F0">
            <wp:extent cx="5760000" cy="3240000"/>
            <wp:effectExtent l="0" t="0" r="0" b="0"/>
            <wp:docPr id="234787453" name="Picture 57" descr="metin, ekran görüntüsü, çevrimiçi reklamcılık, web site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87453" name="Picture 57" descr="metin, ekran görüntüsü, çevrimiçi reklamcılık, web sitesi içeren bir resim&#10;&#10;Yapay zeka tarafından oluşturulmuş içerik yanlış olabili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a:noFill/>
                    </a:ln>
                  </pic:spPr>
                </pic:pic>
              </a:graphicData>
            </a:graphic>
          </wp:inline>
        </w:drawing>
      </w:r>
    </w:p>
    <w:p w14:paraId="2515D925" w14:textId="4D944C3A" w:rsidR="00E02AE5" w:rsidRPr="00175D8B" w:rsidRDefault="00E02AE5" w:rsidP="00E02AE5">
      <w:r w:rsidRPr="00175D8B">
        <w:t>Within the scope of the Regulation on Health and Safety Measures in Working with Asbestos; the analysis of solid samples, taken to investigate the presence of asbestos before deconstruction, demolition, maintenance, and reconstruction works, is considered as occupational hygiene measurement test and analysis. Laboratories authorized by the MoLSS; may perform sampling and analysis and are allowed to accept samples from outside for analysis. Samples coming from outside can be accepted to the laboratory, provided that they are taken by an Asbestos Removal Specialist (Samples from urban transformation areas are considered within this scope). For the acceptance of samples coming from workplaces where no Asbestos Removal Specialist is employed (for example, samples taken during maintenance, repair works related to a part of the process or for the control of raw material content, etc.); the samples are required to be taken by an A Class Occupational Safety Specialist. If asbestos is detected as a result of the inventory study, a risk analysis should be performed.</w:t>
      </w:r>
    </w:p>
    <w:p w14:paraId="52381E2F" w14:textId="77777777" w:rsidR="00E02AE5" w:rsidRPr="00175D8B" w:rsidRDefault="00E02AE5">
      <w:pPr>
        <w:pStyle w:val="ListeParagraf"/>
        <w:numPr>
          <w:ilvl w:val="1"/>
          <w:numId w:val="32"/>
        </w:numPr>
        <w:rPr>
          <w:b/>
          <w:bCs/>
        </w:rPr>
      </w:pPr>
      <w:r w:rsidRPr="00175D8B">
        <w:rPr>
          <w:b/>
          <w:bCs/>
        </w:rPr>
        <w:t>Preparation of the Site Before Asbestos Removal</w:t>
      </w:r>
    </w:p>
    <w:p w14:paraId="4DEAD554" w14:textId="77777777" w:rsidR="00E02AE5" w:rsidRPr="00175D8B" w:rsidRDefault="00E02AE5">
      <w:pPr>
        <w:pStyle w:val="ListeParagraf"/>
        <w:numPr>
          <w:ilvl w:val="2"/>
          <w:numId w:val="32"/>
        </w:numPr>
        <w:rPr>
          <w:b/>
          <w:bCs/>
        </w:rPr>
      </w:pPr>
      <w:r w:rsidRPr="00175D8B">
        <w:rPr>
          <w:b/>
          <w:bCs/>
        </w:rPr>
        <w:t>Informing the Employees</w:t>
      </w:r>
    </w:p>
    <w:p w14:paraId="4506D2B4" w14:textId="77777777" w:rsidR="00E02AE5" w:rsidRPr="00175D8B" w:rsidRDefault="00E02AE5">
      <w:pPr>
        <w:pStyle w:val="ListeParagraf"/>
        <w:numPr>
          <w:ilvl w:val="0"/>
          <w:numId w:val="33"/>
        </w:numPr>
      </w:pPr>
      <w:r w:rsidRPr="00175D8B">
        <w:t>Before asbestos removal works, employees will be informed about the following issues.</w:t>
      </w:r>
    </w:p>
    <w:p w14:paraId="31CE1F67" w14:textId="77777777" w:rsidR="00E02AE5" w:rsidRPr="00175D8B" w:rsidRDefault="00E02AE5">
      <w:pPr>
        <w:pStyle w:val="ListeParagraf"/>
        <w:numPr>
          <w:ilvl w:val="0"/>
          <w:numId w:val="33"/>
        </w:numPr>
      </w:pPr>
      <w:r w:rsidRPr="00175D8B">
        <w:t>Health risks arising from asbestos and/or dust emitted from asbestos-containing materials</w:t>
      </w:r>
    </w:p>
    <w:p w14:paraId="4B978E5B" w14:textId="77777777" w:rsidR="00E02AE5" w:rsidRPr="00175D8B" w:rsidRDefault="00E02AE5">
      <w:pPr>
        <w:pStyle w:val="ListeParagraf"/>
        <w:numPr>
          <w:ilvl w:val="0"/>
          <w:numId w:val="33"/>
        </w:numPr>
      </w:pPr>
      <w:r w:rsidRPr="00175D8B">
        <w:t>Limit values specified in the regulation and measurements that must be made continuously in ambient air</w:t>
      </w:r>
    </w:p>
    <w:p w14:paraId="103D0E08" w14:textId="77777777" w:rsidR="00E02AE5" w:rsidRPr="00175D8B" w:rsidRDefault="00E02AE5">
      <w:pPr>
        <w:pStyle w:val="ListeParagraf"/>
        <w:numPr>
          <w:ilvl w:val="0"/>
          <w:numId w:val="33"/>
        </w:numPr>
      </w:pPr>
      <w:r w:rsidRPr="00175D8B">
        <w:t>Hygiene rules to be followed, including not smoking</w:t>
      </w:r>
    </w:p>
    <w:p w14:paraId="114FFBA3" w14:textId="77777777" w:rsidR="00E02AE5" w:rsidRPr="00175D8B" w:rsidRDefault="00E02AE5">
      <w:pPr>
        <w:pStyle w:val="ListeParagraf"/>
        <w:numPr>
          <w:ilvl w:val="0"/>
          <w:numId w:val="33"/>
        </w:numPr>
      </w:pPr>
      <w:r w:rsidRPr="00175D8B">
        <w:t>Use of PPE and precautions to be taken</w:t>
      </w:r>
    </w:p>
    <w:p w14:paraId="44754E91" w14:textId="77777777" w:rsidR="00E02AE5" w:rsidRPr="00175D8B" w:rsidRDefault="00E02AE5">
      <w:pPr>
        <w:pStyle w:val="ListeParagraf"/>
        <w:numPr>
          <w:ilvl w:val="0"/>
          <w:numId w:val="33"/>
        </w:numPr>
      </w:pPr>
      <w:r w:rsidRPr="00175D8B">
        <w:lastRenderedPageBreak/>
        <w:t>Special precautions designed to minimize asbestos exposure</w:t>
      </w:r>
    </w:p>
    <w:p w14:paraId="6353ECE9" w14:textId="77777777" w:rsidR="00E02AE5" w:rsidRPr="00175D8B" w:rsidRDefault="00E02AE5">
      <w:pPr>
        <w:pStyle w:val="ListeParagraf"/>
        <w:numPr>
          <w:ilvl w:val="0"/>
          <w:numId w:val="33"/>
        </w:numPr>
      </w:pPr>
      <w:r w:rsidRPr="00175D8B">
        <w:t>The sites where asbestos waste will be stored and how the waste will be transported to these sites</w:t>
      </w:r>
    </w:p>
    <w:p w14:paraId="25B4977D" w14:textId="77777777" w:rsidR="00E02AE5" w:rsidRPr="00175D8B" w:rsidRDefault="00E02AE5">
      <w:pPr>
        <w:pStyle w:val="ListeParagraf"/>
        <w:numPr>
          <w:ilvl w:val="2"/>
          <w:numId w:val="32"/>
        </w:numPr>
        <w:rPr>
          <w:b/>
          <w:bCs/>
        </w:rPr>
      </w:pPr>
      <w:r w:rsidRPr="00175D8B">
        <w:rPr>
          <w:b/>
          <w:bCs/>
        </w:rPr>
        <w:t>Marking</w:t>
      </w:r>
    </w:p>
    <w:p w14:paraId="1C245F05" w14:textId="77777777" w:rsidR="00E02AE5" w:rsidRPr="00175D8B" w:rsidRDefault="00E02AE5" w:rsidP="00E02AE5">
      <w:r w:rsidRPr="00175D8B">
        <w:t>The necessary signs should be placed on the work areas where asbestos containing materials are used and the packages used for the transportation of asbestos waste after dismantling. In order to create a safe working area, while marking with “Stop, No Unauthorized Access” signs, there should be a label in accordance with the sample provided in Annex 17 of the Regulation on Registration, Evaluation, Authorization and Restriction of Chemicals.</w:t>
      </w:r>
    </w:p>
    <w:p w14:paraId="3A5DF6AB" w14:textId="77777777" w:rsidR="00E02AE5" w:rsidRPr="00175D8B" w:rsidRDefault="00E02AE5" w:rsidP="00E02AE5">
      <w:pPr>
        <w:jc w:val="center"/>
        <w:rPr>
          <w:b/>
          <w:i/>
          <w:sz w:val="20"/>
          <w:szCs w:val="20"/>
        </w:rPr>
      </w:pPr>
      <w:r w:rsidRPr="00175D8B">
        <w:rPr>
          <w:b/>
          <w:i/>
          <w:sz w:val="20"/>
          <w:szCs w:val="20"/>
        </w:rPr>
        <w:t>Warning Signs (Work Area Warning Boards and Asbestos-Containing Package Labels)</w:t>
      </w:r>
    </w:p>
    <w:p w14:paraId="609448E3" w14:textId="19804DA4" w:rsidR="00A22808" w:rsidRPr="00175D8B" w:rsidRDefault="00E02AE5" w:rsidP="00E02AE5">
      <w:r w:rsidRPr="00175D8B">
        <w:rPr>
          <w:rFonts w:eastAsia="Aptos" w:cs="Aptos"/>
          <w:noProof/>
          <w:kern w:val="0"/>
          <w:szCs w:val="22"/>
          <w:lang w:val="tr-TR" w:eastAsia="tr-TR"/>
          <w14:ligatures w14:val="none"/>
        </w:rPr>
        <mc:AlternateContent>
          <mc:Choice Requires="wps">
            <w:drawing>
              <wp:anchor distT="45720" distB="45720" distL="114300" distR="114300" simplePos="0" relativeHeight="251711488" behindDoc="0" locked="0" layoutInCell="1" hidden="0" allowOverlap="1" wp14:anchorId="1D5633FD" wp14:editId="0F15346D">
                <wp:simplePos x="0" y="0"/>
                <wp:positionH relativeFrom="column">
                  <wp:posOffset>4853305</wp:posOffset>
                </wp:positionH>
                <wp:positionV relativeFrom="paragraph">
                  <wp:posOffset>1236345</wp:posOffset>
                </wp:positionV>
                <wp:extent cx="847725" cy="323850"/>
                <wp:effectExtent l="0" t="0" r="9525" b="0"/>
                <wp:wrapNone/>
                <wp:docPr id="183486168" name="Rectangle 30"/>
                <wp:cNvGraphicFramePr/>
                <a:graphic xmlns:a="http://schemas.openxmlformats.org/drawingml/2006/main">
                  <a:graphicData uri="http://schemas.microsoft.com/office/word/2010/wordprocessingShape">
                    <wps:wsp>
                      <wps:cNvSpPr/>
                      <wps:spPr>
                        <a:xfrm>
                          <a:off x="0" y="0"/>
                          <a:ext cx="847725" cy="323850"/>
                        </a:xfrm>
                        <a:prstGeom prst="rect">
                          <a:avLst/>
                        </a:prstGeom>
                        <a:solidFill>
                          <a:srgbClr val="FFFFFF"/>
                        </a:solidFill>
                        <a:ln>
                          <a:noFill/>
                        </a:ln>
                      </wps:spPr>
                      <wps:txbx>
                        <w:txbxContent>
                          <w:p w14:paraId="7E866D9A" w14:textId="77777777" w:rsidR="001F6155" w:rsidRDefault="001F6155" w:rsidP="00E02AE5">
                            <w:pPr>
                              <w:spacing w:line="240" w:lineRule="auto"/>
                              <w:jc w:val="center"/>
                              <w:textDirection w:val="btLr"/>
                            </w:pPr>
                            <w:r>
                              <w:rPr>
                                <w:rFonts w:ascii="Times New Roman" w:eastAsia="Times New Roman" w:hAnsi="Times New Roman" w:cs="Times New Roman"/>
                                <w:color w:val="000000"/>
                                <w:sz w:val="16"/>
                              </w:rPr>
                              <w:t>White “a” on black background</w:t>
                            </w:r>
                          </w:p>
                        </w:txbxContent>
                      </wps:txbx>
                      <wps:bodyPr spcFirstLastPara="1" wrap="square" lIns="0" tIns="0" rIns="0" bIns="0" anchor="t" anchorCtr="0">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1D5633FD" id="Rectangle 30" o:spid="_x0000_s1067" style="position:absolute;left:0;text-align:left;margin-left:382.15pt;margin-top:97.35pt;width:66.75pt;height:25.5pt;z-index:2517114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4P2gEAAJ0DAAAOAAAAZHJzL2Uyb0RvYy54bWysU9tu2zAMfR+wfxD0vjiJmzQw4hRDiwwD&#10;ii1o1w+QZckWoNsoJXb+fpRy29a3YXlQSIoieQ6P1w+j0eQgIChnazqbTCkRlrtW2a6mbz+2n1aU&#10;hMhsy7SzoqZHEejD5uOH9eArMXe9060AgkVsqAZf0z5GXxVF4L0wLEycFxYvpQPDIrrQFS2wAasb&#10;Xcyn02UxOGg9OC5CwOjT6ZJucn0pBY/fpQwiEl1TnC3mE/LZpLPYrFnVAfO94ucx2D9MYZiy2PRa&#10;6olFRvag3pUyioMLTsYJd6ZwUiouMgZEM5v+hea1Z15kLEhO8Feawv8ry78ddkBUi7tblXer5WyJ&#10;C7PM4KpekDxmOy1ImXkafKgw/dXvAFlLXkAzgR4lmPSPcMiYuT1euRVjJByDq7v7+/mCEo5X5bxc&#10;LXLN4vbYQ4hfhDMkGTUF7J4ZZYfnELEhpl5SUq/gtGq3SuvsQNc8aiAHhmve5l/aLD75I03blGxd&#10;ena6TpHiBiVZcWzGTEi5SDVSqHHtEVkKnm8VDvfMQtwxQJ3MKBlQOzUNP/cMBCX6q8XlJKFdDLgY&#10;zcVglvcOJRgpOZmPMQvyNNvnfXRSZcC31uchUQMZ1FmvSWS/+znr9lVtfgEAAP//AwBQSwMEFAAG&#10;AAgAAAAhADyGMKjfAAAACwEAAA8AAABkcnMvZG93bnJldi54bWxMj8tOwzAQRfdI/IM1SOyo0xKa&#10;NsSpEA913UDVrRsPccCPKHZaw9czrGA5ukd3zq02yRp2wjH03gmYzzJg6FqvetcJeHt9uVkBC1E6&#10;JY13KOALA2zqy4tKlsqf3Q5PTewYlbhQSgE6xqHkPLQarQwzP6Cj7N2PVkY6x46rUZ6p3Bq+yLIl&#10;t7J39EHLAR81tp/NZAVs50/Pwwf/buTWRJz2OrXmkIS4vkoP98AipvgHw68+qUNNTkc/ORWYEVAs&#10;81tCKVjnBTAiVuuCxhwFLPK7Anhd8f8b6h8AAAD//wMAUEsBAi0AFAAGAAgAAAAhALaDOJL+AAAA&#10;4QEAABMAAAAAAAAAAAAAAAAAAAAAAFtDb250ZW50X1R5cGVzXS54bWxQSwECLQAUAAYACAAAACEA&#10;OP0h/9YAAACUAQAACwAAAAAAAAAAAAAAAAAvAQAAX3JlbHMvLnJlbHNQSwECLQAUAAYACAAAACEA&#10;3JaeD9oBAACdAwAADgAAAAAAAAAAAAAAAAAuAgAAZHJzL2Uyb0RvYy54bWxQSwECLQAUAAYACAAA&#10;ACEAPIYwqN8AAAALAQAADwAAAAAAAAAAAAAAAAA0BAAAZHJzL2Rvd25yZXYueG1sUEsFBgAAAAAE&#10;AAQA8wAAAEAFAAAAAA==&#10;" stroked="f">
                <v:textbox inset="0,0,0,0">
                  <w:txbxContent>
                    <w:p w14:paraId="7E866D9A" w14:textId="77777777" w:rsidR="001F6155" w:rsidRDefault="001F6155" w:rsidP="00E02AE5">
                      <w:pPr>
                        <w:spacing w:line="240" w:lineRule="auto"/>
                        <w:jc w:val="center"/>
                        <w:textDirection w:val="btLr"/>
                      </w:pPr>
                      <w:r>
                        <w:rPr>
                          <w:rFonts w:ascii="Times New Roman" w:eastAsia="Times New Roman" w:hAnsi="Times New Roman" w:cs="Times New Roman"/>
                          <w:color w:val="000000"/>
                          <w:sz w:val="16"/>
                        </w:rPr>
                        <w:t>White “a” on black background</w:t>
                      </w:r>
                    </w:p>
                  </w:txbxContent>
                </v:textbox>
              </v:rect>
            </w:pict>
          </mc:Fallback>
        </mc:AlternateContent>
      </w:r>
      <w:r w:rsidRPr="00175D8B">
        <w:rPr>
          <w:rFonts w:eastAsia="Aptos" w:cs="Aptos"/>
          <w:noProof/>
          <w:kern w:val="0"/>
          <w:szCs w:val="22"/>
          <w:lang w:val="tr-TR" w:eastAsia="tr-TR"/>
          <w14:ligatures w14:val="none"/>
        </w:rPr>
        <mc:AlternateContent>
          <mc:Choice Requires="wps">
            <w:drawing>
              <wp:anchor distT="45720" distB="45720" distL="114300" distR="114300" simplePos="0" relativeHeight="251710464" behindDoc="0" locked="0" layoutInCell="1" hidden="0" allowOverlap="1" wp14:anchorId="3B88DFF6" wp14:editId="0D04BA36">
                <wp:simplePos x="0" y="0"/>
                <wp:positionH relativeFrom="column">
                  <wp:posOffset>182245</wp:posOffset>
                </wp:positionH>
                <wp:positionV relativeFrom="paragraph">
                  <wp:posOffset>1906905</wp:posOffset>
                </wp:positionV>
                <wp:extent cx="1676400" cy="781050"/>
                <wp:effectExtent l="0" t="0" r="0" b="0"/>
                <wp:wrapNone/>
                <wp:docPr id="1100871686" name="Rectangle 17"/>
                <wp:cNvGraphicFramePr/>
                <a:graphic xmlns:a="http://schemas.openxmlformats.org/drawingml/2006/main">
                  <a:graphicData uri="http://schemas.microsoft.com/office/word/2010/wordprocessingShape">
                    <wps:wsp>
                      <wps:cNvSpPr/>
                      <wps:spPr>
                        <a:xfrm>
                          <a:off x="0" y="0"/>
                          <a:ext cx="1676400" cy="781050"/>
                        </a:xfrm>
                        <a:prstGeom prst="rect">
                          <a:avLst/>
                        </a:prstGeom>
                        <a:solidFill>
                          <a:srgbClr val="FF0000"/>
                        </a:solidFill>
                        <a:ln>
                          <a:noFill/>
                        </a:ln>
                      </wps:spPr>
                      <wps:txbx>
                        <w:txbxContent>
                          <w:p w14:paraId="0627B46B" w14:textId="77777777" w:rsidR="001F6155" w:rsidRPr="006A0FA5" w:rsidRDefault="001F6155" w:rsidP="00E02AE5">
                            <w:pPr>
                              <w:spacing w:line="240" w:lineRule="auto"/>
                              <w:jc w:val="center"/>
                              <w:textDirection w:val="btLr"/>
                              <w:rPr>
                                <w:color w:val="FFFFFF"/>
                              </w:rPr>
                            </w:pPr>
                            <w:r w:rsidRPr="006A0FA5">
                              <w:rPr>
                                <w:rFonts w:ascii="Arial" w:eastAsia="Arial" w:hAnsi="Arial" w:cs="Arial"/>
                                <w:b/>
                                <w:color w:val="FFFFFF"/>
                                <w:sz w:val="28"/>
                              </w:rPr>
                              <w:t>UNAUTHORIZED PERSONEL NOT ALLOWED</w:t>
                            </w:r>
                          </w:p>
                        </w:txbxContent>
                      </wps:txbx>
                      <wps:bodyPr spcFirstLastPara="1" wrap="square" lIns="0" tIns="0" rIns="0" bIns="0" anchor="t" anchorCtr="0">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B88DFF6" id="Rectangle 17" o:spid="_x0000_s1068" style="position:absolute;left:0;text-align:left;margin-left:14.35pt;margin-top:150.15pt;width:132pt;height:61.5pt;z-index:251710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PD3QEAAJ8DAAAOAAAAZHJzL2Uyb0RvYy54bWysU9uO0zAQfUfiHyy/0yQLpFXUdIV2FYS0&#10;goqFD3AcJ7HkG2O3Sf+esdN0ubwh+uDOeMYzc86c7O9nrchZgJfW1LTY5JQIw20nzVDT79+aNztK&#10;fGCmY8oaUdOL8PT+8PrVfnKVuLOjVZ0AgkWMryZX0zEEV2WZ56PQzG+sEwaDvQXNArowZB2wCatr&#10;ld3leZlNFjoHlgvv8fZxCdJDqt/3gocvfe9FIKqmOFtIJ6SzjWd22LNqAOZGya9jsH+YQjNpsOmt&#10;1CMLjJxA/lVKSw7W2z5suNWZ7XvJRcKAaIr8DzTPI3MiYUFyvLvR5P9fWf75fAQiO9xdkee7bVHu&#10;SkoM07irr8geM4MSpNhGoibnK8x/dke4eh7NiHruQcd/xEPmRO7lRq6YA+F4WZTb8l2OO+AY2+6K&#10;/H1iP3t57cCHj8JqEo2aArZPnLLzkw/YEVPXlNjMWyW7RiqVHBjaBwXkzHDRTZPjL46MT35LUyYm&#10;GxufLeF4k0VkC5ZohbmdEyVvyxV2a7sL8uQdbyQO98R8ODJApRSUTKiemvofJwaCEvXJ4Hqi1FYD&#10;VqNdDWb4aFGEgZLFfAhJkstsH07B9jIBjtMsra9DogoSqKtio8x+9VPWy3d1+AkAAP//AwBQSwME&#10;FAAGAAgAAAAhAAto4pzhAAAACgEAAA8AAABkcnMvZG93bnJldi54bWxMj8FOwzAMhu9IvENkJG4s&#10;IUFbV5pO0yYEXCYYXLilTWgrGqc02VZ4eswJjrY//f7+YjX5nh3dGLuAGq5nApjDOtgOGw2vL3dX&#10;GbCYDFrTB3QavlyEVXl+VpjchhM+u+M+NYxCMOZGQ5vSkHMe69Z5E2dhcEi39zB6k2gcG25Hc6Jw&#10;33MpxJx70yF9aM3gNq2rP/YHrwE/1dsw7b43T4/Zdv5wv10uqnXS+vJiWt8CS25KfzD86pM6lORU&#10;hQPayHoNMlsQqUEJoYARIJeSNpWGG6kU8LLg/yuUPwAAAP//AwBQSwECLQAUAAYACAAAACEAtoM4&#10;kv4AAADhAQAAEwAAAAAAAAAAAAAAAAAAAAAAW0NvbnRlbnRfVHlwZXNdLnhtbFBLAQItABQABgAI&#10;AAAAIQA4/SH/1gAAAJQBAAALAAAAAAAAAAAAAAAAAC8BAABfcmVscy8ucmVsc1BLAQItABQABgAI&#10;AAAAIQDKkwPD3QEAAJ8DAAAOAAAAAAAAAAAAAAAAAC4CAABkcnMvZTJvRG9jLnhtbFBLAQItABQA&#10;BgAIAAAAIQALaOKc4QAAAAoBAAAPAAAAAAAAAAAAAAAAADcEAABkcnMvZG93bnJldi54bWxQSwUG&#10;AAAAAAQABADzAAAARQUAAAAA&#10;" fillcolor="red" stroked="f">
                <v:textbox inset="0,0,0,0">
                  <w:txbxContent>
                    <w:p w14:paraId="0627B46B" w14:textId="77777777" w:rsidR="001F6155" w:rsidRPr="006A0FA5" w:rsidRDefault="001F6155" w:rsidP="00E02AE5">
                      <w:pPr>
                        <w:spacing w:line="240" w:lineRule="auto"/>
                        <w:jc w:val="center"/>
                        <w:textDirection w:val="btLr"/>
                        <w:rPr>
                          <w:color w:val="FFFFFF"/>
                        </w:rPr>
                      </w:pPr>
                      <w:r w:rsidRPr="006A0FA5">
                        <w:rPr>
                          <w:rFonts w:ascii="Arial" w:eastAsia="Arial" w:hAnsi="Arial" w:cs="Arial"/>
                          <w:b/>
                          <w:color w:val="FFFFFF"/>
                          <w:sz w:val="28"/>
                        </w:rPr>
                        <w:t>UNAUTHORIZED PERSONEL NOT ALLOWED</w:t>
                      </w:r>
                    </w:p>
                  </w:txbxContent>
                </v:textbox>
              </v:rect>
            </w:pict>
          </mc:Fallback>
        </mc:AlternateContent>
      </w:r>
      <w:r w:rsidRPr="00175D8B">
        <w:rPr>
          <w:rFonts w:eastAsia="Aptos" w:cs="Aptos"/>
          <w:noProof/>
          <w:kern w:val="0"/>
          <w:szCs w:val="22"/>
          <w:lang w:val="tr-TR" w:eastAsia="tr-TR"/>
          <w14:ligatures w14:val="none"/>
        </w:rPr>
        <mc:AlternateContent>
          <mc:Choice Requires="wps">
            <w:drawing>
              <wp:anchor distT="45720" distB="45720" distL="114300" distR="114300" simplePos="0" relativeHeight="251709440" behindDoc="0" locked="0" layoutInCell="1" hidden="0" allowOverlap="1" wp14:anchorId="096854EE" wp14:editId="028EE17E">
                <wp:simplePos x="0" y="0"/>
                <wp:positionH relativeFrom="column">
                  <wp:posOffset>3921125</wp:posOffset>
                </wp:positionH>
                <wp:positionV relativeFrom="paragraph">
                  <wp:posOffset>1678305</wp:posOffset>
                </wp:positionV>
                <wp:extent cx="609600" cy="847725"/>
                <wp:effectExtent l="0" t="0" r="0" b="9525"/>
                <wp:wrapNone/>
                <wp:docPr id="1774408777" name="Rectangle 21"/>
                <wp:cNvGraphicFramePr/>
                <a:graphic xmlns:a="http://schemas.openxmlformats.org/drawingml/2006/main">
                  <a:graphicData uri="http://schemas.microsoft.com/office/word/2010/wordprocessingShape">
                    <wps:wsp>
                      <wps:cNvSpPr/>
                      <wps:spPr>
                        <a:xfrm>
                          <a:off x="0" y="0"/>
                          <a:ext cx="609600" cy="847725"/>
                        </a:xfrm>
                        <a:prstGeom prst="rect">
                          <a:avLst/>
                        </a:prstGeom>
                        <a:solidFill>
                          <a:srgbClr val="FFFFFF"/>
                        </a:solidFill>
                        <a:ln>
                          <a:noFill/>
                        </a:ln>
                      </wps:spPr>
                      <wps:txbx>
                        <w:txbxContent>
                          <w:p w14:paraId="3C412FEF" w14:textId="77777777" w:rsidR="001F6155" w:rsidRDefault="001F6155" w:rsidP="00E02AE5">
                            <w:pPr>
                              <w:spacing w:line="240" w:lineRule="auto"/>
                              <w:jc w:val="center"/>
                              <w:textDirection w:val="btLr"/>
                            </w:pPr>
                            <w:r>
                              <w:rPr>
                                <w:rFonts w:ascii="Times New Roman" w:eastAsia="Times New Roman" w:hAnsi="Times New Roman" w:cs="Times New Roman"/>
                                <w:b/>
                                <w:color w:val="000000"/>
                                <w:sz w:val="12"/>
                              </w:rPr>
                              <w:t>ATTENTION</w:t>
                            </w:r>
                          </w:p>
                          <w:p w14:paraId="2BD8AD1B" w14:textId="77777777" w:rsidR="001F6155" w:rsidRDefault="001F6155" w:rsidP="00E02AE5">
                            <w:pPr>
                              <w:spacing w:line="240" w:lineRule="auto"/>
                              <w:jc w:val="center"/>
                              <w:textDirection w:val="btLr"/>
                            </w:pPr>
                            <w:r>
                              <w:rPr>
                                <w:rFonts w:ascii="Times New Roman" w:eastAsia="Times New Roman" w:hAnsi="Times New Roman" w:cs="Times New Roman"/>
                                <w:b/>
                                <w:color w:val="000000"/>
                                <w:sz w:val="12"/>
                              </w:rPr>
                              <w:t>CONTAINS ASBESTOS</w:t>
                            </w:r>
                          </w:p>
                          <w:p w14:paraId="3275B103" w14:textId="77777777" w:rsidR="001F6155" w:rsidRDefault="001F6155" w:rsidP="00E02AE5">
                            <w:pPr>
                              <w:spacing w:line="240" w:lineRule="auto"/>
                              <w:jc w:val="center"/>
                              <w:textDirection w:val="btLr"/>
                            </w:pPr>
                            <w:r>
                              <w:rPr>
                                <w:rFonts w:ascii="Times New Roman" w:eastAsia="Times New Roman" w:hAnsi="Times New Roman" w:cs="Times New Roman"/>
                                <w:color w:val="000000"/>
                                <w:sz w:val="12"/>
                              </w:rPr>
                              <w:t>It is harmful to health to inhale asbestos  powder. Review the safety recommendations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96854EE" id="Rectangle 21" o:spid="_x0000_s1069" style="position:absolute;left:0;text-align:left;margin-left:308.75pt;margin-top:132.15pt;width:48pt;height:66.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ciN2gEAAJ4DAAAOAAAAZHJzL2Uyb0RvYy54bWysU9uO0zAQfUfiHyy/06SlNN2o6Qrtqghp&#10;BRULH+A4TmPJN8Zuk/49YyfpAvuGyIMztidn5pw52d0PWpGLAC+tqehykVMiDLeNNKeK/vh+eLel&#10;xAdmGqasERW9Ck/v92/f7HpXipXtrGoEEAQxvuxdRbsQXJllnndCM7+wThi8bC1oFnALp6wB1iO6&#10;VtkqzzdZb6FxYLnwHk8fx0u6T/htK3j42rZeBKIqir2FtEJa67hm+x0rT8BcJ/nUBvuHLjSTBove&#10;oB5ZYOQM8hWUlhyst21YcKsz27aSi8QB2Szzv9g8d8yJxAXF8e4mk/9/sPzL5QhENji7oliv821R&#10;FJQYpnFW31A9Zk5KkNUyCtU7X2L+szvCtPMYRtZDCzq+kQ8ZkrjXm7hiCITj4Sa/2+Q4Ao5X23VR&#10;rD5EzOzlYwc+fBJWkxhUFLB6kpRdnnwYU+eUWMtbJZuDVCpt4FQ/KCAXhnM+pGdC/yNNmZhsbPxs&#10;RIwnWSQ2UolRGOohKfK+mFnXtrmiTN7xg8TmnpgPRwZolCUlPZqnov7nmYGgRH02OJ3otDmAOajn&#10;gBneWfRgoGQMH0Jy5Njbx3OwrUyEYzdj6alJNEGSbDJsdNnv+5T18lvtfwEAAP//AwBQSwMEFAAG&#10;AAgAAAAhACKjPZTfAAAACwEAAA8AAABkcnMvZG93bnJldi54bWxMj8tOwzAQRfdI/IM1SOyokwaS&#10;EjKpEA91TQCxdeMhDvgRxU5r+HrMCpYzc3Tn3GYbjWYHmv3oLEK+yoCR7Z0c7YDw8vx4sQHmg7BS&#10;aGcJ4Ys8bNvTk0bU0h3tEx26MLAUYn0tEFQIU8257xUZ4VduIptu7242IqRxHricxTGFG83XWVZy&#10;I0abPigx0Z2i/rNbDMIuv3+YPvh3J3Y60PKqYq/fIuL5Wby9ARYohj8YfvWTOrTJae8WKz3TCGVe&#10;XSUUYV1eFsASUeVF2uwRiutqA7xt+P8O7Q8AAAD//wMAUEsBAi0AFAAGAAgAAAAhALaDOJL+AAAA&#10;4QEAABMAAAAAAAAAAAAAAAAAAAAAAFtDb250ZW50X1R5cGVzXS54bWxQSwECLQAUAAYACAAAACEA&#10;OP0h/9YAAACUAQAACwAAAAAAAAAAAAAAAAAvAQAAX3JlbHMvLnJlbHNQSwECLQAUAAYACAAAACEA&#10;/NnIjdoBAACeAwAADgAAAAAAAAAAAAAAAAAuAgAAZHJzL2Uyb0RvYy54bWxQSwECLQAUAAYACAAA&#10;ACEAIqM9lN8AAAALAQAADwAAAAAAAAAAAAAAAAA0BAAAZHJzL2Rvd25yZXYueG1sUEsFBgAAAAAE&#10;AAQA8wAAAEAFAAAAAA==&#10;" stroked="f">
                <v:textbox inset="0,0,0,0">
                  <w:txbxContent>
                    <w:p w14:paraId="3C412FEF" w14:textId="77777777" w:rsidR="001F6155" w:rsidRDefault="001F6155" w:rsidP="00E02AE5">
                      <w:pPr>
                        <w:spacing w:line="240" w:lineRule="auto"/>
                        <w:jc w:val="center"/>
                        <w:textDirection w:val="btLr"/>
                      </w:pPr>
                      <w:r>
                        <w:rPr>
                          <w:rFonts w:ascii="Times New Roman" w:eastAsia="Times New Roman" w:hAnsi="Times New Roman" w:cs="Times New Roman"/>
                          <w:b/>
                          <w:color w:val="000000"/>
                          <w:sz w:val="12"/>
                        </w:rPr>
                        <w:t>ATTENTION</w:t>
                      </w:r>
                    </w:p>
                    <w:p w14:paraId="2BD8AD1B" w14:textId="77777777" w:rsidR="001F6155" w:rsidRDefault="001F6155" w:rsidP="00E02AE5">
                      <w:pPr>
                        <w:spacing w:line="240" w:lineRule="auto"/>
                        <w:jc w:val="center"/>
                        <w:textDirection w:val="btLr"/>
                      </w:pPr>
                      <w:r>
                        <w:rPr>
                          <w:rFonts w:ascii="Times New Roman" w:eastAsia="Times New Roman" w:hAnsi="Times New Roman" w:cs="Times New Roman"/>
                          <w:b/>
                          <w:color w:val="000000"/>
                          <w:sz w:val="12"/>
                        </w:rPr>
                        <w:t>CONTAINS ASBESTOS</w:t>
                      </w:r>
                    </w:p>
                    <w:p w14:paraId="3275B103" w14:textId="77777777" w:rsidR="001F6155" w:rsidRDefault="001F6155" w:rsidP="00E02AE5">
                      <w:pPr>
                        <w:spacing w:line="240" w:lineRule="auto"/>
                        <w:jc w:val="center"/>
                        <w:textDirection w:val="btLr"/>
                      </w:pPr>
                      <w:r>
                        <w:rPr>
                          <w:rFonts w:ascii="Times New Roman" w:eastAsia="Times New Roman" w:hAnsi="Times New Roman" w:cs="Times New Roman"/>
                          <w:color w:val="000000"/>
                          <w:sz w:val="12"/>
                        </w:rPr>
                        <w:t>It is harmful to health to inhale asbestos  powder. Review the safety recommendations</w:t>
                      </w:r>
                    </w:p>
                  </w:txbxContent>
                </v:textbox>
              </v:rect>
            </w:pict>
          </mc:Fallback>
        </mc:AlternateContent>
      </w:r>
      <w:r w:rsidRPr="00175D8B">
        <w:rPr>
          <w:rFonts w:eastAsia="Aptos" w:cs="Aptos"/>
          <w:noProof/>
          <w:kern w:val="0"/>
          <w:szCs w:val="22"/>
          <w:lang w:val="tr-TR" w:eastAsia="tr-TR"/>
          <w14:ligatures w14:val="none"/>
        </w:rPr>
        <mc:AlternateContent>
          <mc:Choice Requires="wps">
            <w:drawing>
              <wp:anchor distT="45720" distB="45720" distL="114300" distR="114300" simplePos="0" relativeHeight="251708416" behindDoc="0" locked="0" layoutInCell="1" hidden="0" allowOverlap="1" wp14:anchorId="3E6D46A3" wp14:editId="013BA6F9">
                <wp:simplePos x="0" y="0"/>
                <wp:positionH relativeFrom="column">
                  <wp:posOffset>4850765</wp:posOffset>
                </wp:positionH>
                <wp:positionV relativeFrom="paragraph">
                  <wp:posOffset>1792605</wp:posOffset>
                </wp:positionV>
                <wp:extent cx="847725" cy="723900"/>
                <wp:effectExtent l="0" t="0" r="9525" b="0"/>
                <wp:wrapNone/>
                <wp:docPr id="870758551" name="Rectangle 36"/>
                <wp:cNvGraphicFramePr/>
                <a:graphic xmlns:a="http://schemas.openxmlformats.org/drawingml/2006/main">
                  <a:graphicData uri="http://schemas.microsoft.com/office/word/2010/wordprocessingShape">
                    <wps:wsp>
                      <wps:cNvSpPr/>
                      <wps:spPr>
                        <a:xfrm>
                          <a:off x="0" y="0"/>
                          <a:ext cx="847725" cy="723900"/>
                        </a:xfrm>
                        <a:prstGeom prst="rect">
                          <a:avLst/>
                        </a:prstGeom>
                        <a:solidFill>
                          <a:srgbClr val="FFFFFF"/>
                        </a:solidFill>
                        <a:ln>
                          <a:noFill/>
                        </a:ln>
                      </wps:spPr>
                      <wps:txbx>
                        <w:txbxContent>
                          <w:p w14:paraId="68148F83" w14:textId="77777777" w:rsidR="001F6155" w:rsidRDefault="001F6155" w:rsidP="00E02AE5">
                            <w:pPr>
                              <w:spacing w:line="240" w:lineRule="auto"/>
                              <w:jc w:val="center"/>
                              <w:textDirection w:val="btLr"/>
                            </w:pPr>
                            <w:r>
                              <w:rPr>
                                <w:rFonts w:ascii="Times New Roman" w:eastAsia="Times New Roman" w:hAnsi="Times New Roman" w:cs="Times New Roman"/>
                                <w:color w:val="000000"/>
                                <w:sz w:val="16"/>
                              </w:rPr>
                              <w:t>To be written with standard wording in white or black font on red background</w:t>
                            </w:r>
                          </w:p>
                        </w:txbxContent>
                      </wps:txbx>
                      <wps:bodyPr spcFirstLastPara="1" wrap="square" lIns="0" tIns="0" rIns="0" bIns="0" anchor="t" anchorCtr="0">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E6D46A3" id="Rectangle 36" o:spid="_x0000_s1070" style="position:absolute;left:0;text-align:left;margin-left:381.95pt;margin-top:141.15pt;width:66.75pt;height:57pt;z-index:2517084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63AEAAJ0DAAAOAAAAZHJzL2Uyb0RvYy54bWysU9uO2yAQfa/Uf0C8N3aSZuNacVbVrlJV&#10;WrXRbvsBGIONhIEOJHb+vgOOs728Vc0DmYFh5pzD8e5+7DU5C/DKmoouFzklwnDbKNNW9Pu3w7uC&#10;Eh+YaZi2RlT0Ijy93799sxtcKVa2s7oRQLCJ8eXgKtqF4Mos87wTPfML64TBQ2mhZwFTaLMG2IDd&#10;e52t8vwuGyw0DiwX3uPu43RI96m/lIKHr1J6EYiuKGILaYW01nHN9jtWtsBcp/gVBvsHFD1TBofe&#10;Wj2ywMgJ1F+tesXBeivDgts+s1IqLhIHZLPM/2Dz0jEnEhcUx7ubTP7/teVfzkcgqqlosc23m2Kz&#10;WVJiWI9P9YziMdNqQdZ3UafB+RLLX9wRrpnHMJIeJfTxH+mQMWl7uWkrxkA4bhbvt9vVhhKOR9vV&#10;+kOetM9eLzvw4ZOwPYlBRQGnJ0XZ+ckHHIilc0mc5a1WzUFpnRJo6wcN5MzwmQ/pFxHjld/KtInF&#10;xsZr03HcySKxiUqMwliPSZB1MbOubXNBlbzjB4XgnpgPRwboE9RqQO9U1P84MRCU6M8GHycabQ5g&#10;Duo5YIZ3Fi0YKJnCh5AMOWH7eApWqkQ4oplGX0GiBxKpq1+jyX7NU9XrV7X/CQAA//8DAFBLAwQU&#10;AAYACAAAACEADQzlud8AAAALAQAADwAAAGRycy9kb3ducmV2LnhtbEyPy07DMBBF90j8gzVI7KjT&#10;BKVJmkmFeKhrAoitG0/jgB9R7LSBr8esYDm6R/eeqXeL0exEkx+cRVivEmBkOycH2yO8vjzdFMB8&#10;EFYK7SwhfJGHXXN5UYtKurN9plMbehZLrK8EggphrDj3nSIj/MqNZGN2dJMRIZ5Tz+UkzrHcaJ4m&#10;Sc6NGGxcUGKke0XdZzsbhP364XH84N+t2OtA85taOv2+IF5fLXdbYIGW8AfDr35UhyY6HdxspWca&#10;YZNnZUQR0iLNgEWiKDe3wA4IWZlnwJua//+h+QEAAP//AwBQSwECLQAUAAYACAAAACEAtoM4kv4A&#10;AADhAQAAEwAAAAAAAAAAAAAAAAAAAAAAW0NvbnRlbnRfVHlwZXNdLnhtbFBLAQItABQABgAIAAAA&#10;IQA4/SH/1gAAAJQBAAALAAAAAAAAAAAAAAAAAC8BAABfcmVscy8ucmVsc1BLAQItABQABgAIAAAA&#10;IQAH/Zg63AEAAJ0DAAAOAAAAAAAAAAAAAAAAAC4CAABkcnMvZTJvRG9jLnhtbFBLAQItABQABgAI&#10;AAAAIQANDOW53wAAAAsBAAAPAAAAAAAAAAAAAAAAADYEAABkcnMvZG93bnJldi54bWxQSwUGAAAA&#10;AAQABADzAAAAQgUAAAAA&#10;" stroked="f">
                <v:textbox inset="0,0,0,0">
                  <w:txbxContent>
                    <w:p w14:paraId="68148F83" w14:textId="77777777" w:rsidR="001F6155" w:rsidRDefault="001F6155" w:rsidP="00E02AE5">
                      <w:pPr>
                        <w:spacing w:line="240" w:lineRule="auto"/>
                        <w:jc w:val="center"/>
                        <w:textDirection w:val="btLr"/>
                      </w:pPr>
                      <w:r>
                        <w:rPr>
                          <w:rFonts w:ascii="Times New Roman" w:eastAsia="Times New Roman" w:hAnsi="Times New Roman" w:cs="Times New Roman"/>
                          <w:color w:val="000000"/>
                          <w:sz w:val="16"/>
                        </w:rPr>
                        <w:t>To be written with standard wording in white or black font on red background</w:t>
                      </w:r>
                    </w:p>
                  </w:txbxContent>
                </v:textbox>
              </v:rect>
            </w:pict>
          </mc:Fallback>
        </mc:AlternateContent>
      </w:r>
      <w:r w:rsidRPr="00175D8B">
        <w:rPr>
          <w:rFonts w:eastAsia="Aptos" w:cs="Aptos"/>
          <w:noProof/>
          <w:kern w:val="0"/>
          <w:sz w:val="20"/>
          <w:szCs w:val="20"/>
          <w:lang w:val="tr-TR" w:eastAsia="tr-TR"/>
          <w14:ligatures w14:val="none"/>
        </w:rPr>
        <w:drawing>
          <wp:inline distT="0" distB="0" distL="0" distR="0" wp14:anchorId="68815B12" wp14:editId="458FBFB8">
            <wp:extent cx="5760000" cy="2804400"/>
            <wp:effectExtent l="0" t="0" r="0" b="0"/>
            <wp:docPr id="1822988673" name="image9.png" descr="metin, yazı tipi, logo, grafik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9.png" descr="metin, yazı tipi, logo, grafik içeren bir resim&#10;&#10;Açıklama otomatik olarak oluşturuldu"/>
                    <pic:cNvPicPr preferRelativeResize="0"/>
                  </pic:nvPicPr>
                  <pic:blipFill>
                    <a:blip r:embed="rId53"/>
                    <a:srcRect/>
                    <a:stretch>
                      <a:fillRect/>
                    </a:stretch>
                  </pic:blipFill>
                  <pic:spPr>
                    <a:xfrm>
                      <a:off x="0" y="0"/>
                      <a:ext cx="5760000" cy="2804400"/>
                    </a:xfrm>
                    <a:prstGeom prst="rect">
                      <a:avLst/>
                    </a:prstGeom>
                    <a:ln/>
                  </pic:spPr>
                </pic:pic>
              </a:graphicData>
            </a:graphic>
          </wp:inline>
        </w:drawing>
      </w:r>
    </w:p>
    <w:p w14:paraId="68C55E36" w14:textId="77777777" w:rsidR="00E02AE5" w:rsidRPr="00175D8B" w:rsidRDefault="00E02AE5">
      <w:pPr>
        <w:pStyle w:val="ListeParagraf"/>
        <w:numPr>
          <w:ilvl w:val="2"/>
          <w:numId w:val="32"/>
        </w:numPr>
        <w:rPr>
          <w:b/>
          <w:bCs/>
        </w:rPr>
      </w:pPr>
      <w:r w:rsidRPr="00175D8B">
        <w:rPr>
          <w:b/>
          <w:bCs/>
        </w:rPr>
        <w:t>Creating the Quarantine Area</w:t>
      </w:r>
    </w:p>
    <w:p w14:paraId="76BC3413" w14:textId="77777777" w:rsidR="00E02AE5" w:rsidRPr="00175D8B" w:rsidRDefault="00E02AE5" w:rsidP="00E02AE5">
      <w:pPr>
        <w:rPr>
          <w:rFonts w:eastAsia="Aptos" w:cs="Aptos"/>
          <w:kern w:val="0"/>
          <w:szCs w:val="22"/>
          <w:lang w:eastAsia="tr-TR"/>
          <w14:ligatures w14:val="none"/>
        </w:rPr>
      </w:pPr>
      <w:r w:rsidRPr="00175D8B">
        <w:rPr>
          <w:rFonts w:eastAsia="Aptos" w:cs="Aptos"/>
          <w:kern w:val="0"/>
          <w:szCs w:val="22"/>
          <w:lang w:eastAsia="tr-TR"/>
          <w14:ligatures w14:val="none"/>
        </w:rPr>
        <w:t xml:space="preserve">In working areas where high fiber concentrations are likely (black area), a quarantine area must be established in order for asbestos removal to be performed in a controlled manner. This quarantine area prevents the exposure of asbestos fibers to other people and workers in the environment by hindering the spread of asbestos fibers during asbestos removal works, waste packaging and cleaning of the deconstruction site. </w:t>
      </w:r>
    </w:p>
    <w:p w14:paraId="2D26C3C6" w14:textId="77777777" w:rsidR="00E02AE5" w:rsidRPr="00175D8B" w:rsidRDefault="00E02AE5" w:rsidP="00E02AE5">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Quarantines should be designed in such a way that deconstruction works can be done easily in the area where asbestos is to be removed. In determining the dimensions, the number of workers and the size of the equipment to be used should be considered. For example, if a scissor lift or a scaffold will be used, they should be large enough to provide comfortable equipment use. If the quarantine area is </w:t>
      </w:r>
      <w:r w:rsidRPr="00175D8B">
        <w:rPr>
          <w:rFonts w:eastAsia="Aptos" w:cs="Aptos"/>
          <w:kern w:val="0"/>
          <w:szCs w:val="22"/>
          <w:lang w:eastAsia="tr-TR"/>
          <w14:ligatures w14:val="none"/>
        </w:rPr>
        <w:lastRenderedPageBreak/>
        <w:t>larger than necessary, it increases the spreading area of asbestos, therefore the size of the quarantine area should be kept at an optimum level.</w:t>
      </w:r>
    </w:p>
    <w:p w14:paraId="43315AF8" w14:textId="77777777" w:rsidR="00E02AE5" w:rsidRPr="00175D8B" w:rsidRDefault="00E02AE5" w:rsidP="00E02AE5">
      <w:pPr>
        <w:spacing w:after="160"/>
        <w:rPr>
          <w:rFonts w:eastAsia="Aptos" w:cs="Aptos"/>
          <w:kern w:val="0"/>
          <w:szCs w:val="22"/>
          <w:lang w:eastAsia="tr-TR"/>
          <w14:ligatures w14:val="none"/>
        </w:rPr>
      </w:pPr>
      <w:r w:rsidRPr="00175D8B">
        <w:rPr>
          <w:rFonts w:eastAsia="Aptos" w:cs="Aptos"/>
          <w:kern w:val="0"/>
          <w:szCs w:val="22"/>
          <w:lang w:eastAsia="tr-TR"/>
          <w14:ligatures w14:val="none"/>
        </w:rPr>
        <w:t>The most commonly used material for quarantines is polyethylene coating. This material is highly preferred because of its flexible and impermeable structure. This coating should be thick enough to withstand the erosion and corrosion of quarantine. In most cases, a 1000-gauge (250 micron) coating is sufficient. In exposed areas, the polyethylene coating may not have sufficient strength due to external factors such as wind, so alternative materials such as polyvinyl chloride (PVC) sheet reinforced with woven nylon mesh can be considered.</w:t>
      </w:r>
    </w:p>
    <w:p w14:paraId="577BC657" w14:textId="77777777" w:rsidR="00E02AE5" w:rsidRPr="00175D8B" w:rsidRDefault="00E02AE5" w:rsidP="00E02AE5">
      <w:pPr>
        <w:spacing w:after="160"/>
        <w:rPr>
          <w:rFonts w:eastAsia="Aptos" w:cs="Aptos"/>
          <w:kern w:val="0"/>
          <w:szCs w:val="22"/>
          <w:lang w:eastAsia="tr-TR"/>
          <w14:ligatures w14:val="none"/>
        </w:rPr>
      </w:pPr>
      <w:r w:rsidRPr="00175D8B">
        <w:rPr>
          <w:rFonts w:eastAsia="Aptos" w:cs="Aptos"/>
          <w:kern w:val="0"/>
          <w:szCs w:val="22"/>
          <w:lang w:eastAsia="tr-TR"/>
          <w14:ligatures w14:val="none"/>
        </w:rPr>
        <w:t>The most common means of supporting the coating material are timber frames. Specially designed frames such as metal or plastic tubes can also be used. Some wood with a width of 50 mm x 50 mm is sufficient for the wooden sticks used. The coating must be fixed to the bars using staples, tape, and spray adhesive.</w:t>
      </w:r>
    </w:p>
    <w:p w14:paraId="4274E72D" w14:textId="77777777" w:rsidR="00E02AE5" w:rsidRPr="00175D8B" w:rsidRDefault="00E02AE5" w:rsidP="00E02AE5">
      <w:pPr>
        <w:spacing w:after="160"/>
        <w:rPr>
          <w:rFonts w:eastAsia="Aptos" w:cs="Aptos"/>
          <w:kern w:val="0"/>
          <w:szCs w:val="22"/>
          <w:lang w:eastAsia="tr-TR"/>
          <w14:ligatures w14:val="none"/>
        </w:rPr>
      </w:pPr>
      <w:r w:rsidRPr="00175D8B">
        <w:rPr>
          <w:rFonts w:eastAsia="Aptos" w:cs="Aptos"/>
          <w:kern w:val="0"/>
          <w:szCs w:val="22"/>
          <w:lang w:eastAsia="tr-TR"/>
          <w14:ligatures w14:val="none"/>
        </w:rPr>
        <w:t>The quarantine area must be airtight. All leaks must be detected and sealed. All places where air escape may occur, such as corners, window ledges, doors or area around the negative pressure unit should be properly taped or sealed with suitable foam material.</w:t>
      </w:r>
    </w:p>
    <w:p w14:paraId="19D56E96" w14:textId="77777777" w:rsidR="00E02AE5" w:rsidRPr="00175D8B" w:rsidRDefault="00E02AE5" w:rsidP="00E02AE5">
      <w:pPr>
        <w:spacing w:after="160"/>
        <w:rPr>
          <w:rFonts w:eastAsia="Aptos" w:cs="Aptos"/>
          <w:kern w:val="0"/>
          <w:szCs w:val="22"/>
          <w:lang w:eastAsia="tr-TR"/>
          <w14:ligatures w14:val="none"/>
        </w:rPr>
      </w:pPr>
      <w:r w:rsidRPr="00175D8B">
        <w:rPr>
          <w:rFonts w:eastAsia="Aptos" w:cs="Aptos"/>
          <w:kern w:val="0"/>
          <w:szCs w:val="22"/>
          <w:lang w:eastAsia="tr-TR"/>
          <w14:ligatures w14:val="none"/>
        </w:rPr>
        <w:t>In very confined and hot areas, the use of certain foams and adhesives close to pipelines or breathing space can cause harmful if they were used in high concentrations. This situation should be avoided.</w:t>
      </w:r>
    </w:p>
    <w:p w14:paraId="56F44047" w14:textId="04B28945" w:rsidR="00A22808" w:rsidRPr="00175D8B" w:rsidRDefault="00E02AE5" w:rsidP="00E02AE5">
      <w:pPr>
        <w:spacing w:after="160"/>
        <w:rPr>
          <w:rFonts w:eastAsia="Aptos" w:cs="Aptos"/>
          <w:kern w:val="0"/>
          <w:szCs w:val="22"/>
          <w:lang w:eastAsia="tr-TR"/>
          <w14:ligatures w14:val="none"/>
        </w:rPr>
      </w:pPr>
      <w:r w:rsidRPr="00175D8B">
        <w:rPr>
          <w:rFonts w:eastAsia="Aptos" w:cs="Aptos"/>
          <w:kern w:val="0"/>
          <w:szCs w:val="22"/>
          <w:lang w:eastAsia="tr-TR"/>
          <w14:ligatures w14:val="none"/>
        </w:rPr>
        <w:t>If the breaches of sealing cannot be prevented with these precautions, additional measures should be taken. These can be as follows;</w:t>
      </w:r>
    </w:p>
    <w:p w14:paraId="1B7F3DA2" w14:textId="77777777" w:rsidR="00E02AE5" w:rsidRPr="00175D8B" w:rsidRDefault="00E02AE5">
      <w:pPr>
        <w:numPr>
          <w:ilvl w:val="0"/>
          <w:numId w:val="61"/>
        </w:numPr>
        <w:spacing w:before="120" w:after="0"/>
        <w:ind w:left="1366"/>
        <w:jc w:val="left"/>
        <w:rPr>
          <w:rFonts w:eastAsia="Aptos" w:cs="Aptos"/>
          <w:kern w:val="0"/>
          <w:szCs w:val="22"/>
          <w:lang w:eastAsia="tr-TR"/>
          <w14:ligatures w14:val="none"/>
        </w:rPr>
      </w:pPr>
      <w:r w:rsidRPr="00175D8B">
        <w:rPr>
          <w:rFonts w:eastAsia="Aptos" w:cs="Aptos"/>
          <w:kern w:val="0"/>
          <w:szCs w:val="22"/>
          <w:lang w:eastAsia="tr-TR"/>
          <w14:ligatures w14:val="none"/>
        </w:rPr>
        <w:t>The performance of the negative pressure unit may be increased,</w:t>
      </w:r>
    </w:p>
    <w:p w14:paraId="7B6C23C6" w14:textId="77777777" w:rsidR="00E02AE5" w:rsidRPr="00175D8B" w:rsidRDefault="00E02AE5">
      <w:pPr>
        <w:numPr>
          <w:ilvl w:val="0"/>
          <w:numId w:val="61"/>
        </w:numPr>
        <w:spacing w:after="0"/>
        <w:ind w:left="1371"/>
        <w:jc w:val="left"/>
        <w:rPr>
          <w:rFonts w:eastAsia="Aptos" w:cs="Aptos"/>
          <w:kern w:val="0"/>
          <w:szCs w:val="22"/>
          <w:lang w:eastAsia="tr-TR"/>
          <w14:ligatures w14:val="none"/>
        </w:rPr>
      </w:pPr>
      <w:r w:rsidRPr="00175D8B">
        <w:rPr>
          <w:rFonts w:eastAsia="Aptos" w:cs="Aptos"/>
          <w:kern w:val="0"/>
          <w:szCs w:val="22"/>
          <w:lang w:eastAsia="tr-TR"/>
          <w14:ligatures w14:val="none"/>
        </w:rPr>
        <w:t>Glove bag may be used,</w:t>
      </w:r>
    </w:p>
    <w:p w14:paraId="7EA55E68" w14:textId="77777777" w:rsidR="00E02AE5" w:rsidRPr="00175D8B" w:rsidRDefault="00E02AE5">
      <w:pPr>
        <w:numPr>
          <w:ilvl w:val="0"/>
          <w:numId w:val="61"/>
        </w:numPr>
        <w:spacing w:after="280"/>
        <w:ind w:left="1354"/>
        <w:jc w:val="left"/>
        <w:rPr>
          <w:rFonts w:eastAsia="Aptos" w:cs="Aptos"/>
          <w:kern w:val="0"/>
          <w:szCs w:val="22"/>
          <w:lang w:eastAsia="tr-TR"/>
          <w14:ligatures w14:val="none"/>
        </w:rPr>
      </w:pPr>
      <w:r w:rsidRPr="00175D8B">
        <w:rPr>
          <w:rFonts w:eastAsia="Aptos" w:cs="Aptos"/>
          <w:kern w:val="0"/>
          <w:szCs w:val="22"/>
          <w:lang w:eastAsia="tr-TR"/>
          <w14:ligatures w14:val="none"/>
        </w:rPr>
        <w:t>Mini-quarantine areas can be set up inside the quarantine area.</w:t>
      </w:r>
    </w:p>
    <w:p w14:paraId="2923C92C" w14:textId="77777777" w:rsidR="00E02AE5" w:rsidRPr="00175D8B" w:rsidRDefault="00E02AE5" w:rsidP="00E02AE5">
      <w:pPr>
        <w:spacing w:after="160"/>
        <w:rPr>
          <w:rFonts w:eastAsia="Aptos" w:cs="Aptos"/>
          <w:kern w:val="0"/>
          <w:szCs w:val="22"/>
          <w:lang w:eastAsia="tr-TR"/>
          <w14:ligatures w14:val="none"/>
        </w:rPr>
      </w:pPr>
      <w:r w:rsidRPr="00175D8B">
        <w:rPr>
          <w:rFonts w:eastAsia="Aptos" w:cs="Aptos"/>
          <w:kern w:val="0"/>
          <w:szCs w:val="22"/>
          <w:lang w:eastAsia="tr-TR"/>
          <w14:ligatures w14:val="none"/>
        </w:rPr>
        <w:t>Quarantines must be established before any work is done, including inserting injection needles into the asbestos including materials, and the covering material must be disposable.</w:t>
      </w:r>
    </w:p>
    <w:p w14:paraId="5CE96D88" w14:textId="77777777" w:rsidR="00E02AE5" w:rsidRPr="00175D8B" w:rsidRDefault="00E02AE5">
      <w:pPr>
        <w:pStyle w:val="ListeParagraf"/>
        <w:numPr>
          <w:ilvl w:val="2"/>
          <w:numId w:val="32"/>
        </w:numPr>
        <w:rPr>
          <w:b/>
          <w:bCs/>
        </w:rPr>
      </w:pPr>
      <w:r w:rsidRPr="00175D8B">
        <w:rPr>
          <w:b/>
          <w:bCs/>
        </w:rPr>
        <w:t>Negative Pressure Unit (NPU)</w:t>
      </w:r>
    </w:p>
    <w:p w14:paraId="021BDE5D" w14:textId="77777777" w:rsidR="00E02AE5" w:rsidRPr="00175D8B" w:rsidRDefault="00E02AE5" w:rsidP="00E02AE5">
      <w:r w:rsidRPr="00175D8B">
        <w:t xml:space="preserve">No matter how well designed, the quarantine cannot be guaranteed to be airtight and there may be some degree of leakage. Therefore, it should be ensured that the air pressure inside the quarantine is slightly below atmospheric pressure. With that inequality, any leaking airflow inside the quarantine moves inwards, not outwards, so the asbestos dust stays in the quarantine area. However, sufficient </w:t>
      </w:r>
      <w:r w:rsidRPr="00175D8B">
        <w:lastRenderedPageBreak/>
        <w:t>fresh air should be provided to replace the exhausted air. This air must enter quarantined area in a controlled manner with shower enclosures or airlocks. In this way, the ventilation of the quarantine is regulated, and fresh air is provided to the asbestos workers. In principle, the NPU should be located opposite the airlocks. However, the optimal location for the NPU depends on several factors, including the shape of the quarantine area, accessibility of the walls or suitability of walls to accommodate the unit. The airlock alone can provide enough fresh air for a small or simple quarantine; however, additional air intakes may be required for larger or complex facilities. These air inlets should have filtration (pre-filter) and should be sealed by taping around. The NPU should normally be located outside the quarantine and only the prefilter should be seen from inside. This depends on access and available space. A flexible piping may be required between the main HEPA filter and the pre-filter in quarantine, in which case this flexible pipe should be maintained and inspected regularly.</w:t>
      </w:r>
    </w:p>
    <w:p w14:paraId="022E551B" w14:textId="77777777" w:rsidR="00E02AE5" w:rsidRPr="00175D8B" w:rsidRDefault="00E02AE5" w:rsidP="00E02AE5">
      <w:r w:rsidRPr="00175D8B">
        <w:t>Sufficient negative pressure should be created inside the quarantine area and this pressure should be distributed as evenly as possible in the quarantine area. The location of the negative pressure unit should provide effective airflow in the quarantine and airlocks. Air locks and waste cabinets should not be seen as an alternative to negative pressure.</w:t>
      </w:r>
    </w:p>
    <w:p w14:paraId="46838C95" w14:textId="77777777" w:rsidR="00E02AE5" w:rsidRPr="00175D8B" w:rsidRDefault="00E02AE5">
      <w:pPr>
        <w:pStyle w:val="ListeParagraf"/>
        <w:numPr>
          <w:ilvl w:val="2"/>
          <w:numId w:val="32"/>
        </w:numPr>
        <w:rPr>
          <w:b/>
          <w:bCs/>
        </w:rPr>
      </w:pPr>
      <w:r w:rsidRPr="00175D8B">
        <w:rPr>
          <w:b/>
          <w:bCs/>
        </w:rPr>
        <w:t>Entering Quarantine (Air Lock)</w:t>
      </w:r>
    </w:p>
    <w:p w14:paraId="3FB4FB34" w14:textId="77777777" w:rsidR="00E02AE5" w:rsidRPr="00175D8B" w:rsidRDefault="00E02AE5" w:rsidP="00E02AE5">
      <w:r w:rsidRPr="00175D8B">
        <w:t>The most important feature for quarantine is shower cabins or air locks. Thanks to the air locks, the entrance and exit of the personnel, equipment and wastes are kept under control. Airlocks and waste cabinets must be at least 1m x 1m x 2m (height) and they should be larger where larger wastes such as pipelines or wood chips are disposed of. Where confined in one direction (i.e., along a corridor), airlocks and waste cabinets should extend in the other direction (i.e., 0.8m x 2m x 2m). If enough space is available, separate airlock and waste cabinet should be used. Air locks should be designed in a way to prevent the leakage of asbestos dust from the passages between the cabinets. This is usually achieved by vertically shearing of the coating between the cabinets. These openings prevent the outside air from entering and the inside air from flowing out. In order to control the air flow, the bottom of the inner slit should be weighted with plastic or wooden sticks. It is essential to provide sufficient reserve air into the quarantine.</w:t>
      </w:r>
    </w:p>
    <w:p w14:paraId="1D15CC3D" w14:textId="77777777" w:rsidR="00E02AE5" w:rsidRPr="00175D8B" w:rsidRDefault="00E02AE5">
      <w:pPr>
        <w:pStyle w:val="ListeParagraf"/>
        <w:numPr>
          <w:ilvl w:val="2"/>
          <w:numId w:val="32"/>
        </w:numPr>
        <w:rPr>
          <w:b/>
          <w:bCs/>
        </w:rPr>
      </w:pPr>
      <w:r w:rsidRPr="00175D8B">
        <w:rPr>
          <w:b/>
          <w:bCs/>
        </w:rPr>
        <w:t>Hygiene Unit</w:t>
      </w:r>
    </w:p>
    <w:p w14:paraId="68490B89" w14:textId="77777777" w:rsidR="00E02AE5" w:rsidRPr="00175D8B" w:rsidRDefault="00E02AE5" w:rsidP="00E02AE5">
      <w:r w:rsidRPr="00175D8B">
        <w:t xml:space="preserve">The hygiene unit (the system designed for personnel cleaning) should be adjacent to the quarantine area, and if this is not possible, airlocks should be used. Airlocks should be designed in such a way that they do not spread asbestos dust into the environment. The use of the transition system is undesirable and should be avoided as much as possible. Connecting shower units directly to quarantine or to air </w:t>
      </w:r>
      <w:r w:rsidRPr="00175D8B">
        <w:lastRenderedPageBreak/>
        <w:t>locks is preferred. The purpose of airlock and waste cabinets is to provide additional control over spreads, and they should be installed adjacent to the quarantine to control air movement during accidental leaks, personnel movement, and waste transfers.</w:t>
      </w:r>
    </w:p>
    <w:p w14:paraId="554C7CA1" w14:textId="77777777" w:rsidR="00E02AE5" w:rsidRPr="00175D8B" w:rsidRDefault="00E02AE5">
      <w:pPr>
        <w:pStyle w:val="ListeParagraf"/>
        <w:numPr>
          <w:ilvl w:val="2"/>
          <w:numId w:val="32"/>
        </w:numPr>
        <w:rPr>
          <w:b/>
          <w:bCs/>
        </w:rPr>
      </w:pPr>
      <w:r w:rsidRPr="00175D8B">
        <w:rPr>
          <w:b/>
          <w:bCs/>
        </w:rPr>
        <w:t>Waste Cabinet</w:t>
      </w:r>
    </w:p>
    <w:p w14:paraId="725621F9" w14:textId="77777777" w:rsidR="00E02AE5" w:rsidRPr="00175D8B" w:rsidRDefault="00E02AE5" w:rsidP="00E02AE5">
      <w:r w:rsidRPr="00175D8B">
        <w:t>Waste cabins are used for the waste transfer and their design is shown in the figure below:</w:t>
      </w:r>
    </w:p>
    <w:p w14:paraId="6D624677" w14:textId="77777777" w:rsidR="00E02AE5" w:rsidRPr="00175D8B" w:rsidRDefault="00E02AE5" w:rsidP="00E02AE5">
      <w:pPr>
        <w:jc w:val="center"/>
        <w:rPr>
          <w:b/>
          <w:i/>
          <w:sz w:val="20"/>
          <w:szCs w:val="20"/>
        </w:rPr>
      </w:pPr>
      <w:r w:rsidRPr="00175D8B">
        <w:rPr>
          <w:b/>
          <w:i/>
          <w:sz w:val="20"/>
          <w:szCs w:val="20"/>
        </w:rPr>
        <w:t>Waste Cabinet Design</w:t>
      </w:r>
    </w:p>
    <w:p w14:paraId="5952D0E3" w14:textId="337F5653" w:rsidR="00A22808" w:rsidRPr="00175D8B" w:rsidRDefault="00E02AE5" w:rsidP="006260C1">
      <w:pPr>
        <w:jc w:val="center"/>
      </w:pPr>
      <w:r w:rsidRPr="00175D8B">
        <w:rPr>
          <w:rFonts w:eastAsia="Aptos" w:cs="Aptos"/>
          <w:noProof/>
          <w:kern w:val="0"/>
          <w:sz w:val="20"/>
          <w:szCs w:val="20"/>
          <w:lang w:val="tr-TR" w:eastAsia="tr-TR"/>
          <w14:ligatures w14:val="none"/>
        </w:rPr>
        <w:drawing>
          <wp:inline distT="0" distB="0" distL="0" distR="0" wp14:anchorId="36BAD6A7" wp14:editId="38C99238">
            <wp:extent cx="4664705" cy="2625077"/>
            <wp:effectExtent l="19050" t="19050" r="22225" b="23495"/>
            <wp:docPr id="1286688238" name="image8.png" descr="metin, çizgi, ekran görüntüsü, yazı tipi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1286688238" name="image8.png" descr="metin, çizgi, ekran görüntüsü, yazı tipi içeren bir resim&#10;&#10;Yapay zeka tarafından oluşturulmuş içerik yanlış olabilir."/>
                    <pic:cNvPicPr preferRelativeResize="0"/>
                  </pic:nvPicPr>
                  <pic:blipFill>
                    <a:blip r:embed="rId54">
                      <a:extLst>
                        <a:ext uri="{28A0092B-C50C-407E-A947-70E740481C1C}">
                          <a14:useLocalDpi xmlns:a14="http://schemas.microsoft.com/office/drawing/2010/main" val="0"/>
                        </a:ext>
                      </a:extLst>
                    </a:blip>
                    <a:stretch>
                      <a:fillRect/>
                    </a:stretch>
                  </pic:blipFill>
                  <pic:spPr>
                    <a:xfrm>
                      <a:off x="0" y="0"/>
                      <a:ext cx="4664705" cy="2625077"/>
                    </a:xfrm>
                    <a:prstGeom prst="rect">
                      <a:avLst/>
                    </a:prstGeom>
                    <a:ln>
                      <a:solidFill>
                        <a:sysClr val="window" lastClr="FFFFFF">
                          <a:lumMod val="85000"/>
                        </a:sysClr>
                      </a:solidFill>
                    </a:ln>
                  </pic:spPr>
                </pic:pic>
              </a:graphicData>
            </a:graphic>
          </wp:inline>
        </w:drawing>
      </w:r>
    </w:p>
    <w:p w14:paraId="2F0B7602" w14:textId="77777777" w:rsidR="00E02AE5" w:rsidRPr="00175D8B" w:rsidRDefault="00E02AE5" w:rsidP="00E02AE5">
      <w:pPr>
        <w:jc w:val="left"/>
        <w:rPr>
          <w:b/>
          <w:bCs/>
        </w:rPr>
      </w:pPr>
      <w:r w:rsidRPr="00175D8B">
        <w:rPr>
          <w:b/>
          <w:bCs/>
        </w:rPr>
        <w:t>Waste Cabinet Design</w:t>
      </w:r>
    </w:p>
    <w:p w14:paraId="65BAFE45" w14:textId="77777777" w:rsidR="00E02AE5" w:rsidRPr="00175D8B" w:rsidRDefault="00E02AE5" w:rsidP="00E02AE5">
      <w:pPr>
        <w:jc w:val="left"/>
      </w:pPr>
      <w:r w:rsidRPr="00175D8B">
        <w:t>In cabin number one, the outside of the waste bags is cleaned by wiping. In cabin number two, the waste bag is transferred into the second waste bag. In cabin number three, the waste is stored temporarily and an outsider personnel member takes the waste bag from there and carries it to the temporary waste storage facility. Waste should never be discharged directly from the hygiene unit.</w:t>
      </w:r>
    </w:p>
    <w:p w14:paraId="51B98B36" w14:textId="77777777" w:rsidR="00E02AE5" w:rsidRPr="00175D8B" w:rsidRDefault="00E02AE5">
      <w:pPr>
        <w:pStyle w:val="ListeParagraf"/>
        <w:numPr>
          <w:ilvl w:val="2"/>
          <w:numId w:val="32"/>
        </w:numPr>
        <w:rPr>
          <w:b/>
          <w:bCs/>
        </w:rPr>
      </w:pPr>
      <w:r w:rsidRPr="00175D8B">
        <w:rPr>
          <w:b/>
          <w:bCs/>
        </w:rPr>
        <w:t>Observation Panel</w:t>
      </w:r>
    </w:p>
    <w:p w14:paraId="561E70E8" w14:textId="77777777" w:rsidR="00E02AE5" w:rsidRPr="00175D8B" w:rsidRDefault="00E02AE5" w:rsidP="00E02AE5">
      <w:r w:rsidRPr="00175D8B">
        <w:t xml:space="preserve">Observation panels (camera system, etc.) should be attached to the walls of the quarantine so that the Asbestos Removal Specialist can see what is happening inside without having to go inside. The number and location of these panels depend on the location, size, and complexity of the quarantine. Transparent plastic observation panels should be placed over the coating during the construction of the quarantine. Panels should be taped on both sides have the minimum dimensions of 60cm x 30cm and must be placed at a height of 1.5 m from the floor. Observation panels should also be in the airlock and waste cabinets. Where viewing from panels is impractical, the camera system can be used as an </w:t>
      </w:r>
      <w:r w:rsidRPr="00175D8B">
        <w:lastRenderedPageBreak/>
        <w:t>alternative for specialists to observe and monitor developments in the quarantine. The camera system should be protected for ease of cleaning.</w:t>
      </w:r>
    </w:p>
    <w:p w14:paraId="68DE4966" w14:textId="77777777" w:rsidR="00E02AE5" w:rsidRPr="00175D8B" w:rsidRDefault="00E02AE5">
      <w:pPr>
        <w:pStyle w:val="ListeParagraf"/>
        <w:numPr>
          <w:ilvl w:val="2"/>
          <w:numId w:val="32"/>
        </w:numPr>
        <w:rPr>
          <w:b/>
          <w:bCs/>
        </w:rPr>
      </w:pPr>
      <w:r w:rsidRPr="00175D8B">
        <w:rPr>
          <w:b/>
          <w:bCs/>
        </w:rPr>
        <w:t>Site Preparation</w:t>
      </w:r>
    </w:p>
    <w:p w14:paraId="32B2B515" w14:textId="77777777" w:rsidR="00E02AE5" w:rsidRPr="00175D8B" w:rsidRDefault="00E02AE5" w:rsidP="00E02AE5">
      <w:r w:rsidRPr="00175D8B">
        <w:t>Before starting work in the building, a hygiene unit, including the quarantine, should be purchased, and installed. PPE to be used during the initial setup of the quarantine should be determined. The deconstruction area should be examined. The purpose of this operation is to determine the items to be removed and to cover the items that cannot be taken out in order not to have difficulty during the cleaning. The work area should be as free from plants, equipment, and furniture as possible. All remaining equipment, such as electrical equipment, must be pre-cleaned and then covered with a polyethylene coating and tightly taped to prevent contamination. If there are boilers or chimneys in quarantine are, they must be closed to prevent the spread of asbestos due to fumes.</w:t>
      </w:r>
    </w:p>
    <w:p w14:paraId="0CD9B71B" w14:textId="77777777" w:rsidR="00E02AE5" w:rsidRPr="00175D8B" w:rsidRDefault="00E02AE5" w:rsidP="00E02AE5">
      <w:r w:rsidRPr="00175D8B">
        <w:t>If there is any asbestos material in the dismantling area, a preliminary cleaning should be done. For this, all loose materials must be removed before the quarantine is established. Pre-cleaning should be performed using appropriate dust prevention and control measures, including vacuuming with an H-type vacuum cleaner, surface wiping, temporary encapsulation with polyvinyl acetate (PVA), tape or adhesive film, spray wetting, and bagging. In addition, if there is asbestos-free dust and waste, pre-cleaning should be done for this as well. These wastes can be considered as normal waste. Otherwise, after the work starts, this waste will be considered as asbestos waste and must be disposed of as hazardous waste.</w:t>
      </w:r>
    </w:p>
    <w:p w14:paraId="17523D6F" w14:textId="77777777" w:rsidR="00E02AE5" w:rsidRPr="00175D8B" w:rsidRDefault="00E02AE5">
      <w:pPr>
        <w:pStyle w:val="ListeParagraf"/>
        <w:numPr>
          <w:ilvl w:val="2"/>
          <w:numId w:val="32"/>
        </w:numPr>
        <w:rPr>
          <w:b/>
          <w:bCs/>
        </w:rPr>
      </w:pPr>
      <w:r w:rsidRPr="00175D8B">
        <w:rPr>
          <w:b/>
          <w:bCs/>
        </w:rPr>
        <w:t>Smoke Test</w:t>
      </w:r>
    </w:p>
    <w:p w14:paraId="490B8EC2" w14:textId="77777777" w:rsidR="00E02AE5" w:rsidRPr="00175D8B" w:rsidRDefault="00E02AE5" w:rsidP="00E02AE5">
      <w:r w:rsidRPr="00175D8B">
        <w:t>Before deconstruction begins in the quarantine, the tightness of the quarantine should be tested by pumping smoke from the smoke generator while the negative pressure unit is not operating. Large leaks will be readily apparent; but small leaks will show themselves after a little wait. These small leaks can cause asbestos to be released into the environment during removal. The easiest way to examine fugitive smoke is to shine light over it with a flashlight. If any leakage is encountered, that area should be re-examined, and the leaking part should be taped.</w:t>
      </w:r>
    </w:p>
    <w:p w14:paraId="5B709499" w14:textId="77777777" w:rsidR="00E02AE5" w:rsidRPr="00175D8B" w:rsidRDefault="00E02AE5">
      <w:pPr>
        <w:pStyle w:val="ListeParagraf"/>
        <w:numPr>
          <w:ilvl w:val="1"/>
          <w:numId w:val="32"/>
        </w:numPr>
        <w:rPr>
          <w:b/>
          <w:bCs/>
        </w:rPr>
      </w:pPr>
      <w:r w:rsidRPr="00175D8B">
        <w:rPr>
          <w:b/>
          <w:bCs/>
        </w:rPr>
        <w:t>Necessary Materials and Personal Protective Equipment</w:t>
      </w:r>
    </w:p>
    <w:p w14:paraId="48DABAD2" w14:textId="39AAC3F6" w:rsidR="008D7469" w:rsidRPr="00175D8B" w:rsidRDefault="00E02AE5" w:rsidP="00E02AE5">
      <w:r w:rsidRPr="00175D8B">
        <w:t>Before starting the deconstruction work, the materials listed below, and personal protective equipment must be provided.</w:t>
      </w:r>
    </w:p>
    <w:p w14:paraId="1BEC98CC" w14:textId="77777777" w:rsidR="00E02AE5" w:rsidRPr="00175D8B" w:rsidRDefault="00E02AE5">
      <w:pPr>
        <w:pStyle w:val="ListeParagraf"/>
        <w:numPr>
          <w:ilvl w:val="2"/>
          <w:numId w:val="32"/>
        </w:numPr>
        <w:rPr>
          <w:b/>
          <w:bCs/>
        </w:rPr>
      </w:pPr>
      <w:r w:rsidRPr="00175D8B">
        <w:rPr>
          <w:b/>
          <w:bCs/>
        </w:rPr>
        <w:t>H Type Vacuum Cleaner</w:t>
      </w:r>
    </w:p>
    <w:p w14:paraId="5EAE80A8" w14:textId="77777777" w:rsidR="00E02AE5" w:rsidRPr="00175D8B" w:rsidRDefault="00E02AE5" w:rsidP="00E02AE5">
      <w:r w:rsidRPr="00175D8B">
        <w:lastRenderedPageBreak/>
        <w:t>Industrial vacuum cleaners in H dust class and suitable for asbestos-containing dust removal should be used in accordance with EN 6035-2-69 in order to clean the small parts spread around during asbestos removal and to remove the fibers stuck to the clothes by vacuuming.</w:t>
      </w:r>
    </w:p>
    <w:p w14:paraId="678A8FDC" w14:textId="77777777" w:rsidR="00E02AE5" w:rsidRPr="00175D8B" w:rsidRDefault="00E02AE5" w:rsidP="00E02AE5">
      <w:r w:rsidRPr="00175D8B">
        <w:t>During the works in buildings, low pressure must be maintained in the working area with help of suction devices. In this way, in case of leakage, it is ensured that fresh air from outside enters the work area, and that asbestos air does not flow out of the work area.</w:t>
      </w:r>
    </w:p>
    <w:p w14:paraId="49BDDB2A" w14:textId="77777777" w:rsidR="00E02AE5" w:rsidRPr="00175D8B" w:rsidRDefault="00E02AE5">
      <w:pPr>
        <w:pStyle w:val="ListeParagraf"/>
        <w:numPr>
          <w:ilvl w:val="2"/>
          <w:numId w:val="32"/>
        </w:numPr>
        <w:rPr>
          <w:b/>
          <w:bCs/>
        </w:rPr>
      </w:pPr>
      <w:r w:rsidRPr="00175D8B">
        <w:rPr>
          <w:b/>
          <w:bCs/>
        </w:rPr>
        <w:t>Binding Agent</w:t>
      </w:r>
    </w:p>
    <w:p w14:paraId="138DB7D9" w14:textId="77777777" w:rsidR="00E02AE5" w:rsidRPr="00175D8B" w:rsidRDefault="00E02AE5" w:rsidP="00E02AE5">
      <w:r w:rsidRPr="00175D8B">
        <w:t>During the deconstruction of asbestos-containing structures, there is a risk that the fibers attached to the components will fly off and mix with the breathing air. For this reason, surfaces must be coated with fiber-binding agents (e.g., plaster fixer) and pressure less spraying method should be used. This ensures that the fibers adhere well to the component.</w:t>
      </w:r>
    </w:p>
    <w:p w14:paraId="3ED2AE4A" w14:textId="77777777" w:rsidR="00E02AE5" w:rsidRPr="00175D8B" w:rsidRDefault="00E02AE5">
      <w:pPr>
        <w:pStyle w:val="ListeParagraf"/>
        <w:numPr>
          <w:ilvl w:val="2"/>
          <w:numId w:val="32"/>
        </w:numPr>
        <w:rPr>
          <w:b/>
          <w:bCs/>
        </w:rPr>
      </w:pPr>
      <w:r w:rsidRPr="00175D8B">
        <w:rPr>
          <w:b/>
          <w:bCs/>
        </w:rPr>
        <w:t>Hygienic Devices</w:t>
      </w:r>
    </w:p>
    <w:p w14:paraId="2C9CFDC1" w14:textId="5048DB88" w:rsidR="00A22808" w:rsidRPr="00175D8B" w:rsidRDefault="00E02AE5" w:rsidP="00E02AE5">
      <w:r w:rsidRPr="00175D8B">
        <w:t>Washing facilities should be available in all asbestos work areas so that workers can wash their faces and hands before eating or smoking. During extensive work on asbestos-containing structures, a transition area separated by showers and allowing for separate storage of casual and work clothes is required.</w:t>
      </w:r>
    </w:p>
    <w:p w14:paraId="2E27F23A" w14:textId="77777777" w:rsidR="00E02AE5" w:rsidRPr="00175D8B" w:rsidRDefault="00E02AE5">
      <w:pPr>
        <w:pStyle w:val="ListeParagraf"/>
        <w:numPr>
          <w:ilvl w:val="2"/>
          <w:numId w:val="32"/>
        </w:numPr>
        <w:rPr>
          <w:b/>
          <w:bCs/>
        </w:rPr>
      </w:pPr>
      <w:r w:rsidRPr="00175D8B">
        <w:rPr>
          <w:b/>
          <w:bCs/>
        </w:rPr>
        <w:t>Personal Protective Equipment</w:t>
      </w:r>
    </w:p>
    <w:p w14:paraId="4D84768F" w14:textId="77777777" w:rsidR="00E02AE5" w:rsidRPr="00175D8B" w:rsidRDefault="00E02AE5" w:rsidP="00E02AE5">
      <w:pPr>
        <w:rPr>
          <w:u w:val="single"/>
        </w:rPr>
      </w:pPr>
      <w:r w:rsidRPr="00175D8B">
        <w:rPr>
          <w:u w:val="single"/>
        </w:rPr>
        <w:t>Protective Clothing</w:t>
      </w:r>
    </w:p>
    <w:p w14:paraId="6DC51D78" w14:textId="77777777" w:rsidR="00E02AE5" w:rsidRPr="00175D8B" w:rsidRDefault="00E02AE5">
      <w:pPr>
        <w:numPr>
          <w:ilvl w:val="0"/>
          <w:numId w:val="62"/>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For protective clothing, disposable body protective coveralls that have anti-static properties should be taken.</w:t>
      </w:r>
    </w:p>
    <w:p w14:paraId="3E087669" w14:textId="77777777" w:rsidR="00E02AE5" w:rsidRPr="00175D8B" w:rsidRDefault="00E02AE5">
      <w:pPr>
        <w:numPr>
          <w:ilvl w:val="0"/>
          <w:numId w:val="62"/>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 new protective clothing must be used for each entry into the contaminated area.</w:t>
      </w:r>
    </w:p>
    <w:p w14:paraId="65B370AF" w14:textId="77777777" w:rsidR="00E02AE5" w:rsidRPr="00175D8B" w:rsidRDefault="00E02AE5">
      <w:pPr>
        <w:numPr>
          <w:ilvl w:val="0"/>
          <w:numId w:val="62"/>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Coveralls used should be appropriate to the Type 5 airborne solid particles standard according to TS EN ISO 13982-1 and Type 6: Limited protection standard against splashing liquid particles according to TS EN 13034.</w:t>
      </w:r>
    </w:p>
    <w:p w14:paraId="2FF6E1E9" w14:textId="77777777" w:rsidR="00E02AE5" w:rsidRPr="00175D8B" w:rsidRDefault="00E02AE5">
      <w:pPr>
        <w:numPr>
          <w:ilvl w:val="0"/>
          <w:numId w:val="62"/>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Protective clothing and the personal clothing of the employees are kept in separate places.</w:t>
      </w:r>
    </w:p>
    <w:p w14:paraId="2D45768C" w14:textId="77777777" w:rsidR="00E02AE5" w:rsidRPr="00175D8B" w:rsidRDefault="00E02AE5" w:rsidP="00E02AE5">
      <w:pPr>
        <w:spacing w:after="160"/>
        <w:rPr>
          <w:rFonts w:eastAsia="Aptos" w:cs="Aptos"/>
          <w:kern w:val="0"/>
          <w:szCs w:val="22"/>
          <w:u w:val="single"/>
          <w:lang w:eastAsia="tr-TR"/>
          <w14:ligatures w14:val="none"/>
        </w:rPr>
      </w:pPr>
      <w:r w:rsidRPr="00175D8B">
        <w:rPr>
          <w:rFonts w:eastAsia="Aptos" w:cs="Aptos"/>
          <w:kern w:val="0"/>
          <w:szCs w:val="22"/>
          <w:u w:val="single"/>
          <w:lang w:eastAsia="tr-TR"/>
          <w14:ligatures w14:val="none"/>
        </w:rPr>
        <w:t>Respiratory Protective Mask</w:t>
      </w:r>
    </w:p>
    <w:p w14:paraId="5CE19699" w14:textId="77777777" w:rsidR="00E02AE5" w:rsidRPr="00175D8B" w:rsidRDefault="00E02AE5">
      <w:pPr>
        <w:numPr>
          <w:ilvl w:val="0"/>
          <w:numId w:val="62"/>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full-face shield must be equipped with a hazard-appropriate filter.</w:t>
      </w:r>
    </w:p>
    <w:p w14:paraId="555B5F32" w14:textId="77777777" w:rsidR="00E02AE5" w:rsidRPr="00175D8B" w:rsidRDefault="00E02AE5">
      <w:pPr>
        <w:numPr>
          <w:ilvl w:val="0"/>
          <w:numId w:val="62"/>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 suitability of the respiratory protection must be tested before use and its physical dimensions must be the suitable for the user.</w:t>
      </w:r>
    </w:p>
    <w:p w14:paraId="2D5FE56B" w14:textId="77777777" w:rsidR="00E02AE5" w:rsidRPr="00175D8B" w:rsidRDefault="00E02AE5">
      <w:pPr>
        <w:numPr>
          <w:ilvl w:val="0"/>
          <w:numId w:val="62"/>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Improper respiratory protection will provide little to no protection.</w:t>
      </w:r>
    </w:p>
    <w:p w14:paraId="52F1150F" w14:textId="77777777" w:rsidR="00E02AE5" w:rsidRPr="00175D8B" w:rsidRDefault="00E02AE5">
      <w:pPr>
        <w:numPr>
          <w:ilvl w:val="0"/>
          <w:numId w:val="62"/>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lastRenderedPageBreak/>
        <w:t>A suitable respiratory protection should have a minimum specified protection factor of 20 or more, but 50 or more is recommended.</w:t>
      </w:r>
    </w:p>
    <w:p w14:paraId="05C1BC77" w14:textId="77777777" w:rsidR="00E02AE5" w:rsidRPr="00175D8B" w:rsidRDefault="00E02AE5" w:rsidP="00E02AE5">
      <w:pPr>
        <w:spacing w:after="160"/>
        <w:rPr>
          <w:rFonts w:eastAsia="Aptos" w:cs="Aptos"/>
          <w:kern w:val="0"/>
          <w:szCs w:val="22"/>
          <w:u w:val="single"/>
          <w:lang w:eastAsia="tr-TR"/>
          <w14:ligatures w14:val="none"/>
        </w:rPr>
      </w:pPr>
      <w:r w:rsidRPr="00175D8B">
        <w:rPr>
          <w:rFonts w:eastAsia="Aptos" w:cs="Aptos"/>
          <w:kern w:val="0"/>
          <w:szCs w:val="22"/>
          <w:u w:val="single"/>
          <w:lang w:eastAsia="tr-TR"/>
          <w14:ligatures w14:val="none"/>
        </w:rPr>
        <w:t>Disposable respirators:</w:t>
      </w:r>
    </w:p>
    <w:p w14:paraId="7467D6CD" w14:textId="77777777" w:rsidR="00E02AE5" w:rsidRPr="00175D8B" w:rsidRDefault="00E02AE5">
      <w:pPr>
        <w:numPr>
          <w:ilvl w:val="0"/>
          <w:numId w:val="63"/>
        </w:numPr>
        <w:spacing w:before="120" w:after="280"/>
        <w:jc w:val="left"/>
        <w:rPr>
          <w:rFonts w:eastAsia="Aptos" w:cs="Aptos"/>
          <w:kern w:val="0"/>
          <w:szCs w:val="22"/>
          <w:lang w:eastAsia="tr-TR"/>
          <w14:ligatures w14:val="none"/>
        </w:rPr>
      </w:pPr>
      <w:r w:rsidRPr="00175D8B">
        <w:rPr>
          <w:rFonts w:eastAsia="Aptos" w:cs="Aptos"/>
          <w:kern w:val="0"/>
          <w:szCs w:val="22"/>
          <w:lang w:eastAsia="tr-TR"/>
          <w14:ligatures w14:val="none"/>
        </w:rPr>
        <w:t>Disposable Respirators with FFP3 protection level 50 or more protection factor and compatible with TS EN 149+A1 harmonized standard and EN149:2001+A1:2009 standard, can be used.</w:t>
      </w:r>
    </w:p>
    <w:p w14:paraId="4EA871CE" w14:textId="77777777" w:rsidR="00E02AE5" w:rsidRPr="00175D8B" w:rsidRDefault="00E02AE5" w:rsidP="00E02AE5">
      <w:pPr>
        <w:spacing w:after="160"/>
        <w:rPr>
          <w:rFonts w:eastAsia="Aptos" w:cs="Aptos"/>
          <w:kern w:val="0"/>
          <w:szCs w:val="22"/>
          <w:u w:val="single"/>
          <w:lang w:eastAsia="tr-TR"/>
          <w14:ligatures w14:val="none"/>
        </w:rPr>
      </w:pPr>
      <w:r w:rsidRPr="00175D8B">
        <w:rPr>
          <w:rFonts w:eastAsia="Aptos" w:cs="Aptos"/>
          <w:kern w:val="0"/>
          <w:szCs w:val="22"/>
          <w:u w:val="single"/>
          <w:lang w:eastAsia="tr-TR"/>
          <w14:ligatures w14:val="none"/>
        </w:rPr>
        <w:t>Full Face Mask:</w:t>
      </w:r>
    </w:p>
    <w:p w14:paraId="6AA54061" w14:textId="43B2286E" w:rsidR="003C5BBF" w:rsidRPr="00175D8B" w:rsidRDefault="00E02AE5" w:rsidP="006260C1">
      <w:pPr>
        <w:numPr>
          <w:ilvl w:val="0"/>
          <w:numId w:val="64"/>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 full-face mask can be used with a particle filter with P3 protection level according to TS EN 143 harmonized standard and EN143+A1/AC standard.</w:t>
      </w:r>
    </w:p>
    <w:p w14:paraId="63EF508D" w14:textId="75FA18F6" w:rsidR="00E02AE5" w:rsidRPr="00175D8B" w:rsidRDefault="00E02AE5" w:rsidP="00E02AE5">
      <w:pPr>
        <w:spacing w:after="160"/>
        <w:rPr>
          <w:rFonts w:eastAsia="Aptos" w:cs="Aptos"/>
          <w:kern w:val="0"/>
          <w:szCs w:val="22"/>
          <w:u w:val="single"/>
          <w:lang w:eastAsia="tr-TR"/>
          <w14:ligatures w14:val="none"/>
        </w:rPr>
      </w:pPr>
      <w:r w:rsidRPr="00175D8B">
        <w:rPr>
          <w:rFonts w:eastAsia="Aptos" w:cs="Aptos"/>
          <w:kern w:val="0"/>
          <w:szCs w:val="22"/>
          <w:u w:val="single"/>
          <w:lang w:eastAsia="tr-TR"/>
          <w14:ligatures w14:val="none"/>
        </w:rPr>
        <w:t>Motorized Respiratory Protection:</w:t>
      </w:r>
    </w:p>
    <w:p w14:paraId="288FE81C" w14:textId="54904204" w:rsidR="00A22808" w:rsidRPr="00175D8B" w:rsidRDefault="00E02AE5" w:rsidP="006260C1">
      <w:pPr>
        <w:numPr>
          <w:ilvl w:val="0"/>
          <w:numId w:val="64"/>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For the motor parts, like battery, a combined shield with EN 12941 standard can be used. It also should comply with every standard suitable for the selected respiratory, head, eye, hearing, and face protection class.</w:t>
      </w:r>
    </w:p>
    <w:p w14:paraId="5B7EBE5B" w14:textId="77777777" w:rsidR="00E02AE5" w:rsidRPr="00175D8B" w:rsidRDefault="00E02AE5" w:rsidP="00E02AE5">
      <w:pPr>
        <w:spacing w:after="160"/>
        <w:rPr>
          <w:rFonts w:eastAsia="Aptos" w:cs="Aptos"/>
          <w:kern w:val="0"/>
          <w:szCs w:val="22"/>
          <w:u w:val="single"/>
          <w:lang w:eastAsia="tr-TR"/>
          <w14:ligatures w14:val="none"/>
        </w:rPr>
      </w:pPr>
      <w:r w:rsidRPr="00175D8B">
        <w:rPr>
          <w:rFonts w:eastAsia="Aptos" w:cs="Aptos"/>
          <w:kern w:val="0"/>
          <w:szCs w:val="22"/>
          <w:u w:val="single"/>
          <w:lang w:eastAsia="tr-TR"/>
          <w14:ligatures w14:val="none"/>
        </w:rPr>
        <w:t xml:space="preserve">Other Personal Protective Equipment: </w:t>
      </w:r>
    </w:p>
    <w:p w14:paraId="285990FC" w14:textId="77777777" w:rsidR="00E02AE5" w:rsidRPr="00175D8B" w:rsidRDefault="00E02AE5" w:rsidP="002550A6">
      <w:pPr>
        <w:numPr>
          <w:ilvl w:val="0"/>
          <w:numId w:val="63"/>
        </w:numPr>
        <w:pBdr>
          <w:top w:val="nil"/>
          <w:left w:val="nil"/>
          <w:bottom w:val="nil"/>
          <w:right w:val="nil"/>
          <w:between w:val="nil"/>
        </w:pBdr>
        <w:spacing w:before="12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Occupational safety shoes that can be put directly on the feet without laces or buckles should be worn. Boots should be preferred over shoe covers, as they involve the risk of slipping. Washable boots can be preferred.</w:t>
      </w:r>
    </w:p>
    <w:p w14:paraId="0F1BEAEB" w14:textId="77777777" w:rsidR="00E02AE5" w:rsidRPr="00175D8B" w:rsidRDefault="00E02AE5" w:rsidP="002550A6">
      <w:pPr>
        <w:numPr>
          <w:ilvl w:val="0"/>
          <w:numId w:val="63"/>
        </w:numPr>
        <w:pBdr>
          <w:top w:val="nil"/>
          <w:left w:val="nil"/>
          <w:bottom w:val="nil"/>
          <w:right w:val="nil"/>
          <w:between w:val="nil"/>
        </w:pBdr>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Disposable work gloves should be used. If a glove with high mechanical resistance, high electrical resistance or chemical resistance is to be used depending on the job, thin hygiene gloves with high gripping ability can be used inside these gloves. After each asbestos removal operation, the glove should be placed in properly sealed asbestos waste bags after the worker has left the contaminated area. A new pair of safety gloves should be worn each time you enter the contaminated area.</w:t>
      </w:r>
      <w:bookmarkStart w:id="526" w:name="_1xrdshw" w:colFirst="0" w:colLast="0"/>
      <w:bookmarkEnd w:id="526"/>
    </w:p>
    <w:p w14:paraId="3D0FE4E8" w14:textId="77777777" w:rsidR="00E02AE5" w:rsidRPr="00175D8B" w:rsidRDefault="00E02AE5">
      <w:pPr>
        <w:pStyle w:val="ListeParagraf"/>
        <w:numPr>
          <w:ilvl w:val="1"/>
          <w:numId w:val="32"/>
        </w:numPr>
        <w:rPr>
          <w:b/>
          <w:bCs/>
        </w:rPr>
      </w:pPr>
      <w:r w:rsidRPr="00175D8B">
        <w:rPr>
          <w:b/>
          <w:bCs/>
        </w:rPr>
        <w:t>Removal of Asbestos Containing Materials by Boxing and Separation</w:t>
      </w:r>
    </w:p>
    <w:p w14:paraId="33105DB2" w14:textId="42C2790D" w:rsidR="008D7469" w:rsidRPr="00175D8B" w:rsidRDefault="00E02AE5" w:rsidP="00E02AE5">
      <w:r w:rsidRPr="00175D8B">
        <w:t>It is necessary to properly separate termites and/or contaminated materials without creating dust and breaking parts as much as possible. In addition, before starting the cutting, chemical adhesive liquid should be sprayed on the relevant area in order to suppress the dust spread. It is ensured that after squeezing the adhesive liquid, the cut and disassembled parts are put into special sealed foil and/or asbestos sacks (big bags), packaged and labeled and placed in the waste cabinet, which is determined by the contractors, before disposal.</w:t>
      </w:r>
    </w:p>
    <w:p w14:paraId="52F0DFD7" w14:textId="77777777" w:rsidR="00E02AE5" w:rsidRPr="00175D8B" w:rsidRDefault="00E02AE5">
      <w:pPr>
        <w:pStyle w:val="ListeParagraf"/>
        <w:numPr>
          <w:ilvl w:val="1"/>
          <w:numId w:val="32"/>
        </w:numPr>
        <w:rPr>
          <w:b/>
          <w:bCs/>
        </w:rPr>
      </w:pPr>
      <w:r w:rsidRPr="00175D8B">
        <w:rPr>
          <w:b/>
          <w:bCs/>
        </w:rPr>
        <w:lastRenderedPageBreak/>
        <w:t>Course of Action After Deconstruction</w:t>
      </w:r>
    </w:p>
    <w:p w14:paraId="7DC82E57" w14:textId="77777777" w:rsidR="00E02AE5" w:rsidRPr="00175D8B" w:rsidRDefault="00E02AE5" w:rsidP="00E02AE5">
      <w:r w:rsidRPr="00175D8B">
        <w:t>After the Deconstruction process is completed, the following operations should be performed;</w:t>
      </w:r>
    </w:p>
    <w:p w14:paraId="03A6CDC0" w14:textId="77777777" w:rsidR="00E02AE5" w:rsidRPr="00175D8B" w:rsidRDefault="00E02AE5">
      <w:pPr>
        <w:numPr>
          <w:ilvl w:val="0"/>
          <w:numId w:val="65"/>
        </w:numPr>
        <w:spacing w:before="120" w:after="0"/>
        <w:ind w:left="1371"/>
      </w:pPr>
      <w:r w:rsidRPr="00175D8B">
        <w:t>If necessary, cleaning all areas indoors with a filtered industrial type vacuum cleaner, and if not, simply humidifying,</w:t>
      </w:r>
    </w:p>
    <w:p w14:paraId="312FE1E5" w14:textId="77777777" w:rsidR="00E02AE5" w:rsidRPr="00175D8B" w:rsidRDefault="00E02AE5">
      <w:pPr>
        <w:numPr>
          <w:ilvl w:val="0"/>
          <w:numId w:val="65"/>
        </w:numPr>
        <w:spacing w:after="0"/>
        <w:ind w:left="1371"/>
      </w:pPr>
      <w:r w:rsidRPr="00175D8B">
        <w:t>Wet cleaning with chemicals and/or non-chemical materials,</w:t>
      </w:r>
    </w:p>
    <w:p w14:paraId="14F9C8F0" w14:textId="77777777" w:rsidR="00E02AE5" w:rsidRPr="00175D8B" w:rsidRDefault="00E02AE5">
      <w:pPr>
        <w:numPr>
          <w:ilvl w:val="0"/>
          <w:numId w:val="65"/>
        </w:numPr>
        <w:spacing w:after="280"/>
        <w:ind w:left="1371"/>
      </w:pPr>
      <w:r w:rsidRPr="00175D8B">
        <w:t>Spraying a special liquid material containing fiber adhesive, on all surfaces</w:t>
      </w:r>
    </w:p>
    <w:p w14:paraId="4D9E623F" w14:textId="77777777" w:rsidR="00E02AE5" w:rsidRPr="00175D8B" w:rsidRDefault="00E02AE5">
      <w:pPr>
        <w:pStyle w:val="ListeParagraf"/>
        <w:numPr>
          <w:ilvl w:val="1"/>
          <w:numId w:val="32"/>
        </w:numPr>
        <w:rPr>
          <w:b/>
          <w:bCs/>
        </w:rPr>
      </w:pPr>
      <w:r w:rsidRPr="00175D8B">
        <w:rPr>
          <w:b/>
          <w:bCs/>
        </w:rPr>
        <w:t>Management and Disposal of Asbestos Waste</w:t>
      </w:r>
    </w:p>
    <w:p w14:paraId="502BFA87" w14:textId="77777777" w:rsidR="00E02AE5" w:rsidRPr="00175D8B" w:rsidRDefault="00E02AE5" w:rsidP="00E02AE5">
      <w:r w:rsidRPr="00175D8B">
        <w:t>The asbestos waste management should not be considered as an issue that will be dealt with only after the deconstruction and demolition works are completed. Asbestos-containing waste should be collected at the end of every working day, placed in bags bearing the asbestos sign, and stored regularly at the workplace. Necessary warnings and guards should be placed to prevent personnel unrelated to waste procedures from accessing waste, and all employees should be informed that asbestos storage locations should not be entered. Double bags should be used if there is a possibility that the stored material will break holes in the bags (e.g., sharp, hard waste). Wetting the waste bags with a fiber binder solution is also recommended. When the deconstruction and demolition works are over or the wastes accumulate in such an amount that it is economical to transport, the waste should be transported and disposed of in accordance with the legislation and by signing a contract with the waste transport company licensed by the MoEUCC and with the authorized waste disposal organization.</w:t>
      </w:r>
    </w:p>
    <w:p w14:paraId="4236FF9C" w14:textId="77777777" w:rsidR="00E02AE5" w:rsidRPr="00175D8B" w:rsidRDefault="00E02AE5" w:rsidP="00E02AE5">
      <w:r w:rsidRPr="00175D8B">
        <w:t>Asbestos, which is revealed as a result of deconstruction from the building, is in the nature of "waste" and must be transported and disposed of in accordance with the provisions of "waste legislation". According to Article 11 of the Environmental Law; facilities, businesses, and settlements that are not deemed appropriate to directly or indirectly deliver their wastes generated as a result of production, consumption and service activities to the receiving environment are obliged to treat and dispose of their wastes in accordance with the standards and methods determined in the regulations and to obtain the prescribed permits. This provision, which applies to all wastes, also applies to the disposal of asbestos waste.</w:t>
      </w:r>
    </w:p>
    <w:p w14:paraId="61795041" w14:textId="2373480F" w:rsidR="008D7469" w:rsidRPr="00175D8B" w:rsidRDefault="00E02AE5" w:rsidP="00E02AE5">
      <w:r w:rsidRPr="00175D8B">
        <w:t>Within the scope of the Annex-4 waste list of the Waste Management Regulation (WMR) published in the Official Gazette dated 02/04/2015 and numbered 29314 by the MoEUCC, asbestos-containing wastes that will be generated as a result of the Project activities should be considered as "insulation materials and asbestos-containing construction materials”.</w:t>
      </w:r>
    </w:p>
    <w:p w14:paraId="2EC72E3D" w14:textId="4C580769" w:rsidR="00E02AE5" w:rsidRPr="00175D8B" w:rsidRDefault="008D7469" w:rsidP="00CE62A9">
      <w:pPr>
        <w:pStyle w:val="ekil"/>
        <w:rPr>
          <w:b/>
          <w:bCs w:val="0"/>
        </w:rPr>
      </w:pPr>
      <w:r w:rsidRPr="00175D8B">
        <w:rPr>
          <w:b/>
          <w:bCs w:val="0"/>
        </w:rPr>
        <w:lastRenderedPageBreak/>
        <w:t>Waste Codes for Insulation Materials and Construction Materials Containing Asbestos</w:t>
      </w:r>
    </w:p>
    <w:tbl>
      <w:tblPr>
        <w:tblStyle w:val="22"/>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
        <w:gridCol w:w="5620"/>
        <w:gridCol w:w="2007"/>
      </w:tblGrid>
      <w:tr w:rsidR="00E02AE5" w:rsidRPr="00175D8B" w14:paraId="72F0E749" w14:textId="77777777" w:rsidTr="002550A6">
        <w:trPr>
          <w:jc w:val="center"/>
        </w:trPr>
        <w:tc>
          <w:tcPr>
            <w:tcW w:w="1526" w:type="dxa"/>
            <w:shd w:val="clear" w:color="auto" w:fill="ABB7C1"/>
          </w:tcPr>
          <w:p w14:paraId="2A45B0EE" w14:textId="77777777" w:rsidR="00E02AE5" w:rsidRPr="00175D8B" w:rsidRDefault="00E02AE5" w:rsidP="00DF417A">
            <w:pPr>
              <w:spacing w:after="0"/>
              <w:rPr>
                <w:rFonts w:eastAsia="Aptos"/>
                <w:b/>
                <w:sz w:val="18"/>
                <w:szCs w:val="18"/>
              </w:rPr>
            </w:pPr>
            <w:r w:rsidRPr="00175D8B">
              <w:rPr>
                <w:rFonts w:eastAsia="Aptos"/>
                <w:b/>
                <w:sz w:val="18"/>
                <w:szCs w:val="18"/>
              </w:rPr>
              <w:t xml:space="preserve">Waste Codes </w:t>
            </w:r>
          </w:p>
        </w:tc>
        <w:tc>
          <w:tcPr>
            <w:tcW w:w="5982" w:type="dxa"/>
            <w:shd w:val="clear" w:color="auto" w:fill="ABB7C1"/>
          </w:tcPr>
          <w:p w14:paraId="4EA15AF9" w14:textId="77777777" w:rsidR="00E02AE5" w:rsidRPr="00175D8B" w:rsidRDefault="00E02AE5" w:rsidP="00DF417A">
            <w:pPr>
              <w:spacing w:after="0"/>
              <w:rPr>
                <w:rFonts w:eastAsia="Aptos"/>
                <w:b/>
                <w:sz w:val="18"/>
                <w:szCs w:val="18"/>
              </w:rPr>
            </w:pPr>
            <w:r w:rsidRPr="00175D8B">
              <w:rPr>
                <w:rFonts w:eastAsia="Aptos"/>
                <w:b/>
                <w:sz w:val="18"/>
                <w:szCs w:val="18"/>
              </w:rPr>
              <w:t xml:space="preserve">Waste Code Definition </w:t>
            </w:r>
          </w:p>
        </w:tc>
        <w:tc>
          <w:tcPr>
            <w:tcW w:w="2126" w:type="dxa"/>
            <w:shd w:val="clear" w:color="auto" w:fill="ABB7C1"/>
          </w:tcPr>
          <w:p w14:paraId="1F2BEB5C" w14:textId="77777777" w:rsidR="00E02AE5" w:rsidRPr="00175D8B" w:rsidRDefault="00E02AE5" w:rsidP="00DF417A">
            <w:pPr>
              <w:spacing w:after="0"/>
              <w:rPr>
                <w:rFonts w:eastAsia="Aptos"/>
                <w:b/>
                <w:sz w:val="18"/>
                <w:szCs w:val="18"/>
              </w:rPr>
            </w:pPr>
            <w:r w:rsidRPr="00175D8B">
              <w:rPr>
                <w:rFonts w:eastAsia="Aptos"/>
                <w:b/>
                <w:sz w:val="18"/>
                <w:szCs w:val="18"/>
              </w:rPr>
              <w:t>Explanation</w:t>
            </w:r>
          </w:p>
        </w:tc>
      </w:tr>
      <w:tr w:rsidR="00E02AE5" w:rsidRPr="00175D8B" w14:paraId="2B3E137E" w14:textId="77777777" w:rsidTr="002550A6">
        <w:trPr>
          <w:jc w:val="center"/>
        </w:trPr>
        <w:tc>
          <w:tcPr>
            <w:tcW w:w="1526" w:type="dxa"/>
            <w:shd w:val="clear" w:color="auto" w:fill="F2F2F2"/>
          </w:tcPr>
          <w:p w14:paraId="1EE5C492" w14:textId="77777777" w:rsidR="00E02AE5" w:rsidRPr="00175D8B" w:rsidRDefault="00E02AE5" w:rsidP="00DF417A">
            <w:pPr>
              <w:spacing w:after="0"/>
              <w:rPr>
                <w:rFonts w:eastAsia="Aptos"/>
                <w:sz w:val="18"/>
                <w:szCs w:val="18"/>
              </w:rPr>
            </w:pPr>
            <w:r w:rsidRPr="00175D8B">
              <w:rPr>
                <w:rFonts w:eastAsia="Aptos"/>
                <w:sz w:val="18"/>
                <w:szCs w:val="18"/>
              </w:rPr>
              <w:t>17 06</w:t>
            </w:r>
          </w:p>
        </w:tc>
        <w:tc>
          <w:tcPr>
            <w:tcW w:w="5982" w:type="dxa"/>
            <w:shd w:val="clear" w:color="auto" w:fill="F2F2F2"/>
          </w:tcPr>
          <w:p w14:paraId="6FB2E1FD" w14:textId="77777777" w:rsidR="00E02AE5" w:rsidRPr="00175D8B" w:rsidRDefault="00E02AE5" w:rsidP="00DF417A">
            <w:pPr>
              <w:spacing w:after="0"/>
              <w:rPr>
                <w:rFonts w:eastAsia="Aptos"/>
                <w:sz w:val="18"/>
                <w:szCs w:val="18"/>
              </w:rPr>
            </w:pPr>
            <w:r w:rsidRPr="00175D8B">
              <w:rPr>
                <w:rFonts w:eastAsia="Aptos"/>
                <w:sz w:val="18"/>
                <w:szCs w:val="18"/>
              </w:rPr>
              <w:t>Insulating materials and building materials containing asbestos</w:t>
            </w:r>
          </w:p>
        </w:tc>
        <w:tc>
          <w:tcPr>
            <w:tcW w:w="2126" w:type="dxa"/>
            <w:shd w:val="clear" w:color="auto" w:fill="F2F2F2"/>
          </w:tcPr>
          <w:p w14:paraId="3C9495A8" w14:textId="77777777" w:rsidR="00E02AE5" w:rsidRPr="00175D8B" w:rsidRDefault="00E02AE5" w:rsidP="00DF417A">
            <w:pPr>
              <w:spacing w:after="0"/>
              <w:rPr>
                <w:rFonts w:eastAsia="Aptos"/>
                <w:sz w:val="18"/>
                <w:szCs w:val="18"/>
              </w:rPr>
            </w:pPr>
          </w:p>
        </w:tc>
      </w:tr>
      <w:tr w:rsidR="00E02AE5" w:rsidRPr="00175D8B" w14:paraId="3898C064" w14:textId="77777777" w:rsidTr="002550A6">
        <w:trPr>
          <w:jc w:val="center"/>
        </w:trPr>
        <w:tc>
          <w:tcPr>
            <w:tcW w:w="1526" w:type="dxa"/>
            <w:shd w:val="clear" w:color="auto" w:fill="F2F2F2"/>
          </w:tcPr>
          <w:p w14:paraId="077E8ADD" w14:textId="77777777" w:rsidR="00E02AE5" w:rsidRPr="00175D8B" w:rsidRDefault="00E02AE5" w:rsidP="00DF417A">
            <w:pPr>
              <w:spacing w:after="0"/>
              <w:rPr>
                <w:rFonts w:eastAsia="Aptos"/>
                <w:sz w:val="18"/>
                <w:szCs w:val="18"/>
              </w:rPr>
            </w:pPr>
            <w:r w:rsidRPr="00175D8B">
              <w:rPr>
                <w:rFonts w:eastAsia="Aptos"/>
                <w:sz w:val="18"/>
                <w:szCs w:val="18"/>
              </w:rPr>
              <w:t>17 06 01</w:t>
            </w:r>
          </w:p>
        </w:tc>
        <w:tc>
          <w:tcPr>
            <w:tcW w:w="5982" w:type="dxa"/>
            <w:shd w:val="clear" w:color="auto" w:fill="F2F2F2"/>
          </w:tcPr>
          <w:p w14:paraId="1CA1FBB5" w14:textId="77777777" w:rsidR="00E02AE5" w:rsidRPr="00175D8B" w:rsidRDefault="00E02AE5" w:rsidP="00DF417A">
            <w:pPr>
              <w:spacing w:after="0"/>
              <w:rPr>
                <w:rFonts w:eastAsia="Aptos"/>
                <w:sz w:val="18"/>
                <w:szCs w:val="18"/>
              </w:rPr>
            </w:pPr>
            <w:r w:rsidRPr="00175D8B">
              <w:rPr>
                <w:rFonts w:eastAsia="Aptos"/>
                <w:sz w:val="18"/>
                <w:szCs w:val="18"/>
              </w:rPr>
              <w:t>Insulating materials and building materials containing asbestos</w:t>
            </w:r>
          </w:p>
        </w:tc>
        <w:tc>
          <w:tcPr>
            <w:tcW w:w="2126" w:type="dxa"/>
            <w:shd w:val="clear" w:color="auto" w:fill="F2F2F2"/>
          </w:tcPr>
          <w:p w14:paraId="0D4203CE" w14:textId="77777777" w:rsidR="00E02AE5" w:rsidRPr="00175D8B" w:rsidRDefault="00E02AE5" w:rsidP="00DF417A">
            <w:pPr>
              <w:spacing w:after="0"/>
              <w:rPr>
                <w:rFonts w:eastAsia="Aptos"/>
                <w:sz w:val="18"/>
                <w:szCs w:val="18"/>
              </w:rPr>
            </w:pPr>
            <w:r w:rsidRPr="00175D8B">
              <w:rPr>
                <w:rFonts w:eastAsia="Aptos"/>
                <w:sz w:val="18"/>
                <w:szCs w:val="18"/>
              </w:rPr>
              <w:t>M*</w:t>
            </w:r>
          </w:p>
        </w:tc>
      </w:tr>
      <w:tr w:rsidR="00E02AE5" w:rsidRPr="00175D8B" w14:paraId="0C98D6AA" w14:textId="77777777" w:rsidTr="002550A6">
        <w:trPr>
          <w:jc w:val="center"/>
        </w:trPr>
        <w:tc>
          <w:tcPr>
            <w:tcW w:w="1526" w:type="dxa"/>
            <w:shd w:val="clear" w:color="auto" w:fill="F2F2F2"/>
          </w:tcPr>
          <w:p w14:paraId="57198BE7" w14:textId="77777777" w:rsidR="00E02AE5" w:rsidRPr="00175D8B" w:rsidRDefault="00E02AE5" w:rsidP="00DF417A">
            <w:pPr>
              <w:spacing w:after="0"/>
              <w:rPr>
                <w:rFonts w:eastAsia="Aptos"/>
                <w:sz w:val="18"/>
                <w:szCs w:val="18"/>
              </w:rPr>
            </w:pPr>
            <w:r w:rsidRPr="00175D8B">
              <w:rPr>
                <w:rFonts w:eastAsia="Aptos"/>
                <w:sz w:val="18"/>
                <w:szCs w:val="18"/>
              </w:rPr>
              <w:t>17 06 05</w:t>
            </w:r>
          </w:p>
        </w:tc>
        <w:tc>
          <w:tcPr>
            <w:tcW w:w="5982" w:type="dxa"/>
            <w:shd w:val="clear" w:color="auto" w:fill="F2F2F2"/>
          </w:tcPr>
          <w:p w14:paraId="0A18F304" w14:textId="77777777" w:rsidR="00E02AE5" w:rsidRPr="00175D8B" w:rsidRDefault="00E02AE5" w:rsidP="00DF417A">
            <w:pPr>
              <w:spacing w:after="0"/>
              <w:rPr>
                <w:rFonts w:eastAsia="Aptos"/>
                <w:sz w:val="18"/>
                <w:szCs w:val="18"/>
              </w:rPr>
            </w:pPr>
            <w:r w:rsidRPr="00175D8B">
              <w:rPr>
                <w:rFonts w:eastAsia="Aptos"/>
                <w:sz w:val="18"/>
                <w:szCs w:val="18"/>
              </w:rPr>
              <w:t>Insulating materials and building materials containing asbestos</w:t>
            </w:r>
          </w:p>
        </w:tc>
        <w:tc>
          <w:tcPr>
            <w:tcW w:w="2126" w:type="dxa"/>
            <w:shd w:val="clear" w:color="auto" w:fill="F2F2F2"/>
          </w:tcPr>
          <w:p w14:paraId="7A2F889D" w14:textId="77777777" w:rsidR="00E02AE5" w:rsidRPr="00175D8B" w:rsidRDefault="00E02AE5" w:rsidP="00DF417A">
            <w:pPr>
              <w:spacing w:after="0"/>
              <w:rPr>
                <w:rFonts w:eastAsia="Aptos"/>
                <w:sz w:val="18"/>
                <w:szCs w:val="18"/>
              </w:rPr>
            </w:pPr>
            <w:r w:rsidRPr="00175D8B">
              <w:rPr>
                <w:rFonts w:eastAsia="Aptos"/>
                <w:sz w:val="18"/>
                <w:szCs w:val="18"/>
              </w:rPr>
              <w:t>M</w:t>
            </w:r>
          </w:p>
        </w:tc>
      </w:tr>
    </w:tbl>
    <w:p w14:paraId="5E6FF353" w14:textId="77777777" w:rsidR="00E02AE5" w:rsidRPr="00175D8B" w:rsidRDefault="00E02AE5" w:rsidP="00E02AE5">
      <w:pPr>
        <w:rPr>
          <w:sz w:val="16"/>
          <w:szCs w:val="18"/>
        </w:rPr>
      </w:pPr>
      <w:r w:rsidRPr="00175D8B">
        <w:rPr>
          <w:sz w:val="16"/>
          <w:szCs w:val="18"/>
        </w:rPr>
        <w:t>* M mark: The sign in the "Description" column at the level of the six-digit waste code indicates that the waste is a possible hazardous waste. In order to determine whether the wastes marked in this way are hazardous or not, a study should be performed to determine the hazardous properties of the waste as stipulated in Article 11 of the Waste Management Regulation.</w:t>
      </w:r>
    </w:p>
    <w:p w14:paraId="07D6A081" w14:textId="77777777" w:rsidR="00E02AE5" w:rsidRPr="00175D8B" w:rsidRDefault="00E02AE5" w:rsidP="00E02AE5">
      <w:pPr>
        <w:rPr>
          <w:rFonts w:eastAsia="Aptos" w:cs="Aptos"/>
          <w:kern w:val="0"/>
          <w:szCs w:val="22"/>
          <w:lang w:eastAsia="tr-TR"/>
          <w14:ligatures w14:val="none"/>
        </w:rPr>
      </w:pPr>
      <w:r w:rsidRPr="00175D8B">
        <w:rPr>
          <w:rFonts w:eastAsia="Aptos" w:cs="Aptos"/>
          <w:kern w:val="0"/>
          <w:szCs w:val="22"/>
          <w:lang w:eastAsia="tr-TR"/>
          <w14:ligatures w14:val="none"/>
        </w:rPr>
        <w:t xml:space="preserve">The hazardous properties of the wastes marked with (M) in the waste list, must be determined. In these studies, evaluations regarding H3-H8, H10 and H11, which are among the features listed in Annex-3/A of the same regulation, are made on the basis of the concentration values </w:t>
      </w:r>
      <w:r w:rsidRPr="00175D8B">
        <w:rPr>
          <w:rFonts w:ascii="Arial" w:eastAsia="Arial" w:hAnsi="Arial" w:cs="Arial"/>
          <w:kern w:val="0"/>
          <w:szCs w:val="22"/>
          <w:lang w:eastAsia="tr-TR"/>
          <w14:ligatures w14:val="none"/>
        </w:rPr>
        <w:t>​​</w:t>
      </w:r>
      <w:r w:rsidRPr="00175D8B">
        <w:rPr>
          <w:rFonts w:eastAsia="Aptos" w:cs="Aptos"/>
          <w:kern w:val="0"/>
          <w:szCs w:val="22"/>
          <w:lang w:eastAsia="tr-TR"/>
          <w14:ligatures w14:val="none"/>
        </w:rPr>
        <w:t>in Annex-3/B. Analysis studies are carried out by laboratories that have been qualified for Annex-3/B from the MoEUCC.</w:t>
      </w:r>
    </w:p>
    <w:p w14:paraId="4FD8372D" w14:textId="77777777" w:rsidR="00E02AE5" w:rsidRPr="00175D8B" w:rsidRDefault="00E02AE5" w:rsidP="00E02AE5">
      <w:pPr>
        <w:spacing w:after="160"/>
        <w:rPr>
          <w:rFonts w:eastAsia="Aptos" w:cs="Aptos"/>
          <w:kern w:val="0"/>
          <w:szCs w:val="22"/>
          <w:lang w:eastAsia="tr-TR"/>
          <w14:ligatures w14:val="none"/>
        </w:rPr>
      </w:pPr>
      <w:r w:rsidRPr="00175D8B">
        <w:rPr>
          <w:rFonts w:eastAsia="Aptos" w:cs="Aptos"/>
          <w:kern w:val="0"/>
          <w:szCs w:val="22"/>
          <w:lang w:eastAsia="tr-TR"/>
          <w14:ligatures w14:val="none"/>
        </w:rPr>
        <w:t>According to the Waste Management Regulation, the implementation of the disposal process should be controlled. Asbestos-containing materials will be appropriately labeled and stacked. In the online programs of the MoEUCC, it will be ensured that hazardous materials containing asbestos are sent to licensed disposal facilities by using the waste management application over the Integrated Environmental Information System.</w:t>
      </w:r>
    </w:p>
    <w:p w14:paraId="34C989AC" w14:textId="77777777" w:rsidR="00E02AE5" w:rsidRPr="00175D8B" w:rsidRDefault="00E02AE5" w:rsidP="00E02AE5">
      <w:pPr>
        <w:spacing w:after="160"/>
        <w:rPr>
          <w:rFonts w:eastAsia="Aptos" w:cs="Aptos"/>
          <w:kern w:val="0"/>
          <w:szCs w:val="22"/>
          <w:lang w:eastAsia="tr-TR"/>
          <w14:ligatures w14:val="none"/>
        </w:rPr>
      </w:pPr>
      <w:r w:rsidRPr="00175D8B">
        <w:rPr>
          <w:rFonts w:eastAsia="Aptos" w:cs="Aptos"/>
          <w:kern w:val="0"/>
          <w:szCs w:val="22"/>
          <w:lang w:eastAsia="tr-TR"/>
          <w14:ligatures w14:val="none"/>
        </w:rPr>
        <w:t>During the disposal of asbestos waste, the following will be considered,</w:t>
      </w:r>
    </w:p>
    <w:p w14:paraId="32B35A89" w14:textId="77777777" w:rsidR="00E02AE5" w:rsidRPr="00175D8B" w:rsidRDefault="00E02AE5">
      <w:pPr>
        <w:numPr>
          <w:ilvl w:val="0"/>
          <w:numId w:val="66"/>
        </w:numPr>
        <w:pBdr>
          <w:top w:val="nil"/>
          <w:left w:val="nil"/>
          <w:bottom w:val="nil"/>
          <w:right w:val="nil"/>
          <w:between w:val="nil"/>
        </w:pBdr>
        <w:spacing w:before="120"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Asbestos waste should be wrapped and packaged without breaking.</w:t>
      </w:r>
    </w:p>
    <w:p w14:paraId="25A50573" w14:textId="77777777" w:rsidR="00E02AE5" w:rsidRPr="00175D8B" w:rsidRDefault="00E02AE5">
      <w:pPr>
        <w:numPr>
          <w:ilvl w:val="0"/>
          <w:numId w:val="66"/>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Asbestos waste should be labeled after packaging without breaking.</w:t>
      </w:r>
    </w:p>
    <w:p w14:paraId="46CED1C9" w14:textId="77777777" w:rsidR="00E02AE5" w:rsidRPr="00175D8B" w:rsidRDefault="00E02AE5">
      <w:pPr>
        <w:numPr>
          <w:ilvl w:val="0"/>
          <w:numId w:val="66"/>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Asbestos waste must be sent to a licensed disposal facility upon completion of online registration.</w:t>
      </w:r>
    </w:p>
    <w:p w14:paraId="0752F107" w14:textId="77777777" w:rsidR="00E02AE5" w:rsidRPr="00175D8B" w:rsidRDefault="00E02AE5">
      <w:pPr>
        <w:numPr>
          <w:ilvl w:val="0"/>
          <w:numId w:val="66"/>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Asbestos waste should be sent to the disposal facility by licensed vehicles.</w:t>
      </w:r>
    </w:p>
    <w:p w14:paraId="13F54754" w14:textId="77777777" w:rsidR="00E02AE5" w:rsidRPr="00175D8B" w:rsidRDefault="00E02AE5">
      <w:pPr>
        <w:numPr>
          <w:ilvl w:val="0"/>
          <w:numId w:val="66"/>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Asbestos wastes may not be discharged into unloading areas or designated areas for excavation materials.</w:t>
      </w:r>
    </w:p>
    <w:p w14:paraId="43BE1451" w14:textId="77777777" w:rsidR="00E02AE5" w:rsidRPr="00175D8B" w:rsidRDefault="00E02AE5">
      <w:pPr>
        <w:numPr>
          <w:ilvl w:val="0"/>
          <w:numId w:val="66"/>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Asbestos wastes cannot be discharged along streams.</w:t>
      </w:r>
    </w:p>
    <w:p w14:paraId="6E1E471B" w14:textId="77777777" w:rsidR="00E02AE5" w:rsidRPr="00175D8B" w:rsidRDefault="00E02AE5">
      <w:pPr>
        <w:numPr>
          <w:ilvl w:val="0"/>
          <w:numId w:val="66"/>
        </w:numPr>
        <w:pBdr>
          <w:top w:val="nil"/>
          <w:left w:val="nil"/>
          <w:bottom w:val="nil"/>
          <w:right w:val="nil"/>
          <w:between w:val="nil"/>
        </w:pBdr>
        <w:spacing w:after="0"/>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Asbestos waste cannot be incinerated.</w:t>
      </w:r>
    </w:p>
    <w:p w14:paraId="1A9AD54A" w14:textId="77777777" w:rsidR="00E02AE5" w:rsidRPr="00175D8B" w:rsidRDefault="00E02AE5" w:rsidP="00E02AE5">
      <w:pPr>
        <w:spacing w:after="160"/>
        <w:rPr>
          <w:rFonts w:eastAsia="Aptos" w:cs="Aptos"/>
          <w:b/>
          <w:kern w:val="0"/>
          <w:szCs w:val="22"/>
          <w:lang w:eastAsia="tr-TR"/>
          <w14:ligatures w14:val="none"/>
        </w:rPr>
      </w:pPr>
      <w:bookmarkStart w:id="527" w:name="_3w19e94" w:colFirst="0" w:colLast="0"/>
      <w:bookmarkEnd w:id="527"/>
      <w:r w:rsidRPr="00175D8B">
        <w:rPr>
          <w:rFonts w:eastAsia="Aptos" w:cs="Aptos"/>
          <w:kern w:val="0"/>
          <w:szCs w:val="22"/>
          <w:lang w:eastAsia="tr-TR"/>
          <w14:ligatures w14:val="none"/>
        </w:rPr>
        <w:t>Aforementioned asbestos wastes, within the framework of the provisions specified in Article 30 (titled "Wastes requiring consideration of special circumstances) of the Regulation on the Regular Storage of Wastes, published in the Official Gazette dated 26/03/2010 and numbered 27533, can be stored in class II storage facilities, without testing.</w:t>
      </w:r>
    </w:p>
    <w:p w14:paraId="40F542BD" w14:textId="77777777" w:rsidR="00E02AE5" w:rsidRPr="00175D8B" w:rsidRDefault="00E02AE5">
      <w:pPr>
        <w:pStyle w:val="ListeParagraf"/>
        <w:numPr>
          <w:ilvl w:val="0"/>
          <w:numId w:val="32"/>
        </w:numPr>
        <w:rPr>
          <w:b/>
          <w:bCs/>
        </w:rPr>
      </w:pPr>
      <w:r w:rsidRPr="00175D8B">
        <w:rPr>
          <w:b/>
          <w:bCs/>
        </w:rPr>
        <w:lastRenderedPageBreak/>
        <w:t>Review &amp; Update</w:t>
      </w:r>
    </w:p>
    <w:p w14:paraId="1C0E11BF" w14:textId="77777777" w:rsidR="00E02AE5" w:rsidRPr="00175D8B" w:rsidRDefault="00E02AE5" w:rsidP="00E02AE5">
      <w:r w:rsidRPr="00175D8B">
        <w:t>This AMP is a 'living' document and responsibilities, procedures and compliance actions should be updated if needed (for example, following a change in legislation). It is the responsibility of PMU and contractors to be fully aware of its contents. Contractors will provide relevant training to personnel and ensure that measures/commitments are implemented to ensure compliance with this AMP.</w:t>
      </w:r>
    </w:p>
    <w:p w14:paraId="7BF8CFA1" w14:textId="71CBF210" w:rsidR="00E1528E" w:rsidRPr="00175D8B" w:rsidRDefault="00E02AE5" w:rsidP="00E02AE5">
      <w:r w:rsidRPr="00175D8B">
        <w:t>The standards presented in this annex are minimum compliance standards which can and should be supported with additional measures as required by the conditions of the project sites.</w:t>
      </w:r>
    </w:p>
    <w:p w14:paraId="636D20AF" w14:textId="77777777" w:rsidR="00E02AE5" w:rsidRPr="00175D8B" w:rsidRDefault="00E02AE5" w:rsidP="00E02AE5">
      <w:pPr>
        <w:keepNext/>
        <w:spacing w:after="200" w:line="240" w:lineRule="auto"/>
        <w:jc w:val="center"/>
        <w:rPr>
          <w:rFonts w:eastAsia="Aptos" w:cs="Aptos"/>
          <w:b/>
          <w:i/>
          <w:iCs/>
          <w:color w:val="000000"/>
          <w:kern w:val="0"/>
          <w:sz w:val="20"/>
          <w:szCs w:val="18"/>
          <w:lang w:eastAsia="tr-TR"/>
          <w14:ligatures w14:val="none"/>
        </w:rPr>
      </w:pPr>
      <w:r w:rsidRPr="00175D8B">
        <w:rPr>
          <w:rFonts w:eastAsia="Aptos" w:cs="Aptos"/>
          <w:b/>
          <w:i/>
          <w:iCs/>
          <w:color w:val="000000"/>
          <w:kern w:val="0"/>
          <w:sz w:val="20"/>
          <w:szCs w:val="18"/>
          <w:lang w:eastAsia="tr-TR"/>
          <w14:ligatures w14:val="none"/>
        </w:rPr>
        <w:t>Workflow in Asbestos Studies</w:t>
      </w:r>
    </w:p>
    <w:p w14:paraId="512AB823" w14:textId="5370BF74" w:rsidR="00E02AE5" w:rsidRPr="00175D8B" w:rsidRDefault="00E02AE5" w:rsidP="008D7469">
      <w:pPr>
        <w:spacing w:after="160"/>
        <w:jc w:val="center"/>
        <w:rPr>
          <w:rFonts w:eastAsia="Aptos" w:cs="Aptos"/>
          <w:kern w:val="0"/>
          <w:sz w:val="20"/>
          <w:szCs w:val="20"/>
          <w:lang w:eastAsia="tr-TR"/>
          <w14:ligatures w14:val="none"/>
        </w:rPr>
      </w:pPr>
      <w:r w:rsidRPr="00175D8B">
        <w:rPr>
          <w:rFonts w:eastAsia="Aptos" w:cs="Aptos"/>
          <w:noProof/>
          <w:kern w:val="0"/>
          <w:sz w:val="20"/>
          <w:szCs w:val="20"/>
          <w:lang w:val="tr-TR" w:eastAsia="tr-TR"/>
          <w14:ligatures w14:val="none"/>
        </w:rPr>
        <w:drawing>
          <wp:inline distT="0" distB="0" distL="0" distR="0" wp14:anchorId="1C5070EB" wp14:editId="5508A20A">
            <wp:extent cx="4320000" cy="5760000"/>
            <wp:effectExtent l="0" t="0" r="4445" b="0"/>
            <wp:docPr id="1085689500" name="image13.png" descr="metin, ekran görüntüsü, çevrimiçi reklamcılık, web sites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3.png" descr="metin, ekran görüntüsü, çevrimiçi reklamcılık, web sitesi içeren bir resim&#10;&#10;Açıklama otomatik olarak oluşturuldu"/>
                    <pic:cNvPicPr preferRelativeResize="0"/>
                  </pic:nvPicPr>
                  <pic:blipFill>
                    <a:blip r:embed="rId55"/>
                    <a:srcRect/>
                    <a:stretch>
                      <a:fillRect/>
                    </a:stretch>
                  </pic:blipFill>
                  <pic:spPr>
                    <a:xfrm>
                      <a:off x="0" y="0"/>
                      <a:ext cx="4320000" cy="5760000"/>
                    </a:xfrm>
                    <a:prstGeom prst="rect">
                      <a:avLst/>
                    </a:prstGeom>
                    <a:ln/>
                  </pic:spPr>
                </pic:pic>
              </a:graphicData>
            </a:graphic>
          </wp:inline>
        </w:drawing>
      </w:r>
    </w:p>
    <w:p w14:paraId="0BF4778E" w14:textId="72ECDF9A" w:rsidR="008D7469" w:rsidRPr="00175D8B" w:rsidRDefault="008D7469" w:rsidP="008D7469">
      <w:pPr>
        <w:spacing w:after="160" w:line="278" w:lineRule="auto"/>
        <w:jc w:val="left"/>
        <w:rPr>
          <w:rFonts w:eastAsia="Aptos" w:cs="Aptos"/>
          <w:kern w:val="0"/>
          <w:sz w:val="20"/>
          <w:szCs w:val="20"/>
          <w:lang w:eastAsia="tr-TR"/>
          <w14:ligatures w14:val="none"/>
        </w:rPr>
      </w:pPr>
      <w:r w:rsidRPr="00175D8B">
        <w:rPr>
          <w:rFonts w:eastAsia="Aptos" w:cs="Aptos"/>
          <w:kern w:val="0"/>
          <w:sz w:val="20"/>
          <w:szCs w:val="20"/>
          <w:lang w:eastAsia="tr-TR"/>
          <w14:ligatures w14:val="none"/>
        </w:rPr>
        <w:br w:type="page"/>
      </w:r>
    </w:p>
    <w:p w14:paraId="6EE705AE" w14:textId="690408AD" w:rsidR="00E02AE5" w:rsidRPr="00175D8B" w:rsidRDefault="00E02AE5">
      <w:pPr>
        <w:pStyle w:val="Balk1"/>
        <w:rPr>
          <w:b/>
          <w:sz w:val="28"/>
          <w:szCs w:val="28"/>
          <w:lang w:eastAsia="tr-TR"/>
        </w:rPr>
      </w:pPr>
      <w:bookmarkStart w:id="528" w:name="_Toc212541919"/>
      <w:bookmarkStart w:id="529" w:name="_Toc212542430"/>
      <w:bookmarkStart w:id="530" w:name="_Toc220672839"/>
      <w:r w:rsidRPr="00175D8B">
        <w:rPr>
          <w:b/>
          <w:sz w:val="28"/>
          <w:szCs w:val="28"/>
          <w:lang w:eastAsia="tr-TR"/>
        </w:rPr>
        <w:lastRenderedPageBreak/>
        <w:t xml:space="preserve">ANNEX </w:t>
      </w:r>
      <w:r w:rsidR="00A00BA9">
        <w:rPr>
          <w:b/>
          <w:sz w:val="28"/>
          <w:szCs w:val="28"/>
          <w:lang w:eastAsia="tr-TR"/>
        </w:rPr>
        <w:t>10</w:t>
      </w:r>
      <w:r w:rsidRPr="00175D8B">
        <w:rPr>
          <w:b/>
          <w:sz w:val="28"/>
          <w:szCs w:val="28"/>
          <w:lang w:eastAsia="tr-TR"/>
        </w:rPr>
        <w:t>- CHANCE FIND PROCEDURE</w:t>
      </w:r>
      <w:bookmarkEnd w:id="528"/>
      <w:bookmarkEnd w:id="529"/>
      <w:bookmarkEnd w:id="530"/>
    </w:p>
    <w:p w14:paraId="2FD1E4CA" w14:textId="77777777" w:rsidR="00E02AE5" w:rsidRPr="00175D8B" w:rsidRDefault="00E02AE5">
      <w:pPr>
        <w:pStyle w:val="ListeParagraf"/>
        <w:numPr>
          <w:ilvl w:val="0"/>
          <w:numId w:val="34"/>
        </w:numPr>
        <w:rPr>
          <w:b/>
          <w:bCs/>
        </w:rPr>
      </w:pPr>
      <w:r w:rsidRPr="00175D8B">
        <w:rPr>
          <w:b/>
          <w:szCs w:val="22"/>
        </w:rPr>
        <w:t>Introduction</w:t>
      </w:r>
    </w:p>
    <w:p w14:paraId="2242E789" w14:textId="77777777" w:rsidR="00E02AE5" w:rsidRPr="00175D8B" w:rsidRDefault="00E02AE5" w:rsidP="00E02AE5">
      <w:r w:rsidRPr="00175D8B">
        <w:t>Urban Transformation Presidency (UTP) of the Ministry of Environment, Urbanization and Climate Change (the MoEUCC) is responsible for the sub-project activities to be carried out within the scope of the Project and the management and protection of archaeological and cultural heritage sites/resources in the areas affected by these activities. Natural and Archaeological Sites, Cultural and Historical Buildings will not be included in the Project. However, it is still possible to encounter some unknown archaeological sites and cultural heritage assets as “Chance Finds” during the Project activities.</w:t>
      </w:r>
    </w:p>
    <w:p w14:paraId="7BB9378D" w14:textId="77777777" w:rsidR="00E02AE5" w:rsidRPr="00175D8B" w:rsidRDefault="00E02AE5">
      <w:pPr>
        <w:pStyle w:val="ListeParagraf"/>
        <w:numPr>
          <w:ilvl w:val="1"/>
          <w:numId w:val="34"/>
        </w:numPr>
        <w:rPr>
          <w:b/>
          <w:bCs/>
        </w:rPr>
      </w:pPr>
      <w:r w:rsidRPr="00175D8B">
        <w:rPr>
          <w:b/>
          <w:bCs/>
        </w:rPr>
        <w:t>Purpose</w:t>
      </w:r>
    </w:p>
    <w:p w14:paraId="0B9512B0" w14:textId="77777777" w:rsidR="00E02AE5" w:rsidRPr="00175D8B" w:rsidRDefault="00E02AE5" w:rsidP="00E02AE5">
      <w:r w:rsidRPr="00175D8B">
        <w:t>The purpose of this document is to outline the procedure and related responsibilities required in relation to managing the Chance Finds process during the works to be carried out within the sub-project.</w:t>
      </w:r>
    </w:p>
    <w:p w14:paraId="70FAA427" w14:textId="77777777" w:rsidR="00E02AE5" w:rsidRPr="00175D8B" w:rsidRDefault="00E02AE5">
      <w:pPr>
        <w:pStyle w:val="ListeParagraf"/>
        <w:numPr>
          <w:ilvl w:val="1"/>
          <w:numId w:val="34"/>
        </w:numPr>
        <w:rPr>
          <w:b/>
          <w:bCs/>
        </w:rPr>
      </w:pPr>
      <w:r w:rsidRPr="00175D8B">
        <w:rPr>
          <w:b/>
          <w:bCs/>
        </w:rPr>
        <w:t>Definitions</w:t>
      </w:r>
    </w:p>
    <w:p w14:paraId="5A78718A" w14:textId="77777777" w:rsidR="00E02AE5" w:rsidRPr="00175D8B" w:rsidRDefault="00E02AE5" w:rsidP="00E02AE5">
      <w:pPr>
        <w:jc w:val="center"/>
        <w:rPr>
          <w:b/>
          <w:bCs/>
          <w:i/>
          <w:sz w:val="20"/>
          <w:szCs w:val="20"/>
        </w:rPr>
      </w:pPr>
      <w:r w:rsidRPr="00175D8B">
        <w:rPr>
          <w:b/>
          <w:bCs/>
          <w:i/>
          <w:sz w:val="20"/>
          <w:szCs w:val="20"/>
        </w:rPr>
        <w:t>Definitions</w:t>
      </w:r>
    </w:p>
    <w:tbl>
      <w:tblPr>
        <w:tblStyle w:val="TabloKlavuzu1"/>
        <w:tblW w:w="9072" w:type="dxa"/>
        <w:tblLayout w:type="fixed"/>
        <w:tblLook w:val="0000" w:firstRow="0" w:lastRow="0" w:firstColumn="0" w:lastColumn="0" w:noHBand="0" w:noVBand="0"/>
      </w:tblPr>
      <w:tblGrid>
        <w:gridCol w:w="2830"/>
        <w:gridCol w:w="6242"/>
      </w:tblGrid>
      <w:tr w:rsidR="00E02AE5" w:rsidRPr="00175D8B" w14:paraId="59102F72" w14:textId="77777777" w:rsidTr="00DF417A">
        <w:tc>
          <w:tcPr>
            <w:tcW w:w="2830" w:type="dxa"/>
            <w:shd w:val="clear" w:color="auto" w:fill="F2F2F2"/>
          </w:tcPr>
          <w:p w14:paraId="59A8A142" w14:textId="77777777" w:rsidR="00E02AE5" w:rsidRPr="00175D8B" w:rsidRDefault="00E02AE5" w:rsidP="00DF417A">
            <w:pPr>
              <w:spacing w:after="0"/>
              <w:jc w:val="left"/>
              <w:rPr>
                <w:rFonts w:eastAsia="Cambria" w:cs="Times New Roman"/>
                <w:sz w:val="20"/>
                <w:szCs w:val="20"/>
              </w:rPr>
            </w:pPr>
            <w:r w:rsidRPr="00175D8B">
              <w:rPr>
                <w:rFonts w:eastAsia="Cambria" w:cs="Times New Roman"/>
                <w:sz w:val="20"/>
                <w:szCs w:val="20"/>
              </w:rPr>
              <w:t xml:space="preserve">Change Find </w:t>
            </w:r>
          </w:p>
        </w:tc>
        <w:tc>
          <w:tcPr>
            <w:tcW w:w="6242" w:type="dxa"/>
            <w:shd w:val="clear" w:color="auto" w:fill="F2F2F2"/>
          </w:tcPr>
          <w:p w14:paraId="353F50EC" w14:textId="77777777" w:rsidR="00E02AE5" w:rsidRPr="00175D8B" w:rsidRDefault="00E02AE5" w:rsidP="00DF417A">
            <w:pPr>
              <w:spacing w:after="0"/>
              <w:jc w:val="left"/>
              <w:rPr>
                <w:rFonts w:eastAsia="Cambria" w:cs="Times New Roman"/>
                <w:sz w:val="20"/>
                <w:szCs w:val="20"/>
              </w:rPr>
            </w:pPr>
            <w:r w:rsidRPr="00175D8B">
              <w:rPr>
                <w:rFonts w:eastAsia="Cambria" w:cs="Times New Roman"/>
                <w:sz w:val="20"/>
                <w:szCs w:val="20"/>
              </w:rPr>
              <w:t>Any potential objects, features or areas of cultural inheritance that have been defined as a result of regular monitoring of Project-related construction works but extrinsically to an official site survey.</w:t>
            </w:r>
          </w:p>
        </w:tc>
      </w:tr>
      <w:tr w:rsidR="00E02AE5" w:rsidRPr="00175D8B" w14:paraId="0795982F" w14:textId="77777777" w:rsidTr="00DF417A">
        <w:tc>
          <w:tcPr>
            <w:tcW w:w="2830" w:type="dxa"/>
            <w:shd w:val="clear" w:color="auto" w:fill="F2F2F2"/>
          </w:tcPr>
          <w:p w14:paraId="5CF90DB7" w14:textId="77777777" w:rsidR="00E02AE5" w:rsidRPr="00175D8B" w:rsidRDefault="00E02AE5" w:rsidP="00DF417A">
            <w:pPr>
              <w:spacing w:after="0"/>
              <w:jc w:val="left"/>
              <w:rPr>
                <w:rFonts w:eastAsia="Cambria" w:cs="Times New Roman"/>
                <w:sz w:val="20"/>
                <w:szCs w:val="20"/>
              </w:rPr>
            </w:pPr>
            <w:r w:rsidRPr="00175D8B">
              <w:rPr>
                <w:rFonts w:eastAsia="Cambria" w:cs="Times New Roman"/>
                <w:sz w:val="20"/>
                <w:szCs w:val="20"/>
              </w:rPr>
              <w:t>Museum Directorates</w:t>
            </w:r>
          </w:p>
        </w:tc>
        <w:tc>
          <w:tcPr>
            <w:tcW w:w="6242" w:type="dxa"/>
            <w:shd w:val="clear" w:color="auto" w:fill="F2F2F2"/>
          </w:tcPr>
          <w:p w14:paraId="5990157F" w14:textId="77777777" w:rsidR="00E02AE5" w:rsidRPr="00175D8B" w:rsidRDefault="00E02AE5" w:rsidP="00DF417A">
            <w:pPr>
              <w:spacing w:after="0"/>
              <w:jc w:val="left"/>
              <w:rPr>
                <w:rFonts w:eastAsia="Cambria" w:cs="Times New Roman"/>
                <w:sz w:val="20"/>
                <w:szCs w:val="20"/>
              </w:rPr>
            </w:pPr>
          </w:p>
        </w:tc>
      </w:tr>
      <w:tr w:rsidR="00E02AE5" w:rsidRPr="00175D8B" w14:paraId="1BD6C3DE" w14:textId="77777777" w:rsidTr="00DF417A">
        <w:tc>
          <w:tcPr>
            <w:tcW w:w="2830" w:type="dxa"/>
            <w:shd w:val="clear" w:color="auto" w:fill="F2F2F2"/>
          </w:tcPr>
          <w:p w14:paraId="10FBFDE5" w14:textId="77777777" w:rsidR="00E02AE5" w:rsidRPr="00175D8B" w:rsidRDefault="00E02AE5" w:rsidP="00DF417A">
            <w:pPr>
              <w:spacing w:after="0"/>
              <w:jc w:val="left"/>
              <w:rPr>
                <w:rFonts w:eastAsia="Cambria" w:cs="Times New Roman"/>
                <w:sz w:val="20"/>
                <w:szCs w:val="20"/>
              </w:rPr>
            </w:pPr>
            <w:r w:rsidRPr="00175D8B">
              <w:rPr>
                <w:rFonts w:eastAsia="Cambria" w:cs="Times New Roman"/>
                <w:sz w:val="20"/>
                <w:szCs w:val="20"/>
              </w:rPr>
              <w:t>Regional Conservation Boards</w:t>
            </w:r>
          </w:p>
        </w:tc>
        <w:tc>
          <w:tcPr>
            <w:tcW w:w="6242" w:type="dxa"/>
            <w:shd w:val="clear" w:color="auto" w:fill="F2F2F2"/>
          </w:tcPr>
          <w:p w14:paraId="2E480439" w14:textId="77777777" w:rsidR="00E02AE5" w:rsidRPr="00175D8B" w:rsidRDefault="00E02AE5" w:rsidP="00DF417A">
            <w:pPr>
              <w:spacing w:after="0"/>
              <w:jc w:val="left"/>
              <w:rPr>
                <w:rFonts w:eastAsia="Cambria" w:cs="Times New Roman"/>
                <w:sz w:val="20"/>
                <w:szCs w:val="20"/>
              </w:rPr>
            </w:pPr>
          </w:p>
        </w:tc>
      </w:tr>
      <w:tr w:rsidR="00E02AE5" w:rsidRPr="00175D8B" w14:paraId="37AA5E5F" w14:textId="77777777" w:rsidTr="00DF417A">
        <w:tc>
          <w:tcPr>
            <w:tcW w:w="2830" w:type="dxa"/>
            <w:shd w:val="clear" w:color="auto" w:fill="F2F2F2"/>
          </w:tcPr>
          <w:p w14:paraId="1924E83A" w14:textId="77777777" w:rsidR="00E02AE5" w:rsidRPr="00175D8B" w:rsidRDefault="00E02AE5" w:rsidP="00DF417A">
            <w:pPr>
              <w:spacing w:after="0"/>
              <w:jc w:val="left"/>
              <w:rPr>
                <w:rFonts w:eastAsia="Cambria" w:cs="Times New Roman"/>
                <w:sz w:val="20"/>
                <w:szCs w:val="20"/>
              </w:rPr>
            </w:pPr>
            <w:r w:rsidRPr="00175D8B">
              <w:rPr>
                <w:rFonts w:eastAsia="Cambria" w:cs="Times New Roman"/>
                <w:sz w:val="20"/>
                <w:szCs w:val="20"/>
              </w:rPr>
              <w:t>Project</w:t>
            </w:r>
          </w:p>
        </w:tc>
        <w:tc>
          <w:tcPr>
            <w:tcW w:w="6242" w:type="dxa"/>
            <w:shd w:val="clear" w:color="auto" w:fill="F2F2F2"/>
          </w:tcPr>
          <w:p w14:paraId="37EDC4F9" w14:textId="77777777" w:rsidR="00E02AE5" w:rsidRPr="00175D8B" w:rsidRDefault="00E02AE5" w:rsidP="00DF417A">
            <w:pPr>
              <w:spacing w:after="0"/>
              <w:jc w:val="left"/>
              <w:rPr>
                <w:rFonts w:eastAsia="Cambria" w:cs="Times New Roman"/>
                <w:sz w:val="20"/>
                <w:szCs w:val="20"/>
              </w:rPr>
            </w:pPr>
            <w:r w:rsidRPr="00175D8B">
              <w:rPr>
                <w:rFonts w:eastAsia="Cambria" w:cs="Times New Roman"/>
                <w:sz w:val="20"/>
                <w:szCs w:val="20"/>
              </w:rPr>
              <w:t>Climate and Disaster Resilient Cities Project</w:t>
            </w:r>
          </w:p>
        </w:tc>
      </w:tr>
      <w:tr w:rsidR="00E02AE5" w:rsidRPr="00175D8B" w14:paraId="521CC349" w14:textId="77777777" w:rsidTr="00DF417A">
        <w:tc>
          <w:tcPr>
            <w:tcW w:w="2830" w:type="dxa"/>
            <w:shd w:val="clear" w:color="auto" w:fill="F2F2F2"/>
          </w:tcPr>
          <w:p w14:paraId="1DF33B27" w14:textId="77777777" w:rsidR="00E02AE5" w:rsidRPr="00175D8B" w:rsidRDefault="00E02AE5" w:rsidP="00DF417A">
            <w:pPr>
              <w:spacing w:after="0"/>
              <w:jc w:val="left"/>
              <w:rPr>
                <w:rFonts w:eastAsia="Cambria" w:cs="Times New Roman"/>
                <w:sz w:val="20"/>
                <w:szCs w:val="20"/>
              </w:rPr>
            </w:pPr>
            <w:r w:rsidRPr="00175D8B">
              <w:rPr>
                <w:rFonts w:eastAsia="Cambria" w:cs="Times New Roman"/>
                <w:sz w:val="20"/>
                <w:szCs w:val="20"/>
              </w:rPr>
              <w:t>Work to be Done or Mandatory Actions</w:t>
            </w:r>
          </w:p>
        </w:tc>
        <w:tc>
          <w:tcPr>
            <w:tcW w:w="6242" w:type="dxa"/>
            <w:shd w:val="clear" w:color="auto" w:fill="F2F2F2"/>
          </w:tcPr>
          <w:p w14:paraId="17311C70" w14:textId="77777777" w:rsidR="00E02AE5" w:rsidRPr="00175D8B" w:rsidRDefault="00E02AE5" w:rsidP="00DF417A">
            <w:pPr>
              <w:spacing w:after="0"/>
              <w:jc w:val="left"/>
              <w:rPr>
                <w:rFonts w:eastAsia="Cambria" w:cs="Times New Roman"/>
                <w:sz w:val="20"/>
                <w:szCs w:val="20"/>
              </w:rPr>
            </w:pPr>
            <w:r w:rsidRPr="00175D8B">
              <w:rPr>
                <w:rFonts w:eastAsia="Cambria" w:cs="Times New Roman"/>
                <w:sz w:val="20"/>
                <w:szCs w:val="20"/>
              </w:rPr>
              <w:t>Represents mandatory conditions</w:t>
            </w:r>
          </w:p>
        </w:tc>
      </w:tr>
      <w:tr w:rsidR="00E02AE5" w:rsidRPr="00175D8B" w14:paraId="10A4BDD3" w14:textId="77777777" w:rsidTr="00DF417A">
        <w:tc>
          <w:tcPr>
            <w:tcW w:w="2830" w:type="dxa"/>
            <w:shd w:val="clear" w:color="auto" w:fill="F2F2F2"/>
          </w:tcPr>
          <w:p w14:paraId="347CB61D" w14:textId="77777777" w:rsidR="00E02AE5" w:rsidRPr="00175D8B" w:rsidRDefault="00E02AE5" w:rsidP="00DF417A">
            <w:pPr>
              <w:spacing w:after="0"/>
              <w:jc w:val="left"/>
              <w:rPr>
                <w:rFonts w:eastAsia="Cambria" w:cs="Times New Roman"/>
                <w:sz w:val="20"/>
                <w:szCs w:val="20"/>
              </w:rPr>
            </w:pPr>
            <w:r w:rsidRPr="00175D8B">
              <w:rPr>
                <w:rFonts w:eastAsia="Cambria" w:cs="Times New Roman"/>
                <w:sz w:val="20"/>
                <w:szCs w:val="20"/>
              </w:rPr>
              <w:t>Compulsory Work</w:t>
            </w:r>
          </w:p>
        </w:tc>
        <w:tc>
          <w:tcPr>
            <w:tcW w:w="6242" w:type="dxa"/>
            <w:shd w:val="clear" w:color="auto" w:fill="F2F2F2"/>
          </w:tcPr>
          <w:p w14:paraId="2F635446" w14:textId="77777777" w:rsidR="00E02AE5" w:rsidRPr="00175D8B" w:rsidRDefault="00E02AE5" w:rsidP="00DF417A">
            <w:pPr>
              <w:spacing w:after="0"/>
              <w:jc w:val="left"/>
              <w:rPr>
                <w:rFonts w:eastAsia="Cambria" w:cs="Times New Roman"/>
                <w:sz w:val="20"/>
                <w:szCs w:val="20"/>
              </w:rPr>
            </w:pPr>
            <w:r w:rsidRPr="00175D8B">
              <w:rPr>
                <w:rFonts w:eastAsia="Cambria" w:cs="Times New Roman"/>
                <w:sz w:val="20"/>
                <w:szCs w:val="20"/>
              </w:rPr>
              <w:t>Indicates that a provision is not mandatory but recommended as good practice</w:t>
            </w:r>
          </w:p>
        </w:tc>
      </w:tr>
    </w:tbl>
    <w:p w14:paraId="1B130A91" w14:textId="77777777" w:rsidR="00E02AE5" w:rsidRPr="00175D8B" w:rsidRDefault="00E02AE5" w:rsidP="00E02AE5">
      <w:pPr>
        <w:rPr>
          <w:b/>
          <w:bCs/>
        </w:rPr>
      </w:pPr>
    </w:p>
    <w:p w14:paraId="44891805" w14:textId="77777777" w:rsidR="00E02AE5" w:rsidRPr="00175D8B" w:rsidRDefault="00E02AE5">
      <w:pPr>
        <w:pStyle w:val="ListeParagraf"/>
        <w:numPr>
          <w:ilvl w:val="0"/>
          <w:numId w:val="34"/>
        </w:numPr>
        <w:rPr>
          <w:b/>
          <w:bCs/>
        </w:rPr>
      </w:pPr>
      <w:r w:rsidRPr="00175D8B">
        <w:rPr>
          <w:b/>
          <w:bCs/>
        </w:rPr>
        <w:t>Roles and Responsibilities</w:t>
      </w:r>
    </w:p>
    <w:p w14:paraId="5A6B4C42" w14:textId="77777777" w:rsidR="00E02AE5" w:rsidRPr="00175D8B" w:rsidRDefault="00E02AE5" w:rsidP="00E02AE5">
      <w:r w:rsidRPr="00175D8B">
        <w:t>The Project Management Unit (PMU), which will be established under The Urban Transformation Presidency, is obliged to comply with this procedure along with all its affiliated units and subcontractors throughout all activities for all sub-projects under Component 2. All workers involved in sub-projects’ activities will receive training on the implementation of this procedure.</w:t>
      </w:r>
    </w:p>
    <w:p w14:paraId="61597503" w14:textId="77777777" w:rsidR="00E02AE5" w:rsidRPr="00175D8B" w:rsidRDefault="00E02AE5" w:rsidP="00E02AE5">
      <w:r w:rsidRPr="00175D8B">
        <w:lastRenderedPageBreak/>
        <w:t>Roles and responsibilities for the Environmental and Social (E&amp;S) management of the Project are detailed in the Project ESMF. In this context, roles and responsibilities regarding the chance find process are given in the table below:</w:t>
      </w:r>
    </w:p>
    <w:p w14:paraId="3FEAE9A7" w14:textId="77777777" w:rsidR="00E02AE5" w:rsidRPr="00175D8B" w:rsidRDefault="00E02AE5" w:rsidP="00E02AE5">
      <w:pPr>
        <w:jc w:val="center"/>
        <w:rPr>
          <w:b/>
          <w:bCs/>
          <w:i/>
          <w:iCs/>
          <w:sz w:val="20"/>
          <w:szCs w:val="20"/>
        </w:rPr>
      </w:pPr>
      <w:r w:rsidRPr="00175D8B">
        <w:rPr>
          <w:b/>
          <w:bCs/>
          <w:i/>
          <w:iCs/>
          <w:sz w:val="20"/>
          <w:szCs w:val="20"/>
        </w:rPr>
        <w:t>Roles and Responsibilities</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9"/>
        <w:gridCol w:w="6583"/>
      </w:tblGrid>
      <w:tr w:rsidR="00E02AE5" w:rsidRPr="00175D8B" w14:paraId="2E1B1C46" w14:textId="77777777" w:rsidTr="00DF417A">
        <w:trPr>
          <w:tblHeader/>
          <w:jc w:val="center"/>
        </w:trPr>
        <w:tc>
          <w:tcPr>
            <w:tcW w:w="2489" w:type="dxa"/>
            <w:shd w:val="clear" w:color="auto" w:fill="ABB7C1"/>
          </w:tcPr>
          <w:p w14:paraId="32128549" w14:textId="77777777" w:rsidR="00E02AE5" w:rsidRPr="00175D8B" w:rsidRDefault="00E02AE5" w:rsidP="00DF417A">
            <w:pPr>
              <w:spacing w:line="240" w:lineRule="auto"/>
              <w:jc w:val="left"/>
              <w:rPr>
                <w:b/>
                <w:bCs/>
                <w:sz w:val="20"/>
              </w:rPr>
            </w:pPr>
            <w:r w:rsidRPr="00175D8B">
              <w:rPr>
                <w:b/>
                <w:bCs/>
                <w:sz w:val="20"/>
              </w:rPr>
              <w:t>Roles</w:t>
            </w:r>
          </w:p>
        </w:tc>
        <w:tc>
          <w:tcPr>
            <w:tcW w:w="6583" w:type="dxa"/>
            <w:shd w:val="clear" w:color="auto" w:fill="ABB7C1"/>
          </w:tcPr>
          <w:p w14:paraId="0B8FFE4A" w14:textId="77777777" w:rsidR="00E02AE5" w:rsidRPr="00175D8B" w:rsidRDefault="00E02AE5" w:rsidP="00DF417A">
            <w:pPr>
              <w:spacing w:line="240" w:lineRule="auto"/>
              <w:jc w:val="left"/>
              <w:rPr>
                <w:b/>
                <w:bCs/>
                <w:sz w:val="20"/>
              </w:rPr>
            </w:pPr>
            <w:r w:rsidRPr="00175D8B">
              <w:rPr>
                <w:b/>
                <w:bCs/>
                <w:sz w:val="20"/>
              </w:rPr>
              <w:t>Responsibilities</w:t>
            </w:r>
          </w:p>
        </w:tc>
      </w:tr>
      <w:tr w:rsidR="00E02AE5" w:rsidRPr="00175D8B" w14:paraId="43624C29" w14:textId="77777777" w:rsidTr="00DF417A">
        <w:trPr>
          <w:jc w:val="center"/>
        </w:trPr>
        <w:tc>
          <w:tcPr>
            <w:tcW w:w="2489" w:type="dxa"/>
            <w:shd w:val="clear" w:color="auto" w:fill="F2F2F2" w:themeFill="background1" w:themeFillShade="F2"/>
          </w:tcPr>
          <w:p w14:paraId="61187687" w14:textId="77777777" w:rsidR="00E02AE5" w:rsidRPr="00175D8B" w:rsidRDefault="00E02AE5" w:rsidP="00DF417A">
            <w:pPr>
              <w:spacing w:line="240" w:lineRule="auto"/>
              <w:rPr>
                <w:sz w:val="20"/>
              </w:rPr>
            </w:pPr>
            <w:r w:rsidRPr="00175D8B">
              <w:rPr>
                <w:sz w:val="20"/>
              </w:rPr>
              <w:t>Project Management Unit (PMU)</w:t>
            </w:r>
          </w:p>
        </w:tc>
        <w:tc>
          <w:tcPr>
            <w:tcW w:w="6583" w:type="dxa"/>
            <w:shd w:val="clear" w:color="auto" w:fill="F2F2F2" w:themeFill="background1" w:themeFillShade="F2"/>
          </w:tcPr>
          <w:p w14:paraId="028815BA" w14:textId="77777777" w:rsidR="00E02AE5" w:rsidRPr="00175D8B" w:rsidRDefault="00E02AE5">
            <w:pPr>
              <w:numPr>
                <w:ilvl w:val="0"/>
                <w:numId w:val="50"/>
              </w:numPr>
              <w:pBdr>
                <w:top w:val="nil"/>
                <w:left w:val="nil"/>
                <w:bottom w:val="nil"/>
                <w:right w:val="nil"/>
                <w:between w:val="nil"/>
              </w:pBdr>
              <w:spacing w:before="40" w:after="40" w:line="259" w:lineRule="auto"/>
              <w:jc w:val="left"/>
              <w:rPr>
                <w:rFonts w:eastAsia="Aptos" w:cs="Aptos"/>
                <w:color w:val="000000"/>
                <w:kern w:val="0"/>
                <w:sz w:val="20"/>
                <w:szCs w:val="20"/>
                <w:lang w:eastAsia="tr-TR"/>
                <w14:ligatures w14:val="none"/>
              </w:rPr>
            </w:pPr>
            <w:r w:rsidRPr="00175D8B">
              <w:rPr>
                <w:rFonts w:eastAsia="Aptos" w:cs="Aptos"/>
                <w:color w:val="000000"/>
                <w:kern w:val="0"/>
                <w:sz w:val="20"/>
                <w:szCs w:val="20"/>
                <w:lang w:eastAsia="tr-TR"/>
                <w14:ligatures w14:val="none"/>
              </w:rPr>
              <w:t>Ensure adequate resources are available to implement this procedure.</w:t>
            </w:r>
          </w:p>
          <w:p w14:paraId="39B63DA3" w14:textId="77777777" w:rsidR="00E02AE5" w:rsidRPr="00175D8B" w:rsidRDefault="00E02AE5">
            <w:pPr>
              <w:numPr>
                <w:ilvl w:val="0"/>
                <w:numId w:val="50"/>
              </w:numPr>
              <w:pBdr>
                <w:top w:val="nil"/>
                <w:left w:val="nil"/>
                <w:bottom w:val="nil"/>
                <w:right w:val="nil"/>
                <w:between w:val="nil"/>
              </w:pBdr>
              <w:spacing w:before="40" w:after="40" w:line="259" w:lineRule="auto"/>
              <w:jc w:val="left"/>
              <w:rPr>
                <w:rFonts w:eastAsia="Aptos" w:cs="Aptos"/>
                <w:color w:val="000000"/>
                <w:kern w:val="0"/>
                <w:sz w:val="20"/>
                <w:szCs w:val="20"/>
                <w:lang w:eastAsia="tr-TR"/>
                <w14:ligatures w14:val="none"/>
              </w:rPr>
            </w:pPr>
            <w:r w:rsidRPr="00175D8B">
              <w:rPr>
                <w:rFonts w:eastAsia="Aptos" w:cs="Aptos"/>
                <w:color w:val="000000"/>
                <w:kern w:val="0"/>
                <w:sz w:val="20"/>
                <w:szCs w:val="20"/>
                <w:lang w:eastAsia="tr-TR"/>
                <w14:ligatures w14:val="none"/>
              </w:rPr>
              <w:t>Reviewing and updating the procedure as needed</w:t>
            </w:r>
          </w:p>
          <w:p w14:paraId="1F67717B" w14:textId="77777777" w:rsidR="00E02AE5" w:rsidRPr="00175D8B" w:rsidRDefault="00E02AE5">
            <w:pPr>
              <w:numPr>
                <w:ilvl w:val="0"/>
                <w:numId w:val="50"/>
              </w:numPr>
              <w:pBdr>
                <w:top w:val="nil"/>
                <w:left w:val="nil"/>
                <w:bottom w:val="nil"/>
                <w:right w:val="nil"/>
                <w:between w:val="nil"/>
              </w:pBdr>
              <w:spacing w:before="40" w:after="40" w:line="259" w:lineRule="auto"/>
              <w:jc w:val="left"/>
              <w:rPr>
                <w:rFonts w:eastAsia="Aptos" w:cs="Aptos"/>
                <w:color w:val="000000"/>
                <w:kern w:val="0"/>
                <w:sz w:val="20"/>
                <w:szCs w:val="20"/>
                <w:lang w:eastAsia="tr-TR"/>
                <w14:ligatures w14:val="none"/>
              </w:rPr>
            </w:pPr>
            <w:r w:rsidRPr="00175D8B">
              <w:rPr>
                <w:rFonts w:eastAsia="Aptos" w:cs="Aptos"/>
                <w:color w:val="000000"/>
                <w:kern w:val="0"/>
                <w:sz w:val="20"/>
                <w:szCs w:val="20"/>
                <w:lang w:eastAsia="tr-TR"/>
                <w14:ligatures w14:val="none"/>
              </w:rPr>
              <w:t>Ensure that technical support is provided to contractors to implement the procedure.</w:t>
            </w:r>
          </w:p>
          <w:p w14:paraId="5E794F4D" w14:textId="77777777" w:rsidR="00E02AE5" w:rsidRPr="00175D8B" w:rsidRDefault="00E02AE5">
            <w:pPr>
              <w:numPr>
                <w:ilvl w:val="0"/>
                <w:numId w:val="50"/>
              </w:numPr>
              <w:pBdr>
                <w:top w:val="nil"/>
                <w:left w:val="nil"/>
                <w:bottom w:val="nil"/>
                <w:right w:val="nil"/>
                <w:between w:val="nil"/>
              </w:pBdr>
              <w:spacing w:before="40" w:after="40" w:line="259" w:lineRule="auto"/>
              <w:jc w:val="left"/>
              <w:rPr>
                <w:rFonts w:eastAsia="Aptos" w:cs="Aptos"/>
                <w:color w:val="000000"/>
                <w:kern w:val="0"/>
                <w:sz w:val="20"/>
                <w:szCs w:val="20"/>
                <w:lang w:eastAsia="tr-TR"/>
                <w14:ligatures w14:val="none"/>
              </w:rPr>
            </w:pPr>
            <w:r w:rsidRPr="00175D8B">
              <w:rPr>
                <w:rFonts w:eastAsia="Aptos" w:cs="Aptos"/>
                <w:color w:val="000000"/>
                <w:kern w:val="0"/>
                <w:sz w:val="20"/>
                <w:szCs w:val="20"/>
                <w:lang w:eastAsia="tr-TR"/>
                <w14:ligatures w14:val="none"/>
              </w:rPr>
              <w:t>Ensure that relevant training is provided by contractors through review of training records and relevant training documentation.</w:t>
            </w:r>
          </w:p>
          <w:p w14:paraId="6EE43215" w14:textId="77777777" w:rsidR="00E02AE5" w:rsidRPr="00175D8B" w:rsidRDefault="00E02AE5">
            <w:pPr>
              <w:pStyle w:val="ListeParagraf"/>
              <w:numPr>
                <w:ilvl w:val="0"/>
                <w:numId w:val="50"/>
              </w:numPr>
              <w:spacing w:line="240" w:lineRule="auto"/>
              <w:rPr>
                <w:sz w:val="20"/>
              </w:rPr>
            </w:pPr>
            <w:r w:rsidRPr="00175D8B">
              <w:rPr>
                <w:rFonts w:eastAsia="Aptos" w:cs="Aptos"/>
                <w:color w:val="000000"/>
                <w:kern w:val="0"/>
                <w:sz w:val="20"/>
                <w:szCs w:val="20"/>
                <w:lang w:eastAsia="tr-TR"/>
                <w14:ligatures w14:val="none"/>
              </w:rPr>
              <w:t>Supervising the contractor's compliance with Project requirements through contractor monitoring and reports.</w:t>
            </w:r>
          </w:p>
        </w:tc>
      </w:tr>
      <w:tr w:rsidR="00E02AE5" w:rsidRPr="00175D8B" w14:paraId="11DC2AAF" w14:textId="77777777" w:rsidTr="00DF417A">
        <w:trPr>
          <w:jc w:val="center"/>
        </w:trPr>
        <w:tc>
          <w:tcPr>
            <w:tcW w:w="2489" w:type="dxa"/>
            <w:shd w:val="clear" w:color="auto" w:fill="F2F2F2" w:themeFill="background1" w:themeFillShade="F2"/>
          </w:tcPr>
          <w:p w14:paraId="2D10968A" w14:textId="77777777" w:rsidR="00E02AE5" w:rsidRPr="00175D8B" w:rsidRDefault="00E02AE5" w:rsidP="00DF417A">
            <w:pPr>
              <w:spacing w:line="240" w:lineRule="auto"/>
              <w:rPr>
                <w:sz w:val="20"/>
              </w:rPr>
            </w:pPr>
            <w:r w:rsidRPr="00175D8B">
              <w:rPr>
                <w:sz w:val="20"/>
              </w:rPr>
              <w:t>Contractor</w:t>
            </w:r>
          </w:p>
          <w:p w14:paraId="706BF735" w14:textId="77777777" w:rsidR="00E02AE5" w:rsidRPr="00175D8B" w:rsidRDefault="00E02AE5" w:rsidP="00DF417A">
            <w:pPr>
              <w:spacing w:line="240" w:lineRule="auto"/>
              <w:rPr>
                <w:sz w:val="20"/>
              </w:rPr>
            </w:pPr>
            <w:r w:rsidRPr="00175D8B">
              <w:rPr>
                <w:sz w:val="20"/>
              </w:rPr>
              <w:t>Project/Site Manager</w:t>
            </w:r>
          </w:p>
        </w:tc>
        <w:tc>
          <w:tcPr>
            <w:tcW w:w="6583" w:type="dxa"/>
            <w:shd w:val="clear" w:color="auto" w:fill="F2F2F2" w:themeFill="background1" w:themeFillShade="F2"/>
          </w:tcPr>
          <w:p w14:paraId="78F7AC9A" w14:textId="77777777" w:rsidR="00E02AE5" w:rsidRPr="00175D8B" w:rsidRDefault="00E02AE5">
            <w:pPr>
              <w:numPr>
                <w:ilvl w:val="0"/>
                <w:numId w:val="52"/>
              </w:numPr>
              <w:pBdr>
                <w:top w:val="nil"/>
                <w:left w:val="nil"/>
                <w:bottom w:val="nil"/>
                <w:right w:val="nil"/>
                <w:between w:val="nil"/>
              </w:pBdr>
              <w:spacing w:before="40" w:after="40" w:line="259" w:lineRule="auto"/>
              <w:jc w:val="left"/>
              <w:rPr>
                <w:rFonts w:eastAsia="Aptos" w:cs="Aptos"/>
                <w:color w:val="000000"/>
                <w:kern w:val="0"/>
                <w:sz w:val="20"/>
                <w:szCs w:val="20"/>
                <w:lang w:eastAsia="tr-TR"/>
                <w14:ligatures w14:val="none"/>
              </w:rPr>
            </w:pPr>
            <w:r w:rsidRPr="00175D8B">
              <w:rPr>
                <w:rFonts w:eastAsia="Aptos" w:cs="Aptos"/>
                <w:color w:val="000000"/>
                <w:kern w:val="0"/>
                <w:sz w:val="20"/>
                <w:szCs w:val="20"/>
                <w:lang w:eastAsia="tr-TR"/>
                <w14:ligatures w14:val="none"/>
              </w:rPr>
              <w:t>Ensure that this procedure is implemented in line with Project standards</w:t>
            </w:r>
          </w:p>
          <w:p w14:paraId="50A595FE" w14:textId="77777777" w:rsidR="00E02AE5" w:rsidRPr="00175D8B" w:rsidRDefault="00E02AE5">
            <w:pPr>
              <w:numPr>
                <w:ilvl w:val="0"/>
                <w:numId w:val="52"/>
              </w:numPr>
              <w:pBdr>
                <w:top w:val="nil"/>
                <w:left w:val="nil"/>
                <w:bottom w:val="nil"/>
                <w:right w:val="nil"/>
                <w:between w:val="nil"/>
              </w:pBdr>
              <w:spacing w:before="40" w:after="40" w:line="259" w:lineRule="auto"/>
              <w:jc w:val="left"/>
              <w:rPr>
                <w:rFonts w:eastAsia="Aptos" w:cs="Aptos"/>
                <w:color w:val="000000"/>
                <w:kern w:val="0"/>
                <w:sz w:val="20"/>
                <w:szCs w:val="20"/>
                <w:lang w:eastAsia="tr-TR"/>
                <w14:ligatures w14:val="none"/>
              </w:rPr>
            </w:pPr>
            <w:r w:rsidRPr="00175D8B">
              <w:rPr>
                <w:rFonts w:eastAsia="Aptos" w:cs="Aptos"/>
                <w:color w:val="000000"/>
                <w:kern w:val="0"/>
                <w:sz w:val="20"/>
                <w:szCs w:val="20"/>
                <w:lang w:eastAsia="tr-TR"/>
                <w14:ligatures w14:val="none"/>
              </w:rPr>
              <w:t>As its main responsibility, to ensure the implementation of the procedure (also by the Subcontractors, if any) and to report the non-compliances and the implementation performance of the procedure to the PMU.</w:t>
            </w:r>
          </w:p>
          <w:p w14:paraId="7B780976" w14:textId="77777777" w:rsidR="00E02AE5" w:rsidRPr="00175D8B" w:rsidRDefault="00E02AE5">
            <w:pPr>
              <w:numPr>
                <w:ilvl w:val="0"/>
                <w:numId w:val="52"/>
              </w:numPr>
              <w:pBdr>
                <w:top w:val="nil"/>
                <w:left w:val="nil"/>
                <w:bottom w:val="nil"/>
                <w:right w:val="nil"/>
                <w:between w:val="nil"/>
              </w:pBdr>
              <w:spacing w:before="40" w:after="40" w:line="259" w:lineRule="auto"/>
              <w:jc w:val="left"/>
              <w:rPr>
                <w:rFonts w:eastAsia="Aptos" w:cs="Aptos"/>
                <w:color w:val="000000"/>
                <w:kern w:val="0"/>
                <w:sz w:val="20"/>
                <w:szCs w:val="20"/>
                <w:lang w:eastAsia="tr-TR"/>
                <w14:ligatures w14:val="none"/>
              </w:rPr>
            </w:pPr>
            <w:r w:rsidRPr="00175D8B">
              <w:rPr>
                <w:rFonts w:eastAsia="Aptos" w:cs="Aptos"/>
                <w:color w:val="000000"/>
                <w:kern w:val="0"/>
                <w:sz w:val="20"/>
                <w:szCs w:val="20"/>
                <w:lang w:eastAsia="tr-TR"/>
                <w14:ligatures w14:val="none"/>
              </w:rPr>
              <w:t>Participating in the development of corrective and/or remedial actions when necessary (e.g., when non-compliances are detected, when there is a change in the relevant legislation, etc.).</w:t>
            </w:r>
          </w:p>
          <w:p w14:paraId="470FEC0D" w14:textId="77777777" w:rsidR="00E02AE5" w:rsidRPr="00175D8B" w:rsidRDefault="00E02AE5">
            <w:pPr>
              <w:numPr>
                <w:ilvl w:val="0"/>
                <w:numId w:val="52"/>
              </w:numPr>
              <w:pBdr>
                <w:top w:val="nil"/>
                <w:left w:val="nil"/>
                <w:bottom w:val="nil"/>
                <w:right w:val="nil"/>
                <w:between w:val="nil"/>
              </w:pBdr>
              <w:spacing w:before="40" w:after="40" w:line="259" w:lineRule="auto"/>
              <w:jc w:val="left"/>
              <w:rPr>
                <w:rFonts w:eastAsia="Aptos" w:cs="Aptos"/>
                <w:color w:val="000000"/>
                <w:kern w:val="0"/>
                <w:sz w:val="20"/>
                <w:szCs w:val="20"/>
                <w:lang w:eastAsia="tr-TR"/>
                <w14:ligatures w14:val="none"/>
              </w:rPr>
            </w:pPr>
            <w:r w:rsidRPr="00175D8B">
              <w:rPr>
                <w:rFonts w:eastAsia="Aptos" w:cs="Aptos"/>
                <w:color w:val="000000"/>
                <w:kern w:val="0"/>
                <w:sz w:val="20"/>
                <w:szCs w:val="20"/>
                <w:lang w:eastAsia="tr-TR"/>
                <w14:ligatures w14:val="none"/>
              </w:rPr>
              <w:t>Providing relevant training.</w:t>
            </w:r>
          </w:p>
          <w:p w14:paraId="48DF960C" w14:textId="77777777" w:rsidR="00E02AE5" w:rsidRPr="00175D8B" w:rsidRDefault="00E02AE5">
            <w:pPr>
              <w:numPr>
                <w:ilvl w:val="0"/>
                <w:numId w:val="52"/>
              </w:numPr>
              <w:pBdr>
                <w:top w:val="nil"/>
                <w:left w:val="nil"/>
                <w:bottom w:val="nil"/>
                <w:right w:val="nil"/>
                <w:between w:val="nil"/>
              </w:pBdr>
              <w:spacing w:before="40" w:after="40" w:line="259" w:lineRule="auto"/>
              <w:jc w:val="left"/>
              <w:rPr>
                <w:rFonts w:eastAsia="Aptos" w:cs="Aptos"/>
                <w:color w:val="000000"/>
                <w:kern w:val="0"/>
                <w:sz w:val="20"/>
                <w:szCs w:val="20"/>
                <w:lang w:eastAsia="tr-TR"/>
                <w14:ligatures w14:val="none"/>
              </w:rPr>
            </w:pPr>
            <w:r w:rsidRPr="00175D8B">
              <w:rPr>
                <w:rFonts w:eastAsia="Aptos" w:cs="Aptos"/>
                <w:color w:val="000000"/>
                <w:kern w:val="0"/>
                <w:sz w:val="20"/>
                <w:szCs w:val="20"/>
                <w:lang w:eastAsia="tr-TR"/>
                <w14:ligatures w14:val="none"/>
              </w:rPr>
              <w:t>Performing internal and daily audits and recording any observed non-compliances.</w:t>
            </w:r>
          </w:p>
          <w:p w14:paraId="448C36B5" w14:textId="77777777" w:rsidR="00E02AE5" w:rsidRPr="00175D8B" w:rsidRDefault="00E02AE5">
            <w:pPr>
              <w:numPr>
                <w:ilvl w:val="0"/>
                <w:numId w:val="52"/>
              </w:numPr>
              <w:pBdr>
                <w:top w:val="nil"/>
                <w:left w:val="nil"/>
                <w:bottom w:val="nil"/>
                <w:right w:val="nil"/>
                <w:between w:val="nil"/>
              </w:pBdr>
              <w:spacing w:before="40" w:after="40" w:line="259" w:lineRule="auto"/>
              <w:jc w:val="left"/>
              <w:rPr>
                <w:rFonts w:eastAsia="Aptos" w:cs="Aptos"/>
                <w:color w:val="000000"/>
                <w:kern w:val="0"/>
                <w:sz w:val="20"/>
                <w:szCs w:val="20"/>
                <w:lang w:eastAsia="tr-TR"/>
                <w14:ligatures w14:val="none"/>
              </w:rPr>
            </w:pPr>
            <w:r w:rsidRPr="00175D8B">
              <w:rPr>
                <w:rFonts w:eastAsia="Aptos" w:cs="Aptos"/>
                <w:color w:val="000000"/>
                <w:kern w:val="0"/>
                <w:sz w:val="20"/>
                <w:szCs w:val="20"/>
                <w:lang w:eastAsia="tr-TR"/>
                <w14:ligatures w14:val="none"/>
              </w:rPr>
              <w:t>Ensuring that relevant non-compliances are recorded and promptly responded to.</w:t>
            </w:r>
          </w:p>
          <w:p w14:paraId="521B8A41" w14:textId="77777777" w:rsidR="00E02AE5" w:rsidRPr="00175D8B" w:rsidRDefault="00E02AE5">
            <w:pPr>
              <w:numPr>
                <w:ilvl w:val="0"/>
                <w:numId w:val="52"/>
              </w:numPr>
              <w:pBdr>
                <w:top w:val="nil"/>
                <w:left w:val="nil"/>
                <w:bottom w:val="nil"/>
                <w:right w:val="nil"/>
                <w:between w:val="nil"/>
              </w:pBdr>
              <w:spacing w:before="40" w:after="40" w:line="259" w:lineRule="auto"/>
              <w:jc w:val="left"/>
              <w:rPr>
                <w:rFonts w:eastAsia="Aptos" w:cs="Aptos"/>
                <w:color w:val="000000"/>
                <w:kern w:val="0"/>
                <w:sz w:val="20"/>
                <w:szCs w:val="20"/>
                <w:lang w:eastAsia="tr-TR"/>
                <w14:ligatures w14:val="none"/>
              </w:rPr>
            </w:pPr>
            <w:r w:rsidRPr="00175D8B">
              <w:rPr>
                <w:rFonts w:eastAsia="Aptos" w:cs="Aptos"/>
                <w:color w:val="000000"/>
                <w:kern w:val="0"/>
                <w:sz w:val="20"/>
                <w:szCs w:val="20"/>
                <w:lang w:eastAsia="tr-TR"/>
                <w14:ligatures w14:val="none"/>
              </w:rPr>
              <w:t>Reviewing and updating the procedure as necessary (in coordination with the PMU).</w:t>
            </w:r>
          </w:p>
          <w:p w14:paraId="0593CAEA" w14:textId="77777777" w:rsidR="00E02AE5" w:rsidRPr="00175D8B" w:rsidRDefault="00E02AE5">
            <w:pPr>
              <w:pStyle w:val="ListeParagraf"/>
              <w:numPr>
                <w:ilvl w:val="0"/>
                <w:numId w:val="52"/>
              </w:numPr>
              <w:spacing w:line="240" w:lineRule="auto"/>
              <w:rPr>
                <w:sz w:val="20"/>
              </w:rPr>
            </w:pPr>
            <w:r w:rsidRPr="00175D8B">
              <w:rPr>
                <w:rFonts w:eastAsia="Aptos" w:cs="Aptos"/>
                <w:color w:val="000000"/>
                <w:kern w:val="0"/>
                <w:sz w:val="20"/>
                <w:szCs w:val="20"/>
                <w:lang w:eastAsia="tr-TR"/>
                <w14:ligatures w14:val="none"/>
              </w:rPr>
              <w:t>Ensure that chance finds are included in the daily checklist to be included in the monthly report to the PMU.</w:t>
            </w:r>
          </w:p>
        </w:tc>
      </w:tr>
      <w:tr w:rsidR="00E02AE5" w:rsidRPr="00175D8B" w14:paraId="693ABA98" w14:textId="77777777" w:rsidTr="00DF417A">
        <w:trPr>
          <w:jc w:val="center"/>
        </w:trPr>
        <w:tc>
          <w:tcPr>
            <w:tcW w:w="2489" w:type="dxa"/>
            <w:shd w:val="clear" w:color="auto" w:fill="F2F2F2" w:themeFill="background1" w:themeFillShade="F2"/>
          </w:tcPr>
          <w:p w14:paraId="465E2D7A" w14:textId="77777777" w:rsidR="00E02AE5" w:rsidRPr="00175D8B" w:rsidRDefault="00E02AE5" w:rsidP="00DF417A">
            <w:pPr>
              <w:spacing w:line="240" w:lineRule="auto"/>
              <w:rPr>
                <w:sz w:val="20"/>
              </w:rPr>
            </w:pPr>
            <w:r w:rsidRPr="00175D8B">
              <w:rPr>
                <w:sz w:val="20"/>
              </w:rPr>
              <w:t>All employees</w:t>
            </w:r>
          </w:p>
        </w:tc>
        <w:tc>
          <w:tcPr>
            <w:tcW w:w="6583" w:type="dxa"/>
            <w:shd w:val="clear" w:color="auto" w:fill="F2F2F2" w:themeFill="background1" w:themeFillShade="F2"/>
          </w:tcPr>
          <w:p w14:paraId="26037A1D" w14:textId="77777777" w:rsidR="00E02AE5" w:rsidRPr="00175D8B" w:rsidRDefault="00E02AE5">
            <w:pPr>
              <w:numPr>
                <w:ilvl w:val="0"/>
                <w:numId w:val="53"/>
              </w:numPr>
              <w:pBdr>
                <w:top w:val="nil"/>
                <w:left w:val="nil"/>
                <w:bottom w:val="nil"/>
                <w:right w:val="nil"/>
                <w:between w:val="nil"/>
              </w:pBdr>
              <w:spacing w:before="40" w:after="40" w:line="259" w:lineRule="auto"/>
              <w:jc w:val="left"/>
              <w:rPr>
                <w:rFonts w:eastAsia="Aptos" w:cs="Aptos"/>
                <w:color w:val="000000"/>
                <w:kern w:val="0"/>
                <w:sz w:val="20"/>
                <w:szCs w:val="20"/>
                <w:lang w:eastAsia="tr-TR"/>
                <w14:ligatures w14:val="none"/>
              </w:rPr>
            </w:pPr>
            <w:r w:rsidRPr="00175D8B">
              <w:rPr>
                <w:rFonts w:eastAsia="Aptos" w:cs="Aptos"/>
                <w:color w:val="000000"/>
                <w:kern w:val="0"/>
                <w:sz w:val="20"/>
                <w:szCs w:val="20"/>
                <w:lang w:eastAsia="tr-TR"/>
                <w14:ligatures w14:val="none"/>
              </w:rPr>
              <w:t>Participating in training required for chance finds.</w:t>
            </w:r>
          </w:p>
          <w:p w14:paraId="6E706760" w14:textId="77777777" w:rsidR="00E02AE5" w:rsidRPr="00175D8B" w:rsidRDefault="00E02AE5">
            <w:pPr>
              <w:pStyle w:val="ListeParagraf"/>
              <w:numPr>
                <w:ilvl w:val="0"/>
                <w:numId w:val="53"/>
              </w:numPr>
              <w:spacing w:line="240" w:lineRule="auto"/>
              <w:rPr>
                <w:sz w:val="20"/>
              </w:rPr>
            </w:pPr>
            <w:r w:rsidRPr="00175D8B">
              <w:rPr>
                <w:rFonts w:eastAsia="Aptos" w:cs="Aptos"/>
                <w:color w:val="000000"/>
                <w:kern w:val="0"/>
                <w:sz w:val="20"/>
                <w:szCs w:val="20"/>
                <w:lang w:eastAsia="tr-TR"/>
                <w14:ligatures w14:val="none"/>
              </w:rPr>
              <w:t>Providing provides self-competence for the implementation of this procedure.</w:t>
            </w:r>
          </w:p>
        </w:tc>
      </w:tr>
    </w:tbl>
    <w:p w14:paraId="0D1548A4" w14:textId="77777777" w:rsidR="00E02AE5" w:rsidRPr="00175D8B" w:rsidRDefault="00E02AE5" w:rsidP="00E02AE5"/>
    <w:p w14:paraId="049072E1" w14:textId="77777777" w:rsidR="00E02AE5" w:rsidRPr="00175D8B" w:rsidRDefault="00E02AE5">
      <w:pPr>
        <w:pStyle w:val="ListeParagraf"/>
        <w:numPr>
          <w:ilvl w:val="0"/>
          <w:numId w:val="34"/>
        </w:numPr>
        <w:rPr>
          <w:b/>
          <w:bCs/>
        </w:rPr>
      </w:pPr>
      <w:r w:rsidRPr="00175D8B">
        <w:rPr>
          <w:b/>
          <w:bCs/>
        </w:rPr>
        <w:t>Chance Find Process</w:t>
      </w:r>
    </w:p>
    <w:p w14:paraId="39C33E87" w14:textId="078E17CE" w:rsidR="008D7469" w:rsidRPr="00175D8B" w:rsidRDefault="00E02AE5" w:rsidP="002550A6">
      <w:pPr>
        <w:rPr>
          <w:rFonts w:eastAsia="Aptos" w:cs="Aptos"/>
          <w:b/>
          <w:bCs/>
          <w:i/>
          <w:iCs/>
          <w:kern w:val="0"/>
          <w:szCs w:val="22"/>
          <w:lang w:eastAsia="tr-TR"/>
          <w14:ligatures w14:val="none"/>
        </w:rPr>
      </w:pPr>
      <w:r w:rsidRPr="00175D8B">
        <w:t>The step-by-step process to follow any chance finds in the Project site and its area of impact is given in the table below.</w:t>
      </w:r>
    </w:p>
    <w:p w14:paraId="461BC513" w14:textId="77777777" w:rsidR="00A22808" w:rsidRPr="00175D8B" w:rsidRDefault="00A22808" w:rsidP="00E02AE5">
      <w:pPr>
        <w:jc w:val="center"/>
        <w:rPr>
          <w:rFonts w:eastAsia="Aptos" w:cs="Aptos"/>
          <w:b/>
          <w:bCs/>
          <w:i/>
          <w:iCs/>
          <w:kern w:val="0"/>
          <w:szCs w:val="22"/>
          <w:lang w:eastAsia="tr-TR"/>
          <w14:ligatures w14:val="none"/>
        </w:rPr>
      </w:pPr>
    </w:p>
    <w:p w14:paraId="1C805138" w14:textId="1A1581A8" w:rsidR="00E02AE5" w:rsidRPr="00175D8B" w:rsidRDefault="00E02AE5" w:rsidP="00E02AE5">
      <w:pPr>
        <w:jc w:val="center"/>
        <w:rPr>
          <w:b/>
          <w:bCs/>
          <w:i/>
          <w:iCs/>
        </w:rPr>
      </w:pPr>
      <w:r w:rsidRPr="00175D8B">
        <w:rPr>
          <w:rFonts w:eastAsia="Aptos" w:cs="Aptos"/>
          <w:b/>
          <w:bCs/>
          <w:i/>
          <w:iCs/>
          <w:kern w:val="0"/>
          <w:szCs w:val="22"/>
          <w:lang w:eastAsia="tr-TR"/>
          <w14:ligatures w14:val="none"/>
        </w:rPr>
        <w:lastRenderedPageBreak/>
        <w:t>Chance Find Process</w:t>
      </w:r>
    </w:p>
    <w:tbl>
      <w:tblPr>
        <w:tblStyle w:val="19"/>
        <w:tblW w:w="9632" w:type="dxa"/>
        <w:jc w:val="center"/>
        <w:tblBorders>
          <w:insideH w:val="single" w:sz="4" w:space="0" w:color="000000"/>
        </w:tblBorders>
        <w:tblLayout w:type="fixed"/>
        <w:tblLook w:val="0400" w:firstRow="0" w:lastRow="0" w:firstColumn="0" w:lastColumn="0" w:noHBand="0" w:noVBand="1"/>
      </w:tblPr>
      <w:tblGrid>
        <w:gridCol w:w="3127"/>
        <w:gridCol w:w="2094"/>
        <w:gridCol w:w="1169"/>
        <w:gridCol w:w="3242"/>
      </w:tblGrid>
      <w:tr w:rsidR="00E02AE5" w:rsidRPr="00175D8B" w14:paraId="0B5A0B25" w14:textId="77777777" w:rsidTr="002550A6">
        <w:trPr>
          <w:jc w:val="center"/>
        </w:trPr>
        <w:tc>
          <w:tcPr>
            <w:tcW w:w="9632" w:type="dxa"/>
            <w:gridSpan w:val="4"/>
            <w:tcBorders>
              <w:top w:val="single" w:sz="4" w:space="0" w:color="auto"/>
              <w:left w:val="single" w:sz="4" w:space="0" w:color="auto"/>
              <w:bottom w:val="single" w:sz="4" w:space="0" w:color="auto"/>
              <w:right w:val="single" w:sz="4" w:space="0" w:color="auto"/>
            </w:tcBorders>
            <w:shd w:val="clear" w:color="auto" w:fill="F2F2F2"/>
          </w:tcPr>
          <w:p w14:paraId="01B882F3" w14:textId="77777777" w:rsidR="00E02AE5" w:rsidRPr="00175D8B" w:rsidRDefault="00E02AE5" w:rsidP="00DF417A">
            <w:pPr>
              <w:spacing w:after="160" w:line="276" w:lineRule="auto"/>
              <w:rPr>
                <w:b/>
                <w:sz w:val="20"/>
                <w:szCs w:val="20"/>
              </w:rPr>
            </w:pPr>
            <w:r w:rsidRPr="00175D8B">
              <w:rPr>
                <w:b/>
                <w:sz w:val="20"/>
                <w:szCs w:val="20"/>
              </w:rPr>
              <w:t xml:space="preserve">STEP 1– Following a chance find: </w:t>
            </w:r>
          </w:p>
          <w:p w14:paraId="1E846132" w14:textId="77777777" w:rsidR="00E02AE5" w:rsidRPr="00175D8B" w:rsidRDefault="00E02AE5">
            <w:pPr>
              <w:numPr>
                <w:ilvl w:val="0"/>
                <w:numId w:val="55"/>
              </w:numPr>
              <w:pBdr>
                <w:top w:val="nil"/>
                <w:left w:val="nil"/>
                <w:bottom w:val="nil"/>
                <w:right w:val="nil"/>
                <w:between w:val="nil"/>
              </w:pBdr>
              <w:spacing w:after="0" w:line="276" w:lineRule="auto"/>
              <w:jc w:val="left"/>
              <w:rPr>
                <w:color w:val="000000"/>
                <w:sz w:val="20"/>
                <w:szCs w:val="20"/>
              </w:rPr>
            </w:pPr>
            <w:r w:rsidRPr="00175D8B">
              <w:rPr>
                <w:color w:val="000000"/>
                <w:sz w:val="20"/>
                <w:szCs w:val="20"/>
              </w:rPr>
              <w:t>All works in the survey area will cease.</w:t>
            </w:r>
          </w:p>
          <w:p w14:paraId="5791887E" w14:textId="77777777" w:rsidR="00E02AE5" w:rsidRPr="00175D8B" w:rsidRDefault="00E02AE5">
            <w:pPr>
              <w:numPr>
                <w:ilvl w:val="0"/>
                <w:numId w:val="55"/>
              </w:numPr>
              <w:pBdr>
                <w:top w:val="nil"/>
                <w:left w:val="nil"/>
                <w:bottom w:val="nil"/>
                <w:right w:val="nil"/>
                <w:between w:val="nil"/>
              </w:pBdr>
              <w:spacing w:after="0" w:line="276" w:lineRule="auto"/>
              <w:jc w:val="left"/>
              <w:rPr>
                <w:color w:val="000000"/>
                <w:sz w:val="20"/>
                <w:szCs w:val="20"/>
              </w:rPr>
            </w:pPr>
            <w:r w:rsidRPr="00175D8B">
              <w:rPr>
                <w:color w:val="000000"/>
                <w:sz w:val="20"/>
                <w:szCs w:val="20"/>
              </w:rPr>
              <w:t>A transitional buffer zones will be established around the chance find area.</w:t>
            </w:r>
          </w:p>
          <w:p w14:paraId="052E25A4" w14:textId="77777777" w:rsidR="00E02AE5" w:rsidRPr="00175D8B" w:rsidRDefault="00E02AE5">
            <w:pPr>
              <w:numPr>
                <w:ilvl w:val="0"/>
                <w:numId w:val="55"/>
              </w:numPr>
              <w:pBdr>
                <w:top w:val="nil"/>
                <w:left w:val="nil"/>
                <w:bottom w:val="nil"/>
                <w:right w:val="nil"/>
                <w:between w:val="nil"/>
              </w:pBdr>
              <w:spacing w:after="0" w:line="276" w:lineRule="auto"/>
              <w:jc w:val="left"/>
              <w:rPr>
                <w:color w:val="000000"/>
                <w:sz w:val="20"/>
                <w:szCs w:val="20"/>
              </w:rPr>
            </w:pPr>
            <w:r w:rsidRPr="00175D8B">
              <w:rPr>
                <w:color w:val="000000"/>
                <w:sz w:val="20"/>
                <w:szCs w:val="20"/>
              </w:rPr>
              <w:t>Site management and the museum archaeologist will be contacted immediately.</w:t>
            </w:r>
          </w:p>
          <w:p w14:paraId="5666AC37" w14:textId="77777777" w:rsidR="00E02AE5" w:rsidRPr="00175D8B" w:rsidRDefault="00E02AE5">
            <w:pPr>
              <w:numPr>
                <w:ilvl w:val="0"/>
                <w:numId w:val="55"/>
              </w:numPr>
              <w:pBdr>
                <w:top w:val="nil"/>
                <w:left w:val="nil"/>
                <w:bottom w:val="nil"/>
                <w:right w:val="nil"/>
                <w:between w:val="nil"/>
              </w:pBdr>
              <w:spacing w:after="0" w:line="276" w:lineRule="auto"/>
              <w:jc w:val="left"/>
              <w:rPr>
                <w:color w:val="000000"/>
                <w:sz w:val="20"/>
                <w:szCs w:val="20"/>
              </w:rPr>
            </w:pPr>
            <w:r w:rsidRPr="00175D8B">
              <w:rPr>
                <w:color w:val="000000"/>
                <w:sz w:val="20"/>
                <w:szCs w:val="20"/>
              </w:rPr>
              <w:t>The area of the finding will be adequately secured by markings, signposts and banners, etc.</w:t>
            </w:r>
          </w:p>
          <w:p w14:paraId="3BE99731" w14:textId="77777777" w:rsidR="00E02AE5" w:rsidRPr="00175D8B" w:rsidRDefault="00E02AE5">
            <w:pPr>
              <w:numPr>
                <w:ilvl w:val="0"/>
                <w:numId w:val="55"/>
              </w:numPr>
              <w:pBdr>
                <w:top w:val="nil"/>
                <w:left w:val="nil"/>
                <w:bottom w:val="nil"/>
                <w:right w:val="nil"/>
                <w:between w:val="nil"/>
              </w:pBdr>
              <w:spacing w:after="0" w:line="276" w:lineRule="auto"/>
              <w:jc w:val="left"/>
              <w:rPr>
                <w:color w:val="000000"/>
                <w:sz w:val="20"/>
                <w:szCs w:val="20"/>
              </w:rPr>
            </w:pPr>
            <w:r w:rsidRPr="00175D8B">
              <w:rPr>
                <w:color w:val="000000"/>
                <w:sz w:val="20"/>
                <w:szCs w:val="20"/>
              </w:rPr>
              <w:t>Protection of the site the chance finding will not be transported lifted or damaged further.</w:t>
            </w:r>
          </w:p>
        </w:tc>
      </w:tr>
      <w:tr w:rsidR="00E02AE5" w:rsidRPr="00175D8B" w14:paraId="420556C0" w14:textId="77777777" w:rsidTr="002550A6">
        <w:trPr>
          <w:jc w:val="center"/>
        </w:trPr>
        <w:tc>
          <w:tcPr>
            <w:tcW w:w="9632" w:type="dxa"/>
            <w:gridSpan w:val="4"/>
            <w:tcBorders>
              <w:top w:val="single" w:sz="4" w:space="0" w:color="auto"/>
              <w:left w:val="single" w:sz="4" w:space="0" w:color="auto"/>
              <w:bottom w:val="single" w:sz="4" w:space="0" w:color="auto"/>
              <w:right w:val="single" w:sz="4" w:space="0" w:color="auto"/>
            </w:tcBorders>
            <w:shd w:val="clear" w:color="auto" w:fill="F2F2F2"/>
          </w:tcPr>
          <w:p w14:paraId="186A43D7" w14:textId="77777777" w:rsidR="00E02AE5" w:rsidRPr="00175D8B" w:rsidRDefault="00E02AE5" w:rsidP="00DF417A">
            <w:pPr>
              <w:spacing w:after="160" w:line="276" w:lineRule="auto"/>
              <w:rPr>
                <w:b/>
                <w:sz w:val="20"/>
                <w:szCs w:val="20"/>
              </w:rPr>
            </w:pPr>
            <w:r w:rsidRPr="00175D8B">
              <w:rPr>
                <w:b/>
                <w:sz w:val="20"/>
                <w:szCs w:val="20"/>
              </w:rPr>
              <w:t>STEP 2 – Registration</w:t>
            </w:r>
          </w:p>
          <w:p w14:paraId="3FB947D4" w14:textId="77777777" w:rsidR="00E02AE5" w:rsidRPr="00175D8B" w:rsidRDefault="00E02AE5" w:rsidP="00DF417A">
            <w:pPr>
              <w:spacing w:after="160" w:line="276" w:lineRule="auto"/>
              <w:rPr>
                <w:sz w:val="20"/>
                <w:szCs w:val="20"/>
              </w:rPr>
            </w:pPr>
            <w:r w:rsidRPr="00175D8B">
              <w:rPr>
                <w:sz w:val="20"/>
                <w:szCs w:val="20"/>
              </w:rPr>
              <w:t>Chance Find Notification Form Section A will be filled in and a copy will be forwarded to the Project/Site Manager in 24 hours.</w:t>
            </w:r>
          </w:p>
        </w:tc>
      </w:tr>
      <w:tr w:rsidR="00E02AE5" w:rsidRPr="00175D8B" w14:paraId="1578812D" w14:textId="77777777" w:rsidTr="002550A6">
        <w:trPr>
          <w:jc w:val="center"/>
        </w:trPr>
        <w:tc>
          <w:tcPr>
            <w:tcW w:w="9632" w:type="dxa"/>
            <w:gridSpan w:val="4"/>
            <w:tcBorders>
              <w:top w:val="single" w:sz="4" w:space="0" w:color="auto"/>
              <w:left w:val="single" w:sz="4" w:space="0" w:color="auto"/>
              <w:bottom w:val="single" w:sz="4" w:space="0" w:color="auto"/>
              <w:right w:val="single" w:sz="4" w:space="0" w:color="auto"/>
            </w:tcBorders>
            <w:shd w:val="clear" w:color="auto" w:fill="F2F2F2"/>
          </w:tcPr>
          <w:p w14:paraId="61DDC935" w14:textId="77777777" w:rsidR="00E02AE5" w:rsidRPr="00175D8B" w:rsidRDefault="00E02AE5" w:rsidP="00DF417A">
            <w:pPr>
              <w:spacing w:after="160" w:line="276" w:lineRule="auto"/>
              <w:rPr>
                <w:b/>
                <w:sz w:val="20"/>
                <w:szCs w:val="20"/>
              </w:rPr>
            </w:pPr>
            <w:r w:rsidRPr="00175D8B">
              <w:rPr>
                <w:b/>
                <w:sz w:val="20"/>
                <w:szCs w:val="20"/>
              </w:rPr>
              <w:t xml:space="preserve">STEP 3 – Communication with local authorities </w:t>
            </w:r>
          </w:p>
          <w:p w14:paraId="147CDEB5" w14:textId="77777777" w:rsidR="00E02AE5" w:rsidRPr="00175D8B" w:rsidRDefault="00E02AE5" w:rsidP="00DF417A">
            <w:pPr>
              <w:pBdr>
                <w:top w:val="nil"/>
                <w:left w:val="nil"/>
                <w:bottom w:val="nil"/>
                <w:right w:val="nil"/>
                <w:between w:val="nil"/>
              </w:pBdr>
              <w:spacing w:after="0" w:line="276" w:lineRule="auto"/>
              <w:rPr>
                <w:color w:val="000000"/>
                <w:sz w:val="20"/>
                <w:szCs w:val="20"/>
              </w:rPr>
            </w:pPr>
            <w:r w:rsidRPr="00175D8B">
              <w:rPr>
                <w:color w:val="000000"/>
                <w:sz w:val="20"/>
                <w:szCs w:val="20"/>
              </w:rPr>
              <w:t xml:space="preserve">The director of the related museum will be notified regarding the chance find. </w:t>
            </w:r>
          </w:p>
        </w:tc>
      </w:tr>
      <w:tr w:rsidR="00E02AE5" w:rsidRPr="00175D8B" w14:paraId="6D77E73E" w14:textId="77777777" w:rsidTr="002550A6">
        <w:trPr>
          <w:jc w:val="center"/>
        </w:trPr>
        <w:tc>
          <w:tcPr>
            <w:tcW w:w="9632" w:type="dxa"/>
            <w:gridSpan w:val="4"/>
            <w:tcBorders>
              <w:top w:val="single" w:sz="4" w:space="0" w:color="auto"/>
              <w:left w:val="single" w:sz="4" w:space="0" w:color="auto"/>
              <w:bottom w:val="single" w:sz="4" w:space="0" w:color="auto"/>
              <w:right w:val="single" w:sz="4" w:space="0" w:color="auto"/>
            </w:tcBorders>
            <w:shd w:val="clear" w:color="auto" w:fill="F2F2F2"/>
          </w:tcPr>
          <w:p w14:paraId="4B005066" w14:textId="77777777" w:rsidR="00E02AE5" w:rsidRPr="00175D8B" w:rsidRDefault="00E02AE5" w:rsidP="00DF417A">
            <w:pPr>
              <w:spacing w:after="160" w:line="276" w:lineRule="auto"/>
              <w:rPr>
                <w:b/>
                <w:sz w:val="20"/>
                <w:szCs w:val="20"/>
              </w:rPr>
            </w:pPr>
            <w:r w:rsidRPr="00175D8B">
              <w:rPr>
                <w:b/>
                <w:sz w:val="20"/>
                <w:szCs w:val="20"/>
              </w:rPr>
              <w:t>STEP 4 – Museum Decision</w:t>
            </w:r>
          </w:p>
          <w:p w14:paraId="6619239B" w14:textId="77777777" w:rsidR="00E02AE5" w:rsidRPr="00175D8B" w:rsidRDefault="00E02AE5" w:rsidP="00DF417A">
            <w:pPr>
              <w:pBdr>
                <w:top w:val="nil"/>
                <w:left w:val="nil"/>
                <w:bottom w:val="nil"/>
                <w:right w:val="nil"/>
                <w:between w:val="nil"/>
              </w:pBdr>
              <w:spacing w:after="0" w:line="276" w:lineRule="auto"/>
              <w:rPr>
                <w:color w:val="000000"/>
                <w:sz w:val="20"/>
                <w:szCs w:val="20"/>
              </w:rPr>
            </w:pPr>
            <w:r w:rsidRPr="00175D8B">
              <w:rPr>
                <w:color w:val="000000"/>
                <w:sz w:val="20"/>
                <w:szCs w:val="20"/>
              </w:rPr>
              <w:t xml:space="preserve">The archaeologist of the related museum will decide actions to follow in the chance find site. </w:t>
            </w:r>
          </w:p>
        </w:tc>
      </w:tr>
      <w:tr w:rsidR="00E02AE5" w:rsidRPr="00175D8B" w14:paraId="32D45E84" w14:textId="77777777" w:rsidTr="002550A6">
        <w:trPr>
          <w:jc w:val="center"/>
        </w:trPr>
        <w:tc>
          <w:tcPr>
            <w:tcW w:w="5221" w:type="dxa"/>
            <w:gridSpan w:val="2"/>
            <w:tcBorders>
              <w:top w:val="single" w:sz="4" w:space="0" w:color="auto"/>
              <w:left w:val="single" w:sz="4" w:space="0" w:color="auto"/>
              <w:bottom w:val="single" w:sz="4" w:space="0" w:color="auto"/>
              <w:right w:val="single" w:sz="4" w:space="0" w:color="auto"/>
            </w:tcBorders>
            <w:shd w:val="clear" w:color="auto" w:fill="F2F2F2"/>
          </w:tcPr>
          <w:p w14:paraId="2BEF31FB" w14:textId="77777777" w:rsidR="00E02AE5" w:rsidRPr="00175D8B" w:rsidRDefault="00E02AE5" w:rsidP="00DF417A">
            <w:pPr>
              <w:spacing w:after="160" w:line="276" w:lineRule="auto"/>
              <w:rPr>
                <w:b/>
                <w:sz w:val="20"/>
                <w:szCs w:val="20"/>
              </w:rPr>
            </w:pPr>
            <w:r w:rsidRPr="00175D8B">
              <w:rPr>
                <w:b/>
                <w:sz w:val="20"/>
                <w:szCs w:val="20"/>
              </w:rPr>
              <w:t>STEP 4 A – Site or the find is of no significance</w:t>
            </w:r>
          </w:p>
          <w:p w14:paraId="125D38C9" w14:textId="77777777" w:rsidR="00E02AE5" w:rsidRPr="00175D8B" w:rsidRDefault="00E02AE5">
            <w:pPr>
              <w:numPr>
                <w:ilvl w:val="0"/>
                <w:numId w:val="56"/>
              </w:numPr>
              <w:pBdr>
                <w:top w:val="nil"/>
                <w:left w:val="nil"/>
                <w:bottom w:val="nil"/>
                <w:right w:val="nil"/>
                <w:between w:val="nil"/>
              </w:pBdr>
              <w:spacing w:after="0" w:line="276" w:lineRule="auto"/>
              <w:ind w:left="318" w:hanging="261"/>
              <w:jc w:val="left"/>
              <w:rPr>
                <w:color w:val="000000"/>
                <w:sz w:val="20"/>
                <w:szCs w:val="20"/>
              </w:rPr>
            </w:pPr>
            <w:r w:rsidRPr="00175D8B">
              <w:rPr>
                <w:color w:val="000000"/>
                <w:sz w:val="20"/>
                <w:szCs w:val="20"/>
              </w:rPr>
              <w:t>Museum archaeologist declares that the site/find is of no significance.</w:t>
            </w:r>
          </w:p>
          <w:p w14:paraId="1D583F41" w14:textId="77777777" w:rsidR="00E02AE5" w:rsidRPr="00175D8B" w:rsidRDefault="00E02AE5">
            <w:pPr>
              <w:numPr>
                <w:ilvl w:val="0"/>
                <w:numId w:val="56"/>
              </w:numPr>
              <w:pBdr>
                <w:top w:val="nil"/>
                <w:left w:val="nil"/>
                <w:bottom w:val="nil"/>
                <w:right w:val="nil"/>
                <w:between w:val="nil"/>
              </w:pBdr>
              <w:spacing w:after="0" w:line="276" w:lineRule="auto"/>
              <w:ind w:left="318" w:hanging="261"/>
              <w:jc w:val="left"/>
              <w:rPr>
                <w:color w:val="000000"/>
                <w:sz w:val="20"/>
                <w:szCs w:val="20"/>
              </w:rPr>
            </w:pPr>
            <w:r w:rsidRPr="00175D8B">
              <w:rPr>
                <w:color w:val="000000"/>
                <w:sz w:val="20"/>
                <w:szCs w:val="20"/>
              </w:rPr>
              <w:t>Project/Site Manager notifies respective authorities.</w:t>
            </w:r>
          </w:p>
          <w:p w14:paraId="5D7F57FC" w14:textId="77777777" w:rsidR="00E02AE5" w:rsidRPr="00175D8B" w:rsidRDefault="00E02AE5">
            <w:pPr>
              <w:numPr>
                <w:ilvl w:val="0"/>
                <w:numId w:val="56"/>
              </w:numPr>
              <w:pBdr>
                <w:top w:val="nil"/>
                <w:left w:val="nil"/>
                <w:bottom w:val="nil"/>
                <w:right w:val="nil"/>
                <w:between w:val="nil"/>
              </w:pBdr>
              <w:spacing w:after="0" w:line="276" w:lineRule="auto"/>
              <w:ind w:left="318" w:hanging="261"/>
              <w:jc w:val="left"/>
              <w:rPr>
                <w:color w:val="000000"/>
                <w:sz w:val="20"/>
                <w:szCs w:val="20"/>
              </w:rPr>
            </w:pPr>
            <w:r w:rsidRPr="00175D8B">
              <w:rPr>
                <w:color w:val="000000"/>
                <w:sz w:val="20"/>
                <w:szCs w:val="20"/>
              </w:rPr>
              <w:t>The Project/Site Manager keeps a copy of the chance finds record for his/her own records.</w:t>
            </w:r>
          </w:p>
          <w:p w14:paraId="795F414D" w14:textId="77777777" w:rsidR="00E02AE5" w:rsidRPr="00175D8B" w:rsidRDefault="00E02AE5">
            <w:pPr>
              <w:numPr>
                <w:ilvl w:val="0"/>
                <w:numId w:val="56"/>
              </w:numPr>
              <w:pBdr>
                <w:top w:val="nil"/>
                <w:left w:val="nil"/>
                <w:bottom w:val="nil"/>
                <w:right w:val="nil"/>
                <w:between w:val="nil"/>
              </w:pBdr>
              <w:spacing w:after="0" w:line="276" w:lineRule="auto"/>
              <w:ind w:left="318" w:hanging="261"/>
              <w:jc w:val="left"/>
              <w:rPr>
                <w:color w:val="000000"/>
                <w:sz w:val="20"/>
                <w:szCs w:val="20"/>
              </w:rPr>
            </w:pPr>
            <w:r w:rsidRPr="00175D8B">
              <w:rPr>
                <w:color w:val="000000"/>
                <w:sz w:val="20"/>
                <w:szCs w:val="20"/>
              </w:rPr>
              <w:t>No further action is required.</w:t>
            </w:r>
          </w:p>
          <w:p w14:paraId="5659103F" w14:textId="77777777" w:rsidR="00E02AE5" w:rsidRPr="00175D8B" w:rsidRDefault="00E02AE5">
            <w:pPr>
              <w:numPr>
                <w:ilvl w:val="0"/>
                <w:numId w:val="56"/>
              </w:numPr>
              <w:pBdr>
                <w:top w:val="nil"/>
                <w:left w:val="nil"/>
                <w:bottom w:val="nil"/>
                <w:right w:val="nil"/>
                <w:between w:val="nil"/>
              </w:pBdr>
              <w:spacing w:after="0" w:line="276" w:lineRule="auto"/>
              <w:ind w:left="318" w:hanging="261"/>
              <w:jc w:val="left"/>
              <w:rPr>
                <w:color w:val="000000"/>
                <w:sz w:val="20"/>
                <w:szCs w:val="20"/>
              </w:rPr>
            </w:pPr>
            <w:r w:rsidRPr="00175D8B">
              <w:rPr>
                <w:color w:val="000000"/>
                <w:sz w:val="20"/>
                <w:szCs w:val="20"/>
              </w:rPr>
              <w:t>The chance find procedure ends.</w:t>
            </w:r>
          </w:p>
          <w:p w14:paraId="31D122AB" w14:textId="77777777" w:rsidR="00E02AE5" w:rsidRPr="00175D8B" w:rsidRDefault="00E02AE5">
            <w:pPr>
              <w:numPr>
                <w:ilvl w:val="0"/>
                <w:numId w:val="56"/>
              </w:numPr>
              <w:pBdr>
                <w:top w:val="nil"/>
                <w:left w:val="nil"/>
                <w:bottom w:val="nil"/>
                <w:right w:val="nil"/>
                <w:between w:val="nil"/>
              </w:pBdr>
              <w:spacing w:after="0" w:line="276" w:lineRule="auto"/>
              <w:ind w:left="318" w:hanging="261"/>
              <w:jc w:val="left"/>
              <w:rPr>
                <w:color w:val="000000"/>
                <w:sz w:val="20"/>
                <w:szCs w:val="20"/>
              </w:rPr>
            </w:pPr>
            <w:r w:rsidRPr="00175D8B">
              <w:rPr>
                <w:color w:val="000000"/>
                <w:sz w:val="20"/>
                <w:szCs w:val="20"/>
              </w:rPr>
              <w:t>Construction activities can continue.</w:t>
            </w:r>
          </w:p>
        </w:tc>
        <w:tc>
          <w:tcPr>
            <w:tcW w:w="4411" w:type="dxa"/>
            <w:gridSpan w:val="2"/>
            <w:tcBorders>
              <w:top w:val="single" w:sz="4" w:space="0" w:color="auto"/>
              <w:left w:val="single" w:sz="4" w:space="0" w:color="auto"/>
              <w:bottom w:val="single" w:sz="4" w:space="0" w:color="auto"/>
              <w:right w:val="single" w:sz="4" w:space="0" w:color="auto"/>
            </w:tcBorders>
            <w:shd w:val="clear" w:color="auto" w:fill="F2F2F2"/>
          </w:tcPr>
          <w:p w14:paraId="3F2BD589" w14:textId="77777777" w:rsidR="00E02AE5" w:rsidRPr="00175D8B" w:rsidRDefault="00E02AE5" w:rsidP="00DF417A">
            <w:pPr>
              <w:spacing w:after="160" w:line="276" w:lineRule="auto"/>
              <w:rPr>
                <w:b/>
                <w:sz w:val="20"/>
                <w:szCs w:val="20"/>
              </w:rPr>
            </w:pPr>
            <w:r w:rsidRPr="00175D8B">
              <w:rPr>
                <w:b/>
                <w:sz w:val="20"/>
                <w:szCs w:val="20"/>
              </w:rPr>
              <w:t>STEP 4 B – Site is significant</w:t>
            </w:r>
          </w:p>
          <w:p w14:paraId="0FABB354" w14:textId="77777777" w:rsidR="00E02AE5" w:rsidRPr="00175D8B" w:rsidRDefault="00E02AE5">
            <w:pPr>
              <w:numPr>
                <w:ilvl w:val="0"/>
                <w:numId w:val="57"/>
              </w:numPr>
              <w:pBdr>
                <w:top w:val="nil"/>
                <w:left w:val="nil"/>
                <w:bottom w:val="nil"/>
                <w:right w:val="nil"/>
                <w:between w:val="nil"/>
              </w:pBdr>
              <w:spacing w:after="0" w:line="276" w:lineRule="auto"/>
              <w:ind w:left="341"/>
              <w:jc w:val="left"/>
              <w:rPr>
                <w:color w:val="000000"/>
                <w:sz w:val="20"/>
                <w:szCs w:val="20"/>
              </w:rPr>
            </w:pPr>
            <w:r w:rsidRPr="00175D8B">
              <w:rPr>
                <w:color w:val="000000"/>
                <w:sz w:val="20"/>
                <w:szCs w:val="20"/>
              </w:rPr>
              <w:t>Museum archaeologist declares that the site/find is significant.</w:t>
            </w:r>
          </w:p>
          <w:p w14:paraId="490B46BA" w14:textId="77777777" w:rsidR="00E02AE5" w:rsidRPr="00175D8B" w:rsidRDefault="00E02AE5">
            <w:pPr>
              <w:numPr>
                <w:ilvl w:val="0"/>
                <w:numId w:val="57"/>
              </w:numPr>
              <w:pBdr>
                <w:top w:val="nil"/>
                <w:left w:val="nil"/>
                <w:bottom w:val="nil"/>
                <w:right w:val="nil"/>
                <w:between w:val="nil"/>
              </w:pBdr>
              <w:spacing w:after="0" w:line="276" w:lineRule="auto"/>
              <w:ind w:left="341"/>
              <w:jc w:val="left"/>
              <w:rPr>
                <w:color w:val="000000"/>
                <w:sz w:val="20"/>
                <w:szCs w:val="20"/>
              </w:rPr>
            </w:pPr>
            <w:r w:rsidRPr="00175D8B">
              <w:rPr>
                <w:color w:val="000000"/>
                <w:sz w:val="20"/>
                <w:szCs w:val="20"/>
              </w:rPr>
              <w:t>The archaeologist of the museum directorate decides on the next steps and informs the Project/Site Manager.</w:t>
            </w:r>
          </w:p>
          <w:p w14:paraId="50A523AA" w14:textId="77777777" w:rsidR="00E02AE5" w:rsidRPr="00175D8B" w:rsidRDefault="00E02AE5">
            <w:pPr>
              <w:numPr>
                <w:ilvl w:val="0"/>
                <w:numId w:val="57"/>
              </w:numPr>
              <w:pBdr>
                <w:top w:val="nil"/>
                <w:left w:val="nil"/>
                <w:bottom w:val="nil"/>
                <w:right w:val="nil"/>
                <w:between w:val="nil"/>
              </w:pBdr>
              <w:spacing w:after="0" w:line="276" w:lineRule="auto"/>
              <w:ind w:left="341"/>
              <w:jc w:val="left"/>
              <w:rPr>
                <w:color w:val="000000"/>
                <w:sz w:val="20"/>
                <w:szCs w:val="20"/>
              </w:rPr>
            </w:pPr>
            <w:r w:rsidRPr="00175D8B">
              <w:rPr>
                <w:color w:val="000000"/>
                <w:sz w:val="20"/>
                <w:szCs w:val="20"/>
              </w:rPr>
              <w:t>Project/Site Manager notifies respective authorities.</w:t>
            </w:r>
          </w:p>
          <w:p w14:paraId="6A55FF48" w14:textId="77777777" w:rsidR="00E02AE5" w:rsidRPr="00175D8B" w:rsidRDefault="00E02AE5">
            <w:pPr>
              <w:numPr>
                <w:ilvl w:val="0"/>
                <w:numId w:val="57"/>
              </w:numPr>
              <w:pBdr>
                <w:top w:val="nil"/>
                <w:left w:val="nil"/>
                <w:bottom w:val="nil"/>
                <w:right w:val="nil"/>
                <w:between w:val="nil"/>
              </w:pBdr>
              <w:spacing w:after="0" w:line="276" w:lineRule="auto"/>
              <w:ind w:left="341"/>
              <w:jc w:val="left"/>
              <w:rPr>
                <w:color w:val="000000"/>
                <w:sz w:val="20"/>
                <w:szCs w:val="20"/>
              </w:rPr>
            </w:pPr>
            <w:r w:rsidRPr="00175D8B">
              <w:rPr>
                <w:color w:val="000000"/>
                <w:sz w:val="20"/>
                <w:szCs w:val="20"/>
              </w:rPr>
              <w:t>Go to Step 5.</w:t>
            </w:r>
          </w:p>
          <w:p w14:paraId="002F54C9" w14:textId="77777777" w:rsidR="00E02AE5" w:rsidRPr="00175D8B" w:rsidRDefault="00E02AE5" w:rsidP="00DF417A">
            <w:pPr>
              <w:pBdr>
                <w:top w:val="nil"/>
                <w:left w:val="nil"/>
                <w:bottom w:val="nil"/>
                <w:right w:val="nil"/>
                <w:between w:val="nil"/>
              </w:pBdr>
              <w:spacing w:after="160" w:line="276" w:lineRule="auto"/>
              <w:rPr>
                <w:color w:val="000000"/>
                <w:sz w:val="20"/>
                <w:szCs w:val="20"/>
              </w:rPr>
            </w:pPr>
          </w:p>
        </w:tc>
      </w:tr>
      <w:tr w:rsidR="00E02AE5" w:rsidRPr="00175D8B" w14:paraId="59A090F2" w14:textId="77777777" w:rsidTr="002550A6">
        <w:trPr>
          <w:jc w:val="center"/>
        </w:trPr>
        <w:tc>
          <w:tcPr>
            <w:tcW w:w="9632" w:type="dxa"/>
            <w:gridSpan w:val="4"/>
            <w:tcBorders>
              <w:top w:val="single" w:sz="4" w:space="0" w:color="auto"/>
              <w:left w:val="single" w:sz="4" w:space="0" w:color="auto"/>
              <w:bottom w:val="single" w:sz="4" w:space="0" w:color="auto"/>
              <w:right w:val="single" w:sz="4" w:space="0" w:color="auto"/>
            </w:tcBorders>
            <w:shd w:val="clear" w:color="auto" w:fill="F2F2F2"/>
          </w:tcPr>
          <w:p w14:paraId="183AA9FA" w14:textId="77777777" w:rsidR="00E02AE5" w:rsidRPr="00175D8B" w:rsidRDefault="00E02AE5" w:rsidP="00DF417A">
            <w:pPr>
              <w:spacing w:after="160" w:line="276" w:lineRule="auto"/>
              <w:rPr>
                <w:b/>
                <w:sz w:val="20"/>
                <w:szCs w:val="20"/>
              </w:rPr>
            </w:pPr>
            <w:r w:rsidRPr="00175D8B">
              <w:rPr>
                <w:b/>
                <w:sz w:val="20"/>
                <w:szCs w:val="20"/>
              </w:rPr>
              <w:t>STEP 5 – Site survey</w:t>
            </w:r>
          </w:p>
          <w:p w14:paraId="1D978A47" w14:textId="77777777" w:rsidR="00E02AE5" w:rsidRPr="00175D8B" w:rsidRDefault="00E02AE5" w:rsidP="00DF417A">
            <w:pPr>
              <w:pBdr>
                <w:top w:val="nil"/>
                <w:left w:val="nil"/>
                <w:bottom w:val="nil"/>
                <w:right w:val="nil"/>
                <w:between w:val="nil"/>
              </w:pBdr>
              <w:spacing w:after="160" w:line="276" w:lineRule="auto"/>
              <w:rPr>
                <w:color w:val="000000"/>
                <w:sz w:val="20"/>
                <w:szCs w:val="20"/>
              </w:rPr>
            </w:pPr>
            <w:r w:rsidRPr="00175D8B">
              <w:rPr>
                <w:color w:val="000000"/>
                <w:sz w:val="20"/>
                <w:szCs w:val="20"/>
              </w:rPr>
              <w:t>Project staff follows the instructions of the archaeologist of the related Museum.</w:t>
            </w:r>
          </w:p>
        </w:tc>
      </w:tr>
      <w:tr w:rsidR="00E02AE5" w:rsidRPr="00175D8B" w14:paraId="5507F60B" w14:textId="77777777" w:rsidTr="002550A6">
        <w:trPr>
          <w:jc w:val="center"/>
        </w:trPr>
        <w:tc>
          <w:tcPr>
            <w:tcW w:w="3127" w:type="dxa"/>
            <w:tcBorders>
              <w:top w:val="single" w:sz="4" w:space="0" w:color="auto"/>
              <w:left w:val="single" w:sz="4" w:space="0" w:color="auto"/>
              <w:bottom w:val="single" w:sz="4" w:space="0" w:color="auto"/>
              <w:right w:val="single" w:sz="4" w:space="0" w:color="auto"/>
            </w:tcBorders>
            <w:shd w:val="clear" w:color="auto" w:fill="F2F2F2"/>
          </w:tcPr>
          <w:p w14:paraId="7FE574DE" w14:textId="77777777" w:rsidR="00E02AE5" w:rsidRPr="00175D8B" w:rsidRDefault="00E02AE5">
            <w:pPr>
              <w:numPr>
                <w:ilvl w:val="0"/>
                <w:numId w:val="58"/>
              </w:numPr>
              <w:pBdr>
                <w:top w:val="nil"/>
                <w:left w:val="nil"/>
                <w:bottom w:val="nil"/>
                <w:right w:val="nil"/>
                <w:between w:val="nil"/>
              </w:pBdr>
              <w:spacing w:after="0" w:line="276" w:lineRule="auto"/>
              <w:ind w:left="318" w:hanging="318"/>
              <w:jc w:val="left"/>
              <w:rPr>
                <w:color w:val="000000"/>
                <w:sz w:val="20"/>
                <w:szCs w:val="20"/>
              </w:rPr>
            </w:pPr>
            <w:r w:rsidRPr="00175D8B">
              <w:rPr>
                <w:color w:val="000000"/>
                <w:sz w:val="20"/>
                <w:szCs w:val="20"/>
              </w:rPr>
              <w:t xml:space="preserve">Following the site survey, the museum archaeologist declares that the </w:t>
            </w:r>
            <w:r w:rsidRPr="00175D8B">
              <w:rPr>
                <w:b/>
                <w:color w:val="000000"/>
                <w:sz w:val="20"/>
                <w:szCs w:val="20"/>
              </w:rPr>
              <w:t>site is of</w:t>
            </w:r>
            <w:r w:rsidRPr="00175D8B">
              <w:rPr>
                <w:color w:val="000000"/>
                <w:sz w:val="20"/>
                <w:szCs w:val="20"/>
              </w:rPr>
              <w:t xml:space="preserve"> </w:t>
            </w:r>
            <w:r w:rsidRPr="00175D8B">
              <w:rPr>
                <w:b/>
                <w:color w:val="000000"/>
                <w:sz w:val="20"/>
                <w:szCs w:val="20"/>
              </w:rPr>
              <w:t>minor significance</w:t>
            </w:r>
            <w:r w:rsidRPr="00175D8B">
              <w:rPr>
                <w:color w:val="000000"/>
                <w:sz w:val="20"/>
                <w:szCs w:val="20"/>
              </w:rPr>
              <w:t>.</w:t>
            </w:r>
          </w:p>
          <w:p w14:paraId="20C16A80" w14:textId="77777777" w:rsidR="00E02AE5" w:rsidRPr="00175D8B" w:rsidRDefault="00E02AE5">
            <w:pPr>
              <w:numPr>
                <w:ilvl w:val="0"/>
                <w:numId w:val="58"/>
              </w:numPr>
              <w:pBdr>
                <w:top w:val="nil"/>
                <w:left w:val="nil"/>
                <w:bottom w:val="nil"/>
                <w:right w:val="nil"/>
                <w:between w:val="nil"/>
              </w:pBdr>
              <w:spacing w:after="0" w:line="276" w:lineRule="auto"/>
              <w:ind w:left="318" w:hanging="318"/>
              <w:jc w:val="left"/>
              <w:rPr>
                <w:color w:val="000000"/>
                <w:sz w:val="20"/>
                <w:szCs w:val="20"/>
              </w:rPr>
            </w:pPr>
            <w:r w:rsidRPr="00175D8B">
              <w:rPr>
                <w:color w:val="000000"/>
                <w:sz w:val="20"/>
                <w:szCs w:val="20"/>
              </w:rPr>
              <w:t>Project/Site Manager informs the PMU.</w:t>
            </w:r>
          </w:p>
          <w:p w14:paraId="371F8219" w14:textId="77777777" w:rsidR="00E02AE5" w:rsidRPr="00175D8B" w:rsidRDefault="00E02AE5">
            <w:pPr>
              <w:numPr>
                <w:ilvl w:val="0"/>
                <w:numId w:val="58"/>
              </w:numPr>
              <w:pBdr>
                <w:top w:val="nil"/>
                <w:left w:val="nil"/>
                <w:bottom w:val="nil"/>
                <w:right w:val="nil"/>
                <w:between w:val="nil"/>
              </w:pBdr>
              <w:spacing w:after="0" w:line="276" w:lineRule="auto"/>
              <w:ind w:left="318" w:hanging="318"/>
              <w:jc w:val="left"/>
              <w:rPr>
                <w:color w:val="000000"/>
                <w:sz w:val="20"/>
                <w:szCs w:val="20"/>
              </w:rPr>
            </w:pPr>
            <w:r w:rsidRPr="00175D8B">
              <w:rPr>
                <w:color w:val="000000"/>
                <w:sz w:val="20"/>
                <w:szCs w:val="20"/>
              </w:rPr>
              <w:t>Project/Site Manager records Part C of the Chance Find Form.</w:t>
            </w:r>
          </w:p>
          <w:p w14:paraId="4ECECB81" w14:textId="77777777" w:rsidR="00E02AE5" w:rsidRPr="00175D8B" w:rsidRDefault="00E02AE5">
            <w:pPr>
              <w:numPr>
                <w:ilvl w:val="0"/>
                <w:numId w:val="58"/>
              </w:numPr>
              <w:pBdr>
                <w:top w:val="nil"/>
                <w:left w:val="nil"/>
                <w:bottom w:val="nil"/>
                <w:right w:val="nil"/>
                <w:between w:val="nil"/>
              </w:pBdr>
              <w:spacing w:after="0" w:line="276" w:lineRule="auto"/>
              <w:ind w:left="318" w:hanging="318"/>
              <w:jc w:val="left"/>
              <w:rPr>
                <w:color w:val="000000"/>
                <w:sz w:val="20"/>
                <w:szCs w:val="20"/>
              </w:rPr>
            </w:pPr>
            <w:r w:rsidRPr="00175D8B">
              <w:rPr>
                <w:color w:val="000000"/>
                <w:sz w:val="20"/>
                <w:szCs w:val="20"/>
              </w:rPr>
              <w:t>No further action is required.</w:t>
            </w:r>
          </w:p>
          <w:p w14:paraId="6E61E635" w14:textId="77777777" w:rsidR="00E02AE5" w:rsidRPr="00175D8B" w:rsidRDefault="00E02AE5">
            <w:pPr>
              <w:numPr>
                <w:ilvl w:val="0"/>
                <w:numId w:val="58"/>
              </w:numPr>
              <w:pBdr>
                <w:top w:val="nil"/>
                <w:left w:val="nil"/>
                <w:bottom w:val="nil"/>
                <w:right w:val="nil"/>
                <w:between w:val="nil"/>
              </w:pBdr>
              <w:spacing w:after="0" w:line="276" w:lineRule="auto"/>
              <w:ind w:left="318"/>
              <w:jc w:val="left"/>
              <w:rPr>
                <w:color w:val="000000"/>
                <w:sz w:val="20"/>
                <w:szCs w:val="20"/>
              </w:rPr>
            </w:pPr>
            <w:r w:rsidRPr="00175D8B">
              <w:rPr>
                <w:color w:val="000000"/>
                <w:sz w:val="20"/>
                <w:szCs w:val="20"/>
              </w:rPr>
              <w:t>The chance finds procedure ends.</w:t>
            </w:r>
          </w:p>
          <w:p w14:paraId="3CC970FF" w14:textId="77777777" w:rsidR="00E02AE5" w:rsidRPr="00175D8B" w:rsidRDefault="00E02AE5">
            <w:pPr>
              <w:numPr>
                <w:ilvl w:val="0"/>
                <w:numId w:val="58"/>
              </w:numPr>
              <w:pBdr>
                <w:top w:val="nil"/>
                <w:left w:val="nil"/>
                <w:bottom w:val="nil"/>
                <w:right w:val="nil"/>
                <w:between w:val="nil"/>
              </w:pBdr>
              <w:spacing w:after="0" w:line="276" w:lineRule="auto"/>
              <w:ind w:left="318"/>
              <w:jc w:val="left"/>
              <w:rPr>
                <w:color w:val="000000"/>
                <w:sz w:val="20"/>
                <w:szCs w:val="20"/>
              </w:rPr>
            </w:pPr>
            <w:r w:rsidRPr="00175D8B">
              <w:rPr>
                <w:b/>
                <w:i/>
                <w:color w:val="000000"/>
                <w:sz w:val="20"/>
                <w:szCs w:val="20"/>
              </w:rPr>
              <w:t>Construction activities can resume.</w:t>
            </w:r>
          </w:p>
        </w:tc>
        <w:tc>
          <w:tcPr>
            <w:tcW w:w="3263" w:type="dxa"/>
            <w:gridSpan w:val="2"/>
            <w:tcBorders>
              <w:top w:val="single" w:sz="4" w:space="0" w:color="auto"/>
              <w:left w:val="single" w:sz="4" w:space="0" w:color="auto"/>
              <w:bottom w:val="single" w:sz="4" w:space="0" w:color="auto"/>
              <w:right w:val="single" w:sz="4" w:space="0" w:color="auto"/>
            </w:tcBorders>
            <w:shd w:val="clear" w:color="auto" w:fill="F2F2F2"/>
          </w:tcPr>
          <w:p w14:paraId="1700B64A" w14:textId="77777777" w:rsidR="00E02AE5" w:rsidRPr="00175D8B" w:rsidRDefault="00E02AE5">
            <w:pPr>
              <w:numPr>
                <w:ilvl w:val="0"/>
                <w:numId w:val="59"/>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 xml:space="preserve">Following the site survey, the museum archaeologist declares that the </w:t>
            </w:r>
            <w:r w:rsidRPr="00175D8B">
              <w:rPr>
                <w:b/>
                <w:color w:val="000000"/>
                <w:sz w:val="20"/>
                <w:szCs w:val="20"/>
              </w:rPr>
              <w:t>site is moderately significant</w:t>
            </w:r>
            <w:r w:rsidRPr="00175D8B">
              <w:rPr>
                <w:color w:val="000000"/>
                <w:sz w:val="20"/>
                <w:szCs w:val="20"/>
              </w:rPr>
              <w:t>.</w:t>
            </w:r>
          </w:p>
          <w:p w14:paraId="115DEB95" w14:textId="77777777" w:rsidR="00E02AE5" w:rsidRPr="00175D8B" w:rsidRDefault="00E02AE5">
            <w:pPr>
              <w:numPr>
                <w:ilvl w:val="0"/>
                <w:numId w:val="59"/>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More advanced works such as the test pit/recovery excavation or remote sensory surveys will be completed.</w:t>
            </w:r>
          </w:p>
          <w:p w14:paraId="5B237D88" w14:textId="77777777" w:rsidR="00E02AE5" w:rsidRPr="00175D8B" w:rsidRDefault="00E02AE5">
            <w:pPr>
              <w:numPr>
                <w:ilvl w:val="0"/>
                <w:numId w:val="59"/>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Museum archaeologist will instruct and/or supervise works.</w:t>
            </w:r>
          </w:p>
          <w:p w14:paraId="7B93B267" w14:textId="77777777" w:rsidR="00E02AE5" w:rsidRPr="00175D8B" w:rsidRDefault="00E02AE5">
            <w:pPr>
              <w:numPr>
                <w:ilvl w:val="0"/>
                <w:numId w:val="59"/>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 xml:space="preserve">Project/Site Manager informs the PMU. </w:t>
            </w:r>
          </w:p>
          <w:p w14:paraId="6C301E1D" w14:textId="77777777" w:rsidR="00E02AE5" w:rsidRPr="00175D8B" w:rsidRDefault="00E02AE5">
            <w:pPr>
              <w:numPr>
                <w:ilvl w:val="0"/>
                <w:numId w:val="59"/>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 xml:space="preserve">Project management will provide an archaeological task force under the lead of the museum </w:t>
            </w:r>
            <w:r w:rsidRPr="00175D8B">
              <w:rPr>
                <w:color w:val="000000"/>
                <w:sz w:val="20"/>
                <w:szCs w:val="20"/>
              </w:rPr>
              <w:lastRenderedPageBreak/>
              <w:t>archaeologist. The task force will be composed of qualified archaeologists as well as other specialists and workers.</w:t>
            </w:r>
          </w:p>
          <w:p w14:paraId="0D0032C1" w14:textId="77777777" w:rsidR="00E02AE5" w:rsidRPr="00175D8B" w:rsidRDefault="00E02AE5">
            <w:pPr>
              <w:numPr>
                <w:ilvl w:val="0"/>
                <w:numId w:val="59"/>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Upon completion of excavation, the team will report to the museum.</w:t>
            </w:r>
          </w:p>
          <w:p w14:paraId="5BA7BF19" w14:textId="77777777" w:rsidR="00E02AE5" w:rsidRPr="00175D8B" w:rsidRDefault="00E02AE5">
            <w:pPr>
              <w:numPr>
                <w:ilvl w:val="0"/>
                <w:numId w:val="59"/>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Museum forwards the findings of the survey to the Regional Cultural Asset Conservation Board.</w:t>
            </w:r>
          </w:p>
          <w:p w14:paraId="4D5B09A2" w14:textId="77777777" w:rsidR="00E02AE5" w:rsidRPr="00175D8B" w:rsidRDefault="00E02AE5">
            <w:pPr>
              <w:numPr>
                <w:ilvl w:val="0"/>
                <w:numId w:val="59"/>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The Regional Cultural Asset Conservation Board will officially approve such recovery and notifies the Project management.</w:t>
            </w:r>
          </w:p>
          <w:p w14:paraId="388D66BE" w14:textId="77777777" w:rsidR="00E02AE5" w:rsidRPr="00175D8B" w:rsidRDefault="00E02AE5">
            <w:pPr>
              <w:numPr>
                <w:ilvl w:val="0"/>
                <w:numId w:val="59"/>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Project/Site Manager records Part C of the Chance Find Form.</w:t>
            </w:r>
          </w:p>
          <w:p w14:paraId="23AB472A" w14:textId="77777777" w:rsidR="00E02AE5" w:rsidRPr="00175D8B" w:rsidRDefault="00E02AE5">
            <w:pPr>
              <w:numPr>
                <w:ilvl w:val="0"/>
                <w:numId w:val="59"/>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No further action is required.</w:t>
            </w:r>
          </w:p>
          <w:p w14:paraId="7CD5DC50" w14:textId="77777777" w:rsidR="00E02AE5" w:rsidRPr="00175D8B" w:rsidRDefault="00E02AE5">
            <w:pPr>
              <w:numPr>
                <w:ilvl w:val="0"/>
                <w:numId w:val="59"/>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The chance finds procedure ends.</w:t>
            </w:r>
          </w:p>
          <w:p w14:paraId="3371E2E6" w14:textId="77777777" w:rsidR="00E02AE5" w:rsidRPr="00175D8B" w:rsidRDefault="00E02AE5">
            <w:pPr>
              <w:numPr>
                <w:ilvl w:val="0"/>
                <w:numId w:val="59"/>
              </w:numPr>
              <w:pBdr>
                <w:top w:val="nil"/>
                <w:left w:val="nil"/>
                <w:bottom w:val="nil"/>
                <w:right w:val="nil"/>
                <w:between w:val="nil"/>
              </w:pBdr>
              <w:spacing w:after="0" w:line="276" w:lineRule="auto"/>
              <w:ind w:left="309"/>
              <w:jc w:val="left"/>
              <w:rPr>
                <w:b/>
                <w:i/>
                <w:color w:val="000000"/>
                <w:sz w:val="20"/>
                <w:szCs w:val="20"/>
              </w:rPr>
            </w:pPr>
            <w:r w:rsidRPr="00175D8B">
              <w:rPr>
                <w:b/>
                <w:i/>
                <w:color w:val="000000"/>
                <w:sz w:val="20"/>
                <w:szCs w:val="20"/>
              </w:rPr>
              <w:t>Construction activities can resume.</w:t>
            </w:r>
          </w:p>
        </w:tc>
        <w:tc>
          <w:tcPr>
            <w:tcW w:w="3242" w:type="dxa"/>
            <w:tcBorders>
              <w:top w:val="single" w:sz="4" w:space="0" w:color="auto"/>
              <w:left w:val="single" w:sz="4" w:space="0" w:color="auto"/>
              <w:bottom w:val="single" w:sz="4" w:space="0" w:color="auto"/>
              <w:right w:val="single" w:sz="4" w:space="0" w:color="auto"/>
            </w:tcBorders>
            <w:shd w:val="clear" w:color="auto" w:fill="F2F2F2"/>
          </w:tcPr>
          <w:p w14:paraId="331A5285" w14:textId="77777777" w:rsidR="00E02AE5" w:rsidRPr="00175D8B" w:rsidRDefault="00E02AE5">
            <w:pPr>
              <w:numPr>
                <w:ilvl w:val="0"/>
                <w:numId w:val="54"/>
              </w:numPr>
              <w:pBdr>
                <w:top w:val="nil"/>
                <w:left w:val="nil"/>
                <w:bottom w:val="nil"/>
                <w:right w:val="nil"/>
                <w:between w:val="nil"/>
              </w:pBdr>
              <w:spacing w:after="0" w:line="276" w:lineRule="auto"/>
              <w:ind w:left="306"/>
              <w:jc w:val="left"/>
              <w:rPr>
                <w:color w:val="000000"/>
                <w:sz w:val="20"/>
                <w:szCs w:val="20"/>
              </w:rPr>
            </w:pPr>
            <w:r w:rsidRPr="00175D8B">
              <w:rPr>
                <w:color w:val="000000"/>
                <w:sz w:val="20"/>
                <w:szCs w:val="20"/>
              </w:rPr>
              <w:lastRenderedPageBreak/>
              <w:t xml:space="preserve">Following the site survey, the museum archaeologist declares that the site/find is </w:t>
            </w:r>
            <w:r w:rsidRPr="00175D8B">
              <w:rPr>
                <w:b/>
                <w:color w:val="000000"/>
                <w:sz w:val="20"/>
                <w:szCs w:val="20"/>
              </w:rPr>
              <w:t>highly significant</w:t>
            </w:r>
            <w:r w:rsidRPr="00175D8B">
              <w:rPr>
                <w:color w:val="000000"/>
                <w:sz w:val="20"/>
                <w:szCs w:val="20"/>
              </w:rPr>
              <w:t>.</w:t>
            </w:r>
          </w:p>
          <w:p w14:paraId="13DC7E4D" w14:textId="77777777" w:rsidR="00E02AE5" w:rsidRPr="00175D8B" w:rsidRDefault="00E02AE5">
            <w:pPr>
              <w:numPr>
                <w:ilvl w:val="0"/>
                <w:numId w:val="54"/>
              </w:numPr>
              <w:pBdr>
                <w:top w:val="nil"/>
                <w:left w:val="nil"/>
                <w:bottom w:val="nil"/>
                <w:right w:val="nil"/>
                <w:between w:val="nil"/>
              </w:pBdr>
              <w:spacing w:after="0" w:line="276" w:lineRule="auto"/>
              <w:ind w:left="306"/>
              <w:jc w:val="left"/>
              <w:rPr>
                <w:color w:val="000000"/>
                <w:sz w:val="20"/>
                <w:szCs w:val="20"/>
              </w:rPr>
            </w:pPr>
            <w:r w:rsidRPr="00175D8B">
              <w:rPr>
                <w:color w:val="000000"/>
                <w:sz w:val="20"/>
                <w:szCs w:val="20"/>
              </w:rPr>
              <w:t>Recovery excavation will be completed.</w:t>
            </w:r>
          </w:p>
          <w:p w14:paraId="0CE61C7A" w14:textId="77777777" w:rsidR="00E02AE5" w:rsidRPr="00175D8B" w:rsidRDefault="00E02AE5">
            <w:pPr>
              <w:numPr>
                <w:ilvl w:val="0"/>
                <w:numId w:val="54"/>
              </w:numPr>
              <w:pBdr>
                <w:top w:val="nil"/>
                <w:left w:val="nil"/>
                <w:bottom w:val="nil"/>
                <w:right w:val="nil"/>
                <w:between w:val="nil"/>
              </w:pBdr>
              <w:spacing w:after="0" w:line="276" w:lineRule="auto"/>
              <w:ind w:left="306"/>
              <w:jc w:val="left"/>
              <w:rPr>
                <w:color w:val="000000"/>
                <w:sz w:val="20"/>
                <w:szCs w:val="20"/>
              </w:rPr>
            </w:pPr>
            <w:r w:rsidRPr="00175D8B">
              <w:rPr>
                <w:color w:val="000000"/>
                <w:sz w:val="20"/>
                <w:szCs w:val="20"/>
              </w:rPr>
              <w:t>The site will be handled in observance of the provisions of the Law No.2863 on the Protection of Cultural and Natural Assets dated 21.07.1983.</w:t>
            </w:r>
          </w:p>
          <w:p w14:paraId="72DF3940" w14:textId="77777777" w:rsidR="00E02AE5" w:rsidRPr="00175D8B" w:rsidRDefault="00E02AE5">
            <w:pPr>
              <w:numPr>
                <w:ilvl w:val="0"/>
                <w:numId w:val="54"/>
              </w:numPr>
              <w:pBdr>
                <w:top w:val="nil"/>
                <w:left w:val="nil"/>
                <w:bottom w:val="nil"/>
                <w:right w:val="nil"/>
                <w:between w:val="nil"/>
              </w:pBdr>
              <w:spacing w:after="0" w:line="276" w:lineRule="auto"/>
              <w:ind w:left="306"/>
              <w:jc w:val="left"/>
              <w:rPr>
                <w:color w:val="000000"/>
                <w:sz w:val="20"/>
                <w:szCs w:val="20"/>
              </w:rPr>
            </w:pPr>
            <w:r w:rsidRPr="00175D8B">
              <w:rPr>
                <w:color w:val="000000"/>
                <w:sz w:val="20"/>
                <w:szCs w:val="20"/>
              </w:rPr>
              <w:t xml:space="preserve">Museum Archaeologist provides instructions and/or supervision for the test pit/archaeological recovery excavation. </w:t>
            </w:r>
          </w:p>
          <w:p w14:paraId="78A450A5" w14:textId="77777777" w:rsidR="00E02AE5" w:rsidRPr="00175D8B" w:rsidRDefault="00E02AE5">
            <w:pPr>
              <w:numPr>
                <w:ilvl w:val="0"/>
                <w:numId w:val="54"/>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lastRenderedPageBreak/>
              <w:t xml:space="preserve">Project/Site Manager informs the PMU. </w:t>
            </w:r>
          </w:p>
          <w:p w14:paraId="52B6C8A5" w14:textId="77777777" w:rsidR="00E02AE5" w:rsidRPr="00175D8B" w:rsidRDefault="00E02AE5">
            <w:pPr>
              <w:numPr>
                <w:ilvl w:val="0"/>
                <w:numId w:val="54"/>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Project management will provide an archaeological task force under the lead of the museum archaeologist. The task force will be composed of qualified archaeologists as well as other specialists and workers.</w:t>
            </w:r>
          </w:p>
          <w:p w14:paraId="493C41C6" w14:textId="77777777" w:rsidR="00E02AE5" w:rsidRPr="00175D8B" w:rsidRDefault="00E02AE5">
            <w:pPr>
              <w:numPr>
                <w:ilvl w:val="0"/>
                <w:numId w:val="54"/>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Upon completion of excavation, the team will report to the museum.</w:t>
            </w:r>
          </w:p>
          <w:p w14:paraId="27B42EFC" w14:textId="77777777" w:rsidR="00E02AE5" w:rsidRPr="00175D8B" w:rsidRDefault="00E02AE5">
            <w:pPr>
              <w:numPr>
                <w:ilvl w:val="0"/>
                <w:numId w:val="54"/>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The Regional Cultural Asset Conservation Board will officially approve such recovery and notifies the Project management.</w:t>
            </w:r>
          </w:p>
          <w:p w14:paraId="467B3C28" w14:textId="77777777" w:rsidR="00E02AE5" w:rsidRPr="00175D8B" w:rsidRDefault="00E02AE5">
            <w:pPr>
              <w:numPr>
                <w:ilvl w:val="0"/>
                <w:numId w:val="54"/>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The site will be registered and placed under protection as per the Turkish legislation.</w:t>
            </w:r>
          </w:p>
          <w:p w14:paraId="00BFB6BB" w14:textId="77777777" w:rsidR="00E02AE5" w:rsidRPr="00175D8B" w:rsidRDefault="00E02AE5">
            <w:pPr>
              <w:numPr>
                <w:ilvl w:val="0"/>
                <w:numId w:val="54"/>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 xml:space="preserve">Project/Site Manager informs the PMU. </w:t>
            </w:r>
          </w:p>
          <w:p w14:paraId="55D1E27F" w14:textId="77777777" w:rsidR="00E02AE5" w:rsidRPr="00175D8B" w:rsidRDefault="00E02AE5">
            <w:pPr>
              <w:numPr>
                <w:ilvl w:val="0"/>
                <w:numId w:val="54"/>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Project/Site Manager records Part C of the Chance Find Form.</w:t>
            </w:r>
          </w:p>
          <w:p w14:paraId="6FEB15AD" w14:textId="77777777" w:rsidR="00E02AE5" w:rsidRPr="00175D8B" w:rsidRDefault="00E02AE5">
            <w:pPr>
              <w:numPr>
                <w:ilvl w:val="0"/>
                <w:numId w:val="54"/>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No further action is required.</w:t>
            </w:r>
          </w:p>
          <w:p w14:paraId="28AB7699" w14:textId="77777777" w:rsidR="00E02AE5" w:rsidRPr="00175D8B" w:rsidRDefault="00E02AE5">
            <w:pPr>
              <w:numPr>
                <w:ilvl w:val="0"/>
                <w:numId w:val="54"/>
              </w:numPr>
              <w:pBdr>
                <w:top w:val="nil"/>
                <w:left w:val="nil"/>
                <w:bottom w:val="nil"/>
                <w:right w:val="nil"/>
                <w:between w:val="nil"/>
              </w:pBdr>
              <w:spacing w:after="0" w:line="276" w:lineRule="auto"/>
              <w:ind w:left="309"/>
              <w:jc w:val="left"/>
              <w:rPr>
                <w:color w:val="000000"/>
                <w:sz w:val="20"/>
                <w:szCs w:val="20"/>
              </w:rPr>
            </w:pPr>
            <w:r w:rsidRPr="00175D8B">
              <w:rPr>
                <w:color w:val="000000"/>
                <w:sz w:val="20"/>
                <w:szCs w:val="20"/>
              </w:rPr>
              <w:t>The chance find procedure ends.</w:t>
            </w:r>
          </w:p>
          <w:p w14:paraId="54F1A306" w14:textId="77777777" w:rsidR="00E02AE5" w:rsidRPr="00175D8B" w:rsidRDefault="00E02AE5">
            <w:pPr>
              <w:numPr>
                <w:ilvl w:val="0"/>
                <w:numId w:val="54"/>
              </w:numPr>
              <w:pBdr>
                <w:top w:val="nil"/>
                <w:left w:val="nil"/>
                <w:bottom w:val="nil"/>
                <w:right w:val="nil"/>
                <w:between w:val="nil"/>
              </w:pBdr>
              <w:spacing w:after="0" w:line="276" w:lineRule="auto"/>
              <w:ind w:left="309"/>
              <w:jc w:val="left"/>
              <w:rPr>
                <w:color w:val="000000"/>
                <w:sz w:val="20"/>
                <w:szCs w:val="20"/>
              </w:rPr>
            </w:pPr>
            <w:r w:rsidRPr="00175D8B">
              <w:rPr>
                <w:b/>
                <w:i/>
                <w:color w:val="000000"/>
                <w:sz w:val="20"/>
                <w:szCs w:val="20"/>
              </w:rPr>
              <w:t>Construction activities may resume in accordance with the Board's decision or additional preventive studies may be required.</w:t>
            </w:r>
          </w:p>
        </w:tc>
      </w:tr>
    </w:tbl>
    <w:p w14:paraId="2DA8E65A" w14:textId="77777777" w:rsidR="00B05B27" w:rsidRPr="00175D8B" w:rsidRDefault="00B05B27" w:rsidP="00E02AE5"/>
    <w:p w14:paraId="469BD039" w14:textId="77777777" w:rsidR="00E02AE5" w:rsidRPr="00175D8B" w:rsidRDefault="00E02AE5">
      <w:pPr>
        <w:pStyle w:val="ListeParagraf"/>
        <w:numPr>
          <w:ilvl w:val="0"/>
          <w:numId w:val="34"/>
        </w:numPr>
        <w:rPr>
          <w:b/>
          <w:bCs/>
        </w:rPr>
      </w:pPr>
      <w:r w:rsidRPr="00175D8B">
        <w:rPr>
          <w:b/>
          <w:bCs/>
        </w:rPr>
        <w:t>Monitoring and Reporting</w:t>
      </w:r>
    </w:p>
    <w:p w14:paraId="628FE40F" w14:textId="77777777" w:rsidR="00E02AE5" w:rsidRPr="00175D8B" w:rsidRDefault="00E02AE5" w:rsidP="00E02AE5">
      <w:r w:rsidRPr="00175D8B">
        <w:t>Project/Site Manager will visually monitor any and all construction and other activities as proof of presence of cultural inheritance assets.</w:t>
      </w:r>
    </w:p>
    <w:p w14:paraId="452D0CFC" w14:textId="77777777" w:rsidR="00E02AE5" w:rsidRPr="00175D8B" w:rsidRDefault="00E02AE5" w:rsidP="00E02AE5">
      <w:r w:rsidRPr="00175D8B">
        <w:t>Chance Finds will be recorded in the Chance Finds Notification Form. Print copies of Chance Find Notification Forms will be available on site, which will be always scanned once filled in and registered and saved.</w:t>
      </w:r>
    </w:p>
    <w:p w14:paraId="03D975BB" w14:textId="4399DBB1" w:rsidR="00E02AE5" w:rsidRPr="00175D8B" w:rsidRDefault="00E02AE5" w:rsidP="00E02AE5">
      <w:bookmarkStart w:id="531" w:name="_320vgez" w:colFirst="0" w:colLast="0"/>
      <w:bookmarkEnd w:id="531"/>
      <w:r w:rsidRPr="00175D8B">
        <w:t>Chance Find Notification Forms will be updated by the Project/Site Manager, which be recorded in the Chance Finds Log. This document will be regularly checked.</w:t>
      </w:r>
    </w:p>
    <w:p w14:paraId="62245257" w14:textId="77777777" w:rsidR="00B05B27" w:rsidRPr="00175D8B" w:rsidRDefault="00B05B27" w:rsidP="00E02AE5"/>
    <w:p w14:paraId="488633D1" w14:textId="77777777" w:rsidR="00E02AE5" w:rsidRPr="00175D8B" w:rsidRDefault="00E02AE5" w:rsidP="00E02AE5">
      <w:pPr>
        <w:rPr>
          <w:b/>
          <w:bCs/>
        </w:rPr>
      </w:pPr>
      <w:r w:rsidRPr="00175D8B">
        <w:rPr>
          <w:b/>
          <w:bCs/>
        </w:rPr>
        <w:lastRenderedPageBreak/>
        <w:t>CHANCE FIND REPORT FORM</w:t>
      </w:r>
      <w:bookmarkStart w:id="532" w:name="_415t9al" w:colFirst="0" w:colLast="0"/>
      <w:bookmarkEnd w:id="532"/>
      <w:r w:rsidRPr="00175D8B">
        <w:rPr>
          <w:b/>
          <w:bCs/>
        </w:rPr>
        <w:t>/ RASTLANTISAL BULUNTU RAPOR FORMU</w:t>
      </w:r>
    </w:p>
    <w:p w14:paraId="5F7EAB32" w14:textId="77777777" w:rsidR="00E02AE5" w:rsidRPr="00175D8B" w:rsidRDefault="00E02AE5" w:rsidP="00E02AE5">
      <w:pPr>
        <w:pStyle w:val="ResimYazs"/>
        <w:keepNext/>
        <w:jc w:val="center"/>
        <w:rPr>
          <w:rFonts w:eastAsia="Aptos" w:cs="Aptos"/>
          <w:b/>
          <w:color w:val="000000"/>
          <w:kern w:val="0"/>
          <w:lang w:eastAsia="tr-TR"/>
          <w14:ligatures w14:val="none"/>
        </w:rPr>
      </w:pPr>
      <w:r w:rsidRPr="00175D8B">
        <w:rPr>
          <w:rFonts w:eastAsia="Aptos" w:cs="Aptos"/>
          <w:b/>
          <w:color w:val="000000"/>
          <w:kern w:val="0"/>
          <w:lang w:eastAsia="tr-TR"/>
          <w14:ligatures w14:val="none"/>
        </w:rPr>
        <w:t>Chance Find Report Form</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58"/>
        <w:gridCol w:w="1510"/>
        <w:gridCol w:w="1513"/>
        <w:gridCol w:w="755"/>
        <w:gridCol w:w="2268"/>
      </w:tblGrid>
      <w:tr w:rsidR="00E02AE5" w:rsidRPr="00175D8B" w14:paraId="69C034F2" w14:textId="77777777" w:rsidTr="00DF417A">
        <w:trPr>
          <w:jc w:val="center"/>
        </w:trPr>
        <w:tc>
          <w:tcPr>
            <w:tcW w:w="9072" w:type="dxa"/>
            <w:gridSpan w:val="6"/>
          </w:tcPr>
          <w:p w14:paraId="197A87F1" w14:textId="77777777" w:rsidR="00E02AE5" w:rsidRPr="00175D8B" w:rsidRDefault="00E02AE5" w:rsidP="00DF417A">
            <w:pPr>
              <w:spacing w:line="240" w:lineRule="auto"/>
              <w:rPr>
                <w:b/>
                <w:bCs/>
                <w:sz w:val="20"/>
                <w:szCs w:val="20"/>
              </w:rPr>
            </w:pPr>
            <w:r w:rsidRPr="00175D8B">
              <w:rPr>
                <w:b/>
                <w:bCs/>
                <w:sz w:val="20"/>
                <w:szCs w:val="20"/>
              </w:rPr>
              <w:t>PART A</w:t>
            </w:r>
          </w:p>
          <w:p w14:paraId="0CBDD5D0" w14:textId="77777777" w:rsidR="00E02AE5" w:rsidRPr="00175D8B" w:rsidRDefault="00E02AE5" w:rsidP="00DF417A">
            <w:pPr>
              <w:spacing w:line="240" w:lineRule="auto"/>
              <w:rPr>
                <w:sz w:val="20"/>
                <w:szCs w:val="20"/>
              </w:rPr>
            </w:pPr>
            <w:r w:rsidRPr="00175D8B">
              <w:rPr>
                <w:b/>
                <w:bCs/>
                <w:sz w:val="20"/>
                <w:szCs w:val="20"/>
              </w:rPr>
              <w:t>BÖLÜM A</w:t>
            </w:r>
          </w:p>
        </w:tc>
      </w:tr>
      <w:tr w:rsidR="00E02AE5" w:rsidRPr="00175D8B" w14:paraId="47CC7AC6" w14:textId="77777777" w:rsidTr="00DF417A">
        <w:trPr>
          <w:trHeight w:val="361"/>
          <w:jc w:val="center"/>
        </w:trPr>
        <w:tc>
          <w:tcPr>
            <w:tcW w:w="2268" w:type="dxa"/>
          </w:tcPr>
          <w:p w14:paraId="0DBC2473" w14:textId="77777777" w:rsidR="00E02AE5" w:rsidRPr="00175D8B" w:rsidRDefault="00E02AE5" w:rsidP="00DF417A">
            <w:pPr>
              <w:spacing w:line="240" w:lineRule="auto"/>
              <w:rPr>
                <w:sz w:val="20"/>
                <w:szCs w:val="20"/>
              </w:rPr>
            </w:pPr>
            <w:r w:rsidRPr="00175D8B">
              <w:rPr>
                <w:sz w:val="20"/>
                <w:szCs w:val="20"/>
              </w:rPr>
              <w:t>Project Location:</w:t>
            </w:r>
          </w:p>
          <w:p w14:paraId="05CEFEE9" w14:textId="77777777" w:rsidR="00E02AE5" w:rsidRPr="00175D8B" w:rsidRDefault="00E02AE5" w:rsidP="00DF417A">
            <w:pPr>
              <w:spacing w:line="240" w:lineRule="auto"/>
              <w:rPr>
                <w:i/>
                <w:sz w:val="20"/>
                <w:szCs w:val="20"/>
              </w:rPr>
            </w:pPr>
            <w:r w:rsidRPr="00175D8B">
              <w:rPr>
                <w:i/>
                <w:sz w:val="20"/>
                <w:szCs w:val="20"/>
              </w:rPr>
              <w:t>Proje Sahası</w:t>
            </w:r>
          </w:p>
        </w:tc>
        <w:tc>
          <w:tcPr>
            <w:tcW w:w="2268" w:type="dxa"/>
            <w:gridSpan w:val="2"/>
          </w:tcPr>
          <w:p w14:paraId="7115EDC9" w14:textId="77777777" w:rsidR="00E02AE5" w:rsidRPr="00175D8B" w:rsidRDefault="00E02AE5" w:rsidP="00DF417A">
            <w:pPr>
              <w:spacing w:line="240" w:lineRule="auto"/>
              <w:rPr>
                <w:sz w:val="20"/>
                <w:szCs w:val="20"/>
              </w:rPr>
            </w:pPr>
            <w:r w:rsidRPr="00175D8B">
              <w:rPr>
                <w:sz w:val="20"/>
                <w:szCs w:val="20"/>
              </w:rPr>
              <w:t>District (İlçe):</w:t>
            </w:r>
          </w:p>
          <w:p w14:paraId="71501A3F" w14:textId="77777777" w:rsidR="00E02AE5" w:rsidRPr="00175D8B" w:rsidRDefault="00E02AE5" w:rsidP="00DF417A">
            <w:pPr>
              <w:spacing w:line="240" w:lineRule="auto"/>
              <w:rPr>
                <w:sz w:val="20"/>
                <w:szCs w:val="20"/>
              </w:rPr>
            </w:pPr>
            <w:r w:rsidRPr="00175D8B">
              <w:rPr>
                <w:sz w:val="20"/>
                <w:szCs w:val="20"/>
              </w:rPr>
              <w:t>Village (Köy):</w:t>
            </w:r>
          </w:p>
          <w:p w14:paraId="290BE830" w14:textId="77777777" w:rsidR="00E02AE5" w:rsidRPr="00175D8B" w:rsidRDefault="00E02AE5" w:rsidP="00DF417A">
            <w:pPr>
              <w:spacing w:line="240" w:lineRule="auto"/>
              <w:rPr>
                <w:sz w:val="20"/>
                <w:szCs w:val="20"/>
              </w:rPr>
            </w:pPr>
          </w:p>
        </w:tc>
        <w:tc>
          <w:tcPr>
            <w:tcW w:w="2268" w:type="dxa"/>
            <w:gridSpan w:val="2"/>
          </w:tcPr>
          <w:p w14:paraId="48D7324F" w14:textId="77777777" w:rsidR="00E02AE5" w:rsidRPr="00175D8B" w:rsidRDefault="00E02AE5" w:rsidP="00DF417A">
            <w:pPr>
              <w:spacing w:line="240" w:lineRule="auto"/>
              <w:rPr>
                <w:sz w:val="20"/>
                <w:szCs w:val="20"/>
              </w:rPr>
            </w:pPr>
            <w:r w:rsidRPr="00175D8B">
              <w:rPr>
                <w:sz w:val="20"/>
                <w:szCs w:val="20"/>
              </w:rPr>
              <w:t>Date:</w:t>
            </w:r>
          </w:p>
          <w:p w14:paraId="02B1D55F" w14:textId="77777777" w:rsidR="00E02AE5" w:rsidRPr="00175D8B" w:rsidRDefault="00E02AE5" w:rsidP="00DF417A">
            <w:pPr>
              <w:spacing w:line="240" w:lineRule="auto"/>
              <w:rPr>
                <w:i/>
                <w:sz w:val="20"/>
                <w:szCs w:val="20"/>
              </w:rPr>
            </w:pPr>
            <w:r w:rsidRPr="00175D8B">
              <w:rPr>
                <w:i/>
                <w:sz w:val="20"/>
                <w:szCs w:val="20"/>
              </w:rPr>
              <w:t>Tarih</w:t>
            </w:r>
          </w:p>
        </w:tc>
        <w:tc>
          <w:tcPr>
            <w:tcW w:w="2268" w:type="dxa"/>
          </w:tcPr>
          <w:p w14:paraId="7B535ABA" w14:textId="77777777" w:rsidR="00E02AE5" w:rsidRPr="00175D8B" w:rsidRDefault="00E02AE5" w:rsidP="00DF417A">
            <w:pPr>
              <w:spacing w:line="240" w:lineRule="auto"/>
              <w:rPr>
                <w:sz w:val="20"/>
                <w:szCs w:val="20"/>
              </w:rPr>
            </w:pPr>
            <w:r w:rsidRPr="00175D8B">
              <w:rPr>
                <w:sz w:val="20"/>
                <w:szCs w:val="20"/>
              </w:rPr>
              <w:t>Form No:</w:t>
            </w:r>
          </w:p>
        </w:tc>
      </w:tr>
      <w:tr w:rsidR="00E02AE5" w:rsidRPr="00175D8B" w14:paraId="3573FC8B" w14:textId="77777777" w:rsidTr="00DF417A">
        <w:trPr>
          <w:jc w:val="center"/>
        </w:trPr>
        <w:tc>
          <w:tcPr>
            <w:tcW w:w="9072" w:type="dxa"/>
            <w:gridSpan w:val="6"/>
            <w:vAlign w:val="center"/>
          </w:tcPr>
          <w:p w14:paraId="0A8EC963" w14:textId="77777777" w:rsidR="00E02AE5" w:rsidRPr="00175D8B" w:rsidRDefault="00E02AE5" w:rsidP="00DF417A">
            <w:pPr>
              <w:spacing w:line="240" w:lineRule="auto"/>
              <w:rPr>
                <w:sz w:val="20"/>
                <w:szCs w:val="20"/>
              </w:rPr>
            </w:pPr>
            <w:r w:rsidRPr="00175D8B">
              <w:rPr>
                <w:sz w:val="20"/>
                <w:szCs w:val="20"/>
              </w:rPr>
              <w:t>Name of person reporting chance find:</w:t>
            </w:r>
          </w:p>
          <w:p w14:paraId="22D08B12" w14:textId="77777777" w:rsidR="00E02AE5" w:rsidRPr="00175D8B" w:rsidRDefault="00E02AE5" w:rsidP="00DF417A">
            <w:pPr>
              <w:spacing w:line="240" w:lineRule="auto"/>
              <w:rPr>
                <w:i/>
                <w:sz w:val="20"/>
                <w:szCs w:val="20"/>
              </w:rPr>
            </w:pPr>
            <w:r w:rsidRPr="00175D8B">
              <w:rPr>
                <w:i/>
                <w:sz w:val="20"/>
                <w:szCs w:val="20"/>
              </w:rPr>
              <w:t>Rastlantısal buluntuyu rapor eden kişinin ismi</w:t>
            </w:r>
          </w:p>
        </w:tc>
      </w:tr>
      <w:tr w:rsidR="00E02AE5" w:rsidRPr="00175D8B" w14:paraId="6A423458" w14:textId="77777777" w:rsidTr="00DF417A">
        <w:trPr>
          <w:jc w:val="center"/>
        </w:trPr>
        <w:tc>
          <w:tcPr>
            <w:tcW w:w="9072" w:type="dxa"/>
            <w:gridSpan w:val="6"/>
          </w:tcPr>
          <w:p w14:paraId="3DAC3384" w14:textId="77777777" w:rsidR="00E02AE5" w:rsidRPr="00175D8B" w:rsidRDefault="00E02AE5" w:rsidP="00DF417A">
            <w:pPr>
              <w:spacing w:line="240" w:lineRule="auto"/>
              <w:rPr>
                <w:sz w:val="20"/>
                <w:szCs w:val="20"/>
              </w:rPr>
            </w:pPr>
            <w:r w:rsidRPr="00175D8B">
              <w:rPr>
                <w:sz w:val="20"/>
                <w:szCs w:val="20"/>
              </w:rPr>
              <w:t xml:space="preserve">Was work stopped in the immediate vicinity of the chance find?                   </w:t>
            </w:r>
            <w:sdt>
              <w:sdtPr>
                <w:rPr>
                  <w:sz w:val="20"/>
                  <w:szCs w:val="20"/>
                </w:rPr>
                <w:tag w:val="goog_rdk_294"/>
                <w:id w:val="-3669288"/>
              </w:sdtPr>
              <w:sdtEndPr/>
              <w:sdtContent>
                <w:r w:rsidRPr="00175D8B">
                  <w:rPr>
                    <w:rFonts w:eastAsia="Arial Unicode MS" w:cs="Segoe UI Symbol"/>
                    <w:sz w:val="20"/>
                    <w:szCs w:val="20"/>
                  </w:rPr>
                  <w:t>☐</w:t>
                </w:r>
              </w:sdtContent>
            </w:sdt>
            <w:r w:rsidRPr="00175D8B">
              <w:rPr>
                <w:sz w:val="20"/>
                <w:szCs w:val="20"/>
              </w:rPr>
              <w:t xml:space="preserve"> Yes              </w:t>
            </w:r>
            <w:sdt>
              <w:sdtPr>
                <w:rPr>
                  <w:sz w:val="20"/>
                  <w:szCs w:val="20"/>
                </w:rPr>
                <w:tag w:val="goog_rdk_295"/>
                <w:id w:val="1819530544"/>
              </w:sdtPr>
              <w:sdtEndPr/>
              <w:sdtContent>
                <w:r w:rsidRPr="00175D8B">
                  <w:rPr>
                    <w:rFonts w:eastAsia="Arial Unicode MS" w:cs="Segoe UI Symbol"/>
                    <w:sz w:val="20"/>
                    <w:szCs w:val="20"/>
                  </w:rPr>
                  <w:t>☐</w:t>
                </w:r>
              </w:sdtContent>
            </w:sdt>
            <w:r w:rsidRPr="00175D8B">
              <w:rPr>
                <w:sz w:val="20"/>
                <w:szCs w:val="20"/>
              </w:rPr>
              <w:t xml:space="preserve"> No</w:t>
            </w:r>
          </w:p>
          <w:p w14:paraId="124132B0" w14:textId="77777777" w:rsidR="00E02AE5" w:rsidRPr="00175D8B" w:rsidRDefault="00E02AE5" w:rsidP="00DF417A">
            <w:pPr>
              <w:spacing w:line="240" w:lineRule="auto"/>
              <w:rPr>
                <w:i/>
                <w:sz w:val="20"/>
                <w:szCs w:val="20"/>
              </w:rPr>
            </w:pPr>
            <w:r w:rsidRPr="00175D8B">
              <w:rPr>
                <w:i/>
                <w:sz w:val="20"/>
                <w:szCs w:val="20"/>
              </w:rPr>
              <w:t>Rastlantısal buluntunun tam çevresinde iş durduruldu mu?                         Evet                Hayır</w:t>
            </w:r>
          </w:p>
        </w:tc>
      </w:tr>
      <w:tr w:rsidR="00E02AE5" w:rsidRPr="00175D8B" w14:paraId="30BF5623" w14:textId="77777777" w:rsidTr="00DF417A">
        <w:trPr>
          <w:jc w:val="center"/>
        </w:trPr>
        <w:tc>
          <w:tcPr>
            <w:tcW w:w="9072" w:type="dxa"/>
            <w:gridSpan w:val="6"/>
          </w:tcPr>
          <w:p w14:paraId="08DF0CD5" w14:textId="77777777" w:rsidR="00E02AE5" w:rsidRPr="00175D8B" w:rsidRDefault="00E02AE5" w:rsidP="00DF417A">
            <w:pPr>
              <w:spacing w:line="240" w:lineRule="auto"/>
              <w:rPr>
                <w:sz w:val="20"/>
                <w:szCs w:val="20"/>
              </w:rPr>
            </w:pPr>
            <w:r w:rsidRPr="00175D8B">
              <w:rPr>
                <w:sz w:val="20"/>
                <w:szCs w:val="20"/>
              </w:rPr>
              <w:t xml:space="preserve">Was a buffer zone created to protect the chance find?                                </w:t>
            </w:r>
            <w:sdt>
              <w:sdtPr>
                <w:rPr>
                  <w:sz w:val="20"/>
                  <w:szCs w:val="20"/>
                </w:rPr>
                <w:tag w:val="goog_rdk_296"/>
                <w:id w:val="-1805299543"/>
              </w:sdtPr>
              <w:sdtEndPr/>
              <w:sdtContent>
                <w:r w:rsidRPr="00175D8B">
                  <w:rPr>
                    <w:rFonts w:eastAsia="Arial Unicode MS" w:cs="Segoe UI Symbol"/>
                    <w:sz w:val="20"/>
                    <w:szCs w:val="20"/>
                  </w:rPr>
                  <w:t>☐</w:t>
                </w:r>
              </w:sdtContent>
            </w:sdt>
            <w:r w:rsidRPr="00175D8B">
              <w:rPr>
                <w:sz w:val="20"/>
                <w:szCs w:val="20"/>
              </w:rPr>
              <w:t xml:space="preserve"> Yes              </w:t>
            </w:r>
            <w:sdt>
              <w:sdtPr>
                <w:rPr>
                  <w:sz w:val="20"/>
                  <w:szCs w:val="20"/>
                </w:rPr>
                <w:tag w:val="goog_rdk_297"/>
                <w:id w:val="-1319267104"/>
              </w:sdtPr>
              <w:sdtEndPr/>
              <w:sdtContent>
                <w:r w:rsidRPr="00175D8B">
                  <w:rPr>
                    <w:rFonts w:eastAsia="Arial Unicode MS" w:cs="Segoe UI Symbol"/>
                    <w:sz w:val="20"/>
                    <w:szCs w:val="20"/>
                  </w:rPr>
                  <w:t>☐</w:t>
                </w:r>
              </w:sdtContent>
            </w:sdt>
            <w:r w:rsidRPr="00175D8B">
              <w:rPr>
                <w:sz w:val="20"/>
                <w:szCs w:val="20"/>
              </w:rPr>
              <w:t xml:space="preserve"> No</w:t>
            </w:r>
          </w:p>
          <w:p w14:paraId="6FFBFA54" w14:textId="77777777" w:rsidR="00E02AE5" w:rsidRPr="00175D8B" w:rsidRDefault="00E02AE5" w:rsidP="00DF417A">
            <w:pPr>
              <w:spacing w:line="240" w:lineRule="auto"/>
              <w:rPr>
                <w:i/>
                <w:sz w:val="20"/>
                <w:szCs w:val="20"/>
              </w:rPr>
            </w:pPr>
            <w:r w:rsidRPr="00175D8B">
              <w:rPr>
                <w:i/>
                <w:sz w:val="20"/>
                <w:szCs w:val="20"/>
              </w:rPr>
              <w:t>Rastlantısal buluntuyu korumak için tampon bölge oluşturuldu mu?            Evet                Hayır</w:t>
            </w:r>
          </w:p>
        </w:tc>
      </w:tr>
      <w:tr w:rsidR="00E02AE5" w:rsidRPr="00175D8B" w14:paraId="7FBABECB" w14:textId="77777777" w:rsidTr="00DF417A">
        <w:trPr>
          <w:jc w:val="center"/>
        </w:trPr>
        <w:tc>
          <w:tcPr>
            <w:tcW w:w="9072" w:type="dxa"/>
            <w:gridSpan w:val="6"/>
          </w:tcPr>
          <w:p w14:paraId="37584CAA" w14:textId="77777777" w:rsidR="00E02AE5" w:rsidRPr="00175D8B" w:rsidRDefault="00E02AE5" w:rsidP="00DF417A">
            <w:pPr>
              <w:spacing w:line="240" w:lineRule="auto"/>
              <w:rPr>
                <w:sz w:val="20"/>
                <w:szCs w:val="20"/>
              </w:rPr>
            </w:pPr>
            <w:r w:rsidRPr="00175D8B">
              <w:rPr>
                <w:sz w:val="20"/>
                <w:szCs w:val="20"/>
              </w:rPr>
              <w:t>NOTIFICATION</w:t>
            </w:r>
          </w:p>
          <w:p w14:paraId="5181E854" w14:textId="77777777" w:rsidR="00E02AE5" w:rsidRPr="00175D8B" w:rsidRDefault="00E02AE5" w:rsidP="00DF417A">
            <w:pPr>
              <w:spacing w:line="240" w:lineRule="auto"/>
              <w:rPr>
                <w:i/>
                <w:sz w:val="20"/>
                <w:szCs w:val="20"/>
              </w:rPr>
            </w:pPr>
            <w:r w:rsidRPr="00175D8B">
              <w:rPr>
                <w:i/>
                <w:sz w:val="20"/>
                <w:szCs w:val="20"/>
              </w:rPr>
              <w:t>BİLDİRİM</w:t>
            </w:r>
          </w:p>
        </w:tc>
      </w:tr>
      <w:tr w:rsidR="00E02AE5" w:rsidRPr="00175D8B" w14:paraId="02D9C7BA" w14:textId="77777777" w:rsidTr="00DF417A">
        <w:trPr>
          <w:jc w:val="center"/>
        </w:trPr>
        <w:tc>
          <w:tcPr>
            <w:tcW w:w="9072" w:type="dxa"/>
            <w:gridSpan w:val="6"/>
          </w:tcPr>
          <w:p w14:paraId="3A36819C" w14:textId="77777777" w:rsidR="00E02AE5" w:rsidRPr="00175D8B" w:rsidRDefault="00E02AE5" w:rsidP="00DF417A">
            <w:pPr>
              <w:spacing w:line="240" w:lineRule="auto"/>
              <w:rPr>
                <w:sz w:val="20"/>
                <w:szCs w:val="20"/>
              </w:rPr>
            </w:pPr>
            <w:r w:rsidRPr="00175D8B">
              <w:rPr>
                <w:sz w:val="20"/>
                <w:szCs w:val="20"/>
              </w:rPr>
              <w:t xml:space="preserve">Project/Site manager contacted                                         </w:t>
            </w:r>
            <w:r w:rsidRPr="00175D8B">
              <w:rPr>
                <w:sz w:val="20"/>
                <w:szCs w:val="20"/>
              </w:rPr>
              <w:tab/>
            </w:r>
            <w:r w:rsidRPr="00175D8B">
              <w:rPr>
                <w:sz w:val="20"/>
                <w:szCs w:val="20"/>
              </w:rPr>
              <w:tab/>
              <w:t xml:space="preserve">      </w:t>
            </w:r>
            <w:sdt>
              <w:sdtPr>
                <w:rPr>
                  <w:sz w:val="20"/>
                  <w:szCs w:val="20"/>
                </w:rPr>
                <w:tag w:val="goog_rdk_298"/>
                <w:id w:val="-936048454"/>
              </w:sdtPr>
              <w:sdtEndPr/>
              <w:sdtContent>
                <w:r w:rsidRPr="00175D8B">
                  <w:rPr>
                    <w:rFonts w:eastAsia="Arial Unicode MS" w:cs="Segoe UI Symbol"/>
                    <w:sz w:val="20"/>
                    <w:szCs w:val="20"/>
                  </w:rPr>
                  <w:t>☐</w:t>
                </w:r>
              </w:sdtContent>
            </w:sdt>
            <w:r w:rsidRPr="00175D8B">
              <w:rPr>
                <w:sz w:val="20"/>
                <w:szCs w:val="20"/>
              </w:rPr>
              <w:t xml:space="preserve"> Yes              </w:t>
            </w:r>
            <w:sdt>
              <w:sdtPr>
                <w:rPr>
                  <w:sz w:val="20"/>
                  <w:szCs w:val="20"/>
                </w:rPr>
                <w:tag w:val="goog_rdk_299"/>
                <w:id w:val="206993933"/>
              </w:sdtPr>
              <w:sdtEndPr/>
              <w:sdtContent>
                <w:r w:rsidRPr="00175D8B">
                  <w:rPr>
                    <w:rFonts w:eastAsia="Arial Unicode MS" w:cs="Segoe UI Symbol"/>
                    <w:sz w:val="20"/>
                    <w:szCs w:val="20"/>
                  </w:rPr>
                  <w:t>☐</w:t>
                </w:r>
              </w:sdtContent>
            </w:sdt>
            <w:r w:rsidRPr="00175D8B">
              <w:rPr>
                <w:sz w:val="20"/>
                <w:szCs w:val="20"/>
              </w:rPr>
              <w:t xml:space="preserve"> No</w:t>
            </w:r>
          </w:p>
          <w:p w14:paraId="58170DEB" w14:textId="77777777" w:rsidR="00E02AE5" w:rsidRPr="00175D8B" w:rsidRDefault="00E02AE5" w:rsidP="00DF417A">
            <w:pPr>
              <w:spacing w:line="240" w:lineRule="auto"/>
              <w:rPr>
                <w:i/>
                <w:sz w:val="20"/>
                <w:szCs w:val="20"/>
              </w:rPr>
            </w:pPr>
            <w:r w:rsidRPr="00175D8B">
              <w:rPr>
                <w:i/>
                <w:sz w:val="20"/>
                <w:szCs w:val="20"/>
              </w:rPr>
              <w:t xml:space="preserve">Proje/Şantiye Müdürü ile irtibata geçildi                            </w:t>
            </w:r>
            <w:r w:rsidRPr="00175D8B">
              <w:rPr>
                <w:i/>
                <w:sz w:val="20"/>
                <w:szCs w:val="20"/>
              </w:rPr>
              <w:tab/>
            </w:r>
            <w:r w:rsidRPr="00175D8B">
              <w:rPr>
                <w:i/>
                <w:sz w:val="20"/>
                <w:szCs w:val="20"/>
              </w:rPr>
              <w:tab/>
              <w:t xml:space="preserve">      Evet                Hayır</w:t>
            </w:r>
          </w:p>
          <w:p w14:paraId="077DDED2" w14:textId="77777777" w:rsidR="00E02AE5" w:rsidRPr="00175D8B" w:rsidRDefault="00E02AE5" w:rsidP="00DF417A">
            <w:pPr>
              <w:spacing w:line="240" w:lineRule="auto"/>
              <w:rPr>
                <w:i/>
                <w:sz w:val="20"/>
                <w:szCs w:val="20"/>
              </w:rPr>
            </w:pPr>
          </w:p>
        </w:tc>
      </w:tr>
      <w:tr w:rsidR="00E02AE5" w:rsidRPr="00175D8B" w14:paraId="6AE99042" w14:textId="77777777" w:rsidTr="00DF417A">
        <w:trPr>
          <w:jc w:val="center"/>
        </w:trPr>
        <w:tc>
          <w:tcPr>
            <w:tcW w:w="9072" w:type="dxa"/>
            <w:gridSpan w:val="6"/>
          </w:tcPr>
          <w:p w14:paraId="77CFEF34" w14:textId="77777777" w:rsidR="00E02AE5" w:rsidRPr="00175D8B" w:rsidRDefault="00E02AE5" w:rsidP="00DF417A">
            <w:pPr>
              <w:spacing w:line="240" w:lineRule="auto"/>
              <w:rPr>
                <w:b/>
                <w:bCs/>
                <w:sz w:val="20"/>
                <w:szCs w:val="20"/>
              </w:rPr>
            </w:pPr>
            <w:r w:rsidRPr="00175D8B">
              <w:rPr>
                <w:b/>
                <w:bCs/>
                <w:sz w:val="20"/>
                <w:szCs w:val="20"/>
              </w:rPr>
              <w:t>CHANCE FIND DETAILS</w:t>
            </w:r>
          </w:p>
          <w:p w14:paraId="7F18866A" w14:textId="77777777" w:rsidR="00E02AE5" w:rsidRPr="00175D8B" w:rsidRDefault="00E02AE5" w:rsidP="00DF417A">
            <w:pPr>
              <w:spacing w:line="240" w:lineRule="auto"/>
              <w:rPr>
                <w:sz w:val="20"/>
                <w:szCs w:val="20"/>
              </w:rPr>
            </w:pPr>
            <w:r w:rsidRPr="00175D8B">
              <w:rPr>
                <w:b/>
                <w:bCs/>
                <w:i/>
                <w:sz w:val="20"/>
                <w:szCs w:val="20"/>
              </w:rPr>
              <w:t>RASTLANTISAL BULUNTU AYRINTILARI</w:t>
            </w:r>
          </w:p>
        </w:tc>
      </w:tr>
      <w:tr w:rsidR="00E02AE5" w:rsidRPr="00BD36F6" w14:paraId="2087BA62" w14:textId="77777777" w:rsidTr="00DF417A">
        <w:trPr>
          <w:jc w:val="center"/>
        </w:trPr>
        <w:tc>
          <w:tcPr>
            <w:tcW w:w="4536" w:type="dxa"/>
            <w:gridSpan w:val="3"/>
          </w:tcPr>
          <w:p w14:paraId="1D5028A4" w14:textId="77777777" w:rsidR="00E02AE5" w:rsidRPr="00175D8B" w:rsidRDefault="00E02AE5" w:rsidP="00DF417A">
            <w:pPr>
              <w:spacing w:line="240" w:lineRule="auto"/>
              <w:rPr>
                <w:sz w:val="20"/>
                <w:szCs w:val="20"/>
              </w:rPr>
            </w:pPr>
          </w:p>
          <w:p w14:paraId="2733EE60" w14:textId="77777777" w:rsidR="00E02AE5" w:rsidRPr="00175D8B" w:rsidRDefault="00E02AE5" w:rsidP="00DF417A">
            <w:pPr>
              <w:spacing w:line="240" w:lineRule="auto"/>
              <w:rPr>
                <w:sz w:val="20"/>
                <w:szCs w:val="20"/>
              </w:rPr>
            </w:pPr>
            <w:r w:rsidRPr="00175D8B">
              <w:rPr>
                <w:sz w:val="20"/>
                <w:szCs w:val="20"/>
              </w:rPr>
              <w:t>GPS coordinates</w:t>
            </w:r>
          </w:p>
          <w:p w14:paraId="0E4CA7B4" w14:textId="77777777" w:rsidR="00E02AE5" w:rsidRPr="00175D8B" w:rsidRDefault="00E02AE5" w:rsidP="00DF417A">
            <w:pPr>
              <w:spacing w:line="240" w:lineRule="auto"/>
              <w:rPr>
                <w:sz w:val="20"/>
                <w:szCs w:val="20"/>
              </w:rPr>
            </w:pPr>
            <w:r w:rsidRPr="00175D8B">
              <w:rPr>
                <w:i/>
                <w:sz w:val="20"/>
                <w:szCs w:val="20"/>
              </w:rPr>
              <w:t>GPS koordinatları</w:t>
            </w:r>
          </w:p>
        </w:tc>
        <w:tc>
          <w:tcPr>
            <w:tcW w:w="4536" w:type="dxa"/>
            <w:gridSpan w:val="3"/>
          </w:tcPr>
          <w:p w14:paraId="2DCA5B2A" w14:textId="77777777" w:rsidR="00E02AE5" w:rsidRPr="00175D8B" w:rsidRDefault="00E02AE5" w:rsidP="00DF417A">
            <w:pPr>
              <w:spacing w:line="240" w:lineRule="auto"/>
              <w:rPr>
                <w:sz w:val="20"/>
                <w:szCs w:val="20"/>
              </w:rPr>
            </w:pPr>
          </w:p>
          <w:p w14:paraId="47182BA1" w14:textId="77777777" w:rsidR="00E02AE5" w:rsidRPr="00175D8B" w:rsidRDefault="00E02AE5" w:rsidP="00DF417A">
            <w:pPr>
              <w:spacing w:line="240" w:lineRule="auto"/>
              <w:rPr>
                <w:sz w:val="20"/>
                <w:szCs w:val="20"/>
              </w:rPr>
            </w:pPr>
            <w:r w:rsidRPr="00175D8B">
              <w:rPr>
                <w:sz w:val="20"/>
                <w:szCs w:val="20"/>
              </w:rPr>
              <w:t xml:space="preserve">Photo record          </w:t>
            </w:r>
            <w:sdt>
              <w:sdtPr>
                <w:rPr>
                  <w:sz w:val="20"/>
                  <w:szCs w:val="20"/>
                </w:rPr>
                <w:tag w:val="goog_rdk_300"/>
                <w:id w:val="-1484229596"/>
              </w:sdtPr>
              <w:sdtEndPr/>
              <w:sdtContent>
                <w:r w:rsidRPr="00175D8B">
                  <w:rPr>
                    <w:rFonts w:eastAsia="Arial Unicode MS" w:cs="Segoe UI Symbol"/>
                    <w:sz w:val="20"/>
                    <w:szCs w:val="20"/>
                  </w:rPr>
                  <w:t>☐</w:t>
                </w:r>
              </w:sdtContent>
            </w:sdt>
            <w:r w:rsidRPr="00175D8B">
              <w:rPr>
                <w:sz w:val="20"/>
                <w:szCs w:val="20"/>
              </w:rPr>
              <w:t xml:space="preserve"> Yes              </w:t>
            </w:r>
            <w:sdt>
              <w:sdtPr>
                <w:rPr>
                  <w:sz w:val="20"/>
                  <w:szCs w:val="20"/>
                </w:rPr>
                <w:tag w:val="goog_rdk_301"/>
                <w:id w:val="-664940155"/>
              </w:sdtPr>
              <w:sdtEndPr/>
              <w:sdtContent>
                <w:r w:rsidRPr="00175D8B">
                  <w:rPr>
                    <w:rFonts w:eastAsia="Arial Unicode MS" w:cs="Segoe UI Symbol"/>
                    <w:sz w:val="20"/>
                    <w:szCs w:val="20"/>
                  </w:rPr>
                  <w:t>☐</w:t>
                </w:r>
              </w:sdtContent>
            </w:sdt>
            <w:r w:rsidRPr="00175D8B">
              <w:rPr>
                <w:sz w:val="20"/>
                <w:szCs w:val="20"/>
              </w:rPr>
              <w:t xml:space="preserve"> No</w:t>
            </w:r>
          </w:p>
          <w:p w14:paraId="054EA35F" w14:textId="77777777" w:rsidR="00E02AE5" w:rsidRPr="00175D8B" w:rsidRDefault="00E02AE5" w:rsidP="00DF417A">
            <w:pPr>
              <w:spacing w:line="240" w:lineRule="auto"/>
              <w:rPr>
                <w:sz w:val="20"/>
                <w:szCs w:val="20"/>
              </w:rPr>
            </w:pPr>
            <w:r w:rsidRPr="00175D8B">
              <w:rPr>
                <w:sz w:val="20"/>
                <w:szCs w:val="20"/>
              </w:rPr>
              <w:t>(HD quality – no cell phone photos)</w:t>
            </w:r>
          </w:p>
          <w:p w14:paraId="34DE2BDC" w14:textId="77777777" w:rsidR="00E02AE5" w:rsidRPr="00175D8B" w:rsidRDefault="00E02AE5" w:rsidP="00DF417A">
            <w:pPr>
              <w:spacing w:line="240" w:lineRule="auto"/>
              <w:rPr>
                <w:i/>
                <w:sz w:val="20"/>
                <w:szCs w:val="20"/>
              </w:rPr>
            </w:pPr>
            <w:r w:rsidRPr="00175D8B">
              <w:rPr>
                <w:i/>
                <w:sz w:val="20"/>
                <w:szCs w:val="20"/>
              </w:rPr>
              <w:t>Fotoğraf kaydı</w:t>
            </w:r>
            <w:r w:rsidRPr="00175D8B">
              <w:rPr>
                <w:i/>
                <w:sz w:val="20"/>
                <w:szCs w:val="20"/>
              </w:rPr>
              <w:tab/>
              <w:t xml:space="preserve">  Evet                Hayır</w:t>
            </w:r>
          </w:p>
          <w:p w14:paraId="4A45612D" w14:textId="77777777" w:rsidR="00E02AE5" w:rsidRPr="00175D8B" w:rsidRDefault="00E02AE5" w:rsidP="00DF417A">
            <w:pPr>
              <w:spacing w:line="240" w:lineRule="auto"/>
              <w:rPr>
                <w:i/>
                <w:sz w:val="20"/>
                <w:szCs w:val="20"/>
              </w:rPr>
            </w:pPr>
            <w:r w:rsidRPr="00175D8B">
              <w:rPr>
                <w:i/>
                <w:sz w:val="20"/>
                <w:szCs w:val="20"/>
              </w:rPr>
              <w:t>(HD kalitesinde – cep telefonu fotoğrafı değil)</w:t>
            </w:r>
          </w:p>
          <w:p w14:paraId="62ADD569" w14:textId="77777777" w:rsidR="00E02AE5" w:rsidRPr="00175D8B" w:rsidRDefault="00E02AE5" w:rsidP="00DF417A">
            <w:pPr>
              <w:spacing w:line="240" w:lineRule="auto"/>
              <w:rPr>
                <w:sz w:val="20"/>
                <w:szCs w:val="20"/>
              </w:rPr>
            </w:pPr>
          </w:p>
          <w:p w14:paraId="41E103B9" w14:textId="77777777" w:rsidR="00E02AE5" w:rsidRPr="00175D8B" w:rsidRDefault="00E02AE5" w:rsidP="00DF417A">
            <w:pPr>
              <w:spacing w:line="240" w:lineRule="auto"/>
              <w:rPr>
                <w:sz w:val="20"/>
                <w:szCs w:val="20"/>
              </w:rPr>
            </w:pPr>
            <w:r w:rsidRPr="00175D8B">
              <w:rPr>
                <w:sz w:val="20"/>
                <w:szCs w:val="20"/>
              </w:rPr>
              <w:t>If not, explain why:</w:t>
            </w:r>
          </w:p>
          <w:p w14:paraId="70589D3B" w14:textId="77777777" w:rsidR="00E02AE5" w:rsidRPr="00175D8B" w:rsidRDefault="00E02AE5" w:rsidP="00DF417A">
            <w:pPr>
              <w:spacing w:line="240" w:lineRule="auto"/>
              <w:rPr>
                <w:i/>
                <w:sz w:val="20"/>
                <w:szCs w:val="20"/>
              </w:rPr>
            </w:pPr>
            <w:r w:rsidRPr="00175D8B">
              <w:rPr>
                <w:i/>
                <w:sz w:val="20"/>
                <w:szCs w:val="20"/>
              </w:rPr>
              <w:t>Yok ise nedenini açıklayınız</w:t>
            </w:r>
          </w:p>
          <w:p w14:paraId="1294D626" w14:textId="77777777" w:rsidR="00E02AE5" w:rsidRPr="00175D8B" w:rsidRDefault="00E02AE5" w:rsidP="00DF417A">
            <w:pPr>
              <w:spacing w:line="240" w:lineRule="auto"/>
              <w:rPr>
                <w:sz w:val="20"/>
                <w:szCs w:val="20"/>
              </w:rPr>
            </w:pPr>
          </w:p>
          <w:p w14:paraId="72E83110" w14:textId="77777777" w:rsidR="00E02AE5" w:rsidRPr="00175D8B" w:rsidRDefault="00E02AE5" w:rsidP="00DF417A">
            <w:pPr>
              <w:spacing w:line="240" w:lineRule="auto"/>
              <w:rPr>
                <w:sz w:val="20"/>
                <w:szCs w:val="20"/>
              </w:rPr>
            </w:pPr>
            <w:r w:rsidRPr="00175D8B">
              <w:rPr>
                <w:sz w:val="20"/>
                <w:szCs w:val="20"/>
              </w:rPr>
              <w:t xml:space="preserve">Other records          </w:t>
            </w:r>
            <w:sdt>
              <w:sdtPr>
                <w:rPr>
                  <w:sz w:val="20"/>
                  <w:szCs w:val="20"/>
                </w:rPr>
                <w:tag w:val="goog_rdk_302"/>
                <w:id w:val="1200204016"/>
              </w:sdtPr>
              <w:sdtEndPr/>
              <w:sdtContent>
                <w:r w:rsidRPr="00175D8B">
                  <w:rPr>
                    <w:rFonts w:eastAsia="Arial Unicode MS" w:cs="Segoe UI Symbol"/>
                    <w:sz w:val="20"/>
                    <w:szCs w:val="20"/>
                  </w:rPr>
                  <w:t>☐</w:t>
                </w:r>
              </w:sdtContent>
            </w:sdt>
            <w:r w:rsidRPr="00175D8B">
              <w:rPr>
                <w:sz w:val="20"/>
                <w:szCs w:val="20"/>
              </w:rPr>
              <w:t xml:space="preserve"> Yes              </w:t>
            </w:r>
            <w:sdt>
              <w:sdtPr>
                <w:rPr>
                  <w:sz w:val="20"/>
                  <w:szCs w:val="20"/>
                </w:rPr>
                <w:tag w:val="goog_rdk_303"/>
                <w:id w:val="1437103850"/>
              </w:sdtPr>
              <w:sdtEndPr/>
              <w:sdtContent>
                <w:r w:rsidRPr="00175D8B">
                  <w:rPr>
                    <w:rFonts w:eastAsia="Arial Unicode MS" w:cs="Segoe UI Symbol"/>
                    <w:sz w:val="20"/>
                    <w:szCs w:val="20"/>
                  </w:rPr>
                  <w:t>☐</w:t>
                </w:r>
              </w:sdtContent>
            </w:sdt>
            <w:r w:rsidRPr="00175D8B">
              <w:rPr>
                <w:sz w:val="20"/>
                <w:szCs w:val="20"/>
              </w:rPr>
              <w:t xml:space="preserve"> No</w:t>
            </w:r>
          </w:p>
          <w:p w14:paraId="50AF3B08" w14:textId="77777777" w:rsidR="00E02AE5" w:rsidRPr="00175D8B" w:rsidRDefault="00E02AE5" w:rsidP="00DF417A">
            <w:pPr>
              <w:spacing w:line="240" w:lineRule="auto"/>
              <w:rPr>
                <w:sz w:val="20"/>
                <w:szCs w:val="20"/>
              </w:rPr>
            </w:pPr>
            <w:r w:rsidRPr="00175D8B">
              <w:rPr>
                <w:sz w:val="20"/>
                <w:szCs w:val="20"/>
              </w:rPr>
              <w:t>Specify (drawings, HD quality videos, etc.):</w:t>
            </w:r>
          </w:p>
          <w:p w14:paraId="6D78846F" w14:textId="77777777" w:rsidR="00E02AE5" w:rsidRPr="00456032" w:rsidRDefault="00E02AE5" w:rsidP="00DF417A">
            <w:pPr>
              <w:spacing w:line="240" w:lineRule="auto"/>
              <w:rPr>
                <w:i/>
                <w:sz w:val="20"/>
                <w:szCs w:val="20"/>
                <w:lang w:val="de-DE"/>
              </w:rPr>
            </w:pPr>
            <w:r w:rsidRPr="00456032">
              <w:rPr>
                <w:i/>
                <w:sz w:val="20"/>
                <w:szCs w:val="20"/>
                <w:lang w:val="de-DE"/>
              </w:rPr>
              <w:t>Diğer kayıtlar            Evet                 Hayır</w:t>
            </w:r>
          </w:p>
          <w:p w14:paraId="437D910F" w14:textId="77777777" w:rsidR="00E02AE5" w:rsidRPr="00456032" w:rsidRDefault="00E02AE5" w:rsidP="00DF417A">
            <w:pPr>
              <w:spacing w:line="240" w:lineRule="auto"/>
              <w:rPr>
                <w:i/>
                <w:sz w:val="20"/>
                <w:szCs w:val="20"/>
                <w:lang w:val="de-DE"/>
              </w:rPr>
            </w:pPr>
            <w:r w:rsidRPr="00456032">
              <w:rPr>
                <w:i/>
                <w:sz w:val="20"/>
                <w:szCs w:val="20"/>
                <w:lang w:val="de-DE"/>
              </w:rPr>
              <w:t>Belirtin (çizimler, HD kalite videolar, vb.)</w:t>
            </w:r>
          </w:p>
          <w:p w14:paraId="4332B44E" w14:textId="77777777" w:rsidR="00E02AE5" w:rsidRPr="00456032" w:rsidRDefault="00E02AE5" w:rsidP="00DF417A">
            <w:pPr>
              <w:spacing w:line="240" w:lineRule="auto"/>
              <w:rPr>
                <w:sz w:val="20"/>
                <w:szCs w:val="20"/>
                <w:lang w:val="de-DE"/>
              </w:rPr>
            </w:pPr>
          </w:p>
          <w:p w14:paraId="0B3BF599" w14:textId="77777777" w:rsidR="00E02AE5" w:rsidRPr="00456032" w:rsidRDefault="00E02AE5" w:rsidP="00DF417A">
            <w:pPr>
              <w:spacing w:line="240" w:lineRule="auto"/>
              <w:rPr>
                <w:sz w:val="20"/>
                <w:szCs w:val="20"/>
                <w:lang w:val="de-DE"/>
              </w:rPr>
            </w:pPr>
          </w:p>
          <w:p w14:paraId="16499938" w14:textId="77777777" w:rsidR="00E02AE5" w:rsidRPr="00456032" w:rsidRDefault="00E02AE5" w:rsidP="00DF417A">
            <w:pPr>
              <w:spacing w:line="240" w:lineRule="auto"/>
              <w:rPr>
                <w:sz w:val="20"/>
                <w:szCs w:val="20"/>
                <w:lang w:val="de-DE"/>
              </w:rPr>
            </w:pPr>
          </w:p>
        </w:tc>
      </w:tr>
      <w:tr w:rsidR="00E02AE5" w:rsidRPr="00175D8B" w14:paraId="2095BC5D" w14:textId="77777777" w:rsidTr="00DF417A">
        <w:trPr>
          <w:jc w:val="center"/>
        </w:trPr>
        <w:tc>
          <w:tcPr>
            <w:tcW w:w="9072" w:type="dxa"/>
            <w:gridSpan w:val="6"/>
          </w:tcPr>
          <w:p w14:paraId="12060E8E" w14:textId="77777777" w:rsidR="00E02AE5" w:rsidRPr="00456032" w:rsidRDefault="00E02AE5" w:rsidP="00DF417A">
            <w:pPr>
              <w:spacing w:line="240" w:lineRule="auto"/>
              <w:rPr>
                <w:sz w:val="20"/>
                <w:szCs w:val="20"/>
                <w:lang w:val="de-DE"/>
              </w:rPr>
            </w:pPr>
          </w:p>
          <w:p w14:paraId="0D6925F8" w14:textId="77777777" w:rsidR="00E02AE5" w:rsidRPr="00175D8B" w:rsidRDefault="00E02AE5" w:rsidP="00DF417A">
            <w:pPr>
              <w:spacing w:line="240" w:lineRule="auto"/>
              <w:rPr>
                <w:sz w:val="20"/>
                <w:szCs w:val="20"/>
              </w:rPr>
            </w:pPr>
            <w:r w:rsidRPr="00175D8B">
              <w:rPr>
                <w:sz w:val="20"/>
                <w:szCs w:val="20"/>
              </w:rPr>
              <w:t>Description of chance find:</w:t>
            </w:r>
          </w:p>
          <w:p w14:paraId="15E26068" w14:textId="77777777" w:rsidR="00E02AE5" w:rsidRPr="00175D8B" w:rsidRDefault="00E02AE5" w:rsidP="00DF417A">
            <w:pPr>
              <w:spacing w:line="240" w:lineRule="auto"/>
              <w:rPr>
                <w:i/>
                <w:sz w:val="20"/>
                <w:szCs w:val="20"/>
              </w:rPr>
            </w:pPr>
            <w:r w:rsidRPr="00175D8B">
              <w:rPr>
                <w:i/>
                <w:sz w:val="20"/>
                <w:szCs w:val="20"/>
              </w:rPr>
              <w:t>Rastlantısal buluntunun tanımı</w:t>
            </w:r>
          </w:p>
          <w:p w14:paraId="289929EF" w14:textId="77777777" w:rsidR="00E02AE5" w:rsidRPr="00175D8B" w:rsidRDefault="00E02AE5" w:rsidP="00DF417A">
            <w:pPr>
              <w:spacing w:line="240" w:lineRule="auto"/>
              <w:rPr>
                <w:sz w:val="20"/>
                <w:szCs w:val="20"/>
              </w:rPr>
            </w:pPr>
          </w:p>
          <w:p w14:paraId="16EA797D" w14:textId="77777777" w:rsidR="00E02AE5" w:rsidRPr="00175D8B" w:rsidRDefault="00E02AE5" w:rsidP="00DF417A">
            <w:pPr>
              <w:spacing w:line="240" w:lineRule="auto"/>
              <w:rPr>
                <w:sz w:val="20"/>
                <w:szCs w:val="20"/>
              </w:rPr>
            </w:pPr>
          </w:p>
          <w:p w14:paraId="3C4364B6" w14:textId="77777777" w:rsidR="00E02AE5" w:rsidRPr="00175D8B" w:rsidRDefault="00E02AE5" w:rsidP="00DF417A">
            <w:pPr>
              <w:spacing w:line="240" w:lineRule="auto"/>
              <w:rPr>
                <w:sz w:val="20"/>
                <w:szCs w:val="20"/>
              </w:rPr>
            </w:pPr>
          </w:p>
          <w:p w14:paraId="007B6BB8" w14:textId="77777777" w:rsidR="00E02AE5" w:rsidRPr="00175D8B" w:rsidRDefault="00E02AE5" w:rsidP="00DF417A">
            <w:pPr>
              <w:spacing w:line="240" w:lineRule="auto"/>
              <w:rPr>
                <w:sz w:val="20"/>
                <w:szCs w:val="20"/>
              </w:rPr>
            </w:pPr>
          </w:p>
          <w:p w14:paraId="19E01DE7" w14:textId="77777777" w:rsidR="00E02AE5" w:rsidRPr="00175D8B" w:rsidRDefault="00E02AE5" w:rsidP="00DF417A">
            <w:pPr>
              <w:spacing w:line="240" w:lineRule="auto"/>
              <w:rPr>
                <w:sz w:val="20"/>
                <w:szCs w:val="20"/>
              </w:rPr>
            </w:pPr>
          </w:p>
          <w:p w14:paraId="45E7F944" w14:textId="77777777" w:rsidR="00E02AE5" w:rsidRPr="00175D8B" w:rsidRDefault="00E02AE5" w:rsidP="00DF417A">
            <w:pPr>
              <w:spacing w:line="240" w:lineRule="auto"/>
              <w:rPr>
                <w:sz w:val="20"/>
                <w:szCs w:val="20"/>
              </w:rPr>
            </w:pPr>
          </w:p>
          <w:p w14:paraId="6F527C94" w14:textId="77777777" w:rsidR="00E02AE5" w:rsidRPr="00175D8B" w:rsidRDefault="00E02AE5" w:rsidP="00DF417A">
            <w:pPr>
              <w:spacing w:line="240" w:lineRule="auto"/>
              <w:rPr>
                <w:sz w:val="20"/>
                <w:szCs w:val="20"/>
              </w:rPr>
            </w:pPr>
          </w:p>
          <w:p w14:paraId="4A823E3D" w14:textId="77777777" w:rsidR="00E02AE5" w:rsidRPr="00175D8B" w:rsidRDefault="00E02AE5" w:rsidP="00DF417A">
            <w:pPr>
              <w:spacing w:line="240" w:lineRule="auto"/>
              <w:rPr>
                <w:sz w:val="20"/>
                <w:szCs w:val="20"/>
              </w:rPr>
            </w:pPr>
          </w:p>
          <w:p w14:paraId="019A8966" w14:textId="77777777" w:rsidR="00E02AE5" w:rsidRPr="00175D8B" w:rsidRDefault="00E02AE5" w:rsidP="00DF417A">
            <w:pPr>
              <w:spacing w:line="240" w:lineRule="auto"/>
              <w:rPr>
                <w:sz w:val="20"/>
                <w:szCs w:val="20"/>
              </w:rPr>
            </w:pPr>
          </w:p>
        </w:tc>
      </w:tr>
      <w:tr w:rsidR="00E02AE5" w:rsidRPr="00175D8B" w14:paraId="7CDCA84C" w14:textId="77777777" w:rsidTr="00DF417A">
        <w:trPr>
          <w:jc w:val="center"/>
        </w:trPr>
        <w:tc>
          <w:tcPr>
            <w:tcW w:w="9072" w:type="dxa"/>
            <w:gridSpan w:val="6"/>
          </w:tcPr>
          <w:p w14:paraId="2B67F901" w14:textId="77777777" w:rsidR="00E02AE5" w:rsidRPr="00175D8B" w:rsidRDefault="00E02AE5" w:rsidP="00DF417A">
            <w:pPr>
              <w:spacing w:line="240" w:lineRule="auto"/>
              <w:rPr>
                <w:sz w:val="20"/>
                <w:szCs w:val="20"/>
              </w:rPr>
            </w:pPr>
            <w:r w:rsidRPr="00175D8B">
              <w:rPr>
                <w:sz w:val="20"/>
                <w:szCs w:val="20"/>
              </w:rPr>
              <w:t>Description of site and vegetation: (e.g. surface sediment type, ground surface visibility, distance to closest watercourse, etc.)</w:t>
            </w:r>
          </w:p>
          <w:p w14:paraId="4EC869B3" w14:textId="77777777" w:rsidR="00E02AE5" w:rsidRPr="00175D8B" w:rsidRDefault="00E02AE5" w:rsidP="00DF417A">
            <w:pPr>
              <w:spacing w:line="240" w:lineRule="auto"/>
              <w:rPr>
                <w:sz w:val="20"/>
                <w:szCs w:val="20"/>
              </w:rPr>
            </w:pPr>
            <w:r w:rsidRPr="00175D8B">
              <w:rPr>
                <w:i/>
                <w:sz w:val="20"/>
                <w:szCs w:val="20"/>
              </w:rPr>
              <w:t>Sahanın ve bitki örtüsünün tanımı: (örn. Yüzey sediman türü, yüzey zemin görünürlüğü, en yakın su yoluna olan mesafe, vb.)</w:t>
            </w:r>
          </w:p>
          <w:p w14:paraId="798BE169" w14:textId="77777777" w:rsidR="00E02AE5" w:rsidRPr="00175D8B" w:rsidRDefault="00E02AE5" w:rsidP="00DF417A">
            <w:pPr>
              <w:spacing w:line="240" w:lineRule="auto"/>
              <w:rPr>
                <w:sz w:val="20"/>
                <w:szCs w:val="20"/>
              </w:rPr>
            </w:pPr>
          </w:p>
          <w:p w14:paraId="06537887" w14:textId="77777777" w:rsidR="00E02AE5" w:rsidRPr="00175D8B" w:rsidRDefault="00E02AE5" w:rsidP="00DF417A">
            <w:pPr>
              <w:spacing w:line="240" w:lineRule="auto"/>
              <w:rPr>
                <w:sz w:val="20"/>
                <w:szCs w:val="20"/>
              </w:rPr>
            </w:pPr>
          </w:p>
          <w:p w14:paraId="4B437E6D" w14:textId="77777777" w:rsidR="00E02AE5" w:rsidRPr="00175D8B" w:rsidRDefault="00E02AE5" w:rsidP="00DF417A">
            <w:pPr>
              <w:spacing w:line="240" w:lineRule="auto"/>
              <w:rPr>
                <w:sz w:val="20"/>
                <w:szCs w:val="20"/>
              </w:rPr>
            </w:pPr>
          </w:p>
          <w:p w14:paraId="7755FBF4" w14:textId="77777777" w:rsidR="00E02AE5" w:rsidRPr="00175D8B" w:rsidRDefault="00E02AE5" w:rsidP="00DF417A">
            <w:pPr>
              <w:spacing w:line="240" w:lineRule="auto"/>
              <w:rPr>
                <w:sz w:val="20"/>
                <w:szCs w:val="20"/>
              </w:rPr>
            </w:pPr>
          </w:p>
          <w:p w14:paraId="38AFB01C" w14:textId="77777777" w:rsidR="00E02AE5" w:rsidRPr="00175D8B" w:rsidRDefault="00E02AE5" w:rsidP="00DF417A">
            <w:pPr>
              <w:spacing w:line="240" w:lineRule="auto"/>
              <w:rPr>
                <w:sz w:val="20"/>
                <w:szCs w:val="20"/>
              </w:rPr>
            </w:pPr>
          </w:p>
          <w:p w14:paraId="4703EE60" w14:textId="77777777" w:rsidR="00E02AE5" w:rsidRPr="00175D8B" w:rsidRDefault="00E02AE5" w:rsidP="00DF417A">
            <w:pPr>
              <w:spacing w:line="240" w:lineRule="auto"/>
              <w:rPr>
                <w:sz w:val="20"/>
                <w:szCs w:val="20"/>
              </w:rPr>
            </w:pPr>
          </w:p>
        </w:tc>
      </w:tr>
      <w:tr w:rsidR="00E02AE5" w:rsidRPr="00175D8B" w14:paraId="488404DC" w14:textId="77777777" w:rsidTr="00DF417A">
        <w:trPr>
          <w:jc w:val="center"/>
        </w:trPr>
        <w:tc>
          <w:tcPr>
            <w:tcW w:w="9072" w:type="dxa"/>
            <w:gridSpan w:val="6"/>
          </w:tcPr>
          <w:p w14:paraId="38315A21" w14:textId="77777777" w:rsidR="00E02AE5" w:rsidRPr="00175D8B" w:rsidRDefault="00E02AE5" w:rsidP="00DF417A">
            <w:pPr>
              <w:spacing w:line="240" w:lineRule="auto"/>
              <w:rPr>
                <w:b/>
                <w:bCs/>
                <w:sz w:val="20"/>
                <w:szCs w:val="20"/>
              </w:rPr>
            </w:pPr>
            <w:r w:rsidRPr="00175D8B">
              <w:rPr>
                <w:b/>
                <w:bCs/>
                <w:sz w:val="20"/>
                <w:szCs w:val="20"/>
              </w:rPr>
              <w:t>PART B</w:t>
            </w:r>
          </w:p>
          <w:p w14:paraId="585B7AD4" w14:textId="77777777" w:rsidR="00E02AE5" w:rsidRPr="00175D8B" w:rsidRDefault="00E02AE5" w:rsidP="00DF417A">
            <w:pPr>
              <w:spacing w:line="240" w:lineRule="auto"/>
              <w:rPr>
                <w:sz w:val="20"/>
                <w:szCs w:val="20"/>
              </w:rPr>
            </w:pPr>
            <w:r w:rsidRPr="00175D8B">
              <w:rPr>
                <w:b/>
                <w:bCs/>
                <w:i/>
                <w:sz w:val="20"/>
                <w:szCs w:val="20"/>
              </w:rPr>
              <w:t>BÖLÜM B</w:t>
            </w:r>
          </w:p>
        </w:tc>
      </w:tr>
      <w:tr w:rsidR="00E02AE5" w:rsidRPr="00175D8B" w14:paraId="6494AE03" w14:textId="77777777" w:rsidTr="00DF417A">
        <w:trPr>
          <w:jc w:val="center"/>
        </w:trPr>
        <w:tc>
          <w:tcPr>
            <w:tcW w:w="9072" w:type="dxa"/>
            <w:gridSpan w:val="6"/>
          </w:tcPr>
          <w:p w14:paraId="0BBB50B4" w14:textId="77777777" w:rsidR="00E02AE5" w:rsidRPr="00175D8B" w:rsidRDefault="00E02AE5" w:rsidP="00DF417A">
            <w:pPr>
              <w:spacing w:line="240" w:lineRule="auto"/>
              <w:rPr>
                <w:sz w:val="20"/>
                <w:szCs w:val="20"/>
              </w:rPr>
            </w:pPr>
          </w:p>
          <w:p w14:paraId="2C13C8A2" w14:textId="77777777" w:rsidR="00E02AE5" w:rsidRPr="00175D8B" w:rsidRDefault="00E02AE5" w:rsidP="00DF417A">
            <w:pPr>
              <w:spacing w:line="240" w:lineRule="auto"/>
              <w:rPr>
                <w:sz w:val="20"/>
                <w:szCs w:val="20"/>
              </w:rPr>
            </w:pPr>
            <w:r w:rsidRPr="00175D8B">
              <w:rPr>
                <w:sz w:val="20"/>
                <w:szCs w:val="20"/>
              </w:rPr>
              <w:t>NOTIFICATION OF MUSEUM DIRECTORATE ARCHAEOLOGIST</w:t>
            </w:r>
          </w:p>
          <w:p w14:paraId="0E04AE05" w14:textId="77777777" w:rsidR="00E02AE5" w:rsidRPr="00175D8B" w:rsidRDefault="00E02AE5" w:rsidP="00DF417A">
            <w:pPr>
              <w:spacing w:line="240" w:lineRule="auto"/>
              <w:rPr>
                <w:sz w:val="20"/>
                <w:szCs w:val="20"/>
              </w:rPr>
            </w:pPr>
            <w:r w:rsidRPr="00175D8B">
              <w:rPr>
                <w:i/>
                <w:sz w:val="20"/>
                <w:szCs w:val="20"/>
              </w:rPr>
              <w:t>MÜZE MÜDÜRLÜĞÜ ARKEOLOĞUNA BİLDİRİ</w:t>
            </w:r>
          </w:p>
        </w:tc>
      </w:tr>
      <w:tr w:rsidR="00E02AE5" w:rsidRPr="00175D8B" w14:paraId="248921B6" w14:textId="77777777" w:rsidTr="00DF417A">
        <w:trPr>
          <w:jc w:val="center"/>
        </w:trPr>
        <w:tc>
          <w:tcPr>
            <w:tcW w:w="9072" w:type="dxa"/>
            <w:gridSpan w:val="6"/>
          </w:tcPr>
          <w:p w14:paraId="36E48BC5" w14:textId="77777777" w:rsidR="00E02AE5" w:rsidRPr="00175D8B" w:rsidRDefault="00E02AE5" w:rsidP="00DF417A">
            <w:pPr>
              <w:spacing w:line="240" w:lineRule="auto"/>
              <w:rPr>
                <w:sz w:val="20"/>
                <w:szCs w:val="20"/>
              </w:rPr>
            </w:pPr>
          </w:p>
          <w:p w14:paraId="78D2E6DF" w14:textId="77777777" w:rsidR="00E02AE5" w:rsidRPr="00175D8B" w:rsidRDefault="00E02AE5" w:rsidP="00DF417A">
            <w:pPr>
              <w:spacing w:line="240" w:lineRule="auto"/>
              <w:rPr>
                <w:sz w:val="20"/>
                <w:szCs w:val="20"/>
              </w:rPr>
            </w:pPr>
            <w:r w:rsidRPr="00175D8B">
              <w:rPr>
                <w:sz w:val="20"/>
                <w:szCs w:val="20"/>
              </w:rPr>
              <w:t xml:space="preserve">Monitoring archaeologist contacted museum directorate archaeologist            </w:t>
            </w:r>
            <w:sdt>
              <w:sdtPr>
                <w:rPr>
                  <w:sz w:val="20"/>
                  <w:szCs w:val="20"/>
                </w:rPr>
                <w:tag w:val="goog_rdk_304"/>
                <w:id w:val="-1838688527"/>
              </w:sdtPr>
              <w:sdtEndPr/>
              <w:sdtContent>
                <w:r w:rsidRPr="00175D8B">
                  <w:rPr>
                    <w:rFonts w:eastAsia="Arial Unicode MS" w:cs="Segoe UI Symbol"/>
                    <w:sz w:val="20"/>
                    <w:szCs w:val="20"/>
                  </w:rPr>
                  <w:t>☐</w:t>
                </w:r>
              </w:sdtContent>
            </w:sdt>
            <w:r w:rsidRPr="00175D8B">
              <w:rPr>
                <w:sz w:val="20"/>
                <w:szCs w:val="20"/>
              </w:rPr>
              <w:t xml:space="preserve"> Yes              </w:t>
            </w:r>
            <w:sdt>
              <w:sdtPr>
                <w:rPr>
                  <w:sz w:val="20"/>
                  <w:szCs w:val="20"/>
                </w:rPr>
                <w:tag w:val="goog_rdk_305"/>
                <w:id w:val="1294326117"/>
              </w:sdtPr>
              <w:sdtEndPr/>
              <w:sdtContent>
                <w:r w:rsidRPr="00175D8B">
                  <w:rPr>
                    <w:rFonts w:eastAsia="Arial Unicode MS" w:cs="Segoe UI Symbol"/>
                    <w:sz w:val="20"/>
                    <w:szCs w:val="20"/>
                  </w:rPr>
                  <w:t>☐</w:t>
                </w:r>
              </w:sdtContent>
            </w:sdt>
            <w:r w:rsidRPr="00175D8B">
              <w:rPr>
                <w:sz w:val="20"/>
                <w:szCs w:val="20"/>
              </w:rPr>
              <w:t xml:space="preserve"> No</w:t>
            </w:r>
          </w:p>
          <w:p w14:paraId="4DEFDED7" w14:textId="77777777" w:rsidR="00E02AE5" w:rsidRPr="00175D8B" w:rsidRDefault="00E02AE5" w:rsidP="00DF417A">
            <w:pPr>
              <w:spacing w:line="240" w:lineRule="auto"/>
              <w:rPr>
                <w:i/>
                <w:sz w:val="20"/>
                <w:szCs w:val="20"/>
              </w:rPr>
            </w:pPr>
            <w:r w:rsidRPr="00175D8B">
              <w:rPr>
                <w:i/>
                <w:sz w:val="20"/>
                <w:szCs w:val="20"/>
              </w:rPr>
              <w:t>Arkeolog müze müdürlüğü arkeoloğu ile irtibata geçti.                                          Evet                 Hayır</w:t>
            </w:r>
          </w:p>
          <w:p w14:paraId="0644B241" w14:textId="77777777" w:rsidR="00E02AE5" w:rsidRPr="00175D8B" w:rsidRDefault="00E02AE5" w:rsidP="00DF417A">
            <w:pPr>
              <w:spacing w:line="240" w:lineRule="auto"/>
              <w:rPr>
                <w:sz w:val="20"/>
                <w:szCs w:val="20"/>
              </w:rPr>
            </w:pPr>
          </w:p>
          <w:p w14:paraId="14771A6B" w14:textId="77777777" w:rsidR="00E02AE5" w:rsidRPr="00175D8B" w:rsidRDefault="00E02AE5" w:rsidP="00DF417A">
            <w:pPr>
              <w:spacing w:line="240" w:lineRule="auto"/>
              <w:rPr>
                <w:sz w:val="20"/>
                <w:szCs w:val="20"/>
              </w:rPr>
            </w:pPr>
            <w:r w:rsidRPr="00175D8B">
              <w:rPr>
                <w:sz w:val="20"/>
                <w:szCs w:val="20"/>
              </w:rPr>
              <w:t>Date of notification:</w:t>
            </w:r>
          </w:p>
          <w:p w14:paraId="383D3431" w14:textId="77777777" w:rsidR="00E02AE5" w:rsidRPr="00175D8B" w:rsidRDefault="00E02AE5" w:rsidP="00DF417A">
            <w:pPr>
              <w:spacing w:line="240" w:lineRule="auto"/>
              <w:rPr>
                <w:i/>
                <w:sz w:val="20"/>
                <w:szCs w:val="20"/>
              </w:rPr>
            </w:pPr>
            <w:r w:rsidRPr="00175D8B">
              <w:rPr>
                <w:i/>
                <w:sz w:val="20"/>
                <w:szCs w:val="20"/>
              </w:rPr>
              <w:t>Bildirim tarihi</w:t>
            </w:r>
          </w:p>
          <w:p w14:paraId="1F0813EB" w14:textId="77777777" w:rsidR="00E02AE5" w:rsidRPr="00175D8B" w:rsidRDefault="00E02AE5" w:rsidP="00DF417A">
            <w:pPr>
              <w:spacing w:line="240" w:lineRule="auto"/>
              <w:rPr>
                <w:sz w:val="20"/>
                <w:szCs w:val="20"/>
              </w:rPr>
            </w:pPr>
          </w:p>
          <w:p w14:paraId="13F0E93A" w14:textId="77777777" w:rsidR="00E02AE5" w:rsidRPr="00175D8B" w:rsidRDefault="00E02AE5" w:rsidP="00DF417A">
            <w:pPr>
              <w:spacing w:line="240" w:lineRule="auto"/>
              <w:rPr>
                <w:sz w:val="20"/>
                <w:szCs w:val="20"/>
              </w:rPr>
            </w:pPr>
            <w:r w:rsidRPr="00175D8B">
              <w:rPr>
                <w:sz w:val="20"/>
                <w:szCs w:val="20"/>
              </w:rPr>
              <w:t>Name of museum directorate and Name of museum archaeologist:</w:t>
            </w:r>
          </w:p>
          <w:p w14:paraId="1C301B28" w14:textId="77777777" w:rsidR="00E02AE5" w:rsidRPr="00175D8B" w:rsidRDefault="00E02AE5" w:rsidP="00DF417A">
            <w:pPr>
              <w:spacing w:line="240" w:lineRule="auto"/>
              <w:rPr>
                <w:i/>
                <w:sz w:val="20"/>
                <w:szCs w:val="20"/>
              </w:rPr>
            </w:pPr>
            <w:r w:rsidRPr="00175D8B">
              <w:rPr>
                <w:i/>
                <w:sz w:val="20"/>
                <w:szCs w:val="20"/>
              </w:rPr>
              <w:t>Müze müdürlüğü ve Müze müdürlüğü arkeoloğunun ismi</w:t>
            </w:r>
          </w:p>
          <w:p w14:paraId="7C8E9323" w14:textId="77777777" w:rsidR="00E02AE5" w:rsidRPr="00175D8B" w:rsidRDefault="00E02AE5" w:rsidP="00DF417A">
            <w:pPr>
              <w:spacing w:line="240" w:lineRule="auto"/>
              <w:rPr>
                <w:sz w:val="20"/>
                <w:szCs w:val="20"/>
              </w:rPr>
            </w:pPr>
          </w:p>
          <w:p w14:paraId="04AF9C1B" w14:textId="77777777" w:rsidR="00E02AE5" w:rsidRPr="00175D8B" w:rsidRDefault="00E02AE5" w:rsidP="00DF417A">
            <w:pPr>
              <w:spacing w:line="240" w:lineRule="auto"/>
              <w:rPr>
                <w:sz w:val="20"/>
                <w:szCs w:val="20"/>
              </w:rPr>
            </w:pPr>
            <w:r w:rsidRPr="00175D8B">
              <w:rPr>
                <w:sz w:val="20"/>
                <w:szCs w:val="20"/>
              </w:rPr>
              <w:t>Contact number of museum directorate archaeologist:</w:t>
            </w:r>
          </w:p>
          <w:p w14:paraId="60046AFC" w14:textId="77777777" w:rsidR="00E02AE5" w:rsidRPr="00175D8B" w:rsidRDefault="00E02AE5" w:rsidP="00DF417A">
            <w:pPr>
              <w:spacing w:line="240" w:lineRule="auto"/>
              <w:rPr>
                <w:sz w:val="20"/>
                <w:szCs w:val="20"/>
              </w:rPr>
            </w:pPr>
            <w:r w:rsidRPr="00175D8B">
              <w:rPr>
                <w:i/>
                <w:sz w:val="20"/>
                <w:szCs w:val="20"/>
              </w:rPr>
              <w:t>Müze müdürlüğü arkeoloğunun iletişim numarası</w:t>
            </w:r>
          </w:p>
        </w:tc>
      </w:tr>
      <w:tr w:rsidR="00E02AE5" w:rsidRPr="00175D8B" w14:paraId="5341D809" w14:textId="77777777" w:rsidTr="00DF417A">
        <w:trPr>
          <w:jc w:val="center"/>
        </w:trPr>
        <w:tc>
          <w:tcPr>
            <w:tcW w:w="9072" w:type="dxa"/>
            <w:gridSpan w:val="6"/>
          </w:tcPr>
          <w:p w14:paraId="3BDF06A1" w14:textId="77777777" w:rsidR="00E02AE5" w:rsidRPr="00175D8B" w:rsidRDefault="00E02AE5" w:rsidP="00DF417A">
            <w:pPr>
              <w:spacing w:line="240" w:lineRule="auto"/>
              <w:rPr>
                <w:b/>
                <w:bCs/>
                <w:sz w:val="20"/>
                <w:szCs w:val="20"/>
              </w:rPr>
            </w:pPr>
          </w:p>
          <w:p w14:paraId="760E1B36" w14:textId="77777777" w:rsidR="00E02AE5" w:rsidRPr="00175D8B" w:rsidRDefault="00E02AE5" w:rsidP="00DF417A">
            <w:pPr>
              <w:spacing w:line="240" w:lineRule="auto"/>
              <w:rPr>
                <w:b/>
                <w:bCs/>
                <w:sz w:val="20"/>
                <w:szCs w:val="20"/>
              </w:rPr>
            </w:pPr>
            <w:r w:rsidRPr="00175D8B">
              <w:rPr>
                <w:b/>
                <w:bCs/>
                <w:sz w:val="20"/>
                <w:szCs w:val="20"/>
              </w:rPr>
              <w:t>DECISION OF MUSEUM DIRECTORATE ARCHAEOLOGIST</w:t>
            </w:r>
          </w:p>
          <w:p w14:paraId="1636E6D3" w14:textId="77777777" w:rsidR="00E02AE5" w:rsidRPr="00175D8B" w:rsidRDefault="00E02AE5" w:rsidP="00DF417A">
            <w:pPr>
              <w:spacing w:line="240" w:lineRule="auto"/>
              <w:rPr>
                <w:sz w:val="20"/>
                <w:szCs w:val="20"/>
              </w:rPr>
            </w:pPr>
            <w:r w:rsidRPr="00175D8B">
              <w:rPr>
                <w:b/>
                <w:bCs/>
                <w:i/>
                <w:sz w:val="20"/>
                <w:szCs w:val="20"/>
              </w:rPr>
              <w:t>MÜZE MÜDÜRLÜĞÜ KARARI</w:t>
            </w:r>
          </w:p>
        </w:tc>
      </w:tr>
      <w:tr w:rsidR="00E02AE5" w:rsidRPr="00175D8B" w14:paraId="7B0EB4C9" w14:textId="77777777" w:rsidTr="00DF417A">
        <w:trPr>
          <w:jc w:val="center"/>
        </w:trPr>
        <w:tc>
          <w:tcPr>
            <w:tcW w:w="9072" w:type="dxa"/>
            <w:gridSpan w:val="6"/>
          </w:tcPr>
          <w:p w14:paraId="2009B1A1" w14:textId="77777777" w:rsidR="00E02AE5" w:rsidRPr="00175D8B" w:rsidRDefault="00E02AE5" w:rsidP="00DF417A">
            <w:pPr>
              <w:spacing w:line="240" w:lineRule="auto"/>
              <w:rPr>
                <w:sz w:val="20"/>
                <w:szCs w:val="20"/>
              </w:rPr>
            </w:pPr>
          </w:p>
          <w:p w14:paraId="2EF03798" w14:textId="77777777" w:rsidR="00E02AE5" w:rsidRPr="00175D8B" w:rsidRDefault="00E02AE5" w:rsidP="00DF417A">
            <w:pPr>
              <w:spacing w:line="240" w:lineRule="auto"/>
              <w:rPr>
                <w:sz w:val="20"/>
                <w:szCs w:val="20"/>
              </w:rPr>
            </w:pPr>
            <w:r w:rsidRPr="00175D8B">
              <w:rPr>
                <w:sz w:val="20"/>
                <w:szCs w:val="20"/>
              </w:rPr>
              <w:t>Date of site visit:</w:t>
            </w:r>
          </w:p>
          <w:p w14:paraId="50918E58" w14:textId="77777777" w:rsidR="00E02AE5" w:rsidRPr="00175D8B" w:rsidRDefault="00E02AE5" w:rsidP="00DF417A">
            <w:pPr>
              <w:spacing w:line="240" w:lineRule="auto"/>
              <w:rPr>
                <w:sz w:val="20"/>
                <w:szCs w:val="20"/>
              </w:rPr>
            </w:pPr>
            <w:r w:rsidRPr="00175D8B">
              <w:rPr>
                <w:i/>
                <w:sz w:val="20"/>
                <w:szCs w:val="20"/>
              </w:rPr>
              <w:t>İlk saha ziyaret tarihi:</w:t>
            </w:r>
          </w:p>
        </w:tc>
      </w:tr>
      <w:tr w:rsidR="00E02AE5" w:rsidRPr="00175D8B" w14:paraId="2B37F504" w14:textId="77777777" w:rsidTr="00DF417A">
        <w:trPr>
          <w:jc w:val="center"/>
        </w:trPr>
        <w:tc>
          <w:tcPr>
            <w:tcW w:w="4536" w:type="dxa"/>
            <w:gridSpan w:val="3"/>
          </w:tcPr>
          <w:p w14:paraId="7E3A75A8" w14:textId="77777777" w:rsidR="00E02AE5" w:rsidRPr="00175D8B" w:rsidRDefault="00E02AE5" w:rsidP="00DF417A">
            <w:pPr>
              <w:spacing w:line="240" w:lineRule="auto"/>
              <w:rPr>
                <w:sz w:val="20"/>
                <w:szCs w:val="20"/>
              </w:rPr>
            </w:pPr>
          </w:p>
          <w:p w14:paraId="23C0AAF0" w14:textId="77777777" w:rsidR="00E02AE5" w:rsidRPr="00175D8B" w:rsidRDefault="0043424E" w:rsidP="00DF417A">
            <w:pPr>
              <w:spacing w:line="240" w:lineRule="auto"/>
              <w:rPr>
                <w:sz w:val="20"/>
                <w:szCs w:val="20"/>
              </w:rPr>
            </w:pPr>
            <w:sdt>
              <w:sdtPr>
                <w:rPr>
                  <w:sz w:val="20"/>
                  <w:szCs w:val="20"/>
                </w:rPr>
                <w:tag w:val="goog_rdk_306"/>
                <w:id w:val="1147005798"/>
              </w:sdtPr>
              <w:sdtEndPr/>
              <w:sdtContent>
                <w:r w:rsidR="00E02AE5" w:rsidRPr="00175D8B">
                  <w:rPr>
                    <w:rFonts w:eastAsia="Arial Unicode MS" w:cs="Segoe UI Symbol"/>
                    <w:sz w:val="20"/>
                    <w:szCs w:val="20"/>
                  </w:rPr>
                  <w:t>☐</w:t>
                </w:r>
              </w:sdtContent>
            </w:sdt>
            <w:r w:rsidR="00E02AE5" w:rsidRPr="00175D8B">
              <w:rPr>
                <w:sz w:val="20"/>
                <w:szCs w:val="20"/>
              </w:rPr>
              <w:t xml:space="preserve">  Site of no significance - Construction to proceed with no further action – End of chance find procedure</w:t>
            </w:r>
          </w:p>
          <w:p w14:paraId="316A8B3C" w14:textId="77777777" w:rsidR="00E02AE5" w:rsidRPr="00175D8B" w:rsidRDefault="00E02AE5" w:rsidP="00DF417A">
            <w:pPr>
              <w:spacing w:line="240" w:lineRule="auto"/>
              <w:rPr>
                <w:i/>
                <w:sz w:val="20"/>
                <w:szCs w:val="20"/>
              </w:rPr>
            </w:pPr>
            <w:r w:rsidRPr="00175D8B">
              <w:rPr>
                <w:i/>
                <w:sz w:val="20"/>
                <w:szCs w:val="20"/>
              </w:rPr>
              <w:t>Önemsiz saha – İnşaat daha fazla araştırma yapılmadan devam edilebilir – rastlantısal buluntu prosedürün sonu.</w:t>
            </w:r>
          </w:p>
          <w:p w14:paraId="5F6C52AA" w14:textId="77777777" w:rsidR="00E02AE5" w:rsidRPr="00175D8B" w:rsidRDefault="00E02AE5" w:rsidP="00DF417A">
            <w:pPr>
              <w:spacing w:line="240" w:lineRule="auto"/>
              <w:rPr>
                <w:sz w:val="20"/>
                <w:szCs w:val="20"/>
              </w:rPr>
            </w:pPr>
          </w:p>
          <w:p w14:paraId="59AC23BD" w14:textId="77777777" w:rsidR="00E02AE5" w:rsidRPr="00175D8B" w:rsidRDefault="00E02AE5" w:rsidP="00DF417A">
            <w:pPr>
              <w:spacing w:line="240" w:lineRule="auto"/>
              <w:rPr>
                <w:sz w:val="20"/>
                <w:szCs w:val="20"/>
              </w:rPr>
            </w:pPr>
            <w:r w:rsidRPr="00175D8B">
              <w:rPr>
                <w:sz w:val="20"/>
                <w:szCs w:val="20"/>
              </w:rPr>
              <w:t>Date of notice to resume work:</w:t>
            </w:r>
          </w:p>
          <w:p w14:paraId="3BE3FDA6" w14:textId="77777777" w:rsidR="00E02AE5" w:rsidRPr="00175D8B" w:rsidRDefault="00E02AE5" w:rsidP="00DF417A">
            <w:pPr>
              <w:spacing w:line="240" w:lineRule="auto"/>
              <w:rPr>
                <w:sz w:val="20"/>
                <w:szCs w:val="20"/>
              </w:rPr>
            </w:pPr>
            <w:r w:rsidRPr="00175D8B">
              <w:rPr>
                <w:i/>
                <w:sz w:val="20"/>
                <w:szCs w:val="20"/>
              </w:rPr>
              <w:t>İşe başlama tarihi bildirisi</w:t>
            </w:r>
          </w:p>
        </w:tc>
        <w:tc>
          <w:tcPr>
            <w:tcW w:w="4536" w:type="dxa"/>
            <w:gridSpan w:val="3"/>
          </w:tcPr>
          <w:p w14:paraId="3486AA0A" w14:textId="77777777" w:rsidR="00E02AE5" w:rsidRPr="00175D8B" w:rsidRDefault="00E02AE5" w:rsidP="00DF417A">
            <w:pPr>
              <w:spacing w:line="240" w:lineRule="auto"/>
              <w:rPr>
                <w:sz w:val="20"/>
                <w:szCs w:val="20"/>
              </w:rPr>
            </w:pPr>
          </w:p>
          <w:p w14:paraId="2D360837" w14:textId="77777777" w:rsidR="00E02AE5" w:rsidRPr="00175D8B" w:rsidRDefault="0043424E" w:rsidP="00DF417A">
            <w:pPr>
              <w:spacing w:line="240" w:lineRule="auto"/>
              <w:rPr>
                <w:sz w:val="20"/>
                <w:szCs w:val="20"/>
              </w:rPr>
            </w:pPr>
            <w:sdt>
              <w:sdtPr>
                <w:rPr>
                  <w:sz w:val="20"/>
                  <w:szCs w:val="20"/>
                </w:rPr>
                <w:tag w:val="goog_rdk_307"/>
                <w:id w:val="181945129"/>
              </w:sdtPr>
              <w:sdtEndPr/>
              <w:sdtContent>
                <w:r w:rsidR="00E02AE5" w:rsidRPr="00175D8B">
                  <w:rPr>
                    <w:rFonts w:eastAsia="Arial Unicode MS" w:cs="Segoe UI Symbol"/>
                    <w:sz w:val="20"/>
                    <w:szCs w:val="20"/>
                  </w:rPr>
                  <w:t>☐</w:t>
                </w:r>
              </w:sdtContent>
            </w:sdt>
            <w:r w:rsidR="00E02AE5" w:rsidRPr="00175D8B">
              <w:rPr>
                <w:sz w:val="20"/>
                <w:szCs w:val="20"/>
              </w:rPr>
              <w:t xml:space="preserve">  Site of significance - Further actions required</w:t>
            </w:r>
          </w:p>
          <w:p w14:paraId="0CE603DE" w14:textId="77777777" w:rsidR="00E02AE5" w:rsidRPr="00175D8B" w:rsidRDefault="00E02AE5" w:rsidP="00DF417A">
            <w:pPr>
              <w:spacing w:line="240" w:lineRule="auto"/>
              <w:rPr>
                <w:i/>
                <w:sz w:val="20"/>
                <w:szCs w:val="20"/>
              </w:rPr>
            </w:pPr>
            <w:r w:rsidRPr="00175D8B">
              <w:rPr>
                <w:i/>
                <w:sz w:val="20"/>
                <w:szCs w:val="20"/>
              </w:rPr>
              <w:t>Önemli saha – Ek araştırma gerekmektedir</w:t>
            </w:r>
          </w:p>
          <w:p w14:paraId="6F2F25FA" w14:textId="77777777" w:rsidR="00E02AE5" w:rsidRPr="00175D8B" w:rsidRDefault="00E02AE5" w:rsidP="00DF417A">
            <w:pPr>
              <w:spacing w:line="240" w:lineRule="auto"/>
              <w:rPr>
                <w:sz w:val="20"/>
                <w:szCs w:val="20"/>
              </w:rPr>
            </w:pPr>
          </w:p>
          <w:p w14:paraId="7ED0C8D9" w14:textId="77777777" w:rsidR="00E02AE5" w:rsidRPr="00175D8B" w:rsidRDefault="00E02AE5" w:rsidP="00DF417A">
            <w:pPr>
              <w:spacing w:line="240" w:lineRule="auto"/>
              <w:rPr>
                <w:sz w:val="20"/>
                <w:szCs w:val="20"/>
              </w:rPr>
            </w:pPr>
            <w:r w:rsidRPr="00175D8B">
              <w:rPr>
                <w:sz w:val="20"/>
                <w:szCs w:val="20"/>
              </w:rPr>
              <w:t>Please Fill out Part C</w:t>
            </w:r>
          </w:p>
          <w:p w14:paraId="2AB635BA" w14:textId="77777777" w:rsidR="00E02AE5" w:rsidRPr="00175D8B" w:rsidRDefault="00E02AE5" w:rsidP="00DF417A">
            <w:pPr>
              <w:spacing w:line="240" w:lineRule="auto"/>
              <w:rPr>
                <w:sz w:val="20"/>
                <w:szCs w:val="20"/>
              </w:rPr>
            </w:pPr>
            <w:r w:rsidRPr="00175D8B">
              <w:rPr>
                <w:i/>
                <w:sz w:val="20"/>
                <w:szCs w:val="20"/>
              </w:rPr>
              <w:t>Lütfen Bölüm C’yi doldurun.</w:t>
            </w:r>
          </w:p>
        </w:tc>
      </w:tr>
      <w:tr w:rsidR="00E02AE5" w:rsidRPr="00175D8B" w14:paraId="7BAF12F2" w14:textId="77777777" w:rsidTr="00DF417A">
        <w:trPr>
          <w:jc w:val="center"/>
        </w:trPr>
        <w:tc>
          <w:tcPr>
            <w:tcW w:w="9072" w:type="dxa"/>
            <w:gridSpan w:val="6"/>
          </w:tcPr>
          <w:p w14:paraId="1CBF6921" w14:textId="77777777" w:rsidR="00E02AE5" w:rsidRPr="00175D8B" w:rsidRDefault="00E02AE5" w:rsidP="00DF417A">
            <w:pPr>
              <w:spacing w:line="240" w:lineRule="auto"/>
              <w:rPr>
                <w:sz w:val="20"/>
                <w:szCs w:val="20"/>
              </w:rPr>
            </w:pPr>
            <w:r w:rsidRPr="00175D8B">
              <w:rPr>
                <w:sz w:val="20"/>
                <w:szCs w:val="20"/>
              </w:rPr>
              <w:t>Name of museum directorate archaeologist:</w:t>
            </w:r>
          </w:p>
          <w:p w14:paraId="7630E62F" w14:textId="77777777" w:rsidR="00E02AE5" w:rsidRPr="00175D8B" w:rsidRDefault="00E02AE5" w:rsidP="00DF417A">
            <w:pPr>
              <w:spacing w:line="240" w:lineRule="auto"/>
              <w:rPr>
                <w:sz w:val="20"/>
                <w:szCs w:val="20"/>
              </w:rPr>
            </w:pPr>
            <w:r w:rsidRPr="00175D8B">
              <w:rPr>
                <w:i/>
                <w:sz w:val="20"/>
                <w:szCs w:val="20"/>
              </w:rPr>
              <w:t>Müze müdürlüğü arkeoloğunun ismi</w:t>
            </w:r>
          </w:p>
          <w:p w14:paraId="4CFB990D" w14:textId="77777777" w:rsidR="00E02AE5" w:rsidRPr="00175D8B" w:rsidRDefault="00E02AE5" w:rsidP="00DF417A">
            <w:pPr>
              <w:spacing w:line="240" w:lineRule="auto"/>
              <w:rPr>
                <w:sz w:val="20"/>
                <w:szCs w:val="20"/>
              </w:rPr>
            </w:pPr>
            <w:r w:rsidRPr="00175D8B">
              <w:rPr>
                <w:sz w:val="20"/>
                <w:szCs w:val="20"/>
              </w:rPr>
              <w:t>Contact information:</w:t>
            </w:r>
          </w:p>
          <w:p w14:paraId="6B2B6ADA" w14:textId="77777777" w:rsidR="00E02AE5" w:rsidRPr="00175D8B" w:rsidRDefault="00E02AE5" w:rsidP="00DF417A">
            <w:pPr>
              <w:spacing w:line="240" w:lineRule="auto"/>
              <w:rPr>
                <w:sz w:val="20"/>
                <w:szCs w:val="20"/>
              </w:rPr>
            </w:pPr>
            <w:r w:rsidRPr="00175D8B">
              <w:rPr>
                <w:i/>
                <w:sz w:val="20"/>
                <w:szCs w:val="20"/>
              </w:rPr>
              <w:t>İletişim numarası</w:t>
            </w:r>
          </w:p>
        </w:tc>
      </w:tr>
      <w:tr w:rsidR="00E02AE5" w:rsidRPr="00175D8B" w14:paraId="00BFA168" w14:textId="77777777" w:rsidTr="00DF417A">
        <w:trPr>
          <w:jc w:val="center"/>
        </w:trPr>
        <w:tc>
          <w:tcPr>
            <w:tcW w:w="9072" w:type="dxa"/>
            <w:gridSpan w:val="6"/>
          </w:tcPr>
          <w:p w14:paraId="0676C188" w14:textId="77777777" w:rsidR="00E02AE5" w:rsidRPr="00175D8B" w:rsidRDefault="00E02AE5" w:rsidP="00DF417A">
            <w:pPr>
              <w:spacing w:line="240" w:lineRule="auto"/>
              <w:rPr>
                <w:sz w:val="20"/>
                <w:szCs w:val="20"/>
              </w:rPr>
            </w:pPr>
            <w:r w:rsidRPr="00175D8B">
              <w:rPr>
                <w:sz w:val="20"/>
                <w:szCs w:val="20"/>
              </w:rPr>
              <w:t xml:space="preserve">Project/Site manager contacted                                               </w:t>
            </w:r>
            <w:r w:rsidRPr="00175D8B">
              <w:rPr>
                <w:sz w:val="20"/>
                <w:szCs w:val="20"/>
              </w:rPr>
              <w:tab/>
            </w:r>
            <w:sdt>
              <w:sdtPr>
                <w:rPr>
                  <w:sz w:val="20"/>
                  <w:szCs w:val="20"/>
                </w:rPr>
                <w:tag w:val="goog_rdk_308"/>
                <w:id w:val="-275330433"/>
              </w:sdtPr>
              <w:sdtEndPr/>
              <w:sdtContent>
                <w:r w:rsidRPr="00175D8B">
                  <w:rPr>
                    <w:rFonts w:eastAsia="Arial Unicode MS" w:cs="Segoe UI Symbol"/>
                    <w:sz w:val="20"/>
                    <w:szCs w:val="20"/>
                  </w:rPr>
                  <w:t>☐</w:t>
                </w:r>
              </w:sdtContent>
            </w:sdt>
            <w:r w:rsidRPr="00175D8B">
              <w:rPr>
                <w:sz w:val="20"/>
                <w:szCs w:val="20"/>
              </w:rPr>
              <w:t xml:space="preserve"> Yes              </w:t>
            </w:r>
            <w:sdt>
              <w:sdtPr>
                <w:rPr>
                  <w:sz w:val="20"/>
                  <w:szCs w:val="20"/>
                </w:rPr>
                <w:tag w:val="goog_rdk_309"/>
                <w:id w:val="-681978449"/>
              </w:sdtPr>
              <w:sdtEndPr/>
              <w:sdtContent>
                <w:r w:rsidRPr="00175D8B">
                  <w:rPr>
                    <w:rFonts w:eastAsia="Arial Unicode MS" w:cs="Segoe UI Symbol"/>
                    <w:sz w:val="20"/>
                    <w:szCs w:val="20"/>
                  </w:rPr>
                  <w:t>☐</w:t>
                </w:r>
              </w:sdtContent>
            </w:sdt>
            <w:r w:rsidRPr="00175D8B">
              <w:rPr>
                <w:sz w:val="20"/>
                <w:szCs w:val="20"/>
              </w:rPr>
              <w:t xml:space="preserve"> No</w:t>
            </w:r>
          </w:p>
          <w:p w14:paraId="14EB3C60" w14:textId="77777777" w:rsidR="00E02AE5" w:rsidRPr="00175D8B" w:rsidRDefault="00E02AE5" w:rsidP="00DF417A">
            <w:pPr>
              <w:spacing w:line="240" w:lineRule="auto"/>
              <w:rPr>
                <w:sz w:val="20"/>
                <w:szCs w:val="20"/>
              </w:rPr>
            </w:pPr>
            <w:r w:rsidRPr="00175D8B">
              <w:rPr>
                <w:sz w:val="20"/>
                <w:szCs w:val="20"/>
              </w:rPr>
              <w:t xml:space="preserve">Proje/Şantiye Müdürü ile irtibata geçildi                                 </w:t>
            </w:r>
            <w:r w:rsidRPr="00175D8B">
              <w:rPr>
                <w:sz w:val="20"/>
                <w:szCs w:val="20"/>
              </w:rPr>
              <w:tab/>
            </w:r>
            <w:r w:rsidRPr="00175D8B">
              <w:rPr>
                <w:sz w:val="20"/>
                <w:szCs w:val="20"/>
              </w:rPr>
              <w:tab/>
              <w:t>Evet                Hayır</w:t>
            </w:r>
          </w:p>
          <w:p w14:paraId="1F77EAAC" w14:textId="77777777" w:rsidR="00E02AE5" w:rsidRPr="00175D8B" w:rsidRDefault="00E02AE5" w:rsidP="00DF417A">
            <w:pPr>
              <w:spacing w:line="240" w:lineRule="auto"/>
              <w:rPr>
                <w:sz w:val="20"/>
                <w:szCs w:val="20"/>
              </w:rPr>
            </w:pPr>
          </w:p>
          <w:p w14:paraId="56727A03" w14:textId="77777777" w:rsidR="00E02AE5" w:rsidRPr="00175D8B" w:rsidRDefault="00E02AE5" w:rsidP="00DF417A">
            <w:pPr>
              <w:spacing w:line="240" w:lineRule="auto"/>
              <w:rPr>
                <w:sz w:val="20"/>
                <w:szCs w:val="20"/>
              </w:rPr>
            </w:pPr>
          </w:p>
        </w:tc>
      </w:tr>
      <w:tr w:rsidR="00E02AE5" w:rsidRPr="00175D8B" w14:paraId="2115A868" w14:textId="77777777" w:rsidTr="00DF417A">
        <w:trPr>
          <w:jc w:val="center"/>
        </w:trPr>
        <w:tc>
          <w:tcPr>
            <w:tcW w:w="9072" w:type="dxa"/>
            <w:gridSpan w:val="6"/>
          </w:tcPr>
          <w:p w14:paraId="529FBDDD" w14:textId="77777777" w:rsidR="00E02AE5" w:rsidRPr="00175D8B" w:rsidRDefault="00E02AE5" w:rsidP="00DF417A">
            <w:pPr>
              <w:spacing w:line="240" w:lineRule="auto"/>
              <w:rPr>
                <w:b/>
                <w:bCs/>
                <w:sz w:val="20"/>
                <w:szCs w:val="20"/>
              </w:rPr>
            </w:pPr>
            <w:r w:rsidRPr="00175D8B">
              <w:rPr>
                <w:b/>
                <w:bCs/>
                <w:sz w:val="20"/>
                <w:szCs w:val="20"/>
              </w:rPr>
              <w:t>PART C</w:t>
            </w:r>
          </w:p>
          <w:p w14:paraId="5543B222" w14:textId="77777777" w:rsidR="00E02AE5" w:rsidRPr="00175D8B" w:rsidRDefault="00E02AE5" w:rsidP="00DF417A">
            <w:pPr>
              <w:spacing w:line="240" w:lineRule="auto"/>
              <w:rPr>
                <w:sz w:val="20"/>
                <w:szCs w:val="20"/>
              </w:rPr>
            </w:pPr>
            <w:r w:rsidRPr="00175D8B">
              <w:rPr>
                <w:b/>
                <w:bCs/>
                <w:i/>
                <w:sz w:val="20"/>
                <w:szCs w:val="20"/>
              </w:rPr>
              <w:t>BÖLÜM C</w:t>
            </w:r>
          </w:p>
        </w:tc>
      </w:tr>
      <w:tr w:rsidR="00E02AE5" w:rsidRPr="00175D8B" w14:paraId="7F99A19B" w14:textId="77777777" w:rsidTr="00DF417A">
        <w:trPr>
          <w:jc w:val="center"/>
        </w:trPr>
        <w:tc>
          <w:tcPr>
            <w:tcW w:w="9072" w:type="dxa"/>
            <w:gridSpan w:val="6"/>
          </w:tcPr>
          <w:p w14:paraId="56EA6064" w14:textId="77777777" w:rsidR="00E02AE5" w:rsidRPr="00175D8B" w:rsidRDefault="00E02AE5" w:rsidP="00DF417A">
            <w:pPr>
              <w:spacing w:line="240" w:lineRule="auto"/>
              <w:rPr>
                <w:sz w:val="20"/>
                <w:szCs w:val="20"/>
              </w:rPr>
            </w:pPr>
            <w:r w:rsidRPr="00175D8B">
              <w:rPr>
                <w:sz w:val="20"/>
                <w:szCs w:val="20"/>
              </w:rPr>
              <w:t>FURTHER FIELD INVESTIGATION</w:t>
            </w:r>
          </w:p>
          <w:p w14:paraId="7880C885" w14:textId="77777777" w:rsidR="00E02AE5" w:rsidRPr="00175D8B" w:rsidRDefault="00E02AE5" w:rsidP="00DF417A">
            <w:pPr>
              <w:spacing w:line="240" w:lineRule="auto"/>
              <w:rPr>
                <w:sz w:val="20"/>
                <w:szCs w:val="20"/>
              </w:rPr>
            </w:pPr>
            <w:r w:rsidRPr="00175D8B">
              <w:rPr>
                <w:i/>
                <w:sz w:val="20"/>
                <w:szCs w:val="20"/>
              </w:rPr>
              <w:t>EK SAHA ARAŞTIRMASI</w:t>
            </w:r>
          </w:p>
        </w:tc>
      </w:tr>
      <w:tr w:rsidR="00E02AE5" w:rsidRPr="00175D8B" w14:paraId="5D4DF6E3" w14:textId="77777777" w:rsidTr="00DF417A">
        <w:trPr>
          <w:jc w:val="center"/>
        </w:trPr>
        <w:tc>
          <w:tcPr>
            <w:tcW w:w="3026" w:type="dxa"/>
            <w:gridSpan w:val="2"/>
          </w:tcPr>
          <w:p w14:paraId="43D9AAEC" w14:textId="77777777" w:rsidR="00E02AE5" w:rsidRPr="00175D8B" w:rsidRDefault="0043424E" w:rsidP="00DF417A">
            <w:pPr>
              <w:spacing w:line="240" w:lineRule="auto"/>
              <w:rPr>
                <w:sz w:val="20"/>
                <w:szCs w:val="20"/>
              </w:rPr>
            </w:pPr>
            <w:sdt>
              <w:sdtPr>
                <w:rPr>
                  <w:sz w:val="20"/>
                  <w:szCs w:val="20"/>
                </w:rPr>
                <w:tag w:val="goog_rdk_310"/>
                <w:id w:val="-651746959"/>
              </w:sdtPr>
              <w:sdtEndPr/>
              <w:sdtContent>
                <w:r w:rsidR="00E02AE5" w:rsidRPr="00175D8B">
                  <w:rPr>
                    <w:rFonts w:eastAsia="Arial Unicode MS" w:cs="Segoe UI Symbol"/>
                    <w:sz w:val="20"/>
                    <w:szCs w:val="20"/>
                  </w:rPr>
                  <w:t>☐</w:t>
                </w:r>
              </w:sdtContent>
            </w:sdt>
            <w:r w:rsidR="00E02AE5" w:rsidRPr="00175D8B">
              <w:rPr>
                <w:sz w:val="20"/>
                <w:szCs w:val="20"/>
              </w:rPr>
              <w:t xml:space="preserve">   Site of minor significance</w:t>
            </w:r>
          </w:p>
          <w:p w14:paraId="107F0411" w14:textId="77777777" w:rsidR="00E02AE5" w:rsidRPr="00175D8B" w:rsidRDefault="00E02AE5" w:rsidP="00DF417A">
            <w:pPr>
              <w:spacing w:line="240" w:lineRule="auto"/>
              <w:rPr>
                <w:sz w:val="20"/>
                <w:szCs w:val="20"/>
              </w:rPr>
            </w:pPr>
            <w:r w:rsidRPr="00175D8B">
              <w:rPr>
                <w:i/>
                <w:sz w:val="20"/>
                <w:szCs w:val="20"/>
              </w:rPr>
              <w:t>Önemsiz saha</w:t>
            </w:r>
          </w:p>
        </w:tc>
        <w:tc>
          <w:tcPr>
            <w:tcW w:w="3023" w:type="dxa"/>
            <w:gridSpan w:val="2"/>
          </w:tcPr>
          <w:p w14:paraId="73CBBBF7" w14:textId="77777777" w:rsidR="00E02AE5" w:rsidRPr="00175D8B" w:rsidRDefault="0043424E" w:rsidP="00DF417A">
            <w:pPr>
              <w:spacing w:line="240" w:lineRule="auto"/>
              <w:rPr>
                <w:sz w:val="20"/>
                <w:szCs w:val="20"/>
              </w:rPr>
            </w:pPr>
            <w:sdt>
              <w:sdtPr>
                <w:rPr>
                  <w:sz w:val="20"/>
                  <w:szCs w:val="20"/>
                </w:rPr>
                <w:tag w:val="goog_rdk_311"/>
                <w:id w:val="1083881152"/>
              </w:sdtPr>
              <w:sdtEndPr/>
              <w:sdtContent>
                <w:r w:rsidR="00E02AE5" w:rsidRPr="00175D8B">
                  <w:rPr>
                    <w:rFonts w:eastAsia="Arial Unicode MS" w:cs="Segoe UI Symbol"/>
                    <w:sz w:val="20"/>
                    <w:szCs w:val="20"/>
                  </w:rPr>
                  <w:t>☐</w:t>
                </w:r>
              </w:sdtContent>
            </w:sdt>
            <w:r w:rsidR="00E02AE5" w:rsidRPr="00175D8B">
              <w:rPr>
                <w:sz w:val="20"/>
                <w:szCs w:val="20"/>
              </w:rPr>
              <w:t xml:space="preserve">   Site of moderate significance</w:t>
            </w:r>
          </w:p>
          <w:p w14:paraId="69F6F0FB" w14:textId="77777777" w:rsidR="00E02AE5" w:rsidRPr="00175D8B" w:rsidRDefault="00E02AE5" w:rsidP="00DF417A">
            <w:pPr>
              <w:spacing w:line="240" w:lineRule="auto"/>
              <w:rPr>
                <w:sz w:val="20"/>
                <w:szCs w:val="20"/>
              </w:rPr>
            </w:pPr>
            <w:r w:rsidRPr="00175D8B">
              <w:rPr>
                <w:i/>
                <w:sz w:val="20"/>
                <w:szCs w:val="20"/>
              </w:rPr>
              <w:t>Az önemli saha</w:t>
            </w:r>
          </w:p>
        </w:tc>
        <w:tc>
          <w:tcPr>
            <w:tcW w:w="3023" w:type="dxa"/>
            <w:gridSpan w:val="2"/>
          </w:tcPr>
          <w:p w14:paraId="4187CFEF" w14:textId="77777777" w:rsidR="00E02AE5" w:rsidRPr="00175D8B" w:rsidRDefault="0043424E" w:rsidP="00DF417A">
            <w:pPr>
              <w:spacing w:line="240" w:lineRule="auto"/>
              <w:rPr>
                <w:sz w:val="20"/>
                <w:szCs w:val="20"/>
              </w:rPr>
            </w:pPr>
            <w:sdt>
              <w:sdtPr>
                <w:rPr>
                  <w:sz w:val="20"/>
                  <w:szCs w:val="20"/>
                </w:rPr>
                <w:tag w:val="goog_rdk_312"/>
                <w:id w:val="1129430218"/>
              </w:sdtPr>
              <w:sdtEndPr/>
              <w:sdtContent>
                <w:r w:rsidR="00E02AE5" w:rsidRPr="00175D8B">
                  <w:rPr>
                    <w:rFonts w:eastAsia="Arial Unicode MS" w:cs="Segoe UI Symbol"/>
                    <w:sz w:val="20"/>
                    <w:szCs w:val="20"/>
                  </w:rPr>
                  <w:t>☐</w:t>
                </w:r>
              </w:sdtContent>
            </w:sdt>
            <w:r w:rsidR="00E02AE5" w:rsidRPr="00175D8B">
              <w:rPr>
                <w:sz w:val="20"/>
                <w:szCs w:val="20"/>
              </w:rPr>
              <w:t xml:space="preserve"> Site of major significance</w:t>
            </w:r>
          </w:p>
          <w:p w14:paraId="1240DC3E" w14:textId="77777777" w:rsidR="00E02AE5" w:rsidRPr="00175D8B" w:rsidRDefault="00E02AE5" w:rsidP="00DF417A">
            <w:pPr>
              <w:spacing w:line="240" w:lineRule="auto"/>
              <w:rPr>
                <w:sz w:val="20"/>
                <w:szCs w:val="20"/>
              </w:rPr>
            </w:pPr>
            <w:r w:rsidRPr="00175D8B">
              <w:rPr>
                <w:i/>
                <w:sz w:val="20"/>
                <w:szCs w:val="20"/>
              </w:rPr>
              <w:t>Çok önemli saha</w:t>
            </w:r>
          </w:p>
        </w:tc>
      </w:tr>
      <w:tr w:rsidR="00E02AE5" w:rsidRPr="00175D8B" w14:paraId="68B0450C" w14:textId="77777777" w:rsidTr="00DF417A">
        <w:trPr>
          <w:jc w:val="center"/>
        </w:trPr>
        <w:tc>
          <w:tcPr>
            <w:tcW w:w="9072" w:type="dxa"/>
            <w:gridSpan w:val="6"/>
          </w:tcPr>
          <w:p w14:paraId="13053D6E" w14:textId="77777777" w:rsidR="00E02AE5" w:rsidRPr="00175D8B" w:rsidRDefault="00E02AE5" w:rsidP="00DF417A">
            <w:pPr>
              <w:spacing w:line="240" w:lineRule="auto"/>
              <w:rPr>
                <w:sz w:val="20"/>
                <w:szCs w:val="20"/>
              </w:rPr>
            </w:pPr>
            <w:r w:rsidRPr="00175D8B">
              <w:rPr>
                <w:sz w:val="20"/>
                <w:szCs w:val="20"/>
              </w:rPr>
              <w:t>Describe additional work to be conducted:</w:t>
            </w:r>
          </w:p>
          <w:p w14:paraId="4B126C11" w14:textId="77777777" w:rsidR="00E02AE5" w:rsidRPr="00175D8B" w:rsidRDefault="00E02AE5" w:rsidP="00DF417A">
            <w:pPr>
              <w:spacing w:line="240" w:lineRule="auto"/>
              <w:rPr>
                <w:sz w:val="20"/>
                <w:szCs w:val="20"/>
              </w:rPr>
            </w:pPr>
            <w:r w:rsidRPr="00175D8B">
              <w:rPr>
                <w:i/>
                <w:sz w:val="20"/>
                <w:szCs w:val="20"/>
              </w:rPr>
              <w:t>Yapılması gereken ek işlerin tanımları</w:t>
            </w:r>
          </w:p>
          <w:p w14:paraId="1CC8B07A" w14:textId="77777777" w:rsidR="00E02AE5" w:rsidRPr="00175D8B" w:rsidRDefault="00E02AE5" w:rsidP="00DF417A">
            <w:pPr>
              <w:spacing w:line="240" w:lineRule="auto"/>
              <w:rPr>
                <w:sz w:val="20"/>
                <w:szCs w:val="20"/>
              </w:rPr>
            </w:pPr>
          </w:p>
          <w:p w14:paraId="5A270C2A" w14:textId="77777777" w:rsidR="00E02AE5" w:rsidRPr="00175D8B" w:rsidRDefault="00E02AE5" w:rsidP="00DF417A">
            <w:pPr>
              <w:spacing w:line="240" w:lineRule="auto"/>
              <w:rPr>
                <w:sz w:val="20"/>
                <w:szCs w:val="20"/>
              </w:rPr>
            </w:pPr>
          </w:p>
          <w:p w14:paraId="270A8AEA" w14:textId="77777777" w:rsidR="00E02AE5" w:rsidRPr="00175D8B" w:rsidRDefault="00E02AE5" w:rsidP="00DF417A">
            <w:pPr>
              <w:spacing w:line="240" w:lineRule="auto"/>
              <w:rPr>
                <w:sz w:val="20"/>
                <w:szCs w:val="20"/>
              </w:rPr>
            </w:pPr>
          </w:p>
          <w:p w14:paraId="5A7FFCD0" w14:textId="77777777" w:rsidR="00E02AE5" w:rsidRPr="00175D8B" w:rsidRDefault="00E02AE5" w:rsidP="00DF417A">
            <w:pPr>
              <w:spacing w:line="240" w:lineRule="auto"/>
              <w:rPr>
                <w:sz w:val="20"/>
                <w:szCs w:val="20"/>
              </w:rPr>
            </w:pPr>
          </w:p>
          <w:p w14:paraId="7B128E2D" w14:textId="77777777" w:rsidR="00E02AE5" w:rsidRPr="00175D8B" w:rsidRDefault="00E02AE5" w:rsidP="00DF417A">
            <w:pPr>
              <w:spacing w:line="240" w:lineRule="auto"/>
              <w:rPr>
                <w:sz w:val="20"/>
                <w:szCs w:val="20"/>
              </w:rPr>
            </w:pPr>
          </w:p>
          <w:p w14:paraId="11E553A7" w14:textId="77777777" w:rsidR="00E02AE5" w:rsidRPr="00175D8B" w:rsidRDefault="00E02AE5" w:rsidP="00DF417A">
            <w:pPr>
              <w:spacing w:line="240" w:lineRule="auto"/>
              <w:rPr>
                <w:sz w:val="20"/>
                <w:szCs w:val="20"/>
              </w:rPr>
            </w:pPr>
          </w:p>
          <w:p w14:paraId="25C6F886" w14:textId="77777777" w:rsidR="00E02AE5" w:rsidRPr="00175D8B" w:rsidRDefault="00E02AE5" w:rsidP="00DF417A">
            <w:pPr>
              <w:spacing w:line="240" w:lineRule="auto"/>
              <w:rPr>
                <w:sz w:val="20"/>
                <w:szCs w:val="20"/>
              </w:rPr>
            </w:pPr>
          </w:p>
          <w:p w14:paraId="5D38F1C3" w14:textId="77777777" w:rsidR="00E02AE5" w:rsidRPr="00175D8B" w:rsidRDefault="00E02AE5" w:rsidP="00DF417A">
            <w:pPr>
              <w:spacing w:line="240" w:lineRule="auto"/>
              <w:rPr>
                <w:sz w:val="20"/>
                <w:szCs w:val="20"/>
              </w:rPr>
            </w:pPr>
          </w:p>
          <w:p w14:paraId="6C9FB1CF" w14:textId="77777777" w:rsidR="00E02AE5" w:rsidRPr="00175D8B" w:rsidRDefault="00E02AE5" w:rsidP="00DF417A">
            <w:pPr>
              <w:spacing w:line="240" w:lineRule="auto"/>
              <w:rPr>
                <w:sz w:val="20"/>
                <w:szCs w:val="20"/>
              </w:rPr>
            </w:pPr>
          </w:p>
          <w:p w14:paraId="45754896" w14:textId="77777777" w:rsidR="00E02AE5" w:rsidRPr="00175D8B" w:rsidRDefault="00E02AE5" w:rsidP="00DF417A">
            <w:pPr>
              <w:spacing w:line="240" w:lineRule="auto"/>
              <w:rPr>
                <w:sz w:val="20"/>
                <w:szCs w:val="20"/>
              </w:rPr>
            </w:pPr>
          </w:p>
          <w:p w14:paraId="3F6E7C08" w14:textId="77777777" w:rsidR="00E02AE5" w:rsidRPr="00175D8B" w:rsidRDefault="00E02AE5" w:rsidP="00DF417A">
            <w:pPr>
              <w:spacing w:line="240" w:lineRule="auto"/>
              <w:rPr>
                <w:sz w:val="20"/>
                <w:szCs w:val="20"/>
              </w:rPr>
            </w:pPr>
          </w:p>
          <w:p w14:paraId="0C991B12" w14:textId="77777777" w:rsidR="00E02AE5" w:rsidRPr="00175D8B" w:rsidRDefault="00E02AE5" w:rsidP="00DF417A">
            <w:pPr>
              <w:spacing w:line="240" w:lineRule="auto"/>
              <w:rPr>
                <w:sz w:val="20"/>
                <w:szCs w:val="20"/>
              </w:rPr>
            </w:pPr>
          </w:p>
        </w:tc>
      </w:tr>
      <w:tr w:rsidR="00E02AE5" w:rsidRPr="00175D8B" w14:paraId="41A5A76D" w14:textId="77777777" w:rsidTr="00DF417A">
        <w:trPr>
          <w:jc w:val="center"/>
        </w:trPr>
        <w:tc>
          <w:tcPr>
            <w:tcW w:w="4536" w:type="dxa"/>
            <w:gridSpan w:val="3"/>
          </w:tcPr>
          <w:p w14:paraId="4D55D073" w14:textId="77777777" w:rsidR="00E02AE5" w:rsidRPr="00175D8B" w:rsidRDefault="00E02AE5" w:rsidP="00DF417A">
            <w:pPr>
              <w:spacing w:line="240" w:lineRule="auto"/>
              <w:rPr>
                <w:sz w:val="20"/>
                <w:szCs w:val="20"/>
              </w:rPr>
            </w:pPr>
            <w:r w:rsidRPr="00175D8B">
              <w:rPr>
                <w:sz w:val="20"/>
                <w:szCs w:val="20"/>
              </w:rPr>
              <w:lastRenderedPageBreak/>
              <w:t>Date started:</w:t>
            </w:r>
          </w:p>
          <w:p w14:paraId="702AA59D" w14:textId="77777777" w:rsidR="00E02AE5" w:rsidRPr="00175D8B" w:rsidRDefault="00E02AE5" w:rsidP="00DF417A">
            <w:pPr>
              <w:spacing w:line="240" w:lineRule="auto"/>
              <w:rPr>
                <w:sz w:val="20"/>
                <w:szCs w:val="20"/>
              </w:rPr>
            </w:pPr>
            <w:r w:rsidRPr="00175D8B">
              <w:rPr>
                <w:i/>
                <w:sz w:val="20"/>
                <w:szCs w:val="20"/>
              </w:rPr>
              <w:t>Başlangıç tarihi</w:t>
            </w:r>
          </w:p>
        </w:tc>
        <w:tc>
          <w:tcPr>
            <w:tcW w:w="4536" w:type="dxa"/>
            <w:gridSpan w:val="3"/>
          </w:tcPr>
          <w:p w14:paraId="2F207012" w14:textId="77777777" w:rsidR="00E02AE5" w:rsidRPr="00175D8B" w:rsidRDefault="00E02AE5" w:rsidP="00DF417A">
            <w:pPr>
              <w:spacing w:line="240" w:lineRule="auto"/>
              <w:rPr>
                <w:sz w:val="20"/>
                <w:szCs w:val="20"/>
              </w:rPr>
            </w:pPr>
            <w:r w:rsidRPr="00175D8B">
              <w:rPr>
                <w:sz w:val="20"/>
                <w:szCs w:val="20"/>
              </w:rPr>
              <w:t>Date completed:</w:t>
            </w:r>
          </w:p>
          <w:p w14:paraId="0A783C15" w14:textId="77777777" w:rsidR="00E02AE5" w:rsidRPr="00175D8B" w:rsidRDefault="00E02AE5" w:rsidP="00DF417A">
            <w:pPr>
              <w:spacing w:line="240" w:lineRule="auto"/>
              <w:rPr>
                <w:sz w:val="20"/>
                <w:szCs w:val="20"/>
              </w:rPr>
            </w:pPr>
            <w:r w:rsidRPr="00175D8B">
              <w:rPr>
                <w:i/>
                <w:sz w:val="20"/>
                <w:szCs w:val="20"/>
              </w:rPr>
              <w:t>Bitiş tarihi</w:t>
            </w:r>
          </w:p>
        </w:tc>
      </w:tr>
      <w:tr w:rsidR="00E02AE5" w:rsidRPr="00175D8B" w14:paraId="46E5436A" w14:textId="77777777" w:rsidTr="00DF417A">
        <w:trPr>
          <w:jc w:val="center"/>
        </w:trPr>
        <w:tc>
          <w:tcPr>
            <w:tcW w:w="9072" w:type="dxa"/>
            <w:gridSpan w:val="6"/>
          </w:tcPr>
          <w:p w14:paraId="0B14EA7A" w14:textId="77777777" w:rsidR="00E02AE5" w:rsidRPr="00175D8B" w:rsidRDefault="00E02AE5" w:rsidP="00DF417A">
            <w:pPr>
              <w:spacing w:line="240" w:lineRule="auto"/>
              <w:rPr>
                <w:sz w:val="20"/>
                <w:szCs w:val="20"/>
              </w:rPr>
            </w:pPr>
            <w:r w:rsidRPr="00175D8B">
              <w:rPr>
                <w:sz w:val="20"/>
                <w:szCs w:val="20"/>
              </w:rPr>
              <w:t>Date of notice to resume work:</w:t>
            </w:r>
          </w:p>
          <w:p w14:paraId="3C73F0AF" w14:textId="77777777" w:rsidR="00E02AE5" w:rsidRPr="00175D8B" w:rsidRDefault="00E02AE5" w:rsidP="00DF417A">
            <w:pPr>
              <w:spacing w:line="240" w:lineRule="auto"/>
              <w:rPr>
                <w:sz w:val="20"/>
                <w:szCs w:val="20"/>
              </w:rPr>
            </w:pPr>
            <w:r w:rsidRPr="00175D8B">
              <w:rPr>
                <w:i/>
                <w:sz w:val="20"/>
                <w:szCs w:val="20"/>
              </w:rPr>
              <w:t>İşe başlama tarihi bildirisi</w:t>
            </w:r>
          </w:p>
        </w:tc>
      </w:tr>
      <w:tr w:rsidR="00E02AE5" w:rsidRPr="00175D8B" w14:paraId="19293624" w14:textId="77777777" w:rsidTr="00DF417A">
        <w:trPr>
          <w:jc w:val="center"/>
        </w:trPr>
        <w:tc>
          <w:tcPr>
            <w:tcW w:w="9072" w:type="dxa"/>
            <w:gridSpan w:val="6"/>
          </w:tcPr>
          <w:p w14:paraId="64580B2E" w14:textId="77777777" w:rsidR="00E02AE5" w:rsidRPr="00175D8B" w:rsidRDefault="00E02AE5" w:rsidP="00DF417A">
            <w:pPr>
              <w:spacing w:line="240" w:lineRule="auto"/>
              <w:rPr>
                <w:sz w:val="20"/>
                <w:szCs w:val="20"/>
              </w:rPr>
            </w:pPr>
            <w:r w:rsidRPr="00175D8B">
              <w:rPr>
                <w:sz w:val="20"/>
                <w:szCs w:val="20"/>
              </w:rPr>
              <w:t>Name of museum directorate archaeologist:</w:t>
            </w:r>
          </w:p>
          <w:p w14:paraId="20B1BD1A" w14:textId="77777777" w:rsidR="00E02AE5" w:rsidRPr="00175D8B" w:rsidRDefault="00E02AE5" w:rsidP="00DF417A">
            <w:pPr>
              <w:spacing w:line="240" w:lineRule="auto"/>
              <w:rPr>
                <w:i/>
                <w:sz w:val="20"/>
                <w:szCs w:val="20"/>
              </w:rPr>
            </w:pPr>
            <w:r w:rsidRPr="00175D8B">
              <w:rPr>
                <w:i/>
                <w:sz w:val="20"/>
                <w:szCs w:val="20"/>
              </w:rPr>
              <w:t>Müze müdürlüğü arkeoloğunun ismi:</w:t>
            </w:r>
          </w:p>
          <w:p w14:paraId="5DB05CAB" w14:textId="77777777" w:rsidR="00E02AE5" w:rsidRPr="00175D8B" w:rsidRDefault="00E02AE5" w:rsidP="00DF417A">
            <w:pPr>
              <w:spacing w:line="240" w:lineRule="auto"/>
              <w:rPr>
                <w:sz w:val="20"/>
                <w:szCs w:val="20"/>
              </w:rPr>
            </w:pPr>
            <w:r w:rsidRPr="00175D8B">
              <w:rPr>
                <w:sz w:val="20"/>
                <w:szCs w:val="20"/>
              </w:rPr>
              <w:t>Contact information:</w:t>
            </w:r>
          </w:p>
          <w:p w14:paraId="51DFFE3C" w14:textId="77777777" w:rsidR="00E02AE5" w:rsidRPr="00175D8B" w:rsidRDefault="00E02AE5" w:rsidP="00DF417A">
            <w:pPr>
              <w:spacing w:line="240" w:lineRule="auto"/>
              <w:rPr>
                <w:sz w:val="20"/>
                <w:szCs w:val="20"/>
              </w:rPr>
            </w:pPr>
            <w:r w:rsidRPr="00175D8B">
              <w:rPr>
                <w:i/>
                <w:sz w:val="20"/>
                <w:szCs w:val="20"/>
              </w:rPr>
              <w:t>İletişim numarası</w:t>
            </w:r>
          </w:p>
        </w:tc>
      </w:tr>
      <w:tr w:rsidR="00E02AE5" w:rsidRPr="00175D8B" w14:paraId="3AF59A17" w14:textId="77777777" w:rsidTr="00DF417A">
        <w:trPr>
          <w:jc w:val="center"/>
        </w:trPr>
        <w:tc>
          <w:tcPr>
            <w:tcW w:w="9072" w:type="dxa"/>
            <w:gridSpan w:val="6"/>
          </w:tcPr>
          <w:p w14:paraId="5D0EBD98" w14:textId="77777777" w:rsidR="00E02AE5" w:rsidRPr="00175D8B" w:rsidRDefault="00E02AE5" w:rsidP="00DF417A">
            <w:pPr>
              <w:spacing w:line="240" w:lineRule="auto"/>
              <w:rPr>
                <w:sz w:val="20"/>
                <w:szCs w:val="20"/>
              </w:rPr>
            </w:pPr>
            <w:r w:rsidRPr="00175D8B">
              <w:rPr>
                <w:sz w:val="20"/>
                <w:szCs w:val="20"/>
              </w:rPr>
              <w:t xml:space="preserve">Construction manager contacted                                                      </w:t>
            </w:r>
            <w:sdt>
              <w:sdtPr>
                <w:rPr>
                  <w:sz w:val="20"/>
                  <w:szCs w:val="20"/>
                </w:rPr>
                <w:tag w:val="goog_rdk_313"/>
                <w:id w:val="1912893309"/>
              </w:sdtPr>
              <w:sdtEndPr/>
              <w:sdtContent>
                <w:r w:rsidRPr="00175D8B">
                  <w:rPr>
                    <w:rFonts w:eastAsia="Arial Unicode MS" w:cs="Segoe UI Symbol"/>
                    <w:sz w:val="20"/>
                    <w:szCs w:val="20"/>
                  </w:rPr>
                  <w:t>☐</w:t>
                </w:r>
              </w:sdtContent>
            </w:sdt>
            <w:r w:rsidRPr="00175D8B">
              <w:rPr>
                <w:sz w:val="20"/>
                <w:szCs w:val="20"/>
              </w:rPr>
              <w:t xml:space="preserve"> Yes              </w:t>
            </w:r>
            <w:sdt>
              <w:sdtPr>
                <w:rPr>
                  <w:sz w:val="20"/>
                  <w:szCs w:val="20"/>
                </w:rPr>
                <w:tag w:val="goog_rdk_314"/>
                <w:id w:val="1853227554"/>
              </w:sdtPr>
              <w:sdtEndPr/>
              <w:sdtContent>
                <w:r w:rsidRPr="00175D8B">
                  <w:rPr>
                    <w:rFonts w:eastAsia="Arial Unicode MS" w:cs="Segoe UI Symbol"/>
                    <w:sz w:val="20"/>
                    <w:szCs w:val="20"/>
                  </w:rPr>
                  <w:t>☐</w:t>
                </w:r>
              </w:sdtContent>
            </w:sdt>
            <w:r w:rsidRPr="00175D8B">
              <w:rPr>
                <w:sz w:val="20"/>
                <w:szCs w:val="20"/>
              </w:rPr>
              <w:t xml:space="preserve"> No</w:t>
            </w:r>
          </w:p>
          <w:p w14:paraId="198C6B1B" w14:textId="77777777" w:rsidR="00E02AE5" w:rsidRPr="00175D8B" w:rsidRDefault="00E02AE5" w:rsidP="00DF417A">
            <w:pPr>
              <w:spacing w:line="240" w:lineRule="auto"/>
              <w:rPr>
                <w:sz w:val="20"/>
                <w:szCs w:val="20"/>
              </w:rPr>
            </w:pPr>
            <w:r w:rsidRPr="00175D8B">
              <w:rPr>
                <w:i/>
                <w:sz w:val="20"/>
                <w:szCs w:val="20"/>
              </w:rPr>
              <w:t>Proje/Şantiye müdürü ile irtibata geçildi                                             Evet               Hayır</w:t>
            </w:r>
          </w:p>
        </w:tc>
      </w:tr>
    </w:tbl>
    <w:p w14:paraId="7B252F6E" w14:textId="77777777" w:rsidR="00E02AE5" w:rsidRPr="00175D8B" w:rsidRDefault="00E02AE5" w:rsidP="00E02AE5"/>
    <w:p w14:paraId="5C998F50" w14:textId="77777777" w:rsidR="00E02AE5" w:rsidRPr="00175D8B" w:rsidRDefault="00E02AE5" w:rsidP="00E02AE5">
      <w:pPr>
        <w:spacing w:line="240" w:lineRule="auto"/>
        <w:rPr>
          <w:sz w:val="20"/>
          <w:szCs w:val="20"/>
        </w:rPr>
        <w:sectPr w:rsidR="00E02AE5" w:rsidRPr="00175D8B" w:rsidSect="00E02AE5">
          <w:pgSz w:w="11906" w:h="16838"/>
          <w:pgMar w:top="1417" w:right="1417" w:bottom="1417" w:left="1417" w:header="708" w:footer="708" w:gutter="0"/>
          <w:cols w:space="708"/>
          <w:docGrid w:linePitch="360"/>
        </w:sectPr>
      </w:pPr>
    </w:p>
    <w:p w14:paraId="0A1BCFC0" w14:textId="77777777" w:rsidR="00E02AE5" w:rsidRPr="00175D8B" w:rsidRDefault="00E02AE5" w:rsidP="00E02AE5">
      <w:pPr>
        <w:pStyle w:val="ResimYazs"/>
        <w:keepNext/>
        <w:jc w:val="center"/>
        <w:rPr>
          <w:rFonts w:eastAsia="Aptos" w:cs="Aptos"/>
          <w:b/>
          <w:bCs/>
          <w:color w:val="000000"/>
        </w:rPr>
      </w:pPr>
      <w:r w:rsidRPr="00175D8B">
        <w:rPr>
          <w:rFonts w:eastAsia="Aptos" w:cs="Aptos"/>
          <w:b/>
          <w:bCs/>
          <w:color w:val="000000"/>
        </w:rPr>
        <w:lastRenderedPageBreak/>
        <w:t>Chance Find Form</w:t>
      </w:r>
    </w:p>
    <w:p w14:paraId="67FDAA80" w14:textId="77777777" w:rsidR="00E02AE5" w:rsidRPr="00175D8B" w:rsidRDefault="00E02AE5" w:rsidP="00E02AE5"/>
    <w:tbl>
      <w:tblPr>
        <w:tblStyle w:val="16"/>
        <w:tblW w:w="13846" w:type="dxa"/>
        <w:jc w:val="center"/>
        <w:tblLayout w:type="fixed"/>
        <w:tblLook w:val="0400" w:firstRow="0" w:lastRow="0" w:firstColumn="0" w:lastColumn="0" w:noHBand="0" w:noVBand="1"/>
      </w:tblPr>
      <w:tblGrid>
        <w:gridCol w:w="912"/>
        <w:gridCol w:w="1128"/>
        <w:gridCol w:w="1152"/>
        <w:gridCol w:w="1210"/>
        <w:gridCol w:w="841"/>
        <w:gridCol w:w="1174"/>
        <w:gridCol w:w="942"/>
        <w:gridCol w:w="595"/>
        <w:gridCol w:w="1753"/>
        <w:gridCol w:w="752"/>
        <w:gridCol w:w="1029"/>
        <w:gridCol w:w="1007"/>
        <w:gridCol w:w="953"/>
        <w:gridCol w:w="398"/>
      </w:tblGrid>
      <w:tr w:rsidR="00E02AE5" w:rsidRPr="00175D8B" w14:paraId="2583A3CE" w14:textId="77777777" w:rsidTr="00DF417A">
        <w:trPr>
          <w:trHeight w:val="529"/>
          <w:jc w:val="center"/>
        </w:trPr>
        <w:tc>
          <w:tcPr>
            <w:tcW w:w="912" w:type="dxa"/>
            <w:vMerge w:val="restart"/>
            <w:tcBorders>
              <w:top w:val="single" w:sz="8" w:space="0" w:color="000000"/>
              <w:left w:val="single" w:sz="8" w:space="0" w:color="000000"/>
              <w:bottom w:val="single" w:sz="4" w:space="0" w:color="000000"/>
              <w:right w:val="single" w:sz="8" w:space="0" w:color="000000"/>
            </w:tcBorders>
            <w:vAlign w:val="center"/>
          </w:tcPr>
          <w:p w14:paraId="0982E1B8" w14:textId="77777777" w:rsidR="00E02AE5" w:rsidRPr="00175D8B" w:rsidRDefault="00E02AE5" w:rsidP="00DF417A">
            <w:pPr>
              <w:spacing w:after="160"/>
              <w:jc w:val="left"/>
              <w:rPr>
                <w:b/>
                <w:sz w:val="16"/>
                <w:szCs w:val="16"/>
              </w:rPr>
            </w:pPr>
            <w:r w:rsidRPr="00175D8B">
              <w:rPr>
                <w:b/>
                <w:sz w:val="16"/>
                <w:szCs w:val="16"/>
              </w:rPr>
              <w:t>DATE OF FIND</w:t>
            </w:r>
          </w:p>
        </w:tc>
        <w:tc>
          <w:tcPr>
            <w:tcW w:w="2280" w:type="dxa"/>
            <w:gridSpan w:val="2"/>
            <w:vMerge w:val="restart"/>
            <w:tcBorders>
              <w:top w:val="single" w:sz="8" w:space="0" w:color="000000"/>
              <w:left w:val="single" w:sz="8" w:space="0" w:color="000000"/>
              <w:bottom w:val="single" w:sz="4" w:space="0" w:color="000000"/>
              <w:right w:val="single" w:sz="8" w:space="0" w:color="000000"/>
            </w:tcBorders>
            <w:vAlign w:val="center"/>
          </w:tcPr>
          <w:p w14:paraId="7D1A14ED" w14:textId="77777777" w:rsidR="00E02AE5" w:rsidRPr="00175D8B" w:rsidRDefault="00E02AE5" w:rsidP="00DF417A">
            <w:pPr>
              <w:spacing w:after="160"/>
              <w:jc w:val="left"/>
              <w:rPr>
                <w:b/>
                <w:sz w:val="16"/>
                <w:szCs w:val="16"/>
              </w:rPr>
            </w:pPr>
            <w:r w:rsidRPr="00175D8B">
              <w:rPr>
                <w:b/>
                <w:sz w:val="16"/>
                <w:szCs w:val="16"/>
              </w:rPr>
              <w:t>BRIEF DESCRIPTION OF THE CHANCE FIND</w:t>
            </w:r>
          </w:p>
        </w:tc>
        <w:tc>
          <w:tcPr>
            <w:tcW w:w="2051" w:type="dxa"/>
            <w:gridSpan w:val="2"/>
            <w:vMerge w:val="restart"/>
            <w:tcBorders>
              <w:top w:val="single" w:sz="8" w:space="0" w:color="000000"/>
              <w:left w:val="single" w:sz="8" w:space="0" w:color="000000"/>
              <w:bottom w:val="single" w:sz="4" w:space="0" w:color="000000"/>
              <w:right w:val="single" w:sz="8" w:space="0" w:color="000000"/>
            </w:tcBorders>
            <w:vAlign w:val="center"/>
          </w:tcPr>
          <w:p w14:paraId="6CA1B411" w14:textId="77777777" w:rsidR="00E02AE5" w:rsidRPr="00175D8B" w:rsidRDefault="00E02AE5" w:rsidP="00DF417A">
            <w:pPr>
              <w:spacing w:after="160"/>
              <w:jc w:val="left"/>
              <w:rPr>
                <w:b/>
                <w:sz w:val="16"/>
                <w:szCs w:val="16"/>
              </w:rPr>
            </w:pPr>
            <w:r w:rsidRPr="00175D8B">
              <w:rPr>
                <w:b/>
                <w:sz w:val="16"/>
                <w:szCs w:val="16"/>
              </w:rPr>
              <w:t>NAME OF AUTHORIZED STAFF HAS BEEN NOTIFIED</w:t>
            </w:r>
          </w:p>
        </w:tc>
        <w:tc>
          <w:tcPr>
            <w:tcW w:w="2116" w:type="dxa"/>
            <w:gridSpan w:val="2"/>
            <w:vMerge w:val="restart"/>
            <w:tcBorders>
              <w:top w:val="single" w:sz="8" w:space="0" w:color="000000"/>
              <w:left w:val="single" w:sz="8" w:space="0" w:color="000000"/>
              <w:bottom w:val="single" w:sz="4" w:space="0" w:color="000000"/>
              <w:right w:val="single" w:sz="8" w:space="0" w:color="000000"/>
            </w:tcBorders>
            <w:vAlign w:val="center"/>
          </w:tcPr>
          <w:p w14:paraId="1285E6A4" w14:textId="77777777" w:rsidR="00E02AE5" w:rsidRPr="00175D8B" w:rsidRDefault="00E02AE5" w:rsidP="00DF417A">
            <w:pPr>
              <w:spacing w:after="160"/>
              <w:jc w:val="left"/>
              <w:rPr>
                <w:b/>
                <w:sz w:val="16"/>
                <w:szCs w:val="16"/>
              </w:rPr>
            </w:pPr>
            <w:r w:rsidRPr="00175D8B">
              <w:rPr>
                <w:b/>
                <w:sz w:val="16"/>
                <w:szCs w:val="16"/>
              </w:rPr>
              <w:t>ACTION TAKEN</w:t>
            </w:r>
          </w:p>
        </w:tc>
        <w:tc>
          <w:tcPr>
            <w:tcW w:w="2348" w:type="dxa"/>
            <w:gridSpan w:val="2"/>
            <w:vMerge w:val="restart"/>
            <w:tcBorders>
              <w:top w:val="single" w:sz="8" w:space="0" w:color="000000"/>
              <w:left w:val="single" w:sz="8" w:space="0" w:color="000000"/>
              <w:bottom w:val="single" w:sz="4" w:space="0" w:color="000000"/>
              <w:right w:val="single" w:sz="8" w:space="0" w:color="000000"/>
            </w:tcBorders>
            <w:vAlign w:val="center"/>
          </w:tcPr>
          <w:p w14:paraId="35EDDBCC" w14:textId="77777777" w:rsidR="00E02AE5" w:rsidRPr="00175D8B" w:rsidRDefault="00E02AE5" w:rsidP="00DF417A">
            <w:pPr>
              <w:spacing w:after="160"/>
              <w:jc w:val="left"/>
              <w:rPr>
                <w:b/>
                <w:sz w:val="16"/>
                <w:szCs w:val="16"/>
              </w:rPr>
            </w:pPr>
            <w:r w:rsidRPr="00175D8B">
              <w:rPr>
                <w:b/>
                <w:sz w:val="16"/>
                <w:szCs w:val="16"/>
              </w:rPr>
              <w:t>NAME OF AUTHORIZED STAFF FILLED THE CHANCE FIND FORM</w:t>
            </w:r>
          </w:p>
        </w:tc>
        <w:tc>
          <w:tcPr>
            <w:tcW w:w="1781" w:type="dxa"/>
            <w:gridSpan w:val="2"/>
            <w:vMerge w:val="restart"/>
            <w:tcBorders>
              <w:top w:val="single" w:sz="8" w:space="0" w:color="000000"/>
              <w:left w:val="single" w:sz="8" w:space="0" w:color="000000"/>
              <w:bottom w:val="single" w:sz="4" w:space="0" w:color="000000"/>
              <w:right w:val="single" w:sz="8" w:space="0" w:color="000000"/>
            </w:tcBorders>
            <w:vAlign w:val="center"/>
          </w:tcPr>
          <w:p w14:paraId="0116001F" w14:textId="77777777" w:rsidR="00E02AE5" w:rsidRPr="00175D8B" w:rsidRDefault="00E02AE5" w:rsidP="00DF417A">
            <w:pPr>
              <w:spacing w:after="160"/>
              <w:jc w:val="left"/>
              <w:rPr>
                <w:b/>
                <w:sz w:val="16"/>
                <w:szCs w:val="16"/>
              </w:rPr>
            </w:pPr>
            <w:r w:rsidRPr="00175D8B">
              <w:rPr>
                <w:b/>
                <w:sz w:val="16"/>
                <w:szCs w:val="16"/>
              </w:rPr>
              <w:t>STATUS (OPEN/CLOSED)</w:t>
            </w:r>
          </w:p>
        </w:tc>
        <w:tc>
          <w:tcPr>
            <w:tcW w:w="1960" w:type="dxa"/>
            <w:gridSpan w:val="2"/>
            <w:vMerge w:val="restart"/>
            <w:tcBorders>
              <w:top w:val="single" w:sz="8" w:space="0" w:color="000000"/>
              <w:left w:val="single" w:sz="8" w:space="0" w:color="000000"/>
              <w:bottom w:val="single" w:sz="4" w:space="0" w:color="000000"/>
              <w:right w:val="single" w:sz="8" w:space="0" w:color="000000"/>
            </w:tcBorders>
            <w:vAlign w:val="center"/>
          </w:tcPr>
          <w:p w14:paraId="440F6507" w14:textId="77777777" w:rsidR="00E02AE5" w:rsidRPr="00175D8B" w:rsidRDefault="00E02AE5" w:rsidP="00DF417A">
            <w:pPr>
              <w:spacing w:after="160"/>
              <w:jc w:val="left"/>
              <w:rPr>
                <w:b/>
                <w:sz w:val="16"/>
                <w:szCs w:val="16"/>
              </w:rPr>
            </w:pPr>
            <w:r w:rsidRPr="00175D8B">
              <w:rPr>
                <w:b/>
                <w:sz w:val="16"/>
                <w:szCs w:val="16"/>
              </w:rPr>
              <w:t>OTHER CONSIDERATIONS</w:t>
            </w:r>
          </w:p>
        </w:tc>
        <w:tc>
          <w:tcPr>
            <w:tcW w:w="398" w:type="dxa"/>
            <w:tcBorders>
              <w:top w:val="nil"/>
              <w:left w:val="nil"/>
              <w:bottom w:val="nil"/>
              <w:right w:val="nil"/>
            </w:tcBorders>
            <w:vAlign w:val="center"/>
          </w:tcPr>
          <w:p w14:paraId="1DA38720" w14:textId="77777777" w:rsidR="00E02AE5" w:rsidRPr="00175D8B" w:rsidRDefault="00E02AE5" w:rsidP="00DF417A">
            <w:pPr>
              <w:spacing w:after="160"/>
              <w:rPr>
                <w:b/>
                <w:sz w:val="16"/>
                <w:szCs w:val="16"/>
              </w:rPr>
            </w:pPr>
          </w:p>
        </w:tc>
      </w:tr>
      <w:tr w:rsidR="00E02AE5" w:rsidRPr="00175D8B" w14:paraId="71752A6F" w14:textId="77777777" w:rsidTr="00DF417A">
        <w:trPr>
          <w:trHeight w:val="529"/>
          <w:jc w:val="center"/>
        </w:trPr>
        <w:tc>
          <w:tcPr>
            <w:tcW w:w="912" w:type="dxa"/>
            <w:vMerge/>
            <w:tcBorders>
              <w:top w:val="single" w:sz="8" w:space="0" w:color="000000"/>
              <w:left w:val="single" w:sz="8" w:space="0" w:color="000000"/>
              <w:bottom w:val="single" w:sz="4" w:space="0" w:color="000000"/>
              <w:right w:val="single" w:sz="8" w:space="0" w:color="000000"/>
            </w:tcBorders>
            <w:vAlign w:val="center"/>
          </w:tcPr>
          <w:p w14:paraId="462FCCC2" w14:textId="77777777" w:rsidR="00E02AE5" w:rsidRPr="00175D8B" w:rsidRDefault="00E02AE5" w:rsidP="00DF417A">
            <w:pPr>
              <w:widowControl w:val="0"/>
              <w:pBdr>
                <w:top w:val="nil"/>
                <w:left w:val="nil"/>
                <w:bottom w:val="nil"/>
                <w:right w:val="nil"/>
                <w:between w:val="nil"/>
              </w:pBdr>
              <w:spacing w:after="0"/>
              <w:jc w:val="left"/>
              <w:rPr>
                <w:b/>
                <w:sz w:val="16"/>
                <w:szCs w:val="16"/>
              </w:rPr>
            </w:pPr>
          </w:p>
        </w:tc>
        <w:tc>
          <w:tcPr>
            <w:tcW w:w="2280" w:type="dxa"/>
            <w:gridSpan w:val="2"/>
            <w:vMerge/>
            <w:tcBorders>
              <w:top w:val="single" w:sz="8" w:space="0" w:color="000000"/>
              <w:left w:val="single" w:sz="8" w:space="0" w:color="000000"/>
              <w:bottom w:val="single" w:sz="4" w:space="0" w:color="000000"/>
              <w:right w:val="single" w:sz="8" w:space="0" w:color="000000"/>
            </w:tcBorders>
            <w:vAlign w:val="center"/>
          </w:tcPr>
          <w:p w14:paraId="32CF0DC9" w14:textId="77777777" w:rsidR="00E02AE5" w:rsidRPr="00175D8B" w:rsidRDefault="00E02AE5" w:rsidP="00DF417A">
            <w:pPr>
              <w:widowControl w:val="0"/>
              <w:pBdr>
                <w:top w:val="nil"/>
                <w:left w:val="nil"/>
                <w:bottom w:val="nil"/>
                <w:right w:val="nil"/>
                <w:between w:val="nil"/>
              </w:pBdr>
              <w:spacing w:after="0"/>
              <w:jc w:val="left"/>
              <w:rPr>
                <w:b/>
                <w:sz w:val="16"/>
                <w:szCs w:val="16"/>
              </w:rPr>
            </w:pPr>
          </w:p>
        </w:tc>
        <w:tc>
          <w:tcPr>
            <w:tcW w:w="2051" w:type="dxa"/>
            <w:gridSpan w:val="2"/>
            <w:vMerge/>
            <w:tcBorders>
              <w:top w:val="single" w:sz="8" w:space="0" w:color="000000"/>
              <w:left w:val="single" w:sz="8" w:space="0" w:color="000000"/>
              <w:bottom w:val="single" w:sz="4" w:space="0" w:color="000000"/>
              <w:right w:val="single" w:sz="8" w:space="0" w:color="000000"/>
            </w:tcBorders>
            <w:vAlign w:val="center"/>
          </w:tcPr>
          <w:p w14:paraId="4C50B3A8" w14:textId="77777777" w:rsidR="00E02AE5" w:rsidRPr="00175D8B" w:rsidRDefault="00E02AE5" w:rsidP="00DF417A">
            <w:pPr>
              <w:widowControl w:val="0"/>
              <w:pBdr>
                <w:top w:val="nil"/>
                <w:left w:val="nil"/>
                <w:bottom w:val="nil"/>
                <w:right w:val="nil"/>
                <w:between w:val="nil"/>
              </w:pBdr>
              <w:spacing w:after="0"/>
              <w:jc w:val="left"/>
              <w:rPr>
                <w:b/>
                <w:sz w:val="16"/>
                <w:szCs w:val="16"/>
              </w:rPr>
            </w:pPr>
          </w:p>
        </w:tc>
        <w:tc>
          <w:tcPr>
            <w:tcW w:w="2116" w:type="dxa"/>
            <w:gridSpan w:val="2"/>
            <w:vMerge/>
            <w:tcBorders>
              <w:top w:val="single" w:sz="8" w:space="0" w:color="000000"/>
              <w:left w:val="single" w:sz="8" w:space="0" w:color="000000"/>
              <w:bottom w:val="single" w:sz="4" w:space="0" w:color="000000"/>
              <w:right w:val="single" w:sz="8" w:space="0" w:color="000000"/>
            </w:tcBorders>
            <w:vAlign w:val="center"/>
          </w:tcPr>
          <w:p w14:paraId="4F09137D" w14:textId="77777777" w:rsidR="00E02AE5" w:rsidRPr="00175D8B" w:rsidRDefault="00E02AE5" w:rsidP="00DF417A">
            <w:pPr>
              <w:widowControl w:val="0"/>
              <w:pBdr>
                <w:top w:val="nil"/>
                <w:left w:val="nil"/>
                <w:bottom w:val="nil"/>
                <w:right w:val="nil"/>
                <w:between w:val="nil"/>
              </w:pBdr>
              <w:spacing w:after="0"/>
              <w:jc w:val="left"/>
              <w:rPr>
                <w:b/>
                <w:sz w:val="16"/>
                <w:szCs w:val="16"/>
              </w:rPr>
            </w:pPr>
          </w:p>
        </w:tc>
        <w:tc>
          <w:tcPr>
            <w:tcW w:w="2348" w:type="dxa"/>
            <w:gridSpan w:val="2"/>
            <w:vMerge/>
            <w:tcBorders>
              <w:top w:val="single" w:sz="8" w:space="0" w:color="000000"/>
              <w:left w:val="single" w:sz="8" w:space="0" w:color="000000"/>
              <w:bottom w:val="single" w:sz="4" w:space="0" w:color="000000"/>
              <w:right w:val="single" w:sz="8" w:space="0" w:color="000000"/>
            </w:tcBorders>
            <w:vAlign w:val="center"/>
          </w:tcPr>
          <w:p w14:paraId="2A3D8BFC" w14:textId="77777777" w:rsidR="00E02AE5" w:rsidRPr="00175D8B" w:rsidRDefault="00E02AE5" w:rsidP="00DF417A">
            <w:pPr>
              <w:widowControl w:val="0"/>
              <w:pBdr>
                <w:top w:val="nil"/>
                <w:left w:val="nil"/>
                <w:bottom w:val="nil"/>
                <w:right w:val="nil"/>
                <w:between w:val="nil"/>
              </w:pBdr>
              <w:spacing w:after="0"/>
              <w:jc w:val="left"/>
              <w:rPr>
                <w:b/>
                <w:sz w:val="16"/>
                <w:szCs w:val="16"/>
              </w:rPr>
            </w:pPr>
          </w:p>
        </w:tc>
        <w:tc>
          <w:tcPr>
            <w:tcW w:w="1781" w:type="dxa"/>
            <w:gridSpan w:val="2"/>
            <w:vMerge/>
            <w:tcBorders>
              <w:top w:val="single" w:sz="8" w:space="0" w:color="000000"/>
              <w:left w:val="single" w:sz="8" w:space="0" w:color="000000"/>
              <w:bottom w:val="single" w:sz="4" w:space="0" w:color="000000"/>
              <w:right w:val="single" w:sz="8" w:space="0" w:color="000000"/>
            </w:tcBorders>
            <w:vAlign w:val="center"/>
          </w:tcPr>
          <w:p w14:paraId="163019C4" w14:textId="77777777" w:rsidR="00E02AE5" w:rsidRPr="00175D8B" w:rsidRDefault="00E02AE5" w:rsidP="00DF417A">
            <w:pPr>
              <w:widowControl w:val="0"/>
              <w:pBdr>
                <w:top w:val="nil"/>
                <w:left w:val="nil"/>
                <w:bottom w:val="nil"/>
                <w:right w:val="nil"/>
                <w:between w:val="nil"/>
              </w:pBdr>
              <w:spacing w:after="0"/>
              <w:jc w:val="left"/>
              <w:rPr>
                <w:b/>
                <w:sz w:val="16"/>
                <w:szCs w:val="16"/>
              </w:rPr>
            </w:pPr>
          </w:p>
        </w:tc>
        <w:tc>
          <w:tcPr>
            <w:tcW w:w="1960" w:type="dxa"/>
            <w:gridSpan w:val="2"/>
            <w:vMerge/>
            <w:tcBorders>
              <w:top w:val="single" w:sz="8" w:space="0" w:color="000000"/>
              <w:left w:val="single" w:sz="8" w:space="0" w:color="000000"/>
              <w:bottom w:val="single" w:sz="4" w:space="0" w:color="000000"/>
              <w:right w:val="single" w:sz="8" w:space="0" w:color="000000"/>
            </w:tcBorders>
            <w:vAlign w:val="center"/>
          </w:tcPr>
          <w:p w14:paraId="4E59382A" w14:textId="77777777" w:rsidR="00E02AE5" w:rsidRPr="00175D8B" w:rsidRDefault="00E02AE5" w:rsidP="00DF417A">
            <w:pPr>
              <w:widowControl w:val="0"/>
              <w:pBdr>
                <w:top w:val="nil"/>
                <w:left w:val="nil"/>
                <w:bottom w:val="nil"/>
                <w:right w:val="nil"/>
                <w:between w:val="nil"/>
              </w:pBdr>
              <w:spacing w:after="0"/>
              <w:jc w:val="left"/>
              <w:rPr>
                <w:b/>
                <w:sz w:val="16"/>
                <w:szCs w:val="16"/>
              </w:rPr>
            </w:pPr>
          </w:p>
        </w:tc>
        <w:tc>
          <w:tcPr>
            <w:tcW w:w="398" w:type="dxa"/>
            <w:tcBorders>
              <w:top w:val="nil"/>
              <w:left w:val="nil"/>
              <w:bottom w:val="nil"/>
              <w:right w:val="nil"/>
            </w:tcBorders>
            <w:vAlign w:val="center"/>
          </w:tcPr>
          <w:p w14:paraId="4FCC736E" w14:textId="77777777" w:rsidR="00E02AE5" w:rsidRPr="00175D8B" w:rsidRDefault="00E02AE5" w:rsidP="00DF417A">
            <w:pPr>
              <w:spacing w:after="160"/>
              <w:rPr>
                <w:sz w:val="20"/>
                <w:szCs w:val="20"/>
              </w:rPr>
            </w:pPr>
          </w:p>
        </w:tc>
      </w:tr>
      <w:tr w:rsidR="00E02AE5" w:rsidRPr="00175D8B" w14:paraId="18F14784" w14:textId="77777777" w:rsidTr="00DF417A">
        <w:trPr>
          <w:trHeight w:val="238"/>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36E9DE9C" w14:textId="77777777" w:rsidR="00E02AE5" w:rsidRPr="00175D8B" w:rsidRDefault="00E02AE5" w:rsidP="00DF417A">
            <w:pPr>
              <w:spacing w:after="160"/>
              <w:rPr>
                <w:b/>
                <w:sz w:val="20"/>
                <w:szCs w:val="20"/>
              </w:rPr>
            </w:pPr>
            <w:r w:rsidRPr="00175D8B">
              <w:rPr>
                <w:b/>
                <w:sz w:val="20"/>
                <w:szCs w:val="20"/>
              </w:rPr>
              <w:t> </w:t>
            </w:r>
          </w:p>
        </w:tc>
        <w:tc>
          <w:tcPr>
            <w:tcW w:w="2280" w:type="dxa"/>
            <w:gridSpan w:val="2"/>
            <w:tcBorders>
              <w:top w:val="single" w:sz="4" w:space="0" w:color="000000"/>
              <w:left w:val="single" w:sz="4" w:space="0" w:color="000000"/>
              <w:bottom w:val="single" w:sz="4" w:space="0" w:color="000000"/>
              <w:right w:val="single" w:sz="4" w:space="0" w:color="000000"/>
            </w:tcBorders>
            <w:vAlign w:val="center"/>
          </w:tcPr>
          <w:p w14:paraId="450DCAEE" w14:textId="77777777" w:rsidR="00E02AE5" w:rsidRPr="00175D8B" w:rsidRDefault="00E02AE5" w:rsidP="00DF417A">
            <w:pPr>
              <w:spacing w:after="160"/>
              <w:rPr>
                <w:b/>
                <w:sz w:val="20"/>
                <w:szCs w:val="20"/>
              </w:rPr>
            </w:pPr>
            <w:r w:rsidRPr="00175D8B">
              <w:rPr>
                <w:b/>
                <w:sz w:val="20"/>
                <w:szCs w:val="20"/>
              </w:rPr>
              <w:t> </w:t>
            </w:r>
          </w:p>
        </w:tc>
        <w:tc>
          <w:tcPr>
            <w:tcW w:w="2051" w:type="dxa"/>
            <w:gridSpan w:val="2"/>
            <w:tcBorders>
              <w:top w:val="single" w:sz="4" w:space="0" w:color="000000"/>
              <w:left w:val="single" w:sz="4" w:space="0" w:color="000000"/>
              <w:bottom w:val="single" w:sz="4" w:space="0" w:color="000000"/>
              <w:right w:val="single" w:sz="4" w:space="0" w:color="000000"/>
            </w:tcBorders>
            <w:vAlign w:val="center"/>
          </w:tcPr>
          <w:p w14:paraId="3D2EF882" w14:textId="77777777" w:rsidR="00E02AE5" w:rsidRPr="00175D8B" w:rsidRDefault="00E02AE5" w:rsidP="00DF417A">
            <w:pPr>
              <w:spacing w:after="160"/>
              <w:rPr>
                <w:b/>
                <w:sz w:val="20"/>
                <w:szCs w:val="20"/>
              </w:rPr>
            </w:pPr>
            <w:r w:rsidRPr="00175D8B">
              <w:rPr>
                <w:b/>
                <w:sz w:val="20"/>
                <w:szCs w:val="20"/>
              </w:rPr>
              <w:t> </w:t>
            </w:r>
          </w:p>
        </w:tc>
        <w:tc>
          <w:tcPr>
            <w:tcW w:w="2116" w:type="dxa"/>
            <w:gridSpan w:val="2"/>
            <w:tcBorders>
              <w:top w:val="single" w:sz="4" w:space="0" w:color="000000"/>
              <w:left w:val="single" w:sz="4" w:space="0" w:color="000000"/>
              <w:bottom w:val="single" w:sz="4" w:space="0" w:color="000000"/>
              <w:right w:val="single" w:sz="4" w:space="0" w:color="000000"/>
            </w:tcBorders>
            <w:vAlign w:val="center"/>
          </w:tcPr>
          <w:p w14:paraId="4E006A38" w14:textId="77777777" w:rsidR="00E02AE5" w:rsidRPr="00175D8B" w:rsidRDefault="00E02AE5" w:rsidP="00DF417A">
            <w:pPr>
              <w:spacing w:after="160"/>
              <w:rPr>
                <w:b/>
                <w:sz w:val="20"/>
                <w:szCs w:val="20"/>
              </w:rPr>
            </w:pPr>
            <w:r w:rsidRPr="00175D8B">
              <w:rPr>
                <w:b/>
                <w:sz w:val="20"/>
                <w:szCs w:val="20"/>
              </w:rPr>
              <w:t> </w:t>
            </w:r>
          </w:p>
        </w:tc>
        <w:tc>
          <w:tcPr>
            <w:tcW w:w="2348" w:type="dxa"/>
            <w:gridSpan w:val="2"/>
            <w:tcBorders>
              <w:top w:val="single" w:sz="4" w:space="0" w:color="000000"/>
              <w:left w:val="single" w:sz="4" w:space="0" w:color="000000"/>
              <w:bottom w:val="single" w:sz="4" w:space="0" w:color="000000"/>
              <w:right w:val="single" w:sz="4" w:space="0" w:color="000000"/>
            </w:tcBorders>
            <w:vAlign w:val="center"/>
          </w:tcPr>
          <w:p w14:paraId="00F7BBC4" w14:textId="77777777" w:rsidR="00E02AE5" w:rsidRPr="00175D8B" w:rsidRDefault="00E02AE5" w:rsidP="00DF417A">
            <w:pPr>
              <w:spacing w:after="160"/>
              <w:rPr>
                <w:b/>
                <w:sz w:val="20"/>
                <w:szCs w:val="20"/>
              </w:rPr>
            </w:pPr>
            <w:r w:rsidRPr="00175D8B">
              <w:rPr>
                <w:b/>
                <w:sz w:val="20"/>
                <w:szCs w:val="20"/>
              </w:rPr>
              <w:t> </w:t>
            </w:r>
          </w:p>
        </w:tc>
        <w:tc>
          <w:tcPr>
            <w:tcW w:w="1781" w:type="dxa"/>
            <w:gridSpan w:val="2"/>
            <w:tcBorders>
              <w:top w:val="single" w:sz="4" w:space="0" w:color="000000"/>
              <w:left w:val="single" w:sz="4" w:space="0" w:color="000000"/>
              <w:bottom w:val="single" w:sz="4" w:space="0" w:color="000000"/>
              <w:right w:val="single" w:sz="4" w:space="0" w:color="000000"/>
            </w:tcBorders>
            <w:vAlign w:val="center"/>
          </w:tcPr>
          <w:p w14:paraId="3AEB0460" w14:textId="77777777" w:rsidR="00E02AE5" w:rsidRPr="00175D8B" w:rsidRDefault="00E02AE5" w:rsidP="00DF417A">
            <w:pPr>
              <w:spacing w:after="160"/>
              <w:rPr>
                <w:b/>
                <w:sz w:val="20"/>
                <w:szCs w:val="20"/>
              </w:rPr>
            </w:pPr>
            <w:r w:rsidRPr="00175D8B">
              <w:rPr>
                <w:b/>
                <w:sz w:val="20"/>
                <w:szCs w:val="20"/>
              </w:rPr>
              <w:t> </w:t>
            </w:r>
          </w:p>
        </w:tc>
        <w:tc>
          <w:tcPr>
            <w:tcW w:w="1960" w:type="dxa"/>
            <w:gridSpan w:val="2"/>
            <w:tcBorders>
              <w:top w:val="single" w:sz="4" w:space="0" w:color="000000"/>
              <w:left w:val="single" w:sz="4" w:space="0" w:color="000000"/>
              <w:bottom w:val="single" w:sz="4" w:space="0" w:color="000000"/>
              <w:right w:val="single" w:sz="4" w:space="0" w:color="000000"/>
            </w:tcBorders>
            <w:vAlign w:val="center"/>
          </w:tcPr>
          <w:p w14:paraId="6513BD3A" w14:textId="77777777" w:rsidR="00E02AE5" w:rsidRPr="00175D8B" w:rsidRDefault="00E02AE5" w:rsidP="00DF417A">
            <w:pPr>
              <w:spacing w:after="160"/>
              <w:rPr>
                <w:b/>
                <w:sz w:val="20"/>
                <w:szCs w:val="20"/>
              </w:rPr>
            </w:pPr>
            <w:r w:rsidRPr="00175D8B">
              <w:rPr>
                <w:b/>
                <w:sz w:val="20"/>
                <w:szCs w:val="20"/>
              </w:rPr>
              <w:t> </w:t>
            </w:r>
          </w:p>
        </w:tc>
        <w:tc>
          <w:tcPr>
            <w:tcW w:w="398" w:type="dxa"/>
            <w:tcBorders>
              <w:top w:val="nil"/>
              <w:left w:val="nil"/>
              <w:bottom w:val="nil"/>
              <w:right w:val="nil"/>
            </w:tcBorders>
            <w:vAlign w:val="center"/>
          </w:tcPr>
          <w:p w14:paraId="414F4405" w14:textId="77777777" w:rsidR="00E02AE5" w:rsidRPr="00175D8B" w:rsidRDefault="00E02AE5" w:rsidP="00DF417A">
            <w:pPr>
              <w:spacing w:after="160"/>
              <w:rPr>
                <w:b/>
                <w:sz w:val="20"/>
                <w:szCs w:val="20"/>
              </w:rPr>
            </w:pPr>
          </w:p>
        </w:tc>
      </w:tr>
      <w:tr w:rsidR="00E02AE5" w:rsidRPr="00175D8B" w14:paraId="655883C8" w14:textId="77777777" w:rsidTr="00DF417A">
        <w:trPr>
          <w:trHeight w:val="128"/>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7B51424E" w14:textId="77777777" w:rsidR="00E02AE5" w:rsidRPr="00175D8B" w:rsidRDefault="00E02AE5" w:rsidP="00DF417A">
            <w:pPr>
              <w:spacing w:after="160"/>
              <w:rPr>
                <w:b/>
                <w:sz w:val="20"/>
                <w:szCs w:val="20"/>
              </w:rPr>
            </w:pPr>
          </w:p>
        </w:tc>
        <w:tc>
          <w:tcPr>
            <w:tcW w:w="2280" w:type="dxa"/>
            <w:gridSpan w:val="2"/>
            <w:tcBorders>
              <w:top w:val="single" w:sz="4" w:space="0" w:color="000000"/>
              <w:left w:val="single" w:sz="4" w:space="0" w:color="000000"/>
              <w:bottom w:val="single" w:sz="4" w:space="0" w:color="000000"/>
              <w:right w:val="single" w:sz="4" w:space="0" w:color="000000"/>
            </w:tcBorders>
            <w:vAlign w:val="center"/>
          </w:tcPr>
          <w:p w14:paraId="7769A2BE" w14:textId="77777777" w:rsidR="00E02AE5" w:rsidRPr="00175D8B" w:rsidRDefault="00E02AE5" w:rsidP="00DF417A">
            <w:pPr>
              <w:spacing w:after="160"/>
              <w:rPr>
                <w:b/>
                <w:sz w:val="20"/>
                <w:szCs w:val="20"/>
              </w:rPr>
            </w:pPr>
          </w:p>
        </w:tc>
        <w:tc>
          <w:tcPr>
            <w:tcW w:w="2051" w:type="dxa"/>
            <w:gridSpan w:val="2"/>
            <w:tcBorders>
              <w:top w:val="single" w:sz="4" w:space="0" w:color="000000"/>
              <w:left w:val="single" w:sz="4" w:space="0" w:color="000000"/>
              <w:bottom w:val="single" w:sz="4" w:space="0" w:color="000000"/>
              <w:right w:val="single" w:sz="4" w:space="0" w:color="000000"/>
            </w:tcBorders>
            <w:vAlign w:val="center"/>
          </w:tcPr>
          <w:p w14:paraId="2A954F55" w14:textId="77777777" w:rsidR="00E02AE5" w:rsidRPr="00175D8B" w:rsidRDefault="00E02AE5" w:rsidP="00DF417A">
            <w:pPr>
              <w:spacing w:after="160"/>
              <w:rPr>
                <w:b/>
                <w:sz w:val="20"/>
                <w:szCs w:val="20"/>
              </w:rPr>
            </w:pPr>
          </w:p>
        </w:tc>
        <w:tc>
          <w:tcPr>
            <w:tcW w:w="2116" w:type="dxa"/>
            <w:gridSpan w:val="2"/>
            <w:tcBorders>
              <w:top w:val="single" w:sz="4" w:space="0" w:color="000000"/>
              <w:left w:val="single" w:sz="4" w:space="0" w:color="000000"/>
              <w:bottom w:val="single" w:sz="4" w:space="0" w:color="000000"/>
              <w:right w:val="single" w:sz="4" w:space="0" w:color="000000"/>
            </w:tcBorders>
            <w:vAlign w:val="center"/>
          </w:tcPr>
          <w:p w14:paraId="3D11308B" w14:textId="77777777" w:rsidR="00E02AE5" w:rsidRPr="00175D8B" w:rsidRDefault="00E02AE5" w:rsidP="00DF417A">
            <w:pPr>
              <w:spacing w:after="160"/>
              <w:rPr>
                <w:b/>
                <w:sz w:val="20"/>
                <w:szCs w:val="20"/>
              </w:rPr>
            </w:pPr>
          </w:p>
        </w:tc>
        <w:tc>
          <w:tcPr>
            <w:tcW w:w="2348" w:type="dxa"/>
            <w:gridSpan w:val="2"/>
            <w:tcBorders>
              <w:top w:val="single" w:sz="4" w:space="0" w:color="000000"/>
              <w:left w:val="single" w:sz="4" w:space="0" w:color="000000"/>
              <w:bottom w:val="single" w:sz="4" w:space="0" w:color="000000"/>
              <w:right w:val="single" w:sz="4" w:space="0" w:color="000000"/>
            </w:tcBorders>
            <w:vAlign w:val="center"/>
          </w:tcPr>
          <w:p w14:paraId="578014F8" w14:textId="77777777" w:rsidR="00E02AE5" w:rsidRPr="00175D8B" w:rsidRDefault="00E02AE5" w:rsidP="00DF417A">
            <w:pPr>
              <w:spacing w:after="160"/>
              <w:rPr>
                <w:b/>
                <w:sz w:val="20"/>
                <w:szCs w:val="20"/>
              </w:rPr>
            </w:pPr>
          </w:p>
        </w:tc>
        <w:tc>
          <w:tcPr>
            <w:tcW w:w="1781" w:type="dxa"/>
            <w:gridSpan w:val="2"/>
            <w:tcBorders>
              <w:top w:val="single" w:sz="4" w:space="0" w:color="000000"/>
              <w:left w:val="single" w:sz="4" w:space="0" w:color="000000"/>
              <w:bottom w:val="single" w:sz="4" w:space="0" w:color="000000"/>
              <w:right w:val="single" w:sz="4" w:space="0" w:color="000000"/>
            </w:tcBorders>
            <w:vAlign w:val="center"/>
          </w:tcPr>
          <w:p w14:paraId="67B14B14" w14:textId="77777777" w:rsidR="00E02AE5" w:rsidRPr="00175D8B" w:rsidRDefault="00E02AE5" w:rsidP="00DF417A">
            <w:pPr>
              <w:spacing w:after="160"/>
              <w:rPr>
                <w:b/>
                <w:sz w:val="20"/>
                <w:szCs w:val="20"/>
              </w:rPr>
            </w:pPr>
          </w:p>
        </w:tc>
        <w:tc>
          <w:tcPr>
            <w:tcW w:w="1960" w:type="dxa"/>
            <w:gridSpan w:val="2"/>
            <w:tcBorders>
              <w:top w:val="single" w:sz="4" w:space="0" w:color="000000"/>
              <w:left w:val="single" w:sz="4" w:space="0" w:color="000000"/>
              <w:bottom w:val="single" w:sz="4" w:space="0" w:color="000000"/>
              <w:right w:val="single" w:sz="4" w:space="0" w:color="000000"/>
            </w:tcBorders>
            <w:vAlign w:val="center"/>
          </w:tcPr>
          <w:p w14:paraId="179A2811" w14:textId="77777777" w:rsidR="00E02AE5" w:rsidRPr="00175D8B" w:rsidRDefault="00E02AE5" w:rsidP="00DF417A">
            <w:pPr>
              <w:spacing w:after="160"/>
              <w:rPr>
                <w:b/>
                <w:sz w:val="20"/>
                <w:szCs w:val="20"/>
              </w:rPr>
            </w:pPr>
          </w:p>
        </w:tc>
        <w:tc>
          <w:tcPr>
            <w:tcW w:w="398" w:type="dxa"/>
            <w:tcBorders>
              <w:top w:val="nil"/>
              <w:left w:val="nil"/>
              <w:bottom w:val="nil"/>
              <w:right w:val="nil"/>
            </w:tcBorders>
            <w:vAlign w:val="center"/>
          </w:tcPr>
          <w:p w14:paraId="0FFFD9F0" w14:textId="77777777" w:rsidR="00E02AE5" w:rsidRPr="00175D8B" w:rsidRDefault="00E02AE5" w:rsidP="00DF417A">
            <w:pPr>
              <w:spacing w:after="160"/>
              <w:rPr>
                <w:b/>
                <w:sz w:val="20"/>
                <w:szCs w:val="20"/>
              </w:rPr>
            </w:pPr>
          </w:p>
        </w:tc>
      </w:tr>
      <w:tr w:rsidR="00E02AE5" w:rsidRPr="00175D8B" w14:paraId="76494049" w14:textId="77777777" w:rsidTr="00DF417A">
        <w:trPr>
          <w:trHeight w:val="149"/>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0FC48752" w14:textId="77777777" w:rsidR="00E02AE5" w:rsidRPr="00175D8B" w:rsidRDefault="00E02AE5" w:rsidP="00DF417A">
            <w:pPr>
              <w:spacing w:after="160"/>
              <w:rPr>
                <w:b/>
                <w:sz w:val="20"/>
                <w:szCs w:val="20"/>
              </w:rPr>
            </w:pPr>
          </w:p>
        </w:tc>
        <w:tc>
          <w:tcPr>
            <w:tcW w:w="2280" w:type="dxa"/>
            <w:gridSpan w:val="2"/>
            <w:tcBorders>
              <w:top w:val="single" w:sz="4" w:space="0" w:color="000000"/>
              <w:left w:val="single" w:sz="4" w:space="0" w:color="000000"/>
              <w:bottom w:val="single" w:sz="4" w:space="0" w:color="000000"/>
              <w:right w:val="single" w:sz="4" w:space="0" w:color="000000"/>
            </w:tcBorders>
            <w:vAlign w:val="center"/>
          </w:tcPr>
          <w:p w14:paraId="01880B57" w14:textId="77777777" w:rsidR="00E02AE5" w:rsidRPr="00175D8B" w:rsidRDefault="00E02AE5" w:rsidP="00DF417A">
            <w:pPr>
              <w:spacing w:after="160"/>
              <w:rPr>
                <w:b/>
                <w:sz w:val="20"/>
                <w:szCs w:val="20"/>
              </w:rPr>
            </w:pPr>
          </w:p>
        </w:tc>
        <w:tc>
          <w:tcPr>
            <w:tcW w:w="2051" w:type="dxa"/>
            <w:gridSpan w:val="2"/>
            <w:tcBorders>
              <w:top w:val="single" w:sz="4" w:space="0" w:color="000000"/>
              <w:left w:val="single" w:sz="4" w:space="0" w:color="000000"/>
              <w:bottom w:val="single" w:sz="4" w:space="0" w:color="000000"/>
              <w:right w:val="single" w:sz="4" w:space="0" w:color="000000"/>
            </w:tcBorders>
            <w:vAlign w:val="center"/>
          </w:tcPr>
          <w:p w14:paraId="5B27C512" w14:textId="77777777" w:rsidR="00E02AE5" w:rsidRPr="00175D8B" w:rsidRDefault="00E02AE5" w:rsidP="00DF417A">
            <w:pPr>
              <w:spacing w:after="160"/>
              <w:rPr>
                <w:b/>
                <w:sz w:val="20"/>
                <w:szCs w:val="20"/>
              </w:rPr>
            </w:pPr>
          </w:p>
        </w:tc>
        <w:tc>
          <w:tcPr>
            <w:tcW w:w="2116" w:type="dxa"/>
            <w:gridSpan w:val="2"/>
            <w:tcBorders>
              <w:top w:val="single" w:sz="4" w:space="0" w:color="000000"/>
              <w:left w:val="single" w:sz="4" w:space="0" w:color="000000"/>
              <w:bottom w:val="single" w:sz="4" w:space="0" w:color="000000"/>
              <w:right w:val="single" w:sz="4" w:space="0" w:color="000000"/>
            </w:tcBorders>
            <w:vAlign w:val="center"/>
          </w:tcPr>
          <w:p w14:paraId="1FC033C9" w14:textId="77777777" w:rsidR="00E02AE5" w:rsidRPr="00175D8B" w:rsidRDefault="00E02AE5" w:rsidP="00DF417A">
            <w:pPr>
              <w:spacing w:after="160"/>
              <w:rPr>
                <w:b/>
                <w:sz w:val="20"/>
                <w:szCs w:val="20"/>
              </w:rPr>
            </w:pPr>
          </w:p>
        </w:tc>
        <w:tc>
          <w:tcPr>
            <w:tcW w:w="2348" w:type="dxa"/>
            <w:gridSpan w:val="2"/>
            <w:tcBorders>
              <w:top w:val="single" w:sz="4" w:space="0" w:color="000000"/>
              <w:left w:val="single" w:sz="4" w:space="0" w:color="000000"/>
              <w:bottom w:val="single" w:sz="4" w:space="0" w:color="000000"/>
              <w:right w:val="single" w:sz="4" w:space="0" w:color="000000"/>
            </w:tcBorders>
            <w:vAlign w:val="center"/>
          </w:tcPr>
          <w:p w14:paraId="2B8F68B5" w14:textId="77777777" w:rsidR="00E02AE5" w:rsidRPr="00175D8B" w:rsidRDefault="00E02AE5" w:rsidP="00DF417A">
            <w:pPr>
              <w:spacing w:after="160"/>
              <w:rPr>
                <w:b/>
                <w:sz w:val="20"/>
                <w:szCs w:val="20"/>
              </w:rPr>
            </w:pPr>
          </w:p>
        </w:tc>
        <w:tc>
          <w:tcPr>
            <w:tcW w:w="1781" w:type="dxa"/>
            <w:gridSpan w:val="2"/>
            <w:tcBorders>
              <w:top w:val="single" w:sz="4" w:space="0" w:color="000000"/>
              <w:left w:val="single" w:sz="4" w:space="0" w:color="000000"/>
              <w:bottom w:val="single" w:sz="4" w:space="0" w:color="000000"/>
              <w:right w:val="single" w:sz="4" w:space="0" w:color="000000"/>
            </w:tcBorders>
            <w:vAlign w:val="center"/>
          </w:tcPr>
          <w:p w14:paraId="37B0B48E" w14:textId="77777777" w:rsidR="00E02AE5" w:rsidRPr="00175D8B" w:rsidRDefault="00E02AE5" w:rsidP="00DF417A">
            <w:pPr>
              <w:spacing w:after="160"/>
              <w:rPr>
                <w:b/>
                <w:sz w:val="20"/>
                <w:szCs w:val="20"/>
              </w:rPr>
            </w:pPr>
          </w:p>
        </w:tc>
        <w:tc>
          <w:tcPr>
            <w:tcW w:w="1960" w:type="dxa"/>
            <w:gridSpan w:val="2"/>
            <w:tcBorders>
              <w:top w:val="single" w:sz="4" w:space="0" w:color="000000"/>
              <w:left w:val="single" w:sz="4" w:space="0" w:color="000000"/>
              <w:bottom w:val="single" w:sz="4" w:space="0" w:color="000000"/>
              <w:right w:val="single" w:sz="4" w:space="0" w:color="000000"/>
            </w:tcBorders>
            <w:vAlign w:val="center"/>
          </w:tcPr>
          <w:p w14:paraId="110B8C65" w14:textId="77777777" w:rsidR="00E02AE5" w:rsidRPr="00175D8B" w:rsidRDefault="00E02AE5" w:rsidP="00DF417A">
            <w:pPr>
              <w:spacing w:after="160"/>
              <w:rPr>
                <w:b/>
                <w:sz w:val="20"/>
                <w:szCs w:val="20"/>
              </w:rPr>
            </w:pPr>
          </w:p>
        </w:tc>
        <w:tc>
          <w:tcPr>
            <w:tcW w:w="398" w:type="dxa"/>
            <w:tcBorders>
              <w:top w:val="nil"/>
              <w:left w:val="nil"/>
              <w:bottom w:val="nil"/>
              <w:right w:val="nil"/>
            </w:tcBorders>
            <w:vAlign w:val="center"/>
          </w:tcPr>
          <w:p w14:paraId="0315CC3F" w14:textId="77777777" w:rsidR="00E02AE5" w:rsidRPr="00175D8B" w:rsidRDefault="00E02AE5" w:rsidP="00DF417A">
            <w:pPr>
              <w:spacing w:after="160"/>
              <w:rPr>
                <w:b/>
                <w:sz w:val="20"/>
                <w:szCs w:val="20"/>
              </w:rPr>
            </w:pPr>
          </w:p>
        </w:tc>
      </w:tr>
      <w:tr w:rsidR="00E02AE5" w:rsidRPr="00175D8B" w14:paraId="07DE4D29" w14:textId="77777777" w:rsidTr="00DF417A">
        <w:trPr>
          <w:trHeight w:val="171"/>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73342196" w14:textId="77777777" w:rsidR="00E02AE5" w:rsidRPr="00175D8B" w:rsidRDefault="00E02AE5" w:rsidP="00DF417A">
            <w:pPr>
              <w:spacing w:after="160"/>
              <w:rPr>
                <w:b/>
                <w:sz w:val="20"/>
                <w:szCs w:val="20"/>
              </w:rPr>
            </w:pPr>
          </w:p>
        </w:tc>
        <w:tc>
          <w:tcPr>
            <w:tcW w:w="2280" w:type="dxa"/>
            <w:gridSpan w:val="2"/>
            <w:tcBorders>
              <w:top w:val="single" w:sz="4" w:space="0" w:color="000000"/>
              <w:left w:val="single" w:sz="4" w:space="0" w:color="000000"/>
              <w:bottom w:val="single" w:sz="4" w:space="0" w:color="000000"/>
              <w:right w:val="single" w:sz="4" w:space="0" w:color="000000"/>
            </w:tcBorders>
            <w:vAlign w:val="center"/>
          </w:tcPr>
          <w:p w14:paraId="31F96C02" w14:textId="77777777" w:rsidR="00E02AE5" w:rsidRPr="00175D8B" w:rsidRDefault="00E02AE5" w:rsidP="00DF417A">
            <w:pPr>
              <w:spacing w:after="160"/>
              <w:rPr>
                <w:b/>
                <w:sz w:val="20"/>
                <w:szCs w:val="20"/>
              </w:rPr>
            </w:pPr>
          </w:p>
        </w:tc>
        <w:tc>
          <w:tcPr>
            <w:tcW w:w="2051" w:type="dxa"/>
            <w:gridSpan w:val="2"/>
            <w:tcBorders>
              <w:top w:val="single" w:sz="4" w:space="0" w:color="000000"/>
              <w:left w:val="single" w:sz="4" w:space="0" w:color="000000"/>
              <w:bottom w:val="single" w:sz="4" w:space="0" w:color="000000"/>
              <w:right w:val="single" w:sz="4" w:space="0" w:color="000000"/>
            </w:tcBorders>
            <w:vAlign w:val="center"/>
          </w:tcPr>
          <w:p w14:paraId="48B14D96" w14:textId="77777777" w:rsidR="00E02AE5" w:rsidRPr="00175D8B" w:rsidRDefault="00E02AE5" w:rsidP="00DF417A">
            <w:pPr>
              <w:spacing w:after="160"/>
              <w:rPr>
                <w:b/>
                <w:sz w:val="20"/>
                <w:szCs w:val="20"/>
              </w:rPr>
            </w:pPr>
          </w:p>
        </w:tc>
        <w:tc>
          <w:tcPr>
            <w:tcW w:w="2116" w:type="dxa"/>
            <w:gridSpan w:val="2"/>
            <w:tcBorders>
              <w:top w:val="single" w:sz="4" w:space="0" w:color="000000"/>
              <w:left w:val="single" w:sz="4" w:space="0" w:color="000000"/>
              <w:bottom w:val="single" w:sz="4" w:space="0" w:color="000000"/>
              <w:right w:val="single" w:sz="4" w:space="0" w:color="000000"/>
            </w:tcBorders>
            <w:vAlign w:val="center"/>
          </w:tcPr>
          <w:p w14:paraId="54FA4A8F" w14:textId="77777777" w:rsidR="00E02AE5" w:rsidRPr="00175D8B" w:rsidRDefault="00E02AE5" w:rsidP="00DF417A">
            <w:pPr>
              <w:spacing w:after="160"/>
              <w:rPr>
                <w:b/>
                <w:sz w:val="20"/>
                <w:szCs w:val="20"/>
              </w:rPr>
            </w:pPr>
          </w:p>
        </w:tc>
        <w:tc>
          <w:tcPr>
            <w:tcW w:w="2348" w:type="dxa"/>
            <w:gridSpan w:val="2"/>
            <w:tcBorders>
              <w:top w:val="single" w:sz="4" w:space="0" w:color="000000"/>
              <w:left w:val="single" w:sz="4" w:space="0" w:color="000000"/>
              <w:bottom w:val="single" w:sz="4" w:space="0" w:color="000000"/>
              <w:right w:val="single" w:sz="4" w:space="0" w:color="000000"/>
            </w:tcBorders>
            <w:vAlign w:val="center"/>
          </w:tcPr>
          <w:p w14:paraId="210B2C57" w14:textId="77777777" w:rsidR="00E02AE5" w:rsidRPr="00175D8B" w:rsidRDefault="00E02AE5" w:rsidP="00DF417A">
            <w:pPr>
              <w:spacing w:after="160"/>
              <w:rPr>
                <w:b/>
                <w:sz w:val="20"/>
                <w:szCs w:val="20"/>
              </w:rPr>
            </w:pPr>
          </w:p>
        </w:tc>
        <w:tc>
          <w:tcPr>
            <w:tcW w:w="1781" w:type="dxa"/>
            <w:gridSpan w:val="2"/>
            <w:tcBorders>
              <w:top w:val="single" w:sz="4" w:space="0" w:color="000000"/>
              <w:left w:val="single" w:sz="4" w:space="0" w:color="000000"/>
              <w:bottom w:val="single" w:sz="4" w:space="0" w:color="000000"/>
              <w:right w:val="single" w:sz="4" w:space="0" w:color="000000"/>
            </w:tcBorders>
            <w:vAlign w:val="center"/>
          </w:tcPr>
          <w:p w14:paraId="44B0B7A8" w14:textId="77777777" w:rsidR="00E02AE5" w:rsidRPr="00175D8B" w:rsidRDefault="00E02AE5" w:rsidP="00DF417A">
            <w:pPr>
              <w:spacing w:after="160"/>
              <w:rPr>
                <w:b/>
                <w:sz w:val="20"/>
                <w:szCs w:val="20"/>
              </w:rPr>
            </w:pPr>
          </w:p>
        </w:tc>
        <w:tc>
          <w:tcPr>
            <w:tcW w:w="1960" w:type="dxa"/>
            <w:gridSpan w:val="2"/>
            <w:tcBorders>
              <w:top w:val="single" w:sz="4" w:space="0" w:color="000000"/>
              <w:left w:val="single" w:sz="4" w:space="0" w:color="000000"/>
              <w:bottom w:val="single" w:sz="4" w:space="0" w:color="000000"/>
              <w:right w:val="single" w:sz="4" w:space="0" w:color="000000"/>
            </w:tcBorders>
            <w:vAlign w:val="center"/>
          </w:tcPr>
          <w:p w14:paraId="4A828EC2" w14:textId="77777777" w:rsidR="00E02AE5" w:rsidRPr="00175D8B" w:rsidRDefault="00E02AE5" w:rsidP="00DF417A">
            <w:pPr>
              <w:spacing w:after="160"/>
              <w:rPr>
                <w:b/>
                <w:sz w:val="20"/>
                <w:szCs w:val="20"/>
              </w:rPr>
            </w:pPr>
          </w:p>
        </w:tc>
        <w:tc>
          <w:tcPr>
            <w:tcW w:w="398" w:type="dxa"/>
            <w:tcBorders>
              <w:top w:val="nil"/>
              <w:left w:val="nil"/>
              <w:bottom w:val="nil"/>
              <w:right w:val="nil"/>
            </w:tcBorders>
            <w:vAlign w:val="center"/>
          </w:tcPr>
          <w:p w14:paraId="0DAB8371" w14:textId="77777777" w:rsidR="00E02AE5" w:rsidRPr="00175D8B" w:rsidRDefault="00E02AE5" w:rsidP="00DF417A">
            <w:pPr>
              <w:spacing w:after="160"/>
              <w:rPr>
                <w:b/>
                <w:sz w:val="20"/>
                <w:szCs w:val="20"/>
              </w:rPr>
            </w:pPr>
          </w:p>
        </w:tc>
      </w:tr>
      <w:tr w:rsidR="00E02AE5" w:rsidRPr="00175D8B" w14:paraId="1B43DB37" w14:textId="77777777" w:rsidTr="00DF417A">
        <w:trPr>
          <w:trHeight w:val="204"/>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7642DFD4" w14:textId="77777777" w:rsidR="00E02AE5" w:rsidRPr="00175D8B" w:rsidRDefault="00E02AE5" w:rsidP="00DF417A">
            <w:pPr>
              <w:spacing w:after="160"/>
              <w:rPr>
                <w:b/>
                <w:sz w:val="20"/>
                <w:szCs w:val="20"/>
              </w:rPr>
            </w:pPr>
          </w:p>
        </w:tc>
        <w:tc>
          <w:tcPr>
            <w:tcW w:w="2280" w:type="dxa"/>
            <w:gridSpan w:val="2"/>
            <w:tcBorders>
              <w:top w:val="single" w:sz="4" w:space="0" w:color="000000"/>
              <w:left w:val="single" w:sz="4" w:space="0" w:color="000000"/>
              <w:bottom w:val="single" w:sz="4" w:space="0" w:color="000000"/>
              <w:right w:val="single" w:sz="4" w:space="0" w:color="000000"/>
            </w:tcBorders>
            <w:vAlign w:val="center"/>
          </w:tcPr>
          <w:p w14:paraId="7E91C238" w14:textId="77777777" w:rsidR="00E02AE5" w:rsidRPr="00175D8B" w:rsidRDefault="00E02AE5" w:rsidP="00DF417A">
            <w:pPr>
              <w:spacing w:after="160"/>
              <w:rPr>
                <w:b/>
                <w:sz w:val="20"/>
                <w:szCs w:val="20"/>
              </w:rPr>
            </w:pPr>
          </w:p>
        </w:tc>
        <w:tc>
          <w:tcPr>
            <w:tcW w:w="2051" w:type="dxa"/>
            <w:gridSpan w:val="2"/>
            <w:tcBorders>
              <w:top w:val="single" w:sz="4" w:space="0" w:color="000000"/>
              <w:left w:val="single" w:sz="4" w:space="0" w:color="000000"/>
              <w:bottom w:val="single" w:sz="4" w:space="0" w:color="000000"/>
              <w:right w:val="single" w:sz="4" w:space="0" w:color="000000"/>
            </w:tcBorders>
            <w:vAlign w:val="center"/>
          </w:tcPr>
          <w:p w14:paraId="38D4E870" w14:textId="77777777" w:rsidR="00E02AE5" w:rsidRPr="00175D8B" w:rsidRDefault="00E02AE5" w:rsidP="00DF417A">
            <w:pPr>
              <w:spacing w:after="160"/>
              <w:rPr>
                <w:b/>
                <w:sz w:val="20"/>
                <w:szCs w:val="20"/>
              </w:rPr>
            </w:pPr>
          </w:p>
        </w:tc>
        <w:tc>
          <w:tcPr>
            <w:tcW w:w="2116" w:type="dxa"/>
            <w:gridSpan w:val="2"/>
            <w:tcBorders>
              <w:top w:val="single" w:sz="4" w:space="0" w:color="000000"/>
              <w:left w:val="single" w:sz="4" w:space="0" w:color="000000"/>
              <w:bottom w:val="single" w:sz="4" w:space="0" w:color="000000"/>
              <w:right w:val="single" w:sz="4" w:space="0" w:color="000000"/>
            </w:tcBorders>
            <w:vAlign w:val="center"/>
          </w:tcPr>
          <w:p w14:paraId="5AE5E189" w14:textId="77777777" w:rsidR="00E02AE5" w:rsidRPr="00175D8B" w:rsidRDefault="00E02AE5" w:rsidP="00DF417A">
            <w:pPr>
              <w:spacing w:after="160"/>
              <w:rPr>
                <w:b/>
                <w:sz w:val="20"/>
                <w:szCs w:val="20"/>
              </w:rPr>
            </w:pPr>
          </w:p>
        </w:tc>
        <w:tc>
          <w:tcPr>
            <w:tcW w:w="2348" w:type="dxa"/>
            <w:gridSpan w:val="2"/>
            <w:tcBorders>
              <w:top w:val="single" w:sz="4" w:space="0" w:color="000000"/>
              <w:left w:val="single" w:sz="4" w:space="0" w:color="000000"/>
              <w:bottom w:val="single" w:sz="4" w:space="0" w:color="000000"/>
              <w:right w:val="single" w:sz="4" w:space="0" w:color="000000"/>
            </w:tcBorders>
            <w:vAlign w:val="center"/>
          </w:tcPr>
          <w:p w14:paraId="400A1E3C" w14:textId="77777777" w:rsidR="00E02AE5" w:rsidRPr="00175D8B" w:rsidRDefault="00E02AE5" w:rsidP="00DF417A">
            <w:pPr>
              <w:spacing w:after="160"/>
              <w:rPr>
                <w:b/>
                <w:sz w:val="20"/>
                <w:szCs w:val="20"/>
              </w:rPr>
            </w:pPr>
          </w:p>
        </w:tc>
        <w:tc>
          <w:tcPr>
            <w:tcW w:w="1781" w:type="dxa"/>
            <w:gridSpan w:val="2"/>
            <w:tcBorders>
              <w:top w:val="single" w:sz="4" w:space="0" w:color="000000"/>
              <w:left w:val="single" w:sz="4" w:space="0" w:color="000000"/>
              <w:bottom w:val="single" w:sz="4" w:space="0" w:color="000000"/>
              <w:right w:val="single" w:sz="4" w:space="0" w:color="000000"/>
            </w:tcBorders>
            <w:vAlign w:val="center"/>
          </w:tcPr>
          <w:p w14:paraId="5F36B8FD" w14:textId="77777777" w:rsidR="00E02AE5" w:rsidRPr="00175D8B" w:rsidRDefault="00E02AE5" w:rsidP="00DF417A">
            <w:pPr>
              <w:spacing w:after="160"/>
              <w:rPr>
                <w:b/>
                <w:sz w:val="20"/>
                <w:szCs w:val="20"/>
              </w:rPr>
            </w:pPr>
          </w:p>
        </w:tc>
        <w:tc>
          <w:tcPr>
            <w:tcW w:w="1960" w:type="dxa"/>
            <w:gridSpan w:val="2"/>
            <w:tcBorders>
              <w:top w:val="single" w:sz="4" w:space="0" w:color="000000"/>
              <w:left w:val="single" w:sz="4" w:space="0" w:color="000000"/>
              <w:bottom w:val="single" w:sz="4" w:space="0" w:color="000000"/>
              <w:right w:val="single" w:sz="4" w:space="0" w:color="000000"/>
            </w:tcBorders>
            <w:vAlign w:val="center"/>
          </w:tcPr>
          <w:p w14:paraId="5163AFE7" w14:textId="77777777" w:rsidR="00E02AE5" w:rsidRPr="00175D8B" w:rsidRDefault="00E02AE5" w:rsidP="00DF417A">
            <w:pPr>
              <w:spacing w:after="160"/>
              <w:rPr>
                <w:b/>
                <w:sz w:val="20"/>
                <w:szCs w:val="20"/>
              </w:rPr>
            </w:pPr>
          </w:p>
        </w:tc>
        <w:tc>
          <w:tcPr>
            <w:tcW w:w="398" w:type="dxa"/>
            <w:tcBorders>
              <w:top w:val="nil"/>
              <w:left w:val="nil"/>
              <w:bottom w:val="nil"/>
              <w:right w:val="nil"/>
            </w:tcBorders>
            <w:vAlign w:val="center"/>
          </w:tcPr>
          <w:p w14:paraId="786023A1" w14:textId="77777777" w:rsidR="00E02AE5" w:rsidRPr="00175D8B" w:rsidRDefault="00E02AE5" w:rsidP="00DF417A">
            <w:pPr>
              <w:spacing w:after="160"/>
              <w:rPr>
                <w:b/>
                <w:sz w:val="20"/>
                <w:szCs w:val="20"/>
              </w:rPr>
            </w:pPr>
          </w:p>
        </w:tc>
      </w:tr>
      <w:tr w:rsidR="00E02AE5" w:rsidRPr="00175D8B" w14:paraId="47255706" w14:textId="77777777" w:rsidTr="00DF417A">
        <w:trPr>
          <w:trHeight w:val="95"/>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153D8D0C" w14:textId="77777777" w:rsidR="00E02AE5" w:rsidRPr="00175D8B" w:rsidRDefault="00E02AE5" w:rsidP="00DF417A">
            <w:pPr>
              <w:spacing w:after="160"/>
              <w:rPr>
                <w:b/>
                <w:sz w:val="20"/>
                <w:szCs w:val="20"/>
              </w:rPr>
            </w:pPr>
          </w:p>
        </w:tc>
        <w:tc>
          <w:tcPr>
            <w:tcW w:w="2280" w:type="dxa"/>
            <w:gridSpan w:val="2"/>
            <w:tcBorders>
              <w:top w:val="single" w:sz="4" w:space="0" w:color="000000"/>
              <w:left w:val="single" w:sz="4" w:space="0" w:color="000000"/>
              <w:bottom w:val="single" w:sz="4" w:space="0" w:color="000000"/>
              <w:right w:val="single" w:sz="4" w:space="0" w:color="000000"/>
            </w:tcBorders>
            <w:vAlign w:val="center"/>
          </w:tcPr>
          <w:p w14:paraId="7558C472" w14:textId="77777777" w:rsidR="00E02AE5" w:rsidRPr="00175D8B" w:rsidRDefault="00E02AE5" w:rsidP="00DF417A">
            <w:pPr>
              <w:spacing w:after="160"/>
              <w:rPr>
                <w:b/>
                <w:sz w:val="20"/>
                <w:szCs w:val="20"/>
              </w:rPr>
            </w:pPr>
          </w:p>
        </w:tc>
        <w:tc>
          <w:tcPr>
            <w:tcW w:w="2051" w:type="dxa"/>
            <w:gridSpan w:val="2"/>
            <w:tcBorders>
              <w:top w:val="single" w:sz="4" w:space="0" w:color="000000"/>
              <w:left w:val="single" w:sz="4" w:space="0" w:color="000000"/>
              <w:bottom w:val="single" w:sz="4" w:space="0" w:color="000000"/>
              <w:right w:val="single" w:sz="4" w:space="0" w:color="000000"/>
            </w:tcBorders>
            <w:vAlign w:val="center"/>
          </w:tcPr>
          <w:p w14:paraId="6975475E" w14:textId="77777777" w:rsidR="00E02AE5" w:rsidRPr="00175D8B" w:rsidRDefault="00E02AE5" w:rsidP="00DF417A">
            <w:pPr>
              <w:spacing w:after="160"/>
              <w:rPr>
                <w:b/>
                <w:sz w:val="20"/>
                <w:szCs w:val="20"/>
              </w:rPr>
            </w:pPr>
          </w:p>
        </w:tc>
        <w:tc>
          <w:tcPr>
            <w:tcW w:w="2116" w:type="dxa"/>
            <w:gridSpan w:val="2"/>
            <w:tcBorders>
              <w:top w:val="single" w:sz="4" w:space="0" w:color="000000"/>
              <w:left w:val="single" w:sz="4" w:space="0" w:color="000000"/>
              <w:bottom w:val="single" w:sz="4" w:space="0" w:color="000000"/>
              <w:right w:val="single" w:sz="4" w:space="0" w:color="000000"/>
            </w:tcBorders>
            <w:vAlign w:val="center"/>
          </w:tcPr>
          <w:p w14:paraId="533FC806" w14:textId="77777777" w:rsidR="00E02AE5" w:rsidRPr="00175D8B" w:rsidRDefault="00E02AE5" w:rsidP="00DF417A">
            <w:pPr>
              <w:spacing w:after="160"/>
              <w:rPr>
                <w:b/>
                <w:sz w:val="20"/>
                <w:szCs w:val="20"/>
              </w:rPr>
            </w:pPr>
          </w:p>
        </w:tc>
        <w:tc>
          <w:tcPr>
            <w:tcW w:w="2348" w:type="dxa"/>
            <w:gridSpan w:val="2"/>
            <w:tcBorders>
              <w:top w:val="single" w:sz="4" w:space="0" w:color="000000"/>
              <w:left w:val="single" w:sz="4" w:space="0" w:color="000000"/>
              <w:bottom w:val="single" w:sz="4" w:space="0" w:color="000000"/>
              <w:right w:val="single" w:sz="4" w:space="0" w:color="000000"/>
            </w:tcBorders>
            <w:vAlign w:val="center"/>
          </w:tcPr>
          <w:p w14:paraId="50E97714" w14:textId="77777777" w:rsidR="00E02AE5" w:rsidRPr="00175D8B" w:rsidRDefault="00E02AE5" w:rsidP="00DF417A">
            <w:pPr>
              <w:spacing w:after="160"/>
              <w:rPr>
                <w:b/>
                <w:sz w:val="20"/>
                <w:szCs w:val="20"/>
              </w:rPr>
            </w:pPr>
          </w:p>
        </w:tc>
        <w:tc>
          <w:tcPr>
            <w:tcW w:w="1781" w:type="dxa"/>
            <w:gridSpan w:val="2"/>
            <w:tcBorders>
              <w:top w:val="single" w:sz="4" w:space="0" w:color="000000"/>
              <w:left w:val="single" w:sz="4" w:space="0" w:color="000000"/>
              <w:bottom w:val="single" w:sz="4" w:space="0" w:color="000000"/>
              <w:right w:val="single" w:sz="4" w:space="0" w:color="000000"/>
            </w:tcBorders>
            <w:vAlign w:val="center"/>
          </w:tcPr>
          <w:p w14:paraId="278A1F7F" w14:textId="77777777" w:rsidR="00E02AE5" w:rsidRPr="00175D8B" w:rsidRDefault="00E02AE5" w:rsidP="00DF417A">
            <w:pPr>
              <w:spacing w:after="160"/>
              <w:rPr>
                <w:b/>
                <w:sz w:val="20"/>
                <w:szCs w:val="20"/>
              </w:rPr>
            </w:pPr>
          </w:p>
        </w:tc>
        <w:tc>
          <w:tcPr>
            <w:tcW w:w="1960" w:type="dxa"/>
            <w:gridSpan w:val="2"/>
            <w:tcBorders>
              <w:top w:val="single" w:sz="4" w:space="0" w:color="000000"/>
              <w:left w:val="single" w:sz="4" w:space="0" w:color="000000"/>
              <w:bottom w:val="single" w:sz="4" w:space="0" w:color="000000"/>
              <w:right w:val="single" w:sz="4" w:space="0" w:color="000000"/>
            </w:tcBorders>
            <w:vAlign w:val="center"/>
          </w:tcPr>
          <w:p w14:paraId="78E70DD2" w14:textId="77777777" w:rsidR="00E02AE5" w:rsidRPr="00175D8B" w:rsidRDefault="00E02AE5" w:rsidP="00DF417A">
            <w:pPr>
              <w:spacing w:after="160"/>
              <w:rPr>
                <w:b/>
                <w:sz w:val="20"/>
                <w:szCs w:val="20"/>
              </w:rPr>
            </w:pPr>
          </w:p>
        </w:tc>
        <w:tc>
          <w:tcPr>
            <w:tcW w:w="398" w:type="dxa"/>
            <w:tcBorders>
              <w:top w:val="nil"/>
              <w:left w:val="nil"/>
              <w:bottom w:val="nil"/>
              <w:right w:val="nil"/>
            </w:tcBorders>
            <w:vAlign w:val="center"/>
          </w:tcPr>
          <w:p w14:paraId="530A2474" w14:textId="77777777" w:rsidR="00E02AE5" w:rsidRPr="00175D8B" w:rsidRDefault="00E02AE5" w:rsidP="00DF417A">
            <w:pPr>
              <w:spacing w:after="160"/>
              <w:rPr>
                <w:b/>
                <w:sz w:val="20"/>
                <w:szCs w:val="20"/>
              </w:rPr>
            </w:pPr>
          </w:p>
        </w:tc>
      </w:tr>
      <w:tr w:rsidR="00E02AE5" w:rsidRPr="00175D8B" w14:paraId="07A63F3B" w14:textId="77777777" w:rsidTr="00DF417A">
        <w:trPr>
          <w:trHeight w:val="258"/>
          <w:jc w:val="center"/>
        </w:trPr>
        <w:tc>
          <w:tcPr>
            <w:tcW w:w="912" w:type="dxa"/>
            <w:tcBorders>
              <w:top w:val="single" w:sz="4" w:space="0" w:color="000000"/>
              <w:left w:val="single" w:sz="4" w:space="0" w:color="000000"/>
              <w:bottom w:val="single" w:sz="4" w:space="0" w:color="000000"/>
              <w:right w:val="single" w:sz="4" w:space="0" w:color="000000"/>
            </w:tcBorders>
            <w:vAlign w:val="center"/>
          </w:tcPr>
          <w:p w14:paraId="7E8855B2" w14:textId="77777777" w:rsidR="00E02AE5" w:rsidRPr="00175D8B" w:rsidRDefault="00E02AE5" w:rsidP="00DF417A">
            <w:pPr>
              <w:spacing w:after="160"/>
              <w:rPr>
                <w:b/>
                <w:sz w:val="20"/>
                <w:szCs w:val="20"/>
              </w:rPr>
            </w:pPr>
          </w:p>
        </w:tc>
        <w:tc>
          <w:tcPr>
            <w:tcW w:w="2280" w:type="dxa"/>
            <w:gridSpan w:val="2"/>
            <w:tcBorders>
              <w:top w:val="single" w:sz="4" w:space="0" w:color="000000"/>
              <w:left w:val="single" w:sz="4" w:space="0" w:color="000000"/>
              <w:bottom w:val="single" w:sz="4" w:space="0" w:color="000000"/>
              <w:right w:val="single" w:sz="4" w:space="0" w:color="000000"/>
            </w:tcBorders>
            <w:vAlign w:val="center"/>
          </w:tcPr>
          <w:p w14:paraId="4F4C89AB" w14:textId="77777777" w:rsidR="00E02AE5" w:rsidRPr="00175D8B" w:rsidRDefault="00E02AE5" w:rsidP="00DF417A">
            <w:pPr>
              <w:spacing w:after="160"/>
              <w:rPr>
                <w:b/>
                <w:sz w:val="20"/>
                <w:szCs w:val="20"/>
              </w:rPr>
            </w:pPr>
          </w:p>
        </w:tc>
        <w:tc>
          <w:tcPr>
            <w:tcW w:w="2051" w:type="dxa"/>
            <w:gridSpan w:val="2"/>
            <w:tcBorders>
              <w:top w:val="single" w:sz="4" w:space="0" w:color="000000"/>
              <w:left w:val="single" w:sz="4" w:space="0" w:color="000000"/>
              <w:bottom w:val="single" w:sz="4" w:space="0" w:color="000000"/>
              <w:right w:val="single" w:sz="4" w:space="0" w:color="000000"/>
            </w:tcBorders>
            <w:vAlign w:val="center"/>
          </w:tcPr>
          <w:p w14:paraId="464A56A3" w14:textId="77777777" w:rsidR="00E02AE5" w:rsidRPr="00175D8B" w:rsidRDefault="00E02AE5" w:rsidP="00DF417A">
            <w:pPr>
              <w:spacing w:after="160"/>
              <w:rPr>
                <w:b/>
                <w:sz w:val="20"/>
                <w:szCs w:val="20"/>
              </w:rPr>
            </w:pPr>
          </w:p>
        </w:tc>
        <w:tc>
          <w:tcPr>
            <w:tcW w:w="2116" w:type="dxa"/>
            <w:gridSpan w:val="2"/>
            <w:tcBorders>
              <w:top w:val="single" w:sz="4" w:space="0" w:color="000000"/>
              <w:left w:val="single" w:sz="4" w:space="0" w:color="000000"/>
              <w:bottom w:val="single" w:sz="4" w:space="0" w:color="000000"/>
              <w:right w:val="single" w:sz="4" w:space="0" w:color="000000"/>
            </w:tcBorders>
            <w:vAlign w:val="center"/>
          </w:tcPr>
          <w:p w14:paraId="2CEA8C2C" w14:textId="77777777" w:rsidR="00E02AE5" w:rsidRPr="00175D8B" w:rsidRDefault="00E02AE5" w:rsidP="00DF417A">
            <w:pPr>
              <w:spacing w:after="160"/>
              <w:rPr>
                <w:b/>
                <w:sz w:val="20"/>
                <w:szCs w:val="20"/>
              </w:rPr>
            </w:pPr>
          </w:p>
        </w:tc>
        <w:tc>
          <w:tcPr>
            <w:tcW w:w="2348" w:type="dxa"/>
            <w:gridSpan w:val="2"/>
            <w:tcBorders>
              <w:top w:val="single" w:sz="4" w:space="0" w:color="000000"/>
              <w:left w:val="single" w:sz="4" w:space="0" w:color="000000"/>
              <w:bottom w:val="single" w:sz="4" w:space="0" w:color="000000"/>
              <w:right w:val="single" w:sz="4" w:space="0" w:color="000000"/>
            </w:tcBorders>
            <w:vAlign w:val="center"/>
          </w:tcPr>
          <w:p w14:paraId="3D104F79" w14:textId="77777777" w:rsidR="00E02AE5" w:rsidRPr="00175D8B" w:rsidRDefault="00E02AE5" w:rsidP="00DF417A">
            <w:pPr>
              <w:spacing w:after="160"/>
              <w:rPr>
                <w:b/>
                <w:sz w:val="20"/>
                <w:szCs w:val="20"/>
              </w:rPr>
            </w:pPr>
          </w:p>
        </w:tc>
        <w:tc>
          <w:tcPr>
            <w:tcW w:w="1781" w:type="dxa"/>
            <w:gridSpan w:val="2"/>
            <w:tcBorders>
              <w:top w:val="single" w:sz="4" w:space="0" w:color="000000"/>
              <w:left w:val="single" w:sz="4" w:space="0" w:color="000000"/>
              <w:bottom w:val="single" w:sz="4" w:space="0" w:color="000000"/>
              <w:right w:val="single" w:sz="4" w:space="0" w:color="000000"/>
            </w:tcBorders>
            <w:vAlign w:val="center"/>
          </w:tcPr>
          <w:p w14:paraId="35C5A67B" w14:textId="77777777" w:rsidR="00E02AE5" w:rsidRPr="00175D8B" w:rsidRDefault="00E02AE5" w:rsidP="00DF417A">
            <w:pPr>
              <w:spacing w:after="160"/>
              <w:rPr>
                <w:b/>
                <w:sz w:val="20"/>
                <w:szCs w:val="20"/>
              </w:rPr>
            </w:pPr>
          </w:p>
        </w:tc>
        <w:tc>
          <w:tcPr>
            <w:tcW w:w="1960" w:type="dxa"/>
            <w:gridSpan w:val="2"/>
            <w:tcBorders>
              <w:top w:val="single" w:sz="4" w:space="0" w:color="000000"/>
              <w:left w:val="single" w:sz="4" w:space="0" w:color="000000"/>
              <w:bottom w:val="single" w:sz="4" w:space="0" w:color="000000"/>
              <w:right w:val="single" w:sz="4" w:space="0" w:color="000000"/>
            </w:tcBorders>
            <w:vAlign w:val="center"/>
          </w:tcPr>
          <w:p w14:paraId="7A908822" w14:textId="77777777" w:rsidR="00E02AE5" w:rsidRPr="00175D8B" w:rsidRDefault="00E02AE5" w:rsidP="00DF417A">
            <w:pPr>
              <w:spacing w:after="160"/>
              <w:rPr>
                <w:b/>
                <w:sz w:val="20"/>
                <w:szCs w:val="20"/>
              </w:rPr>
            </w:pPr>
          </w:p>
        </w:tc>
        <w:tc>
          <w:tcPr>
            <w:tcW w:w="398" w:type="dxa"/>
            <w:tcBorders>
              <w:top w:val="nil"/>
              <w:left w:val="nil"/>
              <w:bottom w:val="nil"/>
              <w:right w:val="nil"/>
            </w:tcBorders>
            <w:vAlign w:val="center"/>
          </w:tcPr>
          <w:p w14:paraId="15C37D2F" w14:textId="77777777" w:rsidR="00E02AE5" w:rsidRPr="00175D8B" w:rsidRDefault="00E02AE5" w:rsidP="00DF417A">
            <w:pPr>
              <w:spacing w:after="160"/>
              <w:rPr>
                <w:b/>
                <w:sz w:val="20"/>
                <w:szCs w:val="20"/>
              </w:rPr>
            </w:pPr>
          </w:p>
        </w:tc>
      </w:tr>
      <w:tr w:rsidR="00E02AE5" w:rsidRPr="00175D8B" w14:paraId="3C1C7CCE" w14:textId="77777777" w:rsidTr="00DF417A">
        <w:trPr>
          <w:trHeight w:val="425"/>
          <w:jc w:val="center"/>
        </w:trPr>
        <w:tc>
          <w:tcPr>
            <w:tcW w:w="912" w:type="dxa"/>
            <w:tcBorders>
              <w:top w:val="nil"/>
              <w:left w:val="nil"/>
              <w:bottom w:val="nil"/>
              <w:right w:val="nil"/>
            </w:tcBorders>
            <w:vAlign w:val="center"/>
          </w:tcPr>
          <w:p w14:paraId="0FD47508" w14:textId="77777777" w:rsidR="00E02AE5" w:rsidRPr="00175D8B" w:rsidRDefault="00E02AE5" w:rsidP="00DF417A">
            <w:pPr>
              <w:spacing w:after="160"/>
              <w:rPr>
                <w:sz w:val="20"/>
                <w:szCs w:val="20"/>
              </w:rPr>
            </w:pPr>
          </w:p>
        </w:tc>
        <w:tc>
          <w:tcPr>
            <w:tcW w:w="1128" w:type="dxa"/>
            <w:tcBorders>
              <w:top w:val="nil"/>
              <w:left w:val="nil"/>
              <w:bottom w:val="nil"/>
              <w:right w:val="nil"/>
            </w:tcBorders>
            <w:vAlign w:val="center"/>
          </w:tcPr>
          <w:p w14:paraId="649A6907" w14:textId="77777777" w:rsidR="00E02AE5" w:rsidRPr="00175D8B" w:rsidRDefault="00E02AE5" w:rsidP="00DF417A">
            <w:pPr>
              <w:spacing w:after="160"/>
              <w:rPr>
                <w:sz w:val="20"/>
                <w:szCs w:val="20"/>
              </w:rPr>
            </w:pPr>
          </w:p>
        </w:tc>
        <w:tc>
          <w:tcPr>
            <w:tcW w:w="1152" w:type="dxa"/>
            <w:tcBorders>
              <w:top w:val="nil"/>
              <w:left w:val="nil"/>
              <w:bottom w:val="nil"/>
              <w:right w:val="nil"/>
            </w:tcBorders>
            <w:vAlign w:val="center"/>
          </w:tcPr>
          <w:p w14:paraId="12BC296E" w14:textId="77777777" w:rsidR="00E02AE5" w:rsidRPr="00175D8B" w:rsidRDefault="00E02AE5" w:rsidP="00DF417A">
            <w:pPr>
              <w:spacing w:after="160"/>
              <w:rPr>
                <w:sz w:val="20"/>
                <w:szCs w:val="20"/>
              </w:rPr>
            </w:pPr>
          </w:p>
        </w:tc>
        <w:tc>
          <w:tcPr>
            <w:tcW w:w="1210" w:type="dxa"/>
            <w:tcBorders>
              <w:top w:val="nil"/>
              <w:left w:val="nil"/>
              <w:bottom w:val="nil"/>
              <w:right w:val="nil"/>
            </w:tcBorders>
            <w:vAlign w:val="center"/>
          </w:tcPr>
          <w:p w14:paraId="578E2C6A" w14:textId="77777777" w:rsidR="00E02AE5" w:rsidRPr="00175D8B" w:rsidRDefault="00E02AE5" w:rsidP="00DF417A">
            <w:pPr>
              <w:spacing w:after="160"/>
              <w:rPr>
                <w:sz w:val="20"/>
                <w:szCs w:val="20"/>
              </w:rPr>
            </w:pPr>
          </w:p>
        </w:tc>
        <w:tc>
          <w:tcPr>
            <w:tcW w:w="841" w:type="dxa"/>
            <w:tcBorders>
              <w:top w:val="nil"/>
              <w:left w:val="nil"/>
              <w:bottom w:val="nil"/>
              <w:right w:val="nil"/>
            </w:tcBorders>
            <w:vAlign w:val="center"/>
          </w:tcPr>
          <w:p w14:paraId="044AB4FB" w14:textId="77777777" w:rsidR="00E02AE5" w:rsidRPr="00175D8B" w:rsidRDefault="00E02AE5" w:rsidP="00DF417A">
            <w:pPr>
              <w:spacing w:after="160"/>
              <w:rPr>
                <w:sz w:val="20"/>
                <w:szCs w:val="20"/>
              </w:rPr>
            </w:pPr>
          </w:p>
        </w:tc>
        <w:tc>
          <w:tcPr>
            <w:tcW w:w="1174" w:type="dxa"/>
            <w:tcBorders>
              <w:top w:val="nil"/>
              <w:left w:val="nil"/>
              <w:bottom w:val="nil"/>
              <w:right w:val="nil"/>
            </w:tcBorders>
            <w:vAlign w:val="center"/>
          </w:tcPr>
          <w:p w14:paraId="410DA5D3" w14:textId="77777777" w:rsidR="00E02AE5" w:rsidRPr="00175D8B" w:rsidRDefault="00E02AE5" w:rsidP="00DF417A">
            <w:pPr>
              <w:spacing w:after="160"/>
              <w:rPr>
                <w:sz w:val="20"/>
                <w:szCs w:val="20"/>
              </w:rPr>
            </w:pPr>
          </w:p>
        </w:tc>
        <w:tc>
          <w:tcPr>
            <w:tcW w:w="942" w:type="dxa"/>
            <w:tcBorders>
              <w:top w:val="nil"/>
              <w:left w:val="nil"/>
              <w:bottom w:val="nil"/>
              <w:right w:val="nil"/>
            </w:tcBorders>
            <w:vAlign w:val="center"/>
          </w:tcPr>
          <w:p w14:paraId="439F62AC" w14:textId="77777777" w:rsidR="00E02AE5" w:rsidRPr="00175D8B" w:rsidRDefault="00E02AE5" w:rsidP="00DF417A">
            <w:pPr>
              <w:spacing w:after="160"/>
              <w:rPr>
                <w:sz w:val="20"/>
                <w:szCs w:val="20"/>
              </w:rPr>
            </w:pPr>
          </w:p>
        </w:tc>
        <w:tc>
          <w:tcPr>
            <w:tcW w:w="595" w:type="dxa"/>
            <w:tcBorders>
              <w:top w:val="nil"/>
              <w:left w:val="nil"/>
              <w:bottom w:val="nil"/>
              <w:right w:val="nil"/>
            </w:tcBorders>
            <w:vAlign w:val="center"/>
          </w:tcPr>
          <w:p w14:paraId="54994437" w14:textId="77777777" w:rsidR="00E02AE5" w:rsidRPr="00175D8B" w:rsidRDefault="00E02AE5" w:rsidP="00DF417A">
            <w:pPr>
              <w:spacing w:after="160"/>
              <w:rPr>
                <w:sz w:val="20"/>
                <w:szCs w:val="20"/>
              </w:rPr>
            </w:pPr>
          </w:p>
        </w:tc>
        <w:tc>
          <w:tcPr>
            <w:tcW w:w="1753" w:type="dxa"/>
            <w:tcBorders>
              <w:top w:val="nil"/>
              <w:left w:val="nil"/>
              <w:bottom w:val="nil"/>
              <w:right w:val="nil"/>
            </w:tcBorders>
            <w:vAlign w:val="center"/>
          </w:tcPr>
          <w:p w14:paraId="16DAC2C2" w14:textId="77777777" w:rsidR="00E02AE5" w:rsidRPr="00175D8B" w:rsidRDefault="00E02AE5" w:rsidP="00DF417A">
            <w:pPr>
              <w:spacing w:after="160"/>
              <w:rPr>
                <w:sz w:val="20"/>
                <w:szCs w:val="20"/>
              </w:rPr>
            </w:pPr>
          </w:p>
        </w:tc>
        <w:tc>
          <w:tcPr>
            <w:tcW w:w="752" w:type="dxa"/>
            <w:tcBorders>
              <w:top w:val="nil"/>
              <w:left w:val="nil"/>
              <w:bottom w:val="nil"/>
              <w:right w:val="nil"/>
            </w:tcBorders>
            <w:vAlign w:val="center"/>
          </w:tcPr>
          <w:p w14:paraId="616E389C" w14:textId="77777777" w:rsidR="00E02AE5" w:rsidRPr="00175D8B" w:rsidRDefault="00E02AE5" w:rsidP="00DF417A">
            <w:pPr>
              <w:spacing w:after="160"/>
              <w:rPr>
                <w:sz w:val="20"/>
                <w:szCs w:val="20"/>
              </w:rPr>
            </w:pPr>
          </w:p>
        </w:tc>
        <w:tc>
          <w:tcPr>
            <w:tcW w:w="1029" w:type="dxa"/>
            <w:tcBorders>
              <w:top w:val="nil"/>
              <w:left w:val="nil"/>
              <w:bottom w:val="nil"/>
              <w:right w:val="nil"/>
            </w:tcBorders>
            <w:vAlign w:val="center"/>
          </w:tcPr>
          <w:p w14:paraId="5C7E91FC" w14:textId="77777777" w:rsidR="00E02AE5" w:rsidRPr="00175D8B" w:rsidRDefault="00E02AE5" w:rsidP="00DF417A">
            <w:pPr>
              <w:spacing w:after="160"/>
              <w:rPr>
                <w:sz w:val="20"/>
                <w:szCs w:val="20"/>
              </w:rPr>
            </w:pPr>
          </w:p>
        </w:tc>
        <w:tc>
          <w:tcPr>
            <w:tcW w:w="1007" w:type="dxa"/>
            <w:tcBorders>
              <w:top w:val="nil"/>
              <w:left w:val="nil"/>
              <w:bottom w:val="nil"/>
              <w:right w:val="nil"/>
            </w:tcBorders>
            <w:vAlign w:val="center"/>
          </w:tcPr>
          <w:p w14:paraId="7EB35E2A" w14:textId="77777777" w:rsidR="00E02AE5" w:rsidRPr="00175D8B" w:rsidRDefault="00E02AE5" w:rsidP="00DF417A">
            <w:pPr>
              <w:spacing w:after="160"/>
              <w:rPr>
                <w:sz w:val="20"/>
                <w:szCs w:val="20"/>
              </w:rPr>
            </w:pPr>
          </w:p>
        </w:tc>
        <w:tc>
          <w:tcPr>
            <w:tcW w:w="953" w:type="dxa"/>
            <w:tcBorders>
              <w:top w:val="nil"/>
              <w:left w:val="nil"/>
              <w:bottom w:val="nil"/>
              <w:right w:val="nil"/>
            </w:tcBorders>
            <w:vAlign w:val="center"/>
          </w:tcPr>
          <w:p w14:paraId="4230677F" w14:textId="77777777" w:rsidR="00E02AE5" w:rsidRPr="00175D8B" w:rsidRDefault="00E02AE5" w:rsidP="00DF417A">
            <w:pPr>
              <w:spacing w:after="160"/>
              <w:rPr>
                <w:sz w:val="20"/>
                <w:szCs w:val="20"/>
              </w:rPr>
            </w:pPr>
          </w:p>
        </w:tc>
        <w:tc>
          <w:tcPr>
            <w:tcW w:w="398" w:type="dxa"/>
            <w:tcBorders>
              <w:top w:val="nil"/>
              <w:left w:val="nil"/>
              <w:bottom w:val="nil"/>
              <w:right w:val="nil"/>
            </w:tcBorders>
            <w:vAlign w:val="center"/>
          </w:tcPr>
          <w:p w14:paraId="55FF3EE3" w14:textId="77777777" w:rsidR="00E02AE5" w:rsidRPr="00175D8B" w:rsidRDefault="00E02AE5" w:rsidP="00DF417A">
            <w:pPr>
              <w:spacing w:after="160"/>
              <w:rPr>
                <w:sz w:val="20"/>
                <w:szCs w:val="20"/>
              </w:rPr>
            </w:pPr>
            <w:r w:rsidRPr="00175D8B">
              <w:rPr>
                <w:sz w:val="20"/>
                <w:szCs w:val="20"/>
              </w:rPr>
              <w:t> </w:t>
            </w:r>
          </w:p>
        </w:tc>
      </w:tr>
    </w:tbl>
    <w:p w14:paraId="2BECCBB8" w14:textId="75128128" w:rsidR="006260C1" w:rsidRPr="00175D8B" w:rsidRDefault="006260C1" w:rsidP="00E02AE5"/>
    <w:p w14:paraId="61F1D523" w14:textId="77777777" w:rsidR="006260C1" w:rsidRPr="00175D8B" w:rsidRDefault="006260C1">
      <w:pPr>
        <w:spacing w:after="160" w:line="278" w:lineRule="auto"/>
        <w:jc w:val="left"/>
      </w:pPr>
      <w:r w:rsidRPr="00175D8B">
        <w:br w:type="page"/>
      </w:r>
    </w:p>
    <w:p w14:paraId="105DAF15" w14:textId="77777777" w:rsidR="00E02AE5" w:rsidRPr="00175D8B" w:rsidRDefault="00E02AE5" w:rsidP="00E02AE5">
      <w:pPr>
        <w:sectPr w:rsidR="00E02AE5" w:rsidRPr="00175D8B" w:rsidSect="00E02AE5">
          <w:pgSz w:w="16838" w:h="11906" w:orient="landscape"/>
          <w:pgMar w:top="1418" w:right="1418" w:bottom="1418" w:left="1418" w:header="709" w:footer="709" w:gutter="0"/>
          <w:cols w:space="708"/>
          <w:docGrid w:linePitch="360"/>
        </w:sectPr>
      </w:pPr>
    </w:p>
    <w:p w14:paraId="3650265D" w14:textId="77777777" w:rsidR="00E02AE5" w:rsidRPr="00175D8B" w:rsidRDefault="00E02AE5" w:rsidP="00E02AE5">
      <w:pPr>
        <w:keepNext/>
        <w:spacing w:after="200" w:line="240" w:lineRule="auto"/>
        <w:jc w:val="center"/>
        <w:rPr>
          <w:rFonts w:eastAsia="Aptos" w:cs="Aptos"/>
          <w:b/>
          <w:i/>
          <w:iCs/>
          <w:color w:val="000000"/>
          <w:kern w:val="0"/>
          <w:sz w:val="20"/>
          <w:szCs w:val="18"/>
          <w:lang w:eastAsia="tr-TR"/>
          <w14:ligatures w14:val="none"/>
        </w:rPr>
      </w:pPr>
      <w:r w:rsidRPr="00175D8B">
        <w:rPr>
          <w:rFonts w:eastAsia="Aptos" w:cs="Aptos"/>
          <w:bCs/>
          <w:i/>
          <w:iCs/>
          <w:color w:val="000000"/>
          <w:kern w:val="0"/>
          <w:sz w:val="20"/>
          <w:szCs w:val="18"/>
          <w:lang w:eastAsia="tr-TR"/>
          <w14:ligatures w14:val="none"/>
        </w:rPr>
        <w:lastRenderedPageBreak/>
        <w:t>Contact Information</w:t>
      </w:r>
    </w:p>
    <w:tbl>
      <w:tblPr>
        <w:tblStyle w:val="15"/>
        <w:tblW w:w="9622" w:type="dxa"/>
        <w:jc w:val="center"/>
        <w:tblLayout w:type="fixed"/>
        <w:tblLook w:val="0400" w:firstRow="0" w:lastRow="0" w:firstColumn="0" w:lastColumn="0" w:noHBand="0" w:noVBand="1"/>
      </w:tblPr>
      <w:tblGrid>
        <w:gridCol w:w="2639"/>
        <w:gridCol w:w="2601"/>
        <w:gridCol w:w="1257"/>
        <w:gridCol w:w="19"/>
        <w:gridCol w:w="1201"/>
        <w:gridCol w:w="1905"/>
      </w:tblGrid>
      <w:tr w:rsidR="00E02AE5" w:rsidRPr="00175D8B" w14:paraId="204F315F" w14:textId="77777777" w:rsidTr="00DF417A">
        <w:trPr>
          <w:trHeight w:val="300"/>
          <w:jc w:val="center"/>
        </w:trPr>
        <w:tc>
          <w:tcPr>
            <w:tcW w:w="263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BDC936E" w14:textId="77777777" w:rsidR="00E02AE5" w:rsidRPr="00175D8B" w:rsidRDefault="00E02AE5" w:rsidP="00DF417A">
            <w:pPr>
              <w:spacing w:after="160"/>
              <w:jc w:val="left"/>
              <w:rPr>
                <w:b/>
                <w:sz w:val="20"/>
                <w:szCs w:val="20"/>
              </w:rPr>
            </w:pPr>
            <w:r w:rsidRPr="00175D8B">
              <w:rPr>
                <w:b/>
                <w:sz w:val="20"/>
                <w:szCs w:val="20"/>
              </w:rPr>
              <w:t>MUSEUM</w:t>
            </w:r>
          </w:p>
        </w:tc>
        <w:tc>
          <w:tcPr>
            <w:tcW w:w="2601" w:type="dxa"/>
            <w:tcBorders>
              <w:top w:val="single" w:sz="4" w:space="0" w:color="000000"/>
              <w:left w:val="nil"/>
              <w:bottom w:val="single" w:sz="4" w:space="0" w:color="000000"/>
              <w:right w:val="single" w:sz="4" w:space="0" w:color="000000"/>
            </w:tcBorders>
            <w:shd w:val="clear" w:color="auto" w:fill="A6A6A6"/>
            <w:vAlign w:val="center"/>
          </w:tcPr>
          <w:p w14:paraId="1810AE0B" w14:textId="77777777" w:rsidR="00E02AE5" w:rsidRPr="00175D8B" w:rsidRDefault="00E02AE5" w:rsidP="00DF417A">
            <w:pPr>
              <w:spacing w:after="160"/>
              <w:jc w:val="left"/>
              <w:rPr>
                <w:b/>
                <w:sz w:val="20"/>
                <w:szCs w:val="20"/>
              </w:rPr>
            </w:pPr>
            <w:r w:rsidRPr="00175D8B">
              <w:rPr>
                <w:b/>
                <w:sz w:val="20"/>
                <w:szCs w:val="20"/>
              </w:rPr>
              <w:t>ADDRESS</w:t>
            </w:r>
          </w:p>
        </w:tc>
        <w:tc>
          <w:tcPr>
            <w:tcW w:w="1257" w:type="dxa"/>
            <w:tcBorders>
              <w:top w:val="single" w:sz="4" w:space="0" w:color="000000"/>
              <w:left w:val="nil"/>
              <w:bottom w:val="single" w:sz="4" w:space="0" w:color="000000"/>
              <w:right w:val="single" w:sz="4" w:space="0" w:color="000000"/>
            </w:tcBorders>
            <w:shd w:val="clear" w:color="auto" w:fill="A6A6A6"/>
            <w:vAlign w:val="center"/>
          </w:tcPr>
          <w:p w14:paraId="52F18F9F" w14:textId="77777777" w:rsidR="00E02AE5" w:rsidRPr="00175D8B" w:rsidRDefault="00E02AE5" w:rsidP="00DF417A">
            <w:pPr>
              <w:spacing w:after="160"/>
              <w:jc w:val="left"/>
              <w:rPr>
                <w:b/>
                <w:sz w:val="20"/>
                <w:szCs w:val="20"/>
              </w:rPr>
            </w:pPr>
            <w:r w:rsidRPr="00175D8B">
              <w:rPr>
                <w:b/>
                <w:sz w:val="20"/>
                <w:szCs w:val="20"/>
              </w:rPr>
              <w:t>TELEPHONE</w:t>
            </w:r>
          </w:p>
        </w:tc>
        <w:tc>
          <w:tcPr>
            <w:tcW w:w="1220" w:type="dxa"/>
            <w:gridSpan w:val="2"/>
            <w:tcBorders>
              <w:top w:val="single" w:sz="4" w:space="0" w:color="000000"/>
              <w:left w:val="nil"/>
              <w:bottom w:val="single" w:sz="4" w:space="0" w:color="000000"/>
              <w:right w:val="single" w:sz="4" w:space="0" w:color="000000"/>
            </w:tcBorders>
            <w:shd w:val="clear" w:color="auto" w:fill="A6A6A6"/>
            <w:vAlign w:val="center"/>
          </w:tcPr>
          <w:p w14:paraId="181FA65F" w14:textId="77777777" w:rsidR="00E02AE5" w:rsidRPr="00175D8B" w:rsidRDefault="00E02AE5" w:rsidP="00DF417A">
            <w:pPr>
              <w:spacing w:after="160"/>
              <w:jc w:val="left"/>
              <w:rPr>
                <w:b/>
                <w:sz w:val="20"/>
                <w:szCs w:val="20"/>
              </w:rPr>
            </w:pPr>
            <w:r w:rsidRPr="00175D8B">
              <w:rPr>
                <w:b/>
                <w:sz w:val="20"/>
                <w:szCs w:val="20"/>
              </w:rPr>
              <w:t>FAX</w:t>
            </w:r>
          </w:p>
        </w:tc>
        <w:tc>
          <w:tcPr>
            <w:tcW w:w="1905" w:type="dxa"/>
            <w:tcBorders>
              <w:top w:val="single" w:sz="4" w:space="0" w:color="000000"/>
              <w:left w:val="nil"/>
              <w:bottom w:val="single" w:sz="4" w:space="0" w:color="000000"/>
              <w:right w:val="single" w:sz="4" w:space="0" w:color="000000"/>
            </w:tcBorders>
            <w:shd w:val="clear" w:color="auto" w:fill="A6A6A6"/>
            <w:vAlign w:val="center"/>
          </w:tcPr>
          <w:p w14:paraId="113E5BAA" w14:textId="77777777" w:rsidR="00E02AE5" w:rsidRPr="00175D8B" w:rsidRDefault="00E02AE5" w:rsidP="00DF417A">
            <w:pPr>
              <w:spacing w:after="160"/>
              <w:jc w:val="left"/>
              <w:rPr>
                <w:b/>
                <w:sz w:val="20"/>
                <w:szCs w:val="20"/>
              </w:rPr>
            </w:pPr>
            <w:r w:rsidRPr="00175D8B">
              <w:rPr>
                <w:b/>
                <w:sz w:val="20"/>
                <w:szCs w:val="20"/>
              </w:rPr>
              <w:t>E-MAIL</w:t>
            </w:r>
          </w:p>
        </w:tc>
      </w:tr>
      <w:tr w:rsidR="00E02AE5" w:rsidRPr="00175D8B" w14:paraId="18F19374" w14:textId="77777777" w:rsidTr="00DF417A">
        <w:trPr>
          <w:trHeight w:val="960"/>
          <w:jc w:val="center"/>
        </w:trPr>
        <w:tc>
          <w:tcPr>
            <w:tcW w:w="2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5CE39" w14:textId="77777777" w:rsidR="00E02AE5" w:rsidRPr="00175D8B" w:rsidRDefault="00E02AE5" w:rsidP="00DF417A">
            <w:pPr>
              <w:spacing w:after="160"/>
              <w:jc w:val="left"/>
              <w:rPr>
                <w:sz w:val="20"/>
                <w:szCs w:val="20"/>
              </w:rPr>
            </w:pPr>
          </w:p>
        </w:tc>
        <w:tc>
          <w:tcPr>
            <w:tcW w:w="2601" w:type="dxa"/>
            <w:tcBorders>
              <w:top w:val="single" w:sz="4" w:space="0" w:color="000000"/>
              <w:left w:val="nil"/>
              <w:bottom w:val="single" w:sz="4" w:space="0" w:color="000000"/>
              <w:right w:val="single" w:sz="4" w:space="0" w:color="000000"/>
            </w:tcBorders>
            <w:shd w:val="clear" w:color="auto" w:fill="FFFFFF"/>
            <w:vAlign w:val="center"/>
          </w:tcPr>
          <w:p w14:paraId="5A6529D6" w14:textId="77777777" w:rsidR="00E02AE5" w:rsidRPr="00175D8B" w:rsidRDefault="00E02AE5" w:rsidP="00DF417A">
            <w:pPr>
              <w:spacing w:after="160"/>
              <w:jc w:val="left"/>
              <w:rPr>
                <w:sz w:val="20"/>
                <w:szCs w:val="20"/>
              </w:rPr>
            </w:pPr>
          </w:p>
        </w:tc>
        <w:tc>
          <w:tcPr>
            <w:tcW w:w="1276" w:type="dxa"/>
            <w:gridSpan w:val="2"/>
            <w:tcBorders>
              <w:top w:val="single" w:sz="4" w:space="0" w:color="000000"/>
              <w:left w:val="nil"/>
              <w:bottom w:val="single" w:sz="4" w:space="0" w:color="000000"/>
              <w:right w:val="single" w:sz="4" w:space="0" w:color="000000"/>
            </w:tcBorders>
            <w:shd w:val="clear" w:color="auto" w:fill="FFFFFF"/>
            <w:vAlign w:val="center"/>
          </w:tcPr>
          <w:p w14:paraId="7602DB5E" w14:textId="77777777" w:rsidR="00E02AE5" w:rsidRPr="00175D8B" w:rsidRDefault="00E02AE5" w:rsidP="00DF417A">
            <w:pPr>
              <w:spacing w:after="160"/>
              <w:jc w:val="left"/>
              <w:rPr>
                <w:sz w:val="20"/>
                <w:szCs w:val="20"/>
              </w:rPr>
            </w:pPr>
          </w:p>
        </w:tc>
        <w:tc>
          <w:tcPr>
            <w:tcW w:w="1201" w:type="dxa"/>
            <w:tcBorders>
              <w:top w:val="single" w:sz="4" w:space="0" w:color="000000"/>
              <w:left w:val="nil"/>
              <w:bottom w:val="single" w:sz="4" w:space="0" w:color="000000"/>
              <w:right w:val="single" w:sz="4" w:space="0" w:color="000000"/>
            </w:tcBorders>
            <w:shd w:val="clear" w:color="auto" w:fill="FFFFFF"/>
            <w:vAlign w:val="center"/>
          </w:tcPr>
          <w:p w14:paraId="66A6A32D" w14:textId="77777777" w:rsidR="00E02AE5" w:rsidRPr="00175D8B" w:rsidRDefault="00E02AE5" w:rsidP="00DF417A">
            <w:pPr>
              <w:spacing w:after="160"/>
              <w:jc w:val="left"/>
              <w:rPr>
                <w:sz w:val="20"/>
                <w:szCs w:val="20"/>
              </w:rPr>
            </w:pPr>
          </w:p>
        </w:tc>
        <w:tc>
          <w:tcPr>
            <w:tcW w:w="1905" w:type="dxa"/>
            <w:tcBorders>
              <w:top w:val="single" w:sz="4" w:space="0" w:color="000000"/>
              <w:left w:val="nil"/>
              <w:bottom w:val="single" w:sz="4" w:space="0" w:color="000000"/>
              <w:right w:val="single" w:sz="4" w:space="0" w:color="000000"/>
            </w:tcBorders>
            <w:shd w:val="clear" w:color="auto" w:fill="FFFFFF"/>
            <w:vAlign w:val="center"/>
          </w:tcPr>
          <w:p w14:paraId="21CEE345" w14:textId="77777777" w:rsidR="00E02AE5" w:rsidRPr="00175D8B" w:rsidRDefault="00E02AE5" w:rsidP="00DF417A">
            <w:pPr>
              <w:spacing w:after="160"/>
              <w:jc w:val="left"/>
              <w:rPr>
                <w:sz w:val="20"/>
                <w:szCs w:val="20"/>
              </w:rPr>
            </w:pPr>
          </w:p>
        </w:tc>
      </w:tr>
    </w:tbl>
    <w:p w14:paraId="06B28443" w14:textId="77777777" w:rsidR="00E02AE5" w:rsidRPr="00175D8B" w:rsidRDefault="00E02AE5" w:rsidP="00E02AE5">
      <w:pPr>
        <w:spacing w:after="160"/>
        <w:rPr>
          <w:rFonts w:eastAsia="Aptos" w:cs="Aptos"/>
          <w:kern w:val="0"/>
          <w:sz w:val="20"/>
          <w:szCs w:val="20"/>
          <w:lang w:eastAsia="tr-TR"/>
          <w14:ligatures w14:val="none"/>
        </w:rPr>
      </w:pPr>
    </w:p>
    <w:tbl>
      <w:tblPr>
        <w:tblStyle w:val="14"/>
        <w:tblW w:w="9622" w:type="dxa"/>
        <w:jc w:val="center"/>
        <w:tblLayout w:type="fixed"/>
        <w:tblLook w:val="0400" w:firstRow="0" w:lastRow="0" w:firstColumn="0" w:lastColumn="0" w:noHBand="0" w:noVBand="1"/>
      </w:tblPr>
      <w:tblGrid>
        <w:gridCol w:w="1696"/>
        <w:gridCol w:w="1843"/>
        <w:gridCol w:w="1669"/>
        <w:gridCol w:w="1320"/>
        <w:gridCol w:w="1187"/>
        <w:gridCol w:w="1907"/>
      </w:tblGrid>
      <w:tr w:rsidR="00E02AE5" w:rsidRPr="00175D8B" w14:paraId="36207652" w14:textId="77777777" w:rsidTr="00DF417A">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988BDE2" w14:textId="77777777" w:rsidR="00E02AE5" w:rsidRPr="00175D8B" w:rsidRDefault="00E02AE5" w:rsidP="00DF417A">
            <w:pPr>
              <w:spacing w:after="160"/>
              <w:rPr>
                <w:bCs/>
                <w:sz w:val="20"/>
                <w:szCs w:val="20"/>
              </w:rPr>
            </w:pPr>
            <w:r w:rsidRPr="00175D8B">
              <w:rPr>
                <w:bCs/>
                <w:sz w:val="20"/>
                <w:szCs w:val="20"/>
              </w:rPr>
              <w:t xml:space="preserve">CONSERVATION </w:t>
            </w:r>
          </w:p>
          <w:p w14:paraId="5DE93BC6" w14:textId="77777777" w:rsidR="00E02AE5" w:rsidRPr="00175D8B" w:rsidRDefault="00E02AE5" w:rsidP="00DF417A">
            <w:pPr>
              <w:spacing w:after="160"/>
              <w:rPr>
                <w:bCs/>
                <w:sz w:val="20"/>
                <w:szCs w:val="20"/>
              </w:rPr>
            </w:pPr>
            <w:r w:rsidRPr="00175D8B">
              <w:rPr>
                <w:bCs/>
                <w:sz w:val="20"/>
                <w:szCs w:val="20"/>
              </w:rPr>
              <w:t>BOARD</w:t>
            </w:r>
          </w:p>
        </w:tc>
        <w:tc>
          <w:tcPr>
            <w:tcW w:w="1843" w:type="dxa"/>
            <w:tcBorders>
              <w:top w:val="single" w:sz="4" w:space="0" w:color="000000"/>
              <w:left w:val="nil"/>
              <w:bottom w:val="single" w:sz="4" w:space="0" w:color="000000"/>
              <w:right w:val="single" w:sz="4" w:space="0" w:color="000000"/>
            </w:tcBorders>
            <w:shd w:val="clear" w:color="auto" w:fill="A6A6A6"/>
            <w:vAlign w:val="center"/>
          </w:tcPr>
          <w:p w14:paraId="57A70F5E" w14:textId="77777777" w:rsidR="00E02AE5" w:rsidRPr="00175D8B" w:rsidRDefault="00E02AE5" w:rsidP="00DF417A">
            <w:pPr>
              <w:spacing w:after="160"/>
              <w:rPr>
                <w:bCs/>
                <w:sz w:val="20"/>
                <w:szCs w:val="20"/>
              </w:rPr>
            </w:pPr>
            <w:r w:rsidRPr="00175D8B">
              <w:rPr>
                <w:bCs/>
                <w:sz w:val="20"/>
                <w:szCs w:val="20"/>
              </w:rPr>
              <w:t xml:space="preserve">AREAS OF </w:t>
            </w:r>
          </w:p>
          <w:p w14:paraId="3F056D54" w14:textId="77777777" w:rsidR="00E02AE5" w:rsidRPr="00175D8B" w:rsidRDefault="00E02AE5" w:rsidP="00DF417A">
            <w:pPr>
              <w:spacing w:after="160"/>
              <w:rPr>
                <w:bCs/>
                <w:sz w:val="20"/>
                <w:szCs w:val="20"/>
              </w:rPr>
            </w:pPr>
            <w:r w:rsidRPr="00175D8B">
              <w:rPr>
                <w:bCs/>
                <w:sz w:val="20"/>
                <w:szCs w:val="20"/>
              </w:rPr>
              <w:t>RESPONSIBILITY</w:t>
            </w:r>
          </w:p>
        </w:tc>
        <w:tc>
          <w:tcPr>
            <w:tcW w:w="1669" w:type="dxa"/>
            <w:tcBorders>
              <w:top w:val="single" w:sz="4" w:space="0" w:color="000000"/>
              <w:left w:val="nil"/>
              <w:bottom w:val="single" w:sz="4" w:space="0" w:color="000000"/>
              <w:right w:val="single" w:sz="4" w:space="0" w:color="000000"/>
            </w:tcBorders>
            <w:shd w:val="clear" w:color="auto" w:fill="A6A6A6"/>
            <w:vAlign w:val="center"/>
          </w:tcPr>
          <w:p w14:paraId="4E4003BC" w14:textId="77777777" w:rsidR="00E02AE5" w:rsidRPr="00175D8B" w:rsidRDefault="00E02AE5" w:rsidP="00DF417A">
            <w:pPr>
              <w:spacing w:after="160"/>
              <w:rPr>
                <w:bCs/>
                <w:sz w:val="20"/>
                <w:szCs w:val="20"/>
              </w:rPr>
            </w:pPr>
            <w:r w:rsidRPr="00175D8B">
              <w:rPr>
                <w:bCs/>
                <w:sz w:val="20"/>
                <w:szCs w:val="20"/>
              </w:rPr>
              <w:t>ADDRESS</w:t>
            </w:r>
          </w:p>
        </w:tc>
        <w:tc>
          <w:tcPr>
            <w:tcW w:w="1320" w:type="dxa"/>
            <w:tcBorders>
              <w:top w:val="single" w:sz="4" w:space="0" w:color="000000"/>
              <w:left w:val="nil"/>
              <w:bottom w:val="single" w:sz="4" w:space="0" w:color="000000"/>
              <w:right w:val="single" w:sz="4" w:space="0" w:color="000000"/>
            </w:tcBorders>
            <w:shd w:val="clear" w:color="auto" w:fill="A6A6A6"/>
            <w:vAlign w:val="center"/>
          </w:tcPr>
          <w:p w14:paraId="08DC236F" w14:textId="77777777" w:rsidR="00E02AE5" w:rsidRPr="00175D8B" w:rsidRDefault="00E02AE5" w:rsidP="00DF417A">
            <w:pPr>
              <w:spacing w:after="160"/>
              <w:rPr>
                <w:bCs/>
                <w:sz w:val="20"/>
                <w:szCs w:val="20"/>
              </w:rPr>
            </w:pPr>
            <w:r w:rsidRPr="00175D8B">
              <w:rPr>
                <w:bCs/>
                <w:sz w:val="20"/>
                <w:szCs w:val="20"/>
              </w:rPr>
              <w:t>TELEPHONE</w:t>
            </w:r>
          </w:p>
        </w:tc>
        <w:tc>
          <w:tcPr>
            <w:tcW w:w="1187" w:type="dxa"/>
            <w:tcBorders>
              <w:top w:val="single" w:sz="4" w:space="0" w:color="000000"/>
              <w:left w:val="nil"/>
              <w:bottom w:val="single" w:sz="4" w:space="0" w:color="000000"/>
              <w:right w:val="single" w:sz="4" w:space="0" w:color="000000"/>
            </w:tcBorders>
            <w:shd w:val="clear" w:color="auto" w:fill="A6A6A6"/>
            <w:vAlign w:val="center"/>
          </w:tcPr>
          <w:p w14:paraId="00480E87" w14:textId="77777777" w:rsidR="00E02AE5" w:rsidRPr="00175D8B" w:rsidRDefault="00E02AE5" w:rsidP="00DF417A">
            <w:pPr>
              <w:spacing w:after="160"/>
              <w:rPr>
                <w:bCs/>
                <w:sz w:val="20"/>
                <w:szCs w:val="20"/>
              </w:rPr>
            </w:pPr>
            <w:r w:rsidRPr="00175D8B">
              <w:rPr>
                <w:bCs/>
                <w:sz w:val="20"/>
                <w:szCs w:val="20"/>
              </w:rPr>
              <w:t>FAX</w:t>
            </w:r>
          </w:p>
        </w:tc>
        <w:tc>
          <w:tcPr>
            <w:tcW w:w="1907" w:type="dxa"/>
            <w:tcBorders>
              <w:top w:val="single" w:sz="4" w:space="0" w:color="000000"/>
              <w:left w:val="nil"/>
              <w:bottom w:val="single" w:sz="4" w:space="0" w:color="000000"/>
              <w:right w:val="single" w:sz="4" w:space="0" w:color="000000"/>
            </w:tcBorders>
            <w:shd w:val="clear" w:color="auto" w:fill="A6A6A6"/>
            <w:vAlign w:val="center"/>
          </w:tcPr>
          <w:p w14:paraId="6762032B" w14:textId="77777777" w:rsidR="00E02AE5" w:rsidRPr="00175D8B" w:rsidRDefault="00E02AE5" w:rsidP="00DF417A">
            <w:pPr>
              <w:spacing w:after="160"/>
              <w:rPr>
                <w:bCs/>
                <w:sz w:val="20"/>
                <w:szCs w:val="20"/>
              </w:rPr>
            </w:pPr>
            <w:r w:rsidRPr="00175D8B">
              <w:rPr>
                <w:bCs/>
                <w:sz w:val="20"/>
                <w:szCs w:val="20"/>
              </w:rPr>
              <w:t>E-MAIL</w:t>
            </w:r>
          </w:p>
        </w:tc>
      </w:tr>
      <w:tr w:rsidR="00E02AE5" w:rsidRPr="00175D8B" w14:paraId="6CC4C95C" w14:textId="77777777" w:rsidTr="00DF417A">
        <w:trPr>
          <w:trHeight w:val="958"/>
          <w:jc w:val="center"/>
        </w:trPr>
        <w:tc>
          <w:tcPr>
            <w:tcW w:w="1696" w:type="dxa"/>
            <w:tcBorders>
              <w:top w:val="nil"/>
              <w:left w:val="single" w:sz="4" w:space="0" w:color="000000"/>
              <w:bottom w:val="single" w:sz="4" w:space="0" w:color="000000"/>
              <w:right w:val="single" w:sz="4" w:space="0" w:color="000000"/>
            </w:tcBorders>
            <w:shd w:val="clear" w:color="auto" w:fill="FFFFFF"/>
            <w:vAlign w:val="center"/>
          </w:tcPr>
          <w:p w14:paraId="1667E6A8" w14:textId="77777777" w:rsidR="00E02AE5" w:rsidRPr="00175D8B" w:rsidRDefault="00E02AE5" w:rsidP="00DF417A">
            <w:pPr>
              <w:spacing w:after="160"/>
              <w:rPr>
                <w:bCs/>
                <w:sz w:val="20"/>
                <w:szCs w:val="20"/>
              </w:rPr>
            </w:pPr>
          </w:p>
        </w:tc>
        <w:tc>
          <w:tcPr>
            <w:tcW w:w="1843" w:type="dxa"/>
            <w:tcBorders>
              <w:top w:val="nil"/>
              <w:left w:val="nil"/>
              <w:bottom w:val="single" w:sz="4" w:space="0" w:color="000000"/>
              <w:right w:val="single" w:sz="4" w:space="0" w:color="000000"/>
            </w:tcBorders>
            <w:shd w:val="clear" w:color="auto" w:fill="FFFFFF"/>
            <w:vAlign w:val="center"/>
          </w:tcPr>
          <w:p w14:paraId="2B087DB8" w14:textId="77777777" w:rsidR="00E02AE5" w:rsidRPr="00175D8B" w:rsidRDefault="00E02AE5" w:rsidP="00DF417A">
            <w:pPr>
              <w:spacing w:after="160"/>
              <w:rPr>
                <w:bCs/>
                <w:sz w:val="20"/>
                <w:szCs w:val="20"/>
              </w:rPr>
            </w:pPr>
          </w:p>
        </w:tc>
        <w:tc>
          <w:tcPr>
            <w:tcW w:w="1669" w:type="dxa"/>
            <w:tcBorders>
              <w:top w:val="nil"/>
              <w:left w:val="nil"/>
              <w:bottom w:val="single" w:sz="4" w:space="0" w:color="000000"/>
              <w:right w:val="single" w:sz="4" w:space="0" w:color="000000"/>
            </w:tcBorders>
            <w:shd w:val="clear" w:color="auto" w:fill="FFFFFF"/>
            <w:vAlign w:val="center"/>
          </w:tcPr>
          <w:p w14:paraId="7FCBC8A4" w14:textId="77777777" w:rsidR="00E02AE5" w:rsidRPr="00175D8B" w:rsidRDefault="00E02AE5" w:rsidP="00DF417A">
            <w:pPr>
              <w:spacing w:after="160"/>
              <w:rPr>
                <w:bCs/>
                <w:sz w:val="20"/>
                <w:szCs w:val="20"/>
              </w:rPr>
            </w:pPr>
          </w:p>
        </w:tc>
        <w:tc>
          <w:tcPr>
            <w:tcW w:w="1320" w:type="dxa"/>
            <w:tcBorders>
              <w:top w:val="nil"/>
              <w:left w:val="nil"/>
              <w:bottom w:val="single" w:sz="4" w:space="0" w:color="000000"/>
              <w:right w:val="single" w:sz="4" w:space="0" w:color="000000"/>
            </w:tcBorders>
            <w:shd w:val="clear" w:color="auto" w:fill="FFFFFF"/>
            <w:vAlign w:val="center"/>
          </w:tcPr>
          <w:p w14:paraId="47DD42C0" w14:textId="77777777" w:rsidR="00E02AE5" w:rsidRPr="00175D8B" w:rsidRDefault="00E02AE5" w:rsidP="00DF417A">
            <w:pPr>
              <w:spacing w:after="160"/>
              <w:rPr>
                <w:bCs/>
                <w:sz w:val="20"/>
                <w:szCs w:val="20"/>
              </w:rPr>
            </w:pPr>
          </w:p>
        </w:tc>
        <w:tc>
          <w:tcPr>
            <w:tcW w:w="1187" w:type="dxa"/>
            <w:tcBorders>
              <w:top w:val="nil"/>
              <w:left w:val="nil"/>
              <w:bottom w:val="single" w:sz="4" w:space="0" w:color="000000"/>
              <w:right w:val="single" w:sz="4" w:space="0" w:color="000000"/>
            </w:tcBorders>
            <w:shd w:val="clear" w:color="auto" w:fill="FFFFFF"/>
            <w:vAlign w:val="center"/>
          </w:tcPr>
          <w:p w14:paraId="0E568D4E" w14:textId="77777777" w:rsidR="00E02AE5" w:rsidRPr="00175D8B" w:rsidRDefault="00E02AE5" w:rsidP="00DF417A">
            <w:pPr>
              <w:spacing w:after="160"/>
              <w:rPr>
                <w:bCs/>
                <w:sz w:val="20"/>
                <w:szCs w:val="20"/>
              </w:rPr>
            </w:pPr>
          </w:p>
        </w:tc>
        <w:tc>
          <w:tcPr>
            <w:tcW w:w="1907" w:type="dxa"/>
            <w:tcBorders>
              <w:top w:val="nil"/>
              <w:left w:val="nil"/>
              <w:bottom w:val="single" w:sz="4" w:space="0" w:color="000000"/>
              <w:right w:val="single" w:sz="4" w:space="0" w:color="000000"/>
            </w:tcBorders>
            <w:shd w:val="clear" w:color="auto" w:fill="FFFFFF"/>
            <w:vAlign w:val="center"/>
          </w:tcPr>
          <w:p w14:paraId="29779CBD" w14:textId="77777777" w:rsidR="00E02AE5" w:rsidRPr="00175D8B" w:rsidRDefault="00E02AE5" w:rsidP="00DF417A">
            <w:pPr>
              <w:spacing w:after="160"/>
              <w:rPr>
                <w:bCs/>
                <w:sz w:val="20"/>
                <w:szCs w:val="20"/>
              </w:rPr>
            </w:pPr>
          </w:p>
        </w:tc>
      </w:tr>
    </w:tbl>
    <w:p w14:paraId="546DD24B" w14:textId="77777777" w:rsidR="00E02AE5" w:rsidRPr="00175D8B" w:rsidRDefault="00E02AE5">
      <w:pPr>
        <w:pStyle w:val="Balk1"/>
      </w:pPr>
      <w:r w:rsidRPr="00175D8B">
        <w:br w:type="page"/>
      </w:r>
    </w:p>
    <w:p w14:paraId="14297B76" w14:textId="5DAA02F2" w:rsidR="00E02AE5" w:rsidRPr="00175D8B" w:rsidRDefault="00E02AE5">
      <w:pPr>
        <w:pStyle w:val="Balk1"/>
        <w:rPr>
          <w:b/>
          <w:sz w:val="28"/>
          <w:szCs w:val="28"/>
          <w:lang w:eastAsia="tr-TR"/>
        </w:rPr>
      </w:pPr>
      <w:bookmarkStart w:id="533" w:name="_Toc212541920"/>
      <w:bookmarkStart w:id="534" w:name="_Toc212542431"/>
      <w:bookmarkStart w:id="535" w:name="_Toc220672840"/>
      <w:r w:rsidRPr="00175D8B">
        <w:rPr>
          <w:b/>
          <w:sz w:val="28"/>
          <w:szCs w:val="28"/>
          <w:lang w:eastAsia="tr-TR"/>
        </w:rPr>
        <w:lastRenderedPageBreak/>
        <w:t>ANNEX 1</w:t>
      </w:r>
      <w:r w:rsidR="00A00BA9">
        <w:rPr>
          <w:b/>
          <w:sz w:val="28"/>
          <w:szCs w:val="28"/>
          <w:lang w:eastAsia="tr-TR"/>
        </w:rPr>
        <w:t>1</w:t>
      </w:r>
      <w:r w:rsidRPr="00175D8B">
        <w:rPr>
          <w:b/>
          <w:sz w:val="28"/>
          <w:szCs w:val="28"/>
          <w:lang w:eastAsia="tr-TR"/>
        </w:rPr>
        <w:t>- ENVIRONMENTAL &amp; SOCIAL SCREENING CHECKLIST FOR SUBPROJECTS</w:t>
      </w:r>
      <w:bookmarkEnd w:id="533"/>
      <w:bookmarkEnd w:id="534"/>
      <w:bookmarkEnd w:id="535"/>
    </w:p>
    <w:p w14:paraId="16722D25" w14:textId="77777777" w:rsidR="00E02AE5" w:rsidRPr="00175D8B" w:rsidRDefault="00E02AE5" w:rsidP="00E02AE5">
      <w:r w:rsidRPr="00175D8B">
        <w:t>The sub-projects to be proposed within the scope of Component 2 can be divided into three types as per the activity to be performed as below:</w:t>
      </w:r>
    </w:p>
    <w:p w14:paraId="353A9EA9" w14:textId="77777777" w:rsidR="00E02AE5" w:rsidRPr="00175D8B" w:rsidRDefault="00E02AE5">
      <w:pPr>
        <w:pStyle w:val="ListeParagraf"/>
        <w:numPr>
          <w:ilvl w:val="0"/>
          <w:numId w:val="35"/>
        </w:numPr>
      </w:pPr>
      <w:r w:rsidRPr="00175D8B">
        <w:rPr>
          <w:b/>
        </w:rPr>
        <w:t>Type-I:</w:t>
      </w:r>
      <w:r w:rsidRPr="00175D8B">
        <w:t xml:space="preserve"> The sub-projects with </w:t>
      </w:r>
      <w:r w:rsidRPr="00175D8B">
        <w:rPr>
          <w:u w:val="single"/>
        </w:rPr>
        <w:t>demolition and reconstruction</w:t>
      </w:r>
      <w:r w:rsidRPr="00175D8B">
        <w:t xml:space="preserve"> - buildings were registered as risky building, however, no demolition activity has been performed at the time of loan application</w:t>
      </w:r>
    </w:p>
    <w:p w14:paraId="24E59868" w14:textId="77777777" w:rsidR="00E02AE5" w:rsidRPr="00175D8B" w:rsidRDefault="00E02AE5">
      <w:pPr>
        <w:pStyle w:val="ListeParagraf"/>
        <w:numPr>
          <w:ilvl w:val="0"/>
          <w:numId w:val="35"/>
        </w:numPr>
      </w:pPr>
      <w:r w:rsidRPr="00175D8B">
        <w:rPr>
          <w:b/>
        </w:rPr>
        <w:t>Type-II:</w:t>
      </w:r>
      <w:r w:rsidRPr="00175D8B">
        <w:t xml:space="preserve"> The sub-projects with retrofitting - buildings were registered as risky building, however, loan application is made for only retrofitting rather than demolition and reconstruction</w:t>
      </w:r>
    </w:p>
    <w:p w14:paraId="17148D8C" w14:textId="77777777" w:rsidR="00E02AE5" w:rsidRPr="00175D8B" w:rsidRDefault="00E02AE5">
      <w:pPr>
        <w:pStyle w:val="ListeParagraf"/>
        <w:numPr>
          <w:ilvl w:val="0"/>
          <w:numId w:val="35"/>
        </w:numPr>
      </w:pPr>
      <w:r w:rsidRPr="00175D8B">
        <w:rPr>
          <w:b/>
        </w:rPr>
        <w:t>Type-III:</w:t>
      </w:r>
      <w:r w:rsidRPr="00175D8B">
        <w:t xml:space="preserve"> The sub-projects with only reconstruction - buildings were registered as risky building and demolished before loan application, and the application is only made for reconstruction. </w:t>
      </w:r>
    </w:p>
    <w:p w14:paraId="0A86FD71" w14:textId="77777777" w:rsidR="00E02AE5" w:rsidRPr="00175D8B" w:rsidRDefault="00E02AE5" w:rsidP="00E02AE5">
      <w:pPr>
        <w:rPr>
          <w:b/>
          <w:bCs/>
          <w:szCs w:val="22"/>
        </w:rPr>
      </w:pPr>
      <w:r w:rsidRPr="00175D8B">
        <w:rPr>
          <w:b/>
          <w:bCs/>
          <w:szCs w:val="22"/>
        </w:rPr>
        <w:t>ENVIRONMENTAL AND SOCIAL SCREENING CHECKLIST</w:t>
      </w:r>
    </w:p>
    <w:tbl>
      <w:tblPr>
        <w:tblStyle w:val="13"/>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8"/>
        <w:gridCol w:w="5894"/>
      </w:tblGrid>
      <w:tr w:rsidR="00E02AE5" w:rsidRPr="00175D8B" w14:paraId="0CD8B325" w14:textId="77777777" w:rsidTr="00DF417A">
        <w:trPr>
          <w:jc w:val="center"/>
        </w:trPr>
        <w:tc>
          <w:tcPr>
            <w:tcW w:w="9072" w:type="dxa"/>
            <w:gridSpan w:val="2"/>
          </w:tcPr>
          <w:p w14:paraId="77B599C3" w14:textId="77777777" w:rsidR="00E02AE5" w:rsidRPr="00175D8B" w:rsidRDefault="00E02AE5" w:rsidP="00DF417A">
            <w:pPr>
              <w:spacing w:before="40" w:after="40"/>
              <w:rPr>
                <w:rFonts w:eastAsia="Aptos" w:cs="Aptos"/>
                <w:b/>
              </w:rPr>
            </w:pPr>
            <w:r w:rsidRPr="00175D8B">
              <w:rPr>
                <w:rFonts w:eastAsia="Aptos" w:cs="Aptos"/>
                <w:b/>
              </w:rPr>
              <w:t>PART-I</w:t>
            </w:r>
          </w:p>
        </w:tc>
      </w:tr>
      <w:tr w:rsidR="00E02AE5" w:rsidRPr="00175D8B" w14:paraId="2E6E612C" w14:textId="77777777" w:rsidTr="00DF417A">
        <w:trPr>
          <w:jc w:val="center"/>
        </w:trPr>
        <w:tc>
          <w:tcPr>
            <w:tcW w:w="3178" w:type="dxa"/>
          </w:tcPr>
          <w:p w14:paraId="705D5C18" w14:textId="77777777" w:rsidR="00E02AE5" w:rsidRPr="00175D8B" w:rsidRDefault="00E02AE5" w:rsidP="00DF417A">
            <w:pPr>
              <w:spacing w:before="40" w:after="40"/>
              <w:rPr>
                <w:rFonts w:eastAsia="Aptos" w:cs="Aptos"/>
                <w:b/>
              </w:rPr>
            </w:pPr>
            <w:r w:rsidRPr="00175D8B">
              <w:rPr>
                <w:rFonts w:eastAsia="Aptos" w:cs="Aptos"/>
                <w:b/>
              </w:rPr>
              <w:t>Sub Project Type</w:t>
            </w:r>
          </w:p>
        </w:tc>
        <w:tc>
          <w:tcPr>
            <w:tcW w:w="5894" w:type="dxa"/>
          </w:tcPr>
          <w:p w14:paraId="48A2F3C3" w14:textId="77777777" w:rsidR="00E02AE5" w:rsidRPr="00175D8B" w:rsidRDefault="00E02AE5" w:rsidP="00DF417A">
            <w:pPr>
              <w:spacing w:before="40" w:after="40"/>
              <w:rPr>
                <w:rFonts w:eastAsia="Aptos" w:cs="Aptos"/>
              </w:rPr>
            </w:pPr>
            <w:r w:rsidRPr="00175D8B">
              <w:rPr>
                <w:rFonts w:eastAsia="Aptos" w:cs="Aptos"/>
              </w:rPr>
              <w:t>Type III</w:t>
            </w:r>
          </w:p>
        </w:tc>
      </w:tr>
      <w:tr w:rsidR="00E02AE5" w:rsidRPr="00175D8B" w14:paraId="509E4046" w14:textId="77777777" w:rsidTr="00DF417A">
        <w:trPr>
          <w:jc w:val="center"/>
        </w:trPr>
        <w:tc>
          <w:tcPr>
            <w:tcW w:w="3178" w:type="dxa"/>
          </w:tcPr>
          <w:p w14:paraId="5B92ACF3" w14:textId="77777777" w:rsidR="00E02AE5" w:rsidRPr="00175D8B" w:rsidRDefault="00E02AE5" w:rsidP="00DF417A">
            <w:pPr>
              <w:spacing w:before="40" w:after="40"/>
              <w:rPr>
                <w:rFonts w:eastAsia="Aptos" w:cs="Aptos"/>
                <w:b/>
              </w:rPr>
            </w:pPr>
            <w:r w:rsidRPr="00175D8B">
              <w:rPr>
                <w:rFonts w:eastAsia="Aptos" w:cs="Aptos"/>
                <w:b/>
              </w:rPr>
              <w:t>Name of Subproject</w:t>
            </w:r>
          </w:p>
        </w:tc>
        <w:tc>
          <w:tcPr>
            <w:tcW w:w="5894" w:type="dxa"/>
          </w:tcPr>
          <w:p w14:paraId="2501C98F" w14:textId="77777777" w:rsidR="00E02AE5" w:rsidRPr="00175D8B" w:rsidRDefault="00E02AE5" w:rsidP="00DF417A">
            <w:pPr>
              <w:spacing w:before="40" w:after="40"/>
              <w:rPr>
                <w:rFonts w:eastAsia="Aptos" w:cs="Aptos"/>
              </w:rPr>
            </w:pPr>
            <w:r w:rsidRPr="00175D8B">
              <w:rPr>
                <w:rFonts w:eastAsia="Aptos" w:cs="Aptos"/>
              </w:rPr>
              <w:t xml:space="preserve">Reconstruction within the Scope of Climate and Disaster Resilient Cities Project: </w:t>
            </w:r>
          </w:p>
        </w:tc>
      </w:tr>
      <w:tr w:rsidR="00E02AE5" w:rsidRPr="00175D8B" w14:paraId="30F839AF" w14:textId="77777777" w:rsidTr="00DF417A">
        <w:trPr>
          <w:jc w:val="center"/>
        </w:trPr>
        <w:tc>
          <w:tcPr>
            <w:tcW w:w="3178" w:type="dxa"/>
          </w:tcPr>
          <w:p w14:paraId="6214A8A6" w14:textId="77777777" w:rsidR="00E02AE5" w:rsidRPr="00175D8B" w:rsidRDefault="00E02AE5" w:rsidP="00DF417A">
            <w:pPr>
              <w:spacing w:before="40" w:after="40"/>
              <w:rPr>
                <w:rFonts w:eastAsia="Aptos" w:cs="Aptos"/>
                <w:b/>
              </w:rPr>
            </w:pPr>
            <w:r w:rsidRPr="00175D8B">
              <w:rPr>
                <w:rFonts w:eastAsia="Aptos" w:cs="Aptos"/>
                <w:b/>
              </w:rPr>
              <w:t>Projected Start Date</w:t>
            </w:r>
          </w:p>
        </w:tc>
        <w:tc>
          <w:tcPr>
            <w:tcW w:w="5894" w:type="dxa"/>
          </w:tcPr>
          <w:p w14:paraId="4D96E5BC" w14:textId="77777777" w:rsidR="00E02AE5" w:rsidRPr="00175D8B" w:rsidRDefault="00E02AE5" w:rsidP="00DF417A">
            <w:pPr>
              <w:spacing w:before="40" w:after="40"/>
              <w:rPr>
                <w:rFonts w:eastAsia="Aptos" w:cs="Aptos"/>
              </w:rPr>
            </w:pPr>
          </w:p>
        </w:tc>
      </w:tr>
      <w:tr w:rsidR="00E02AE5" w:rsidRPr="00175D8B" w14:paraId="3C154E2E" w14:textId="77777777" w:rsidTr="00DF417A">
        <w:trPr>
          <w:jc w:val="center"/>
        </w:trPr>
        <w:tc>
          <w:tcPr>
            <w:tcW w:w="3178" w:type="dxa"/>
          </w:tcPr>
          <w:p w14:paraId="3DC9C6FD" w14:textId="77777777" w:rsidR="00E02AE5" w:rsidRPr="00175D8B" w:rsidRDefault="00E02AE5" w:rsidP="00DF417A">
            <w:pPr>
              <w:spacing w:before="40" w:after="40"/>
              <w:rPr>
                <w:rFonts w:eastAsia="Aptos" w:cs="Aptos"/>
                <w:b/>
              </w:rPr>
            </w:pPr>
            <w:r w:rsidRPr="00175D8B">
              <w:rPr>
                <w:rFonts w:eastAsia="Aptos" w:cs="Aptos"/>
                <w:b/>
              </w:rPr>
              <w:t>Address</w:t>
            </w:r>
          </w:p>
        </w:tc>
        <w:tc>
          <w:tcPr>
            <w:tcW w:w="5894" w:type="dxa"/>
          </w:tcPr>
          <w:p w14:paraId="00E3BEA4" w14:textId="77777777" w:rsidR="00E02AE5" w:rsidRPr="00175D8B" w:rsidRDefault="00E02AE5" w:rsidP="00DF417A">
            <w:pPr>
              <w:spacing w:before="40" w:after="40"/>
              <w:rPr>
                <w:rFonts w:eastAsia="Aptos" w:cs="Aptos"/>
              </w:rPr>
            </w:pPr>
          </w:p>
        </w:tc>
      </w:tr>
      <w:tr w:rsidR="00E02AE5" w:rsidRPr="00175D8B" w14:paraId="04852C22" w14:textId="77777777" w:rsidTr="00DF417A">
        <w:trPr>
          <w:jc w:val="center"/>
        </w:trPr>
        <w:tc>
          <w:tcPr>
            <w:tcW w:w="3178" w:type="dxa"/>
          </w:tcPr>
          <w:p w14:paraId="186501D2" w14:textId="77777777" w:rsidR="00E02AE5" w:rsidRPr="00175D8B" w:rsidRDefault="00E02AE5" w:rsidP="00DF417A">
            <w:pPr>
              <w:spacing w:before="40" w:after="40"/>
              <w:rPr>
                <w:rFonts w:eastAsia="Aptos" w:cs="Aptos"/>
                <w:b/>
              </w:rPr>
            </w:pPr>
            <w:r w:rsidRPr="00175D8B">
              <w:rPr>
                <w:rFonts w:eastAsia="Aptos" w:cs="Aptos"/>
                <w:b/>
              </w:rPr>
              <w:t>Prepared by</w:t>
            </w:r>
          </w:p>
        </w:tc>
        <w:tc>
          <w:tcPr>
            <w:tcW w:w="5894" w:type="dxa"/>
          </w:tcPr>
          <w:p w14:paraId="7603A2B0" w14:textId="77777777" w:rsidR="00E02AE5" w:rsidRPr="00175D8B" w:rsidRDefault="00E02AE5" w:rsidP="00DF417A">
            <w:pPr>
              <w:spacing w:before="40" w:after="40"/>
              <w:rPr>
                <w:rFonts w:eastAsia="Aptos" w:cs="Aptos"/>
              </w:rPr>
            </w:pPr>
          </w:p>
        </w:tc>
      </w:tr>
    </w:tbl>
    <w:p w14:paraId="6BF85F86" w14:textId="60C9BB61" w:rsidR="00D21866" w:rsidRPr="00175D8B" w:rsidRDefault="00D21866" w:rsidP="006260C1">
      <w:pPr>
        <w:spacing w:after="160" w:line="278" w:lineRule="auto"/>
        <w:jc w:val="left"/>
      </w:pPr>
      <w:r w:rsidRPr="00175D8B">
        <w:br w:type="page"/>
      </w:r>
    </w:p>
    <w:p w14:paraId="531B27CA" w14:textId="77777777" w:rsidR="00D21866" w:rsidRPr="00175D8B" w:rsidRDefault="00D21866" w:rsidP="006260C1">
      <w:pPr>
        <w:spacing w:after="160" w:line="278" w:lineRule="auto"/>
        <w:jc w:val="left"/>
      </w:pPr>
    </w:p>
    <w:p w14:paraId="29E00D1F" w14:textId="77777777" w:rsidR="00D21866" w:rsidRPr="00175D8B" w:rsidRDefault="00D21866" w:rsidP="002550A6">
      <w:pPr>
        <w:spacing w:after="160" w:line="278" w:lineRule="auto"/>
        <w:jc w:val="left"/>
      </w:pPr>
    </w:p>
    <w:tbl>
      <w:tblPr>
        <w:tblStyle w:val="TabloKlavuzu4"/>
        <w:tblW w:w="5223" w:type="pct"/>
        <w:jc w:val="center"/>
        <w:tblLook w:val="04A0" w:firstRow="1" w:lastRow="0" w:firstColumn="1" w:lastColumn="0" w:noHBand="0" w:noVBand="1"/>
      </w:tblPr>
      <w:tblGrid>
        <w:gridCol w:w="9236"/>
        <w:gridCol w:w="1073"/>
        <w:gridCol w:w="35"/>
        <w:gridCol w:w="617"/>
        <w:gridCol w:w="73"/>
        <w:gridCol w:w="82"/>
        <w:gridCol w:w="1044"/>
        <w:gridCol w:w="132"/>
        <w:gridCol w:w="79"/>
        <w:gridCol w:w="70"/>
        <w:gridCol w:w="73"/>
        <w:gridCol w:w="64"/>
        <w:gridCol w:w="959"/>
        <w:gridCol w:w="35"/>
        <w:gridCol w:w="205"/>
        <w:gridCol w:w="140"/>
        <w:gridCol w:w="129"/>
        <w:gridCol w:w="570"/>
      </w:tblGrid>
      <w:tr w:rsidR="00E02AE5" w:rsidRPr="00175D8B" w14:paraId="45C86D96" w14:textId="77777777" w:rsidTr="002550A6">
        <w:trPr>
          <w:trHeight w:val="403"/>
          <w:tblHeader/>
          <w:jc w:val="center"/>
        </w:trPr>
        <w:tc>
          <w:tcPr>
            <w:tcW w:w="5000" w:type="pct"/>
            <w:gridSpan w:val="18"/>
          </w:tcPr>
          <w:p w14:paraId="46EBE3AC" w14:textId="2BF06C00"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PART-II: Environmental and Social Risks - Current Situation</w:t>
            </w:r>
          </w:p>
          <w:p w14:paraId="03FAC0F0" w14:textId="77777777" w:rsidR="006260C1" w:rsidRPr="00175D8B" w:rsidRDefault="006260C1" w:rsidP="00DF417A">
            <w:pPr>
              <w:spacing w:before="40" w:after="40"/>
              <w:rPr>
                <w:b/>
                <w:bCs/>
                <w:color w:val="000000" w:themeColor="text1"/>
                <w:sz w:val="20"/>
                <w:szCs w:val="20"/>
              </w:rPr>
            </w:pPr>
          </w:p>
        </w:tc>
      </w:tr>
      <w:tr w:rsidR="00D21866" w:rsidRPr="00175D8B" w14:paraId="589E98E0" w14:textId="77777777" w:rsidTr="008C490F">
        <w:trPr>
          <w:trHeight w:val="756"/>
          <w:tblHeader/>
          <w:jc w:val="center"/>
        </w:trPr>
        <w:tc>
          <w:tcPr>
            <w:tcW w:w="3160" w:type="pct"/>
          </w:tcPr>
          <w:p w14:paraId="3520E863"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Environmental and Social Considerations</w:t>
            </w:r>
          </w:p>
          <w:p w14:paraId="4A7FF016" w14:textId="77777777" w:rsidR="00E02AE5" w:rsidRPr="00175D8B" w:rsidRDefault="00E02AE5" w:rsidP="00DF417A">
            <w:pPr>
              <w:spacing w:before="40" w:after="40"/>
              <w:rPr>
                <w:b/>
                <w:bCs/>
                <w:color w:val="000000" w:themeColor="text1"/>
                <w:sz w:val="20"/>
                <w:szCs w:val="20"/>
              </w:rPr>
            </w:pPr>
          </w:p>
        </w:tc>
        <w:tc>
          <w:tcPr>
            <w:tcW w:w="1840" w:type="pct"/>
            <w:gridSpan w:val="17"/>
          </w:tcPr>
          <w:p w14:paraId="292A58D4"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Projected Risk According to the Current Situation (provide as much detail as possible in the columns)</w:t>
            </w:r>
          </w:p>
        </w:tc>
      </w:tr>
      <w:tr w:rsidR="00D21866" w:rsidRPr="00175D8B" w14:paraId="105DD96E" w14:textId="77777777" w:rsidTr="008C490F">
        <w:trPr>
          <w:trHeight w:val="496"/>
          <w:tblHeader/>
          <w:jc w:val="center"/>
        </w:trPr>
        <w:tc>
          <w:tcPr>
            <w:tcW w:w="3160" w:type="pct"/>
          </w:tcPr>
          <w:p w14:paraId="575BBDBD"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 xml:space="preserve">Risk Level </w:t>
            </w:r>
          </w:p>
        </w:tc>
        <w:tc>
          <w:tcPr>
            <w:tcW w:w="379" w:type="pct"/>
            <w:gridSpan w:val="2"/>
          </w:tcPr>
          <w:p w14:paraId="758AD8DE"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 xml:space="preserve">No Risk </w:t>
            </w:r>
          </w:p>
          <w:p w14:paraId="6AAEBB5A" w14:textId="77777777" w:rsidR="00E02AE5" w:rsidRPr="00175D8B" w:rsidRDefault="00E02AE5" w:rsidP="00DF417A">
            <w:pPr>
              <w:spacing w:before="40" w:after="40"/>
              <w:rPr>
                <w:b/>
                <w:bCs/>
                <w:color w:val="000000" w:themeColor="text1"/>
                <w:sz w:val="20"/>
                <w:szCs w:val="20"/>
              </w:rPr>
            </w:pPr>
          </w:p>
        </w:tc>
        <w:tc>
          <w:tcPr>
            <w:tcW w:w="210" w:type="pct"/>
          </w:tcPr>
          <w:p w14:paraId="4C564B87"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Low Risk</w:t>
            </w:r>
          </w:p>
        </w:tc>
        <w:tc>
          <w:tcPr>
            <w:tcW w:w="410" w:type="pct"/>
            <w:gridSpan w:val="3"/>
          </w:tcPr>
          <w:p w14:paraId="259C6019"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Moderate</w:t>
            </w:r>
          </w:p>
          <w:p w14:paraId="7B1F61B1"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 xml:space="preserve">Risk </w:t>
            </w:r>
          </w:p>
        </w:tc>
        <w:tc>
          <w:tcPr>
            <w:tcW w:w="483" w:type="pct"/>
            <w:gridSpan w:val="7"/>
          </w:tcPr>
          <w:p w14:paraId="7DF3AF7E"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 xml:space="preserve">Substantial Risk </w:t>
            </w:r>
          </w:p>
        </w:tc>
        <w:tc>
          <w:tcPr>
            <w:tcW w:w="358" w:type="pct"/>
            <w:gridSpan w:val="4"/>
          </w:tcPr>
          <w:p w14:paraId="08A08012"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 xml:space="preserve">High Risk </w:t>
            </w:r>
          </w:p>
        </w:tc>
      </w:tr>
      <w:tr w:rsidR="00D21866" w:rsidRPr="00175D8B" w14:paraId="15F6A406" w14:textId="77777777" w:rsidTr="008C490F">
        <w:trPr>
          <w:trHeight w:val="243"/>
          <w:jc w:val="center"/>
        </w:trPr>
        <w:tc>
          <w:tcPr>
            <w:tcW w:w="3160" w:type="pct"/>
            <w:vMerge w:val="restart"/>
          </w:tcPr>
          <w:p w14:paraId="7B6B0ED9"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What is the level of the risk of the subproject to damage a known cultural heritage in terms of sub-project area’s proximity?</w:t>
            </w:r>
          </w:p>
        </w:tc>
        <w:tc>
          <w:tcPr>
            <w:tcW w:w="379" w:type="pct"/>
            <w:gridSpan w:val="2"/>
          </w:tcPr>
          <w:p w14:paraId="55259C62" w14:textId="77777777" w:rsidR="00E02AE5" w:rsidRPr="00175D8B" w:rsidRDefault="00E02AE5" w:rsidP="00DF417A">
            <w:pPr>
              <w:spacing w:before="40" w:after="40"/>
              <w:rPr>
                <w:color w:val="000000" w:themeColor="text1"/>
                <w:sz w:val="20"/>
                <w:szCs w:val="20"/>
              </w:rPr>
            </w:pPr>
          </w:p>
        </w:tc>
        <w:tc>
          <w:tcPr>
            <w:tcW w:w="210" w:type="pct"/>
          </w:tcPr>
          <w:p w14:paraId="1EED37B1" w14:textId="77777777" w:rsidR="00E02AE5" w:rsidRPr="00175D8B" w:rsidRDefault="00E02AE5" w:rsidP="00DF417A">
            <w:pPr>
              <w:spacing w:before="40" w:after="40"/>
              <w:rPr>
                <w:color w:val="000000" w:themeColor="text1"/>
                <w:sz w:val="20"/>
                <w:szCs w:val="20"/>
              </w:rPr>
            </w:pPr>
          </w:p>
        </w:tc>
        <w:tc>
          <w:tcPr>
            <w:tcW w:w="410" w:type="pct"/>
            <w:gridSpan w:val="3"/>
          </w:tcPr>
          <w:p w14:paraId="0D7E3DD9" w14:textId="77777777" w:rsidR="00E02AE5" w:rsidRPr="00175D8B" w:rsidRDefault="00E02AE5" w:rsidP="00DF417A">
            <w:pPr>
              <w:spacing w:before="40" w:after="40"/>
              <w:rPr>
                <w:color w:val="000000" w:themeColor="text1"/>
                <w:sz w:val="20"/>
                <w:szCs w:val="20"/>
              </w:rPr>
            </w:pPr>
          </w:p>
        </w:tc>
        <w:tc>
          <w:tcPr>
            <w:tcW w:w="483" w:type="pct"/>
            <w:gridSpan w:val="7"/>
          </w:tcPr>
          <w:p w14:paraId="3F175851" w14:textId="77777777" w:rsidR="00E02AE5" w:rsidRPr="00175D8B" w:rsidRDefault="00E02AE5" w:rsidP="00DF417A">
            <w:pPr>
              <w:spacing w:before="40" w:after="40"/>
              <w:rPr>
                <w:color w:val="000000" w:themeColor="text1"/>
                <w:sz w:val="20"/>
                <w:szCs w:val="20"/>
              </w:rPr>
            </w:pPr>
          </w:p>
        </w:tc>
        <w:tc>
          <w:tcPr>
            <w:tcW w:w="358" w:type="pct"/>
            <w:gridSpan w:val="4"/>
          </w:tcPr>
          <w:p w14:paraId="7DA3F4E3" w14:textId="77777777" w:rsidR="00E02AE5" w:rsidRPr="00175D8B" w:rsidRDefault="00E02AE5" w:rsidP="00DF417A">
            <w:pPr>
              <w:spacing w:before="40" w:after="40"/>
              <w:rPr>
                <w:color w:val="000000" w:themeColor="text1"/>
                <w:sz w:val="20"/>
                <w:szCs w:val="20"/>
              </w:rPr>
            </w:pPr>
          </w:p>
        </w:tc>
      </w:tr>
      <w:tr w:rsidR="00D21866" w:rsidRPr="00175D8B" w14:paraId="22801C43" w14:textId="77777777" w:rsidTr="008C490F">
        <w:trPr>
          <w:trHeight w:val="1076"/>
          <w:jc w:val="center"/>
        </w:trPr>
        <w:tc>
          <w:tcPr>
            <w:tcW w:w="3160" w:type="pct"/>
            <w:vMerge/>
          </w:tcPr>
          <w:p w14:paraId="31FF41E3" w14:textId="77777777" w:rsidR="00E02AE5" w:rsidRPr="00175D8B" w:rsidRDefault="00E02AE5" w:rsidP="00DF417A">
            <w:pPr>
              <w:spacing w:before="40" w:after="40"/>
              <w:rPr>
                <w:color w:val="000000" w:themeColor="text1"/>
                <w:sz w:val="20"/>
                <w:szCs w:val="20"/>
              </w:rPr>
            </w:pPr>
          </w:p>
        </w:tc>
        <w:tc>
          <w:tcPr>
            <w:tcW w:w="1840" w:type="pct"/>
            <w:gridSpan w:val="17"/>
          </w:tcPr>
          <w:p w14:paraId="288F74C9"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Explanation:</w:t>
            </w:r>
            <w:r w:rsidRPr="00175D8B">
              <w:rPr>
                <w:color w:val="000000" w:themeColor="text1"/>
                <w:sz w:val="20"/>
                <w:szCs w:val="20"/>
              </w:rPr>
              <w:t xml:space="preserve"> </w:t>
            </w:r>
          </w:p>
        </w:tc>
      </w:tr>
      <w:tr w:rsidR="00D21866" w:rsidRPr="00175D8B" w14:paraId="08DD0812" w14:textId="77777777" w:rsidTr="008C490F">
        <w:trPr>
          <w:trHeight w:val="282"/>
          <w:jc w:val="center"/>
        </w:trPr>
        <w:tc>
          <w:tcPr>
            <w:tcW w:w="3160" w:type="pct"/>
            <w:vMerge w:val="restart"/>
          </w:tcPr>
          <w:p w14:paraId="27C8F6A1"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What is the level of the risk of the subproject to pollute a water body in terms of sub-project area’s proximity?</w:t>
            </w:r>
          </w:p>
        </w:tc>
        <w:tc>
          <w:tcPr>
            <w:tcW w:w="379" w:type="pct"/>
            <w:gridSpan w:val="2"/>
          </w:tcPr>
          <w:p w14:paraId="63AA527B" w14:textId="77777777" w:rsidR="00E02AE5" w:rsidRPr="00175D8B" w:rsidRDefault="00E02AE5" w:rsidP="00DF417A">
            <w:pPr>
              <w:spacing w:before="40" w:after="40"/>
              <w:rPr>
                <w:color w:val="000000" w:themeColor="text1"/>
                <w:sz w:val="20"/>
                <w:szCs w:val="20"/>
              </w:rPr>
            </w:pPr>
          </w:p>
        </w:tc>
        <w:tc>
          <w:tcPr>
            <w:tcW w:w="210" w:type="pct"/>
          </w:tcPr>
          <w:p w14:paraId="182B2A47" w14:textId="77777777" w:rsidR="00E02AE5" w:rsidRPr="00175D8B" w:rsidRDefault="00E02AE5" w:rsidP="00DF417A">
            <w:pPr>
              <w:spacing w:before="40" w:after="40"/>
              <w:rPr>
                <w:color w:val="000000" w:themeColor="text1"/>
                <w:sz w:val="20"/>
                <w:szCs w:val="20"/>
              </w:rPr>
            </w:pPr>
          </w:p>
        </w:tc>
        <w:tc>
          <w:tcPr>
            <w:tcW w:w="482" w:type="pct"/>
            <w:gridSpan w:val="5"/>
          </w:tcPr>
          <w:p w14:paraId="4B01A75B" w14:textId="77777777" w:rsidR="00E02AE5" w:rsidRPr="00175D8B" w:rsidRDefault="00E02AE5" w:rsidP="00DF417A">
            <w:pPr>
              <w:spacing w:before="40" w:after="40"/>
              <w:rPr>
                <w:color w:val="000000" w:themeColor="text1"/>
                <w:sz w:val="20"/>
                <w:szCs w:val="20"/>
              </w:rPr>
            </w:pPr>
          </w:p>
        </w:tc>
        <w:tc>
          <w:tcPr>
            <w:tcW w:w="399" w:type="pct"/>
            <w:gridSpan w:val="4"/>
          </w:tcPr>
          <w:p w14:paraId="197E256D" w14:textId="77777777" w:rsidR="00E02AE5" w:rsidRPr="00175D8B" w:rsidRDefault="00E02AE5" w:rsidP="00DF417A">
            <w:pPr>
              <w:spacing w:before="40" w:after="40"/>
              <w:rPr>
                <w:color w:val="000000" w:themeColor="text1"/>
                <w:sz w:val="20"/>
                <w:szCs w:val="20"/>
              </w:rPr>
            </w:pPr>
          </w:p>
        </w:tc>
        <w:tc>
          <w:tcPr>
            <w:tcW w:w="370" w:type="pct"/>
            <w:gridSpan w:val="5"/>
          </w:tcPr>
          <w:p w14:paraId="176E987F" w14:textId="77777777" w:rsidR="00E02AE5" w:rsidRPr="00175D8B" w:rsidRDefault="00E02AE5" w:rsidP="00DF417A">
            <w:pPr>
              <w:spacing w:before="40" w:after="40"/>
              <w:rPr>
                <w:color w:val="000000" w:themeColor="text1"/>
                <w:sz w:val="20"/>
                <w:szCs w:val="20"/>
              </w:rPr>
            </w:pPr>
          </w:p>
        </w:tc>
      </w:tr>
      <w:tr w:rsidR="00D21866" w:rsidRPr="00175D8B" w14:paraId="4B992D05" w14:textId="77777777" w:rsidTr="008C490F">
        <w:trPr>
          <w:trHeight w:val="902"/>
          <w:jc w:val="center"/>
        </w:trPr>
        <w:tc>
          <w:tcPr>
            <w:tcW w:w="3160" w:type="pct"/>
            <w:vMerge/>
          </w:tcPr>
          <w:p w14:paraId="228B5C67" w14:textId="77777777" w:rsidR="00E02AE5" w:rsidRPr="00175D8B" w:rsidRDefault="00E02AE5" w:rsidP="00DF417A">
            <w:pPr>
              <w:spacing w:before="40" w:after="40"/>
              <w:rPr>
                <w:color w:val="000000" w:themeColor="text1"/>
                <w:sz w:val="20"/>
                <w:szCs w:val="20"/>
              </w:rPr>
            </w:pPr>
          </w:p>
        </w:tc>
        <w:tc>
          <w:tcPr>
            <w:tcW w:w="1840" w:type="pct"/>
            <w:gridSpan w:val="17"/>
          </w:tcPr>
          <w:p w14:paraId="5764A84B"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Explanation:</w:t>
            </w:r>
            <w:r w:rsidRPr="00175D8B">
              <w:rPr>
                <w:color w:val="000000" w:themeColor="text1"/>
                <w:sz w:val="20"/>
                <w:szCs w:val="20"/>
              </w:rPr>
              <w:t xml:space="preserve"> </w:t>
            </w:r>
          </w:p>
        </w:tc>
      </w:tr>
      <w:tr w:rsidR="00D21866" w:rsidRPr="00175D8B" w14:paraId="5D5A3234" w14:textId="77777777" w:rsidTr="008C490F">
        <w:trPr>
          <w:trHeight w:val="333"/>
          <w:jc w:val="center"/>
        </w:trPr>
        <w:tc>
          <w:tcPr>
            <w:tcW w:w="3160" w:type="pct"/>
            <w:vMerge w:val="restart"/>
          </w:tcPr>
          <w:p w14:paraId="4E61089C"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What is the risk regarding impacts related with dust generation in terms of the sensitivity level of the receptors?</w:t>
            </w:r>
          </w:p>
        </w:tc>
        <w:tc>
          <w:tcPr>
            <w:tcW w:w="367" w:type="pct"/>
          </w:tcPr>
          <w:p w14:paraId="7B9422CF" w14:textId="77777777" w:rsidR="00E02AE5" w:rsidRPr="00175D8B" w:rsidRDefault="00E02AE5" w:rsidP="00DF417A">
            <w:pPr>
              <w:spacing w:before="40" w:after="40"/>
              <w:rPr>
                <w:color w:val="000000" w:themeColor="text1"/>
                <w:sz w:val="20"/>
                <w:szCs w:val="20"/>
              </w:rPr>
            </w:pPr>
          </w:p>
        </w:tc>
        <w:tc>
          <w:tcPr>
            <w:tcW w:w="223" w:type="pct"/>
            <w:gridSpan w:val="2"/>
          </w:tcPr>
          <w:p w14:paraId="7D084CBE" w14:textId="77777777" w:rsidR="00E02AE5" w:rsidRPr="00175D8B" w:rsidRDefault="00E02AE5" w:rsidP="00DF417A">
            <w:pPr>
              <w:spacing w:before="40" w:after="40"/>
              <w:rPr>
                <w:color w:val="000000" w:themeColor="text1"/>
                <w:sz w:val="20"/>
                <w:szCs w:val="20"/>
              </w:rPr>
            </w:pPr>
          </w:p>
        </w:tc>
        <w:tc>
          <w:tcPr>
            <w:tcW w:w="506" w:type="pct"/>
            <w:gridSpan w:val="6"/>
          </w:tcPr>
          <w:p w14:paraId="42750471" w14:textId="77777777" w:rsidR="00E02AE5" w:rsidRPr="00175D8B" w:rsidRDefault="00E02AE5" w:rsidP="00DF417A">
            <w:pPr>
              <w:spacing w:before="40" w:after="40"/>
              <w:rPr>
                <w:color w:val="000000" w:themeColor="text1"/>
                <w:sz w:val="20"/>
                <w:szCs w:val="20"/>
              </w:rPr>
            </w:pPr>
          </w:p>
        </w:tc>
        <w:tc>
          <w:tcPr>
            <w:tcW w:w="457" w:type="pct"/>
            <w:gridSpan w:val="5"/>
          </w:tcPr>
          <w:p w14:paraId="1E3840CA" w14:textId="77777777" w:rsidR="00E02AE5" w:rsidRPr="00175D8B" w:rsidRDefault="00E02AE5" w:rsidP="00DF417A">
            <w:pPr>
              <w:spacing w:before="40" w:after="40"/>
              <w:rPr>
                <w:color w:val="000000" w:themeColor="text1"/>
                <w:sz w:val="20"/>
                <w:szCs w:val="20"/>
              </w:rPr>
            </w:pPr>
          </w:p>
        </w:tc>
        <w:tc>
          <w:tcPr>
            <w:tcW w:w="288" w:type="pct"/>
            <w:gridSpan w:val="3"/>
          </w:tcPr>
          <w:p w14:paraId="6F1A41C6" w14:textId="77777777" w:rsidR="00E02AE5" w:rsidRPr="00175D8B" w:rsidRDefault="00E02AE5" w:rsidP="00DF417A">
            <w:pPr>
              <w:spacing w:before="40" w:after="40"/>
              <w:rPr>
                <w:color w:val="000000" w:themeColor="text1"/>
                <w:sz w:val="20"/>
                <w:szCs w:val="20"/>
              </w:rPr>
            </w:pPr>
          </w:p>
        </w:tc>
      </w:tr>
      <w:tr w:rsidR="00D21866" w:rsidRPr="00175D8B" w14:paraId="5CC1F860" w14:textId="77777777" w:rsidTr="008C490F">
        <w:trPr>
          <w:trHeight w:val="1092"/>
          <w:jc w:val="center"/>
        </w:trPr>
        <w:tc>
          <w:tcPr>
            <w:tcW w:w="3160" w:type="pct"/>
            <w:vMerge/>
          </w:tcPr>
          <w:p w14:paraId="6844D6AB" w14:textId="77777777" w:rsidR="00E02AE5" w:rsidRPr="00175D8B" w:rsidRDefault="00E02AE5" w:rsidP="00DF417A">
            <w:pPr>
              <w:spacing w:before="40" w:after="40"/>
              <w:rPr>
                <w:color w:val="000000" w:themeColor="text1"/>
                <w:sz w:val="20"/>
                <w:szCs w:val="20"/>
              </w:rPr>
            </w:pPr>
          </w:p>
        </w:tc>
        <w:tc>
          <w:tcPr>
            <w:tcW w:w="1840" w:type="pct"/>
            <w:gridSpan w:val="17"/>
          </w:tcPr>
          <w:p w14:paraId="33EC5FE6"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Explanation:</w:t>
            </w:r>
            <w:r w:rsidRPr="00175D8B">
              <w:rPr>
                <w:color w:val="000000" w:themeColor="text1"/>
                <w:sz w:val="20"/>
                <w:szCs w:val="20"/>
              </w:rPr>
              <w:t xml:space="preserve"> </w:t>
            </w:r>
          </w:p>
          <w:p w14:paraId="0E27C51D" w14:textId="77777777" w:rsidR="00E02AE5" w:rsidRPr="00175D8B" w:rsidRDefault="00E02AE5" w:rsidP="00DF417A">
            <w:pPr>
              <w:spacing w:before="40" w:after="40"/>
              <w:rPr>
                <w:color w:val="000000" w:themeColor="text1"/>
                <w:sz w:val="20"/>
                <w:szCs w:val="20"/>
              </w:rPr>
            </w:pPr>
          </w:p>
          <w:p w14:paraId="26C192BF" w14:textId="77777777" w:rsidR="00E02AE5" w:rsidRPr="00175D8B" w:rsidRDefault="00E02AE5" w:rsidP="00DF417A">
            <w:pPr>
              <w:spacing w:before="40" w:after="40"/>
              <w:rPr>
                <w:color w:val="000000" w:themeColor="text1"/>
                <w:sz w:val="20"/>
                <w:szCs w:val="20"/>
              </w:rPr>
            </w:pPr>
          </w:p>
          <w:p w14:paraId="6B277F7A" w14:textId="77777777" w:rsidR="00E02AE5" w:rsidRPr="00175D8B" w:rsidRDefault="00E02AE5" w:rsidP="00DF417A">
            <w:pPr>
              <w:spacing w:before="40" w:after="40"/>
              <w:rPr>
                <w:color w:val="000000" w:themeColor="text1"/>
                <w:sz w:val="20"/>
                <w:szCs w:val="20"/>
              </w:rPr>
            </w:pPr>
          </w:p>
          <w:p w14:paraId="65526035" w14:textId="77777777" w:rsidR="00E02AE5" w:rsidRPr="00175D8B" w:rsidRDefault="00E02AE5" w:rsidP="00DF417A">
            <w:pPr>
              <w:spacing w:before="40" w:after="40"/>
              <w:rPr>
                <w:color w:val="000000" w:themeColor="text1"/>
                <w:sz w:val="20"/>
                <w:szCs w:val="20"/>
              </w:rPr>
            </w:pPr>
          </w:p>
          <w:p w14:paraId="2441B8E2" w14:textId="77777777" w:rsidR="00E02AE5" w:rsidRPr="00175D8B" w:rsidRDefault="00E02AE5" w:rsidP="00DF417A">
            <w:pPr>
              <w:spacing w:before="40" w:after="40"/>
              <w:rPr>
                <w:color w:val="000000" w:themeColor="text1"/>
                <w:sz w:val="20"/>
                <w:szCs w:val="20"/>
              </w:rPr>
            </w:pPr>
          </w:p>
          <w:p w14:paraId="085E7199" w14:textId="77777777" w:rsidR="00E02AE5" w:rsidRPr="00175D8B" w:rsidRDefault="00E02AE5" w:rsidP="00DF417A">
            <w:pPr>
              <w:spacing w:before="40" w:after="40"/>
              <w:rPr>
                <w:color w:val="000000" w:themeColor="text1"/>
                <w:sz w:val="20"/>
                <w:szCs w:val="20"/>
              </w:rPr>
            </w:pPr>
          </w:p>
          <w:p w14:paraId="2A38B69A" w14:textId="77777777" w:rsidR="00E02AE5" w:rsidRPr="00175D8B" w:rsidRDefault="00E02AE5" w:rsidP="00DF417A">
            <w:pPr>
              <w:spacing w:before="40" w:after="40"/>
              <w:rPr>
                <w:color w:val="000000" w:themeColor="text1"/>
                <w:sz w:val="20"/>
                <w:szCs w:val="20"/>
              </w:rPr>
            </w:pPr>
          </w:p>
        </w:tc>
      </w:tr>
      <w:tr w:rsidR="00D21866" w:rsidRPr="00175D8B" w14:paraId="7C2518AD" w14:textId="77777777" w:rsidTr="008C490F">
        <w:trPr>
          <w:trHeight w:val="292"/>
          <w:jc w:val="center"/>
        </w:trPr>
        <w:tc>
          <w:tcPr>
            <w:tcW w:w="3160" w:type="pct"/>
            <w:vMerge w:val="restart"/>
          </w:tcPr>
          <w:p w14:paraId="18627131"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lastRenderedPageBreak/>
              <w:t>What is the risk level regarding impacts related with noise generation in terms of the sensitivity level of the receptors?</w:t>
            </w:r>
          </w:p>
        </w:tc>
        <w:tc>
          <w:tcPr>
            <w:tcW w:w="379" w:type="pct"/>
            <w:gridSpan w:val="2"/>
          </w:tcPr>
          <w:p w14:paraId="139D1103" w14:textId="77777777" w:rsidR="00E02AE5" w:rsidRPr="00175D8B" w:rsidRDefault="00E02AE5" w:rsidP="00DF417A">
            <w:pPr>
              <w:spacing w:before="40" w:after="40"/>
              <w:rPr>
                <w:color w:val="000000" w:themeColor="text1"/>
                <w:sz w:val="20"/>
                <w:szCs w:val="20"/>
              </w:rPr>
            </w:pPr>
          </w:p>
        </w:tc>
        <w:tc>
          <w:tcPr>
            <w:tcW w:w="210" w:type="pct"/>
          </w:tcPr>
          <w:p w14:paraId="0BA25A03" w14:textId="77777777" w:rsidR="00E02AE5" w:rsidRPr="00175D8B" w:rsidRDefault="00E02AE5" w:rsidP="00DF417A">
            <w:pPr>
              <w:spacing w:before="40" w:after="40"/>
              <w:rPr>
                <w:color w:val="000000" w:themeColor="text1"/>
                <w:sz w:val="20"/>
                <w:szCs w:val="20"/>
              </w:rPr>
            </w:pPr>
          </w:p>
        </w:tc>
        <w:tc>
          <w:tcPr>
            <w:tcW w:w="531" w:type="pct"/>
            <w:gridSpan w:val="7"/>
          </w:tcPr>
          <w:p w14:paraId="6E63E839" w14:textId="77777777" w:rsidR="00E02AE5" w:rsidRPr="00175D8B" w:rsidRDefault="00E02AE5" w:rsidP="00DF417A">
            <w:pPr>
              <w:spacing w:before="40" w:after="40"/>
              <w:rPr>
                <w:color w:val="000000" w:themeColor="text1"/>
                <w:sz w:val="20"/>
                <w:szCs w:val="20"/>
              </w:rPr>
            </w:pPr>
          </w:p>
        </w:tc>
        <w:tc>
          <w:tcPr>
            <w:tcW w:w="480" w:type="pct"/>
            <w:gridSpan w:val="5"/>
          </w:tcPr>
          <w:p w14:paraId="09D0C952" w14:textId="77777777" w:rsidR="00E02AE5" w:rsidRPr="00175D8B" w:rsidRDefault="00E02AE5" w:rsidP="00DF417A">
            <w:pPr>
              <w:spacing w:before="40" w:after="40"/>
              <w:rPr>
                <w:color w:val="000000" w:themeColor="text1"/>
                <w:sz w:val="20"/>
                <w:szCs w:val="20"/>
              </w:rPr>
            </w:pPr>
          </w:p>
        </w:tc>
        <w:tc>
          <w:tcPr>
            <w:tcW w:w="240" w:type="pct"/>
            <w:gridSpan w:val="2"/>
          </w:tcPr>
          <w:p w14:paraId="29C816F2" w14:textId="77777777" w:rsidR="00E02AE5" w:rsidRPr="00175D8B" w:rsidRDefault="00E02AE5" w:rsidP="00DF417A">
            <w:pPr>
              <w:spacing w:before="40" w:after="40"/>
              <w:rPr>
                <w:color w:val="000000" w:themeColor="text1"/>
                <w:sz w:val="20"/>
                <w:szCs w:val="20"/>
              </w:rPr>
            </w:pPr>
          </w:p>
        </w:tc>
      </w:tr>
      <w:tr w:rsidR="00D21866" w:rsidRPr="00175D8B" w14:paraId="257295EE" w14:textId="77777777" w:rsidTr="008C490F">
        <w:trPr>
          <w:trHeight w:val="1320"/>
          <w:jc w:val="center"/>
        </w:trPr>
        <w:tc>
          <w:tcPr>
            <w:tcW w:w="3160" w:type="pct"/>
            <w:vMerge/>
          </w:tcPr>
          <w:p w14:paraId="3630B217" w14:textId="77777777" w:rsidR="00E02AE5" w:rsidRPr="00175D8B" w:rsidRDefault="00E02AE5" w:rsidP="00DF417A">
            <w:pPr>
              <w:spacing w:before="40" w:after="40"/>
              <w:rPr>
                <w:color w:val="000000" w:themeColor="text1"/>
                <w:sz w:val="20"/>
                <w:szCs w:val="20"/>
              </w:rPr>
            </w:pPr>
          </w:p>
        </w:tc>
        <w:tc>
          <w:tcPr>
            <w:tcW w:w="1840" w:type="pct"/>
            <w:gridSpan w:val="17"/>
          </w:tcPr>
          <w:p w14:paraId="052CDEF8"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Explanation:</w:t>
            </w:r>
            <w:r w:rsidRPr="00175D8B">
              <w:rPr>
                <w:color w:val="000000" w:themeColor="text1"/>
                <w:sz w:val="20"/>
                <w:szCs w:val="20"/>
              </w:rPr>
              <w:t xml:space="preserve"> </w:t>
            </w:r>
          </w:p>
        </w:tc>
      </w:tr>
      <w:tr w:rsidR="00D21866" w:rsidRPr="00175D8B" w14:paraId="43EF848B" w14:textId="77777777" w:rsidTr="008C490F">
        <w:trPr>
          <w:trHeight w:val="311"/>
          <w:jc w:val="center"/>
        </w:trPr>
        <w:tc>
          <w:tcPr>
            <w:tcW w:w="3160" w:type="pct"/>
            <w:vMerge w:val="restart"/>
          </w:tcPr>
          <w:p w14:paraId="37EE8A07"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What is the risk level regarding vulnerability status of the population of the building to be demolished/reconstructed/ retrofitted (the vulnerable group population of the building to be demolished can be assessed)?</w:t>
            </w:r>
          </w:p>
        </w:tc>
        <w:tc>
          <w:tcPr>
            <w:tcW w:w="379" w:type="pct"/>
            <w:gridSpan w:val="2"/>
          </w:tcPr>
          <w:p w14:paraId="5531FBB8" w14:textId="77777777" w:rsidR="00E02AE5" w:rsidRPr="00175D8B" w:rsidRDefault="00E02AE5" w:rsidP="00DF417A">
            <w:pPr>
              <w:spacing w:before="40" w:after="40"/>
              <w:rPr>
                <w:color w:val="000000" w:themeColor="text1"/>
                <w:sz w:val="20"/>
                <w:szCs w:val="20"/>
              </w:rPr>
            </w:pPr>
          </w:p>
        </w:tc>
        <w:tc>
          <w:tcPr>
            <w:tcW w:w="264" w:type="pct"/>
            <w:gridSpan w:val="3"/>
          </w:tcPr>
          <w:p w14:paraId="79929F20" w14:textId="77777777" w:rsidR="00E02AE5" w:rsidRPr="00175D8B" w:rsidRDefault="00E02AE5" w:rsidP="00DF417A">
            <w:pPr>
              <w:spacing w:before="40" w:after="40"/>
              <w:rPr>
                <w:color w:val="000000" w:themeColor="text1"/>
                <w:sz w:val="20"/>
                <w:szCs w:val="20"/>
              </w:rPr>
            </w:pPr>
          </w:p>
        </w:tc>
        <w:tc>
          <w:tcPr>
            <w:tcW w:w="500" w:type="pct"/>
            <w:gridSpan w:val="6"/>
          </w:tcPr>
          <w:p w14:paraId="08EF944D" w14:textId="77777777" w:rsidR="00E02AE5" w:rsidRPr="00175D8B" w:rsidRDefault="00E02AE5" w:rsidP="00DF417A">
            <w:pPr>
              <w:spacing w:before="40" w:after="40"/>
              <w:rPr>
                <w:color w:val="000000" w:themeColor="text1"/>
                <w:sz w:val="20"/>
                <w:szCs w:val="20"/>
              </w:rPr>
            </w:pPr>
          </w:p>
        </w:tc>
        <w:tc>
          <w:tcPr>
            <w:tcW w:w="502" w:type="pct"/>
            <w:gridSpan w:val="5"/>
          </w:tcPr>
          <w:p w14:paraId="6A19033F" w14:textId="77777777" w:rsidR="00E02AE5" w:rsidRPr="00175D8B" w:rsidRDefault="00E02AE5" w:rsidP="00DF417A">
            <w:pPr>
              <w:spacing w:before="40" w:after="40"/>
              <w:rPr>
                <w:color w:val="000000" w:themeColor="text1"/>
                <w:sz w:val="20"/>
                <w:szCs w:val="20"/>
              </w:rPr>
            </w:pPr>
          </w:p>
        </w:tc>
        <w:tc>
          <w:tcPr>
            <w:tcW w:w="195" w:type="pct"/>
          </w:tcPr>
          <w:p w14:paraId="5C9E6758" w14:textId="77777777" w:rsidR="00E02AE5" w:rsidRPr="00175D8B" w:rsidRDefault="00E02AE5" w:rsidP="00DF417A">
            <w:pPr>
              <w:spacing w:before="40" w:after="40"/>
              <w:rPr>
                <w:color w:val="000000" w:themeColor="text1"/>
                <w:sz w:val="20"/>
                <w:szCs w:val="20"/>
              </w:rPr>
            </w:pPr>
          </w:p>
        </w:tc>
      </w:tr>
      <w:tr w:rsidR="00D21866" w:rsidRPr="00175D8B" w14:paraId="77B120C4" w14:textId="77777777" w:rsidTr="008C490F">
        <w:trPr>
          <w:trHeight w:val="1127"/>
          <w:jc w:val="center"/>
        </w:trPr>
        <w:tc>
          <w:tcPr>
            <w:tcW w:w="3160" w:type="pct"/>
            <w:vMerge/>
          </w:tcPr>
          <w:p w14:paraId="56BC9FB6" w14:textId="77777777" w:rsidR="00E02AE5" w:rsidRPr="00175D8B" w:rsidRDefault="00E02AE5" w:rsidP="00DF417A">
            <w:pPr>
              <w:spacing w:before="40" w:after="40"/>
              <w:rPr>
                <w:color w:val="000000" w:themeColor="text1"/>
                <w:sz w:val="20"/>
                <w:szCs w:val="20"/>
              </w:rPr>
            </w:pPr>
          </w:p>
        </w:tc>
        <w:tc>
          <w:tcPr>
            <w:tcW w:w="1840" w:type="pct"/>
            <w:gridSpan w:val="17"/>
          </w:tcPr>
          <w:p w14:paraId="1D47F371"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Explanation:</w:t>
            </w:r>
            <w:r w:rsidRPr="00175D8B">
              <w:rPr>
                <w:color w:val="000000" w:themeColor="text1"/>
                <w:sz w:val="20"/>
                <w:szCs w:val="20"/>
              </w:rPr>
              <w:t xml:space="preserve"> </w:t>
            </w:r>
          </w:p>
          <w:p w14:paraId="6C530639" w14:textId="77777777" w:rsidR="00E02AE5" w:rsidRPr="00175D8B" w:rsidRDefault="00E02AE5" w:rsidP="00DF417A">
            <w:pPr>
              <w:spacing w:before="40" w:after="40"/>
              <w:rPr>
                <w:color w:val="000000" w:themeColor="text1"/>
                <w:sz w:val="20"/>
                <w:szCs w:val="20"/>
              </w:rPr>
            </w:pPr>
          </w:p>
          <w:p w14:paraId="4822A02F" w14:textId="77777777" w:rsidR="00E02AE5" w:rsidRPr="00175D8B" w:rsidRDefault="00E02AE5" w:rsidP="00DF417A">
            <w:pPr>
              <w:spacing w:before="40" w:after="40"/>
              <w:rPr>
                <w:color w:val="000000" w:themeColor="text1"/>
                <w:sz w:val="20"/>
                <w:szCs w:val="20"/>
              </w:rPr>
            </w:pPr>
          </w:p>
          <w:p w14:paraId="7367FF11" w14:textId="77777777" w:rsidR="00E02AE5" w:rsidRPr="00175D8B" w:rsidRDefault="00E02AE5" w:rsidP="00DF417A">
            <w:pPr>
              <w:spacing w:before="40" w:after="40"/>
              <w:rPr>
                <w:color w:val="000000" w:themeColor="text1"/>
                <w:sz w:val="20"/>
                <w:szCs w:val="20"/>
              </w:rPr>
            </w:pPr>
          </w:p>
        </w:tc>
      </w:tr>
      <w:tr w:rsidR="00D21866" w:rsidRPr="00175D8B" w14:paraId="2E0D8A57" w14:textId="77777777" w:rsidTr="008C490F">
        <w:trPr>
          <w:trHeight w:val="569"/>
          <w:jc w:val="center"/>
        </w:trPr>
        <w:tc>
          <w:tcPr>
            <w:tcW w:w="3160" w:type="pct"/>
            <w:vMerge w:val="restart"/>
          </w:tcPr>
          <w:p w14:paraId="6142E721"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lastRenderedPageBreak/>
              <w:t>What is the risk level regarding livelihood impact for any worker working in the building (e.g., supers and other workers population)? (This section should be completed if there are personnel (eg. super) or commercial enterprises in the building, providing brief information about their status following the building’s risk assessment. If neither applies to the sub-project, please clearly indicate this.)</w:t>
            </w:r>
          </w:p>
        </w:tc>
        <w:tc>
          <w:tcPr>
            <w:tcW w:w="379" w:type="pct"/>
            <w:gridSpan w:val="2"/>
          </w:tcPr>
          <w:p w14:paraId="5EA9B46E" w14:textId="77777777" w:rsidR="00E02AE5" w:rsidRPr="00175D8B" w:rsidRDefault="00E02AE5" w:rsidP="00DF417A">
            <w:pPr>
              <w:spacing w:before="40" w:after="40"/>
              <w:rPr>
                <w:color w:val="000000" w:themeColor="text1"/>
                <w:sz w:val="20"/>
                <w:szCs w:val="20"/>
              </w:rPr>
            </w:pPr>
          </w:p>
        </w:tc>
        <w:tc>
          <w:tcPr>
            <w:tcW w:w="210" w:type="pct"/>
          </w:tcPr>
          <w:p w14:paraId="2F7BB8D4" w14:textId="77777777" w:rsidR="00E02AE5" w:rsidRPr="00175D8B" w:rsidRDefault="00E02AE5" w:rsidP="00DF417A">
            <w:pPr>
              <w:spacing w:before="40" w:after="40"/>
              <w:rPr>
                <w:color w:val="000000" w:themeColor="text1"/>
                <w:sz w:val="20"/>
                <w:szCs w:val="20"/>
              </w:rPr>
            </w:pPr>
          </w:p>
        </w:tc>
        <w:tc>
          <w:tcPr>
            <w:tcW w:w="410" w:type="pct"/>
            <w:gridSpan w:val="3"/>
          </w:tcPr>
          <w:p w14:paraId="386E60D4" w14:textId="77777777" w:rsidR="00E02AE5" w:rsidRPr="00175D8B" w:rsidRDefault="00E02AE5" w:rsidP="00DF417A">
            <w:pPr>
              <w:spacing w:before="40" w:after="40"/>
              <w:rPr>
                <w:color w:val="000000" w:themeColor="text1"/>
                <w:sz w:val="20"/>
                <w:szCs w:val="20"/>
              </w:rPr>
            </w:pPr>
          </w:p>
        </w:tc>
        <w:tc>
          <w:tcPr>
            <w:tcW w:w="483" w:type="pct"/>
            <w:gridSpan w:val="7"/>
          </w:tcPr>
          <w:p w14:paraId="7D856740" w14:textId="77777777" w:rsidR="00E02AE5" w:rsidRPr="00175D8B" w:rsidRDefault="00E02AE5" w:rsidP="00DF417A">
            <w:pPr>
              <w:spacing w:before="40" w:after="40"/>
              <w:rPr>
                <w:color w:val="000000" w:themeColor="text1"/>
                <w:sz w:val="20"/>
                <w:szCs w:val="20"/>
              </w:rPr>
            </w:pPr>
          </w:p>
        </w:tc>
        <w:tc>
          <w:tcPr>
            <w:tcW w:w="358" w:type="pct"/>
            <w:gridSpan w:val="4"/>
          </w:tcPr>
          <w:p w14:paraId="01D6F1F9" w14:textId="77777777" w:rsidR="00E02AE5" w:rsidRPr="00175D8B" w:rsidRDefault="00E02AE5" w:rsidP="00DF417A">
            <w:pPr>
              <w:spacing w:before="40" w:after="40"/>
              <w:rPr>
                <w:color w:val="000000" w:themeColor="text1"/>
                <w:sz w:val="20"/>
                <w:szCs w:val="20"/>
              </w:rPr>
            </w:pPr>
          </w:p>
        </w:tc>
      </w:tr>
      <w:tr w:rsidR="00D21866" w:rsidRPr="00175D8B" w14:paraId="233EBEC8" w14:textId="77777777" w:rsidTr="008C490F">
        <w:trPr>
          <w:trHeight w:val="1344"/>
          <w:jc w:val="center"/>
        </w:trPr>
        <w:tc>
          <w:tcPr>
            <w:tcW w:w="3160" w:type="pct"/>
            <w:vMerge/>
          </w:tcPr>
          <w:p w14:paraId="5880FDE1" w14:textId="77777777" w:rsidR="00E02AE5" w:rsidRPr="00175D8B" w:rsidRDefault="00E02AE5" w:rsidP="00DF417A">
            <w:pPr>
              <w:spacing w:before="40" w:after="40"/>
              <w:rPr>
                <w:color w:val="000000" w:themeColor="text1"/>
                <w:sz w:val="20"/>
                <w:szCs w:val="20"/>
              </w:rPr>
            </w:pPr>
          </w:p>
        </w:tc>
        <w:tc>
          <w:tcPr>
            <w:tcW w:w="1840" w:type="pct"/>
            <w:gridSpan w:val="17"/>
          </w:tcPr>
          <w:p w14:paraId="67987C26"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Explanation:</w:t>
            </w:r>
            <w:r w:rsidRPr="00175D8B">
              <w:rPr>
                <w:color w:val="000000" w:themeColor="text1"/>
                <w:sz w:val="20"/>
                <w:szCs w:val="20"/>
              </w:rPr>
              <w:t xml:space="preserve"> </w:t>
            </w:r>
          </w:p>
          <w:p w14:paraId="5FDFAEB8" w14:textId="77777777" w:rsidR="00E02AE5" w:rsidRPr="00175D8B" w:rsidRDefault="00E02AE5" w:rsidP="00DF417A">
            <w:pPr>
              <w:pStyle w:val="TableParagraph"/>
              <w:tabs>
                <w:tab w:val="left" w:pos="320"/>
                <w:tab w:val="left" w:pos="326"/>
              </w:tabs>
              <w:spacing w:before="74" w:line="240" w:lineRule="auto"/>
              <w:ind w:left="322" w:right="84"/>
              <w:rPr>
                <w:rFonts w:ascii="Aptos" w:hAnsi="Aptos"/>
                <w:color w:val="000000" w:themeColor="text1"/>
                <w:szCs w:val="20"/>
              </w:rPr>
            </w:pPr>
          </w:p>
        </w:tc>
      </w:tr>
      <w:tr w:rsidR="00D21866" w:rsidRPr="00175D8B" w14:paraId="64BDD4EC" w14:textId="77777777" w:rsidTr="008C490F">
        <w:trPr>
          <w:trHeight w:val="391"/>
          <w:jc w:val="center"/>
        </w:trPr>
        <w:tc>
          <w:tcPr>
            <w:tcW w:w="3160" w:type="pct"/>
            <w:vMerge w:val="restart"/>
          </w:tcPr>
          <w:p w14:paraId="3929D4C0"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What is the risk of in-adequate waste management in terms of the waste management capacity of the region where the sub-project will be realized?</w:t>
            </w:r>
          </w:p>
        </w:tc>
        <w:tc>
          <w:tcPr>
            <w:tcW w:w="379" w:type="pct"/>
            <w:gridSpan w:val="2"/>
          </w:tcPr>
          <w:p w14:paraId="14D39847" w14:textId="77777777" w:rsidR="00E02AE5" w:rsidRPr="00175D8B" w:rsidRDefault="00E02AE5" w:rsidP="00DF417A">
            <w:pPr>
              <w:spacing w:before="40" w:after="40"/>
              <w:rPr>
                <w:color w:val="000000" w:themeColor="text1"/>
                <w:sz w:val="20"/>
                <w:szCs w:val="20"/>
              </w:rPr>
            </w:pPr>
          </w:p>
        </w:tc>
        <w:tc>
          <w:tcPr>
            <w:tcW w:w="236" w:type="pct"/>
            <w:gridSpan w:val="2"/>
          </w:tcPr>
          <w:p w14:paraId="14859D0F" w14:textId="77777777" w:rsidR="00E02AE5" w:rsidRPr="00175D8B" w:rsidRDefault="00E02AE5" w:rsidP="00DF417A">
            <w:pPr>
              <w:spacing w:before="40" w:after="40"/>
              <w:rPr>
                <w:color w:val="000000" w:themeColor="text1"/>
                <w:sz w:val="20"/>
                <w:szCs w:val="20"/>
              </w:rPr>
            </w:pPr>
          </w:p>
        </w:tc>
        <w:tc>
          <w:tcPr>
            <w:tcW w:w="430" w:type="pct"/>
            <w:gridSpan w:val="3"/>
          </w:tcPr>
          <w:p w14:paraId="64E703F1" w14:textId="77777777" w:rsidR="00E02AE5" w:rsidRPr="00175D8B" w:rsidRDefault="00E02AE5" w:rsidP="00DF417A">
            <w:pPr>
              <w:spacing w:before="40" w:after="40"/>
              <w:rPr>
                <w:color w:val="000000" w:themeColor="text1"/>
                <w:sz w:val="20"/>
                <w:szCs w:val="20"/>
              </w:rPr>
            </w:pPr>
          </w:p>
        </w:tc>
        <w:tc>
          <w:tcPr>
            <w:tcW w:w="437" w:type="pct"/>
            <w:gridSpan w:val="6"/>
          </w:tcPr>
          <w:p w14:paraId="0D8F16EF" w14:textId="77777777" w:rsidR="00E02AE5" w:rsidRPr="00175D8B" w:rsidRDefault="00E02AE5" w:rsidP="00DF417A">
            <w:pPr>
              <w:spacing w:before="40" w:after="40"/>
              <w:rPr>
                <w:color w:val="000000" w:themeColor="text1"/>
                <w:sz w:val="20"/>
                <w:szCs w:val="20"/>
              </w:rPr>
            </w:pPr>
          </w:p>
        </w:tc>
        <w:tc>
          <w:tcPr>
            <w:tcW w:w="358" w:type="pct"/>
            <w:gridSpan w:val="4"/>
          </w:tcPr>
          <w:p w14:paraId="456F9542" w14:textId="77777777" w:rsidR="00E02AE5" w:rsidRPr="00175D8B" w:rsidRDefault="00E02AE5" w:rsidP="00DF417A">
            <w:pPr>
              <w:spacing w:before="40" w:after="40"/>
              <w:rPr>
                <w:color w:val="000000" w:themeColor="text1"/>
                <w:sz w:val="20"/>
                <w:szCs w:val="20"/>
              </w:rPr>
            </w:pPr>
          </w:p>
        </w:tc>
      </w:tr>
      <w:tr w:rsidR="00D21866" w:rsidRPr="00175D8B" w14:paraId="62DF82EA" w14:textId="77777777" w:rsidTr="008C490F">
        <w:trPr>
          <w:trHeight w:val="1059"/>
          <w:jc w:val="center"/>
        </w:trPr>
        <w:tc>
          <w:tcPr>
            <w:tcW w:w="3160" w:type="pct"/>
            <w:vMerge/>
          </w:tcPr>
          <w:p w14:paraId="619E5AAB" w14:textId="77777777" w:rsidR="00E02AE5" w:rsidRPr="00175D8B" w:rsidRDefault="00E02AE5" w:rsidP="00DF417A">
            <w:pPr>
              <w:spacing w:before="40" w:after="40"/>
              <w:rPr>
                <w:color w:val="000000" w:themeColor="text1"/>
                <w:sz w:val="20"/>
                <w:szCs w:val="20"/>
              </w:rPr>
            </w:pPr>
          </w:p>
        </w:tc>
        <w:tc>
          <w:tcPr>
            <w:tcW w:w="1840" w:type="pct"/>
            <w:gridSpan w:val="17"/>
          </w:tcPr>
          <w:p w14:paraId="13093268" w14:textId="77777777" w:rsidR="00E02AE5" w:rsidRPr="00175D8B" w:rsidRDefault="00E02AE5" w:rsidP="00DF417A">
            <w:pPr>
              <w:spacing w:before="40" w:after="40"/>
              <w:rPr>
                <w:color w:val="000000" w:themeColor="text1"/>
                <w:sz w:val="20"/>
                <w:szCs w:val="20"/>
              </w:rPr>
            </w:pPr>
            <w:r w:rsidRPr="00175D8B">
              <w:rPr>
                <w:rFonts w:eastAsiaTheme="majorEastAsia" w:cs="Arial"/>
                <w:b/>
                <w:bCs/>
                <w:color w:val="000000" w:themeColor="text1"/>
                <w:sz w:val="20"/>
                <w:szCs w:val="20"/>
              </w:rPr>
              <w:t>Explanation:</w:t>
            </w:r>
            <w:r w:rsidRPr="00175D8B">
              <w:rPr>
                <w:rFonts w:eastAsiaTheme="majorEastAsia" w:cs="Arial"/>
                <w:color w:val="000000" w:themeColor="text1"/>
                <w:sz w:val="20"/>
                <w:szCs w:val="20"/>
              </w:rPr>
              <w:t xml:space="preserve"> </w:t>
            </w:r>
          </w:p>
        </w:tc>
      </w:tr>
    </w:tbl>
    <w:p w14:paraId="33AE419F" w14:textId="77777777" w:rsidR="00E02AE5" w:rsidRPr="00175D8B" w:rsidRDefault="00E02AE5" w:rsidP="00E02AE5"/>
    <w:tbl>
      <w:tblPr>
        <w:tblStyle w:val="TabloKlavuzu4"/>
        <w:tblW w:w="5288" w:type="pct"/>
        <w:jc w:val="center"/>
        <w:tblLook w:val="04A0" w:firstRow="1" w:lastRow="0" w:firstColumn="1" w:lastColumn="0" w:noHBand="0" w:noVBand="1"/>
      </w:tblPr>
      <w:tblGrid>
        <w:gridCol w:w="7277"/>
        <w:gridCol w:w="1959"/>
        <w:gridCol w:w="1418"/>
        <w:gridCol w:w="1572"/>
        <w:gridCol w:w="1412"/>
        <w:gridCol w:w="1160"/>
      </w:tblGrid>
      <w:tr w:rsidR="00E02AE5" w:rsidRPr="00175D8B" w14:paraId="1F498645" w14:textId="77777777" w:rsidTr="002550A6">
        <w:trPr>
          <w:trHeight w:val="387"/>
          <w:tblHeader/>
          <w:jc w:val="center"/>
        </w:trPr>
        <w:tc>
          <w:tcPr>
            <w:tcW w:w="5000" w:type="pct"/>
            <w:gridSpan w:val="6"/>
          </w:tcPr>
          <w:p w14:paraId="3F1838D8" w14:textId="77777777" w:rsidR="00E02AE5" w:rsidRPr="00175D8B" w:rsidRDefault="00E02AE5" w:rsidP="00DF417A">
            <w:pPr>
              <w:spacing w:before="40" w:after="40"/>
              <w:rPr>
                <w:b/>
                <w:bCs/>
                <w:color w:val="000000" w:themeColor="text1"/>
                <w:sz w:val="20"/>
                <w:szCs w:val="20"/>
              </w:rPr>
            </w:pPr>
            <w:bookmarkStart w:id="536" w:name="_1ulbmlt" w:colFirst="0" w:colLast="0"/>
            <w:bookmarkStart w:id="537" w:name="_4ekz59m" w:colFirst="0" w:colLast="0"/>
            <w:bookmarkEnd w:id="536"/>
            <w:bookmarkEnd w:id="537"/>
            <w:r w:rsidRPr="00175D8B">
              <w:rPr>
                <w:b/>
                <w:bCs/>
                <w:color w:val="000000" w:themeColor="text1"/>
                <w:sz w:val="20"/>
                <w:szCs w:val="20"/>
              </w:rPr>
              <w:lastRenderedPageBreak/>
              <w:t xml:space="preserve">PART-III: Environmental and Social Risks - Anticipated risks of sub-project activities </w:t>
            </w:r>
          </w:p>
        </w:tc>
      </w:tr>
      <w:tr w:rsidR="00D21866" w:rsidRPr="00175D8B" w14:paraId="5685C9F9" w14:textId="77777777" w:rsidTr="008C490F">
        <w:trPr>
          <w:trHeight w:val="676"/>
          <w:tblHeader/>
          <w:jc w:val="center"/>
        </w:trPr>
        <w:tc>
          <w:tcPr>
            <w:tcW w:w="2459" w:type="pct"/>
          </w:tcPr>
          <w:p w14:paraId="62B0C9B3"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Environmental and Social Considerations</w:t>
            </w:r>
          </w:p>
        </w:tc>
        <w:tc>
          <w:tcPr>
            <w:tcW w:w="2541" w:type="pct"/>
            <w:gridSpan w:val="5"/>
          </w:tcPr>
          <w:p w14:paraId="3336C08E"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Anticipated Risk (provide as much detail as possible in the columns)</w:t>
            </w:r>
          </w:p>
        </w:tc>
      </w:tr>
      <w:tr w:rsidR="00D21866" w:rsidRPr="00175D8B" w14:paraId="02039A66" w14:textId="77777777" w:rsidTr="008C490F">
        <w:trPr>
          <w:trHeight w:val="587"/>
          <w:tblHeader/>
          <w:jc w:val="center"/>
        </w:trPr>
        <w:tc>
          <w:tcPr>
            <w:tcW w:w="2459" w:type="pct"/>
          </w:tcPr>
          <w:p w14:paraId="65A22CBF"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 xml:space="preserve">Risk Level </w:t>
            </w:r>
          </w:p>
        </w:tc>
        <w:tc>
          <w:tcPr>
            <w:tcW w:w="662" w:type="pct"/>
          </w:tcPr>
          <w:p w14:paraId="199B8CAE"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 xml:space="preserve">No Risk  </w:t>
            </w:r>
          </w:p>
        </w:tc>
        <w:tc>
          <w:tcPr>
            <w:tcW w:w="479" w:type="pct"/>
          </w:tcPr>
          <w:p w14:paraId="7F70BB42" w14:textId="77777777" w:rsidR="00E02AE5" w:rsidRPr="00175D8B" w:rsidRDefault="00E02AE5" w:rsidP="00DF417A">
            <w:pPr>
              <w:rPr>
                <w:b/>
                <w:bCs/>
                <w:color w:val="000000" w:themeColor="text1"/>
                <w:sz w:val="20"/>
                <w:szCs w:val="20"/>
              </w:rPr>
            </w:pPr>
            <w:r w:rsidRPr="00175D8B">
              <w:rPr>
                <w:b/>
                <w:bCs/>
                <w:color w:val="000000" w:themeColor="text1"/>
                <w:sz w:val="20"/>
                <w:szCs w:val="20"/>
              </w:rPr>
              <w:t xml:space="preserve">Low </w:t>
            </w:r>
          </w:p>
          <w:p w14:paraId="22CCE131" w14:textId="77777777" w:rsidR="00E02AE5" w:rsidRPr="00175D8B" w:rsidRDefault="00E02AE5" w:rsidP="00DF417A">
            <w:pPr>
              <w:rPr>
                <w:b/>
                <w:bCs/>
                <w:color w:val="000000" w:themeColor="text1"/>
                <w:sz w:val="20"/>
                <w:szCs w:val="20"/>
              </w:rPr>
            </w:pPr>
            <w:r w:rsidRPr="00175D8B">
              <w:rPr>
                <w:b/>
                <w:bCs/>
                <w:color w:val="000000" w:themeColor="text1"/>
                <w:sz w:val="20"/>
                <w:szCs w:val="20"/>
              </w:rPr>
              <w:t xml:space="preserve">Risk </w:t>
            </w:r>
          </w:p>
        </w:tc>
        <w:tc>
          <w:tcPr>
            <w:tcW w:w="531" w:type="pct"/>
          </w:tcPr>
          <w:p w14:paraId="28E7E55A" w14:textId="77777777" w:rsidR="00E02AE5" w:rsidRPr="00175D8B" w:rsidRDefault="00E02AE5" w:rsidP="00DF417A">
            <w:pPr>
              <w:rPr>
                <w:b/>
                <w:bCs/>
                <w:color w:val="000000" w:themeColor="text1"/>
                <w:sz w:val="20"/>
                <w:szCs w:val="20"/>
              </w:rPr>
            </w:pPr>
            <w:r w:rsidRPr="00175D8B">
              <w:rPr>
                <w:b/>
                <w:bCs/>
                <w:color w:val="000000" w:themeColor="text1"/>
                <w:sz w:val="20"/>
                <w:szCs w:val="20"/>
              </w:rPr>
              <w:t xml:space="preserve">Moderate </w:t>
            </w:r>
          </w:p>
          <w:p w14:paraId="63566B49" w14:textId="77777777" w:rsidR="00E02AE5" w:rsidRPr="00175D8B" w:rsidRDefault="00E02AE5" w:rsidP="00DF417A">
            <w:pPr>
              <w:rPr>
                <w:b/>
                <w:bCs/>
                <w:color w:val="000000" w:themeColor="text1"/>
                <w:sz w:val="20"/>
                <w:szCs w:val="20"/>
              </w:rPr>
            </w:pPr>
            <w:r w:rsidRPr="00175D8B">
              <w:rPr>
                <w:b/>
                <w:bCs/>
                <w:color w:val="000000" w:themeColor="text1"/>
                <w:sz w:val="20"/>
                <w:szCs w:val="20"/>
              </w:rPr>
              <w:t>Risk</w:t>
            </w:r>
          </w:p>
        </w:tc>
        <w:tc>
          <w:tcPr>
            <w:tcW w:w="477" w:type="pct"/>
          </w:tcPr>
          <w:p w14:paraId="055EB533" w14:textId="77777777" w:rsidR="00E02AE5" w:rsidRPr="00175D8B" w:rsidRDefault="00E02AE5" w:rsidP="00DF417A">
            <w:pPr>
              <w:rPr>
                <w:b/>
                <w:bCs/>
                <w:color w:val="000000" w:themeColor="text1"/>
                <w:sz w:val="20"/>
                <w:szCs w:val="20"/>
              </w:rPr>
            </w:pPr>
            <w:r w:rsidRPr="00175D8B">
              <w:rPr>
                <w:b/>
                <w:bCs/>
                <w:color w:val="000000" w:themeColor="text1"/>
                <w:sz w:val="20"/>
                <w:szCs w:val="20"/>
              </w:rPr>
              <w:t xml:space="preserve">Substantial </w:t>
            </w:r>
          </w:p>
          <w:p w14:paraId="1D5A2BAA" w14:textId="77777777" w:rsidR="00E02AE5" w:rsidRPr="00175D8B" w:rsidRDefault="00E02AE5" w:rsidP="00DF417A">
            <w:pPr>
              <w:rPr>
                <w:b/>
                <w:bCs/>
                <w:color w:val="000000" w:themeColor="text1"/>
                <w:sz w:val="20"/>
                <w:szCs w:val="20"/>
              </w:rPr>
            </w:pPr>
            <w:r w:rsidRPr="00175D8B">
              <w:rPr>
                <w:b/>
                <w:bCs/>
                <w:color w:val="000000" w:themeColor="text1"/>
                <w:sz w:val="20"/>
                <w:szCs w:val="20"/>
              </w:rPr>
              <w:t xml:space="preserve">Risk </w:t>
            </w:r>
          </w:p>
          <w:p w14:paraId="2749CCD6" w14:textId="77777777" w:rsidR="00E02AE5" w:rsidRPr="00175D8B" w:rsidRDefault="00E02AE5" w:rsidP="00DF417A">
            <w:pPr>
              <w:spacing w:before="40" w:after="40"/>
              <w:rPr>
                <w:b/>
                <w:bCs/>
                <w:color w:val="000000" w:themeColor="text1"/>
                <w:sz w:val="20"/>
                <w:szCs w:val="20"/>
              </w:rPr>
            </w:pPr>
          </w:p>
        </w:tc>
        <w:tc>
          <w:tcPr>
            <w:tcW w:w="392" w:type="pct"/>
          </w:tcPr>
          <w:p w14:paraId="5543EA6F" w14:textId="77777777" w:rsidR="00E02AE5" w:rsidRPr="00175D8B" w:rsidRDefault="00E02AE5" w:rsidP="00DF417A">
            <w:pPr>
              <w:rPr>
                <w:b/>
                <w:bCs/>
                <w:color w:val="000000" w:themeColor="text1"/>
                <w:sz w:val="20"/>
                <w:szCs w:val="20"/>
              </w:rPr>
            </w:pPr>
            <w:r w:rsidRPr="00175D8B">
              <w:rPr>
                <w:b/>
                <w:bCs/>
                <w:color w:val="000000" w:themeColor="text1"/>
                <w:sz w:val="20"/>
                <w:szCs w:val="20"/>
              </w:rPr>
              <w:t xml:space="preserve">High </w:t>
            </w:r>
          </w:p>
          <w:p w14:paraId="2985831C" w14:textId="77777777" w:rsidR="00E02AE5" w:rsidRPr="00175D8B" w:rsidRDefault="00E02AE5" w:rsidP="00DF417A">
            <w:pPr>
              <w:rPr>
                <w:b/>
                <w:bCs/>
                <w:color w:val="000000" w:themeColor="text1"/>
                <w:sz w:val="20"/>
                <w:szCs w:val="20"/>
              </w:rPr>
            </w:pPr>
            <w:r w:rsidRPr="00175D8B">
              <w:rPr>
                <w:b/>
                <w:bCs/>
                <w:color w:val="000000" w:themeColor="text1"/>
                <w:sz w:val="20"/>
                <w:szCs w:val="20"/>
              </w:rPr>
              <w:t xml:space="preserve">Risk </w:t>
            </w:r>
          </w:p>
        </w:tc>
      </w:tr>
      <w:tr w:rsidR="00D21866" w:rsidRPr="00175D8B" w14:paraId="5AE7D184" w14:textId="77777777" w:rsidTr="008C490F">
        <w:trPr>
          <w:trHeight w:val="313"/>
          <w:jc w:val="center"/>
        </w:trPr>
        <w:tc>
          <w:tcPr>
            <w:tcW w:w="2459" w:type="pct"/>
            <w:vMerge w:val="restart"/>
          </w:tcPr>
          <w:p w14:paraId="5F46EAA2"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 xml:space="preserve">What is the risk of presence of asbestos material at the building to be demolished/retrofitted in terms of the building’s age? (As a pre visual observation assessment)? </w:t>
            </w:r>
          </w:p>
        </w:tc>
        <w:tc>
          <w:tcPr>
            <w:tcW w:w="662" w:type="pct"/>
          </w:tcPr>
          <w:p w14:paraId="3EA42FCE" w14:textId="77777777" w:rsidR="00E02AE5" w:rsidRPr="00175D8B" w:rsidRDefault="00E02AE5" w:rsidP="00DF417A">
            <w:pPr>
              <w:spacing w:before="40" w:after="40"/>
              <w:rPr>
                <w:color w:val="000000" w:themeColor="text1"/>
                <w:sz w:val="20"/>
                <w:szCs w:val="20"/>
              </w:rPr>
            </w:pPr>
          </w:p>
        </w:tc>
        <w:tc>
          <w:tcPr>
            <w:tcW w:w="479" w:type="pct"/>
          </w:tcPr>
          <w:p w14:paraId="3BCAD258" w14:textId="77777777" w:rsidR="00E02AE5" w:rsidRPr="00175D8B" w:rsidRDefault="00E02AE5" w:rsidP="00DF417A">
            <w:pPr>
              <w:spacing w:before="40" w:after="40"/>
              <w:rPr>
                <w:color w:val="000000" w:themeColor="text1"/>
                <w:sz w:val="20"/>
                <w:szCs w:val="20"/>
              </w:rPr>
            </w:pPr>
          </w:p>
        </w:tc>
        <w:tc>
          <w:tcPr>
            <w:tcW w:w="531" w:type="pct"/>
          </w:tcPr>
          <w:p w14:paraId="6EF45202" w14:textId="77777777" w:rsidR="00E02AE5" w:rsidRPr="00175D8B" w:rsidRDefault="00E02AE5" w:rsidP="00DF417A">
            <w:pPr>
              <w:spacing w:before="40" w:after="40"/>
              <w:rPr>
                <w:color w:val="000000" w:themeColor="text1"/>
                <w:sz w:val="20"/>
                <w:szCs w:val="20"/>
              </w:rPr>
            </w:pPr>
          </w:p>
        </w:tc>
        <w:tc>
          <w:tcPr>
            <w:tcW w:w="477" w:type="pct"/>
          </w:tcPr>
          <w:p w14:paraId="2DFB00FA" w14:textId="77777777" w:rsidR="00E02AE5" w:rsidRPr="00175D8B" w:rsidRDefault="00E02AE5" w:rsidP="00DF417A">
            <w:pPr>
              <w:spacing w:before="40" w:after="40"/>
              <w:rPr>
                <w:color w:val="000000" w:themeColor="text1"/>
                <w:sz w:val="20"/>
                <w:szCs w:val="20"/>
              </w:rPr>
            </w:pPr>
          </w:p>
        </w:tc>
        <w:tc>
          <w:tcPr>
            <w:tcW w:w="392" w:type="pct"/>
          </w:tcPr>
          <w:p w14:paraId="1161402E" w14:textId="77777777" w:rsidR="00E02AE5" w:rsidRPr="00175D8B" w:rsidRDefault="00E02AE5" w:rsidP="00DF417A">
            <w:pPr>
              <w:spacing w:before="40" w:after="40"/>
              <w:rPr>
                <w:color w:val="000000" w:themeColor="text1"/>
                <w:sz w:val="20"/>
                <w:szCs w:val="20"/>
              </w:rPr>
            </w:pPr>
          </w:p>
        </w:tc>
      </w:tr>
      <w:tr w:rsidR="00D21866" w:rsidRPr="00175D8B" w14:paraId="07A2127F" w14:textId="77777777" w:rsidTr="008C490F">
        <w:trPr>
          <w:trHeight w:val="651"/>
          <w:jc w:val="center"/>
        </w:trPr>
        <w:tc>
          <w:tcPr>
            <w:tcW w:w="2459" w:type="pct"/>
            <w:vMerge/>
          </w:tcPr>
          <w:p w14:paraId="0A5DA69F" w14:textId="77777777" w:rsidR="00E02AE5" w:rsidRPr="00175D8B" w:rsidRDefault="00E02AE5" w:rsidP="00DF417A">
            <w:pPr>
              <w:spacing w:before="40" w:after="40"/>
              <w:rPr>
                <w:color w:val="000000" w:themeColor="text1"/>
                <w:sz w:val="20"/>
                <w:szCs w:val="20"/>
              </w:rPr>
            </w:pPr>
          </w:p>
        </w:tc>
        <w:tc>
          <w:tcPr>
            <w:tcW w:w="2541" w:type="pct"/>
            <w:gridSpan w:val="5"/>
          </w:tcPr>
          <w:p w14:paraId="45CDEA4B" w14:textId="77777777" w:rsidR="00E02AE5" w:rsidRPr="00175D8B" w:rsidRDefault="00E02AE5" w:rsidP="00DF417A">
            <w:pPr>
              <w:rPr>
                <w:color w:val="000000" w:themeColor="text1"/>
                <w:sz w:val="20"/>
                <w:szCs w:val="20"/>
              </w:rPr>
            </w:pPr>
            <w:r w:rsidRPr="00175D8B">
              <w:rPr>
                <w:b/>
                <w:bCs/>
                <w:color w:val="000000" w:themeColor="text1"/>
                <w:sz w:val="20"/>
                <w:szCs w:val="20"/>
              </w:rPr>
              <w:t xml:space="preserve">Explanation: </w:t>
            </w:r>
          </w:p>
        </w:tc>
      </w:tr>
      <w:tr w:rsidR="00D21866" w:rsidRPr="00175D8B" w14:paraId="4A376C59" w14:textId="77777777" w:rsidTr="008C490F">
        <w:trPr>
          <w:trHeight w:val="317"/>
          <w:jc w:val="center"/>
        </w:trPr>
        <w:tc>
          <w:tcPr>
            <w:tcW w:w="2459" w:type="pct"/>
            <w:vMerge w:val="restart"/>
          </w:tcPr>
          <w:p w14:paraId="6FAC3E0B"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What is the risk regarding impacts related with dust generation in terms of the volume of building to be demolished and/or reconstructed?</w:t>
            </w:r>
          </w:p>
        </w:tc>
        <w:tc>
          <w:tcPr>
            <w:tcW w:w="662" w:type="pct"/>
          </w:tcPr>
          <w:p w14:paraId="3DD516C5" w14:textId="77777777" w:rsidR="00E02AE5" w:rsidRPr="00175D8B" w:rsidRDefault="00E02AE5" w:rsidP="00DF417A">
            <w:pPr>
              <w:spacing w:before="40" w:after="40"/>
              <w:rPr>
                <w:color w:val="000000" w:themeColor="text1"/>
                <w:sz w:val="20"/>
                <w:szCs w:val="20"/>
              </w:rPr>
            </w:pPr>
          </w:p>
        </w:tc>
        <w:tc>
          <w:tcPr>
            <w:tcW w:w="479" w:type="pct"/>
          </w:tcPr>
          <w:p w14:paraId="32D75743" w14:textId="77777777" w:rsidR="00E02AE5" w:rsidRPr="00175D8B" w:rsidRDefault="00E02AE5" w:rsidP="00DF417A">
            <w:pPr>
              <w:spacing w:before="40" w:after="40"/>
              <w:rPr>
                <w:color w:val="000000" w:themeColor="text1"/>
                <w:sz w:val="20"/>
                <w:szCs w:val="20"/>
              </w:rPr>
            </w:pPr>
          </w:p>
        </w:tc>
        <w:tc>
          <w:tcPr>
            <w:tcW w:w="531" w:type="pct"/>
          </w:tcPr>
          <w:p w14:paraId="0A3B7B10" w14:textId="77777777" w:rsidR="00E02AE5" w:rsidRPr="00175D8B" w:rsidRDefault="00E02AE5" w:rsidP="00DF417A">
            <w:pPr>
              <w:spacing w:before="40" w:after="40"/>
              <w:rPr>
                <w:color w:val="000000" w:themeColor="text1"/>
                <w:sz w:val="20"/>
                <w:szCs w:val="20"/>
              </w:rPr>
            </w:pPr>
          </w:p>
        </w:tc>
        <w:tc>
          <w:tcPr>
            <w:tcW w:w="477" w:type="pct"/>
          </w:tcPr>
          <w:p w14:paraId="26ECC07F" w14:textId="77777777" w:rsidR="00E02AE5" w:rsidRPr="00175D8B" w:rsidRDefault="00E02AE5" w:rsidP="00DF417A">
            <w:pPr>
              <w:spacing w:before="40" w:after="40"/>
              <w:rPr>
                <w:color w:val="000000" w:themeColor="text1"/>
                <w:sz w:val="20"/>
                <w:szCs w:val="20"/>
              </w:rPr>
            </w:pPr>
          </w:p>
        </w:tc>
        <w:tc>
          <w:tcPr>
            <w:tcW w:w="392" w:type="pct"/>
          </w:tcPr>
          <w:p w14:paraId="63A19E01" w14:textId="77777777" w:rsidR="00E02AE5" w:rsidRPr="00175D8B" w:rsidRDefault="00E02AE5" w:rsidP="00DF417A">
            <w:pPr>
              <w:spacing w:before="40" w:after="40"/>
              <w:rPr>
                <w:color w:val="000000" w:themeColor="text1"/>
                <w:sz w:val="20"/>
                <w:szCs w:val="20"/>
              </w:rPr>
            </w:pPr>
          </w:p>
        </w:tc>
      </w:tr>
      <w:tr w:rsidR="00D21866" w:rsidRPr="00175D8B" w14:paraId="4C688B3E" w14:textId="77777777" w:rsidTr="008C490F">
        <w:trPr>
          <w:trHeight w:val="533"/>
          <w:jc w:val="center"/>
        </w:trPr>
        <w:tc>
          <w:tcPr>
            <w:tcW w:w="2459" w:type="pct"/>
            <w:vMerge/>
          </w:tcPr>
          <w:p w14:paraId="4B445FF5" w14:textId="77777777" w:rsidR="00E02AE5" w:rsidRPr="00175D8B" w:rsidRDefault="00E02AE5" w:rsidP="00DF417A">
            <w:pPr>
              <w:spacing w:before="40" w:after="40"/>
              <w:rPr>
                <w:color w:val="000000" w:themeColor="text1"/>
                <w:sz w:val="20"/>
                <w:szCs w:val="20"/>
              </w:rPr>
            </w:pPr>
          </w:p>
        </w:tc>
        <w:tc>
          <w:tcPr>
            <w:tcW w:w="2541" w:type="pct"/>
            <w:gridSpan w:val="5"/>
          </w:tcPr>
          <w:p w14:paraId="19221ABD"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 xml:space="preserve">Explanation: </w:t>
            </w:r>
          </w:p>
        </w:tc>
      </w:tr>
      <w:tr w:rsidR="00D21866" w:rsidRPr="00175D8B" w14:paraId="6A45191F" w14:textId="77777777" w:rsidTr="008C490F">
        <w:trPr>
          <w:trHeight w:val="243"/>
          <w:jc w:val="center"/>
        </w:trPr>
        <w:tc>
          <w:tcPr>
            <w:tcW w:w="2459" w:type="pct"/>
            <w:vMerge w:val="restart"/>
          </w:tcPr>
          <w:p w14:paraId="61B2A768"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What is the level of risk of the subproject in terms of possible increase on the traffic load, given the duration (depending on the size of the work, e.g., the size of the new building) and intensity of the activities.</w:t>
            </w:r>
          </w:p>
          <w:p w14:paraId="1DCD317A" w14:textId="77777777" w:rsidR="00E02AE5" w:rsidRPr="00175D8B" w:rsidRDefault="00E02AE5" w:rsidP="00DF417A">
            <w:pPr>
              <w:spacing w:before="40" w:after="40"/>
              <w:rPr>
                <w:color w:val="000000" w:themeColor="text1"/>
                <w:sz w:val="20"/>
                <w:szCs w:val="20"/>
              </w:rPr>
            </w:pPr>
          </w:p>
        </w:tc>
        <w:tc>
          <w:tcPr>
            <w:tcW w:w="662" w:type="pct"/>
          </w:tcPr>
          <w:p w14:paraId="63EFCFFD" w14:textId="77777777" w:rsidR="00E02AE5" w:rsidRPr="00175D8B" w:rsidRDefault="00E02AE5" w:rsidP="00DF417A">
            <w:pPr>
              <w:spacing w:before="40" w:after="40"/>
              <w:rPr>
                <w:color w:val="000000" w:themeColor="text1"/>
                <w:sz w:val="20"/>
                <w:szCs w:val="20"/>
              </w:rPr>
            </w:pPr>
          </w:p>
        </w:tc>
        <w:tc>
          <w:tcPr>
            <w:tcW w:w="479" w:type="pct"/>
          </w:tcPr>
          <w:p w14:paraId="020AFF5F" w14:textId="77777777" w:rsidR="00E02AE5" w:rsidRPr="00175D8B" w:rsidRDefault="00E02AE5" w:rsidP="00DF417A">
            <w:pPr>
              <w:spacing w:before="40" w:after="40"/>
              <w:rPr>
                <w:color w:val="000000" w:themeColor="text1"/>
                <w:sz w:val="20"/>
                <w:szCs w:val="20"/>
              </w:rPr>
            </w:pPr>
          </w:p>
        </w:tc>
        <w:tc>
          <w:tcPr>
            <w:tcW w:w="531" w:type="pct"/>
          </w:tcPr>
          <w:p w14:paraId="7AF3868C" w14:textId="77777777" w:rsidR="00E02AE5" w:rsidRPr="00175D8B" w:rsidRDefault="00E02AE5" w:rsidP="00DF417A">
            <w:pPr>
              <w:spacing w:before="40" w:after="40"/>
              <w:rPr>
                <w:color w:val="000000" w:themeColor="text1"/>
                <w:sz w:val="20"/>
                <w:szCs w:val="20"/>
              </w:rPr>
            </w:pPr>
          </w:p>
        </w:tc>
        <w:tc>
          <w:tcPr>
            <w:tcW w:w="477" w:type="pct"/>
          </w:tcPr>
          <w:p w14:paraId="6B7D9B0D" w14:textId="77777777" w:rsidR="00E02AE5" w:rsidRPr="00175D8B" w:rsidRDefault="00E02AE5" w:rsidP="00DF417A">
            <w:pPr>
              <w:spacing w:before="40" w:after="40"/>
              <w:rPr>
                <w:color w:val="000000" w:themeColor="text1"/>
                <w:sz w:val="20"/>
                <w:szCs w:val="20"/>
              </w:rPr>
            </w:pPr>
          </w:p>
        </w:tc>
        <w:tc>
          <w:tcPr>
            <w:tcW w:w="392" w:type="pct"/>
          </w:tcPr>
          <w:p w14:paraId="4CB22BBF" w14:textId="77777777" w:rsidR="00E02AE5" w:rsidRPr="00175D8B" w:rsidRDefault="00E02AE5" w:rsidP="00DF417A">
            <w:pPr>
              <w:spacing w:before="40" w:after="40"/>
              <w:rPr>
                <w:color w:val="000000" w:themeColor="text1"/>
                <w:sz w:val="20"/>
                <w:szCs w:val="20"/>
              </w:rPr>
            </w:pPr>
          </w:p>
        </w:tc>
      </w:tr>
      <w:tr w:rsidR="00D21866" w:rsidRPr="00175D8B" w14:paraId="3BD5C73E" w14:textId="77777777" w:rsidTr="008C490F">
        <w:trPr>
          <w:trHeight w:val="607"/>
          <w:jc w:val="center"/>
        </w:trPr>
        <w:tc>
          <w:tcPr>
            <w:tcW w:w="2459" w:type="pct"/>
            <w:vMerge/>
          </w:tcPr>
          <w:p w14:paraId="77E1B930" w14:textId="77777777" w:rsidR="00E02AE5" w:rsidRPr="00175D8B" w:rsidRDefault="00E02AE5" w:rsidP="00DF417A">
            <w:pPr>
              <w:spacing w:before="40" w:after="40"/>
              <w:rPr>
                <w:color w:val="000000" w:themeColor="text1"/>
                <w:sz w:val="20"/>
                <w:szCs w:val="20"/>
              </w:rPr>
            </w:pPr>
          </w:p>
        </w:tc>
        <w:tc>
          <w:tcPr>
            <w:tcW w:w="2541" w:type="pct"/>
            <w:gridSpan w:val="5"/>
          </w:tcPr>
          <w:p w14:paraId="298A5B1A"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Explanation:</w:t>
            </w:r>
            <w:r w:rsidRPr="00175D8B">
              <w:rPr>
                <w:color w:val="000000" w:themeColor="text1"/>
                <w:sz w:val="20"/>
                <w:szCs w:val="20"/>
              </w:rPr>
              <w:t xml:space="preserve"> </w:t>
            </w:r>
          </w:p>
        </w:tc>
      </w:tr>
      <w:tr w:rsidR="00D21866" w:rsidRPr="00175D8B" w14:paraId="6AF66AE4" w14:textId="77777777" w:rsidTr="008C490F">
        <w:trPr>
          <w:trHeight w:val="288"/>
          <w:jc w:val="center"/>
        </w:trPr>
        <w:tc>
          <w:tcPr>
            <w:tcW w:w="2459" w:type="pct"/>
            <w:vMerge w:val="restart"/>
          </w:tcPr>
          <w:p w14:paraId="1349645A"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What is the risk regarding impacts related with construction &amp; demolition waste generation of the sub-project (for instance, such criteria can be assessed: volume of the building to be demolished, nature of the activity to be performed (much less construction &amp; demolition waste will be generated during retrofitting when compared to demolishing) etc.)?</w:t>
            </w:r>
          </w:p>
        </w:tc>
        <w:tc>
          <w:tcPr>
            <w:tcW w:w="662" w:type="pct"/>
          </w:tcPr>
          <w:p w14:paraId="019B8779" w14:textId="77777777" w:rsidR="00E02AE5" w:rsidRPr="00175D8B" w:rsidRDefault="00E02AE5" w:rsidP="00DF417A">
            <w:pPr>
              <w:spacing w:before="40" w:after="40"/>
              <w:rPr>
                <w:color w:val="000000" w:themeColor="text1"/>
                <w:sz w:val="20"/>
                <w:szCs w:val="20"/>
              </w:rPr>
            </w:pPr>
          </w:p>
        </w:tc>
        <w:tc>
          <w:tcPr>
            <w:tcW w:w="479" w:type="pct"/>
          </w:tcPr>
          <w:p w14:paraId="46A8D7F7" w14:textId="77777777" w:rsidR="00E02AE5" w:rsidRPr="00175D8B" w:rsidRDefault="00E02AE5" w:rsidP="00DF417A">
            <w:pPr>
              <w:spacing w:before="40" w:after="40"/>
              <w:rPr>
                <w:color w:val="000000" w:themeColor="text1"/>
                <w:sz w:val="20"/>
                <w:szCs w:val="20"/>
              </w:rPr>
            </w:pPr>
          </w:p>
        </w:tc>
        <w:tc>
          <w:tcPr>
            <w:tcW w:w="531" w:type="pct"/>
          </w:tcPr>
          <w:p w14:paraId="5672029C" w14:textId="77777777" w:rsidR="00E02AE5" w:rsidRPr="00175D8B" w:rsidRDefault="00E02AE5" w:rsidP="00DF417A">
            <w:pPr>
              <w:spacing w:before="40" w:after="40"/>
              <w:rPr>
                <w:color w:val="000000" w:themeColor="text1"/>
                <w:sz w:val="20"/>
                <w:szCs w:val="20"/>
              </w:rPr>
            </w:pPr>
          </w:p>
        </w:tc>
        <w:tc>
          <w:tcPr>
            <w:tcW w:w="477" w:type="pct"/>
          </w:tcPr>
          <w:p w14:paraId="6EDB04D8" w14:textId="77777777" w:rsidR="00E02AE5" w:rsidRPr="00175D8B" w:rsidRDefault="00E02AE5" w:rsidP="00DF417A">
            <w:pPr>
              <w:spacing w:before="40" w:after="40"/>
              <w:rPr>
                <w:color w:val="000000" w:themeColor="text1"/>
                <w:sz w:val="20"/>
                <w:szCs w:val="20"/>
              </w:rPr>
            </w:pPr>
          </w:p>
        </w:tc>
        <w:tc>
          <w:tcPr>
            <w:tcW w:w="392" w:type="pct"/>
          </w:tcPr>
          <w:p w14:paraId="6355BB11" w14:textId="77777777" w:rsidR="00E02AE5" w:rsidRPr="00175D8B" w:rsidRDefault="00E02AE5" w:rsidP="00DF417A">
            <w:pPr>
              <w:spacing w:before="40" w:after="40"/>
              <w:rPr>
                <w:color w:val="000000" w:themeColor="text1"/>
                <w:sz w:val="20"/>
                <w:szCs w:val="20"/>
              </w:rPr>
            </w:pPr>
          </w:p>
        </w:tc>
      </w:tr>
      <w:tr w:rsidR="00D21866" w:rsidRPr="00175D8B" w14:paraId="64C53FA0" w14:textId="77777777" w:rsidTr="008C490F">
        <w:trPr>
          <w:trHeight w:val="1349"/>
          <w:jc w:val="center"/>
        </w:trPr>
        <w:tc>
          <w:tcPr>
            <w:tcW w:w="2459" w:type="pct"/>
            <w:vMerge/>
          </w:tcPr>
          <w:p w14:paraId="0A6FA65E" w14:textId="77777777" w:rsidR="00E02AE5" w:rsidRPr="00175D8B" w:rsidRDefault="00E02AE5" w:rsidP="00DF417A">
            <w:pPr>
              <w:spacing w:before="40" w:after="40"/>
              <w:rPr>
                <w:color w:val="000000" w:themeColor="text1"/>
                <w:sz w:val="20"/>
                <w:szCs w:val="20"/>
              </w:rPr>
            </w:pPr>
          </w:p>
        </w:tc>
        <w:tc>
          <w:tcPr>
            <w:tcW w:w="2541" w:type="pct"/>
            <w:gridSpan w:val="5"/>
          </w:tcPr>
          <w:p w14:paraId="784E093C"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 xml:space="preserve">Explanation: </w:t>
            </w:r>
          </w:p>
        </w:tc>
      </w:tr>
      <w:tr w:rsidR="00D21866" w:rsidRPr="00175D8B" w14:paraId="2C052991" w14:textId="77777777" w:rsidTr="008C490F">
        <w:trPr>
          <w:trHeight w:val="370"/>
          <w:jc w:val="center"/>
        </w:trPr>
        <w:tc>
          <w:tcPr>
            <w:tcW w:w="2459" w:type="pct"/>
            <w:vMerge w:val="restart"/>
          </w:tcPr>
          <w:p w14:paraId="7E26CEA3"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lastRenderedPageBreak/>
              <w:t>What will be the extent of occupational exposure and other OHS risks of the subproject, other than asbestos (e.g., will there be work at height during retrofitting activities, or how much will the risk of working at height be when performing reconstruction activities, depending on the design of the new structure, etc.)?</w:t>
            </w:r>
          </w:p>
        </w:tc>
        <w:tc>
          <w:tcPr>
            <w:tcW w:w="662" w:type="pct"/>
          </w:tcPr>
          <w:p w14:paraId="31D24A89" w14:textId="77777777" w:rsidR="00E02AE5" w:rsidRPr="00175D8B" w:rsidRDefault="00E02AE5" w:rsidP="00DF417A">
            <w:pPr>
              <w:spacing w:before="40" w:after="40"/>
              <w:rPr>
                <w:color w:val="000000" w:themeColor="text1"/>
                <w:sz w:val="20"/>
                <w:szCs w:val="20"/>
              </w:rPr>
            </w:pPr>
          </w:p>
        </w:tc>
        <w:tc>
          <w:tcPr>
            <w:tcW w:w="479" w:type="pct"/>
          </w:tcPr>
          <w:p w14:paraId="6B824568" w14:textId="77777777" w:rsidR="00E02AE5" w:rsidRPr="00175D8B" w:rsidRDefault="00E02AE5" w:rsidP="00DF417A">
            <w:pPr>
              <w:spacing w:before="40" w:after="40"/>
              <w:rPr>
                <w:color w:val="000000" w:themeColor="text1"/>
                <w:sz w:val="20"/>
                <w:szCs w:val="20"/>
              </w:rPr>
            </w:pPr>
          </w:p>
        </w:tc>
        <w:tc>
          <w:tcPr>
            <w:tcW w:w="531" w:type="pct"/>
          </w:tcPr>
          <w:p w14:paraId="7FAD863D" w14:textId="77777777" w:rsidR="00E02AE5" w:rsidRPr="00175D8B" w:rsidRDefault="00E02AE5" w:rsidP="00DF417A">
            <w:pPr>
              <w:spacing w:before="40" w:after="40"/>
              <w:rPr>
                <w:color w:val="000000" w:themeColor="text1"/>
                <w:sz w:val="20"/>
                <w:szCs w:val="20"/>
              </w:rPr>
            </w:pPr>
          </w:p>
        </w:tc>
        <w:tc>
          <w:tcPr>
            <w:tcW w:w="477" w:type="pct"/>
          </w:tcPr>
          <w:p w14:paraId="3F03BBE2" w14:textId="77777777" w:rsidR="00E02AE5" w:rsidRPr="00175D8B" w:rsidRDefault="00E02AE5" w:rsidP="00DF417A">
            <w:pPr>
              <w:spacing w:before="40" w:after="40"/>
              <w:rPr>
                <w:color w:val="000000" w:themeColor="text1"/>
                <w:sz w:val="20"/>
                <w:szCs w:val="20"/>
              </w:rPr>
            </w:pPr>
          </w:p>
        </w:tc>
        <w:tc>
          <w:tcPr>
            <w:tcW w:w="392" w:type="pct"/>
          </w:tcPr>
          <w:p w14:paraId="0D4BB255" w14:textId="77777777" w:rsidR="00E02AE5" w:rsidRPr="00175D8B" w:rsidRDefault="00E02AE5" w:rsidP="00DF417A">
            <w:pPr>
              <w:spacing w:before="40" w:after="40"/>
              <w:rPr>
                <w:color w:val="000000" w:themeColor="text1"/>
                <w:sz w:val="20"/>
                <w:szCs w:val="20"/>
              </w:rPr>
            </w:pPr>
          </w:p>
        </w:tc>
      </w:tr>
      <w:tr w:rsidR="00D21866" w:rsidRPr="00175D8B" w14:paraId="608437E5" w14:textId="77777777" w:rsidTr="008C490F">
        <w:trPr>
          <w:trHeight w:val="1007"/>
          <w:jc w:val="center"/>
        </w:trPr>
        <w:tc>
          <w:tcPr>
            <w:tcW w:w="2459" w:type="pct"/>
            <w:vMerge/>
          </w:tcPr>
          <w:p w14:paraId="5D186C7A" w14:textId="77777777" w:rsidR="00E02AE5" w:rsidRPr="00175D8B" w:rsidRDefault="00E02AE5" w:rsidP="00DF417A">
            <w:pPr>
              <w:spacing w:before="40" w:after="40"/>
              <w:rPr>
                <w:color w:val="000000" w:themeColor="text1"/>
                <w:sz w:val="20"/>
                <w:szCs w:val="20"/>
              </w:rPr>
            </w:pPr>
          </w:p>
        </w:tc>
        <w:tc>
          <w:tcPr>
            <w:tcW w:w="2541" w:type="pct"/>
            <w:gridSpan w:val="5"/>
          </w:tcPr>
          <w:p w14:paraId="0D066522"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Explanation</w:t>
            </w:r>
            <w:r w:rsidRPr="00175D8B">
              <w:rPr>
                <w:color w:val="000000" w:themeColor="text1"/>
                <w:sz w:val="20"/>
                <w:szCs w:val="20"/>
              </w:rPr>
              <w:t>:</w:t>
            </w:r>
          </w:p>
          <w:p w14:paraId="4962708A" w14:textId="77777777" w:rsidR="00E02AE5" w:rsidRPr="00175D8B" w:rsidRDefault="00E02AE5" w:rsidP="00DF417A">
            <w:pPr>
              <w:spacing w:before="100" w:beforeAutospacing="1" w:after="100" w:afterAutospacing="1"/>
              <w:ind w:left="50"/>
              <w:rPr>
                <w:color w:val="000000" w:themeColor="text1"/>
                <w:sz w:val="20"/>
                <w:szCs w:val="20"/>
              </w:rPr>
            </w:pPr>
          </w:p>
        </w:tc>
      </w:tr>
      <w:tr w:rsidR="00D21866" w:rsidRPr="00175D8B" w14:paraId="518C2D61" w14:textId="77777777" w:rsidTr="008C490F">
        <w:trPr>
          <w:trHeight w:val="370"/>
          <w:jc w:val="center"/>
        </w:trPr>
        <w:tc>
          <w:tcPr>
            <w:tcW w:w="2459" w:type="pct"/>
            <w:vMerge w:val="restart"/>
          </w:tcPr>
          <w:p w14:paraId="4B613D42" w14:textId="77777777" w:rsidR="00E02AE5" w:rsidRPr="00175D8B" w:rsidRDefault="00E02AE5" w:rsidP="00DF417A">
            <w:pPr>
              <w:spacing w:before="40" w:after="40"/>
              <w:rPr>
                <w:color w:val="000000" w:themeColor="text1"/>
                <w:sz w:val="20"/>
                <w:szCs w:val="20"/>
              </w:rPr>
            </w:pPr>
          </w:p>
          <w:p w14:paraId="6C77EA7C"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 xml:space="preserve">What will be the level of the risk of the subproject within the scope of RF? </w:t>
            </w:r>
          </w:p>
          <w:p w14:paraId="4F6B8B43"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This section will be filled out by taking into consideration the following:</w:t>
            </w:r>
          </w:p>
          <w:p w14:paraId="6BCA58B0" w14:textId="77777777" w:rsidR="00E02AE5" w:rsidRPr="00175D8B" w:rsidRDefault="00E02AE5">
            <w:pPr>
              <w:pStyle w:val="ListeParagraf"/>
              <w:numPr>
                <w:ilvl w:val="0"/>
                <w:numId w:val="48"/>
              </w:numPr>
              <w:spacing w:before="40" w:after="40" w:line="240" w:lineRule="auto"/>
              <w:ind w:left="420"/>
              <w:rPr>
                <w:color w:val="000000" w:themeColor="text1"/>
                <w:sz w:val="20"/>
                <w:szCs w:val="20"/>
              </w:rPr>
            </w:pPr>
            <w:r w:rsidRPr="00175D8B">
              <w:rPr>
                <w:color w:val="000000" w:themeColor="text1"/>
                <w:sz w:val="20"/>
                <w:szCs w:val="20"/>
              </w:rPr>
              <w:t xml:space="preserve">Identification of vulnerable groups (if any) affected by the building to be transformed under the Project and determination of their entitlement (tenant/homeowner) status. </w:t>
            </w:r>
          </w:p>
          <w:p w14:paraId="4CB93F7D" w14:textId="77777777" w:rsidR="00E02AE5" w:rsidRPr="00175D8B" w:rsidRDefault="00E02AE5" w:rsidP="00DF417A">
            <w:pPr>
              <w:spacing w:before="40" w:after="40"/>
              <w:ind w:left="690"/>
              <w:rPr>
                <w:i/>
                <w:iCs/>
                <w:color w:val="000000" w:themeColor="text1"/>
                <w:sz w:val="20"/>
                <w:szCs w:val="20"/>
              </w:rPr>
            </w:pPr>
            <w:r w:rsidRPr="00175D8B">
              <w:rPr>
                <w:i/>
                <w:iCs/>
                <w:color w:val="000000" w:themeColor="text1"/>
                <w:sz w:val="20"/>
                <w:szCs w:val="20"/>
              </w:rPr>
              <w:t>This is an indicative piece of information. Please adjust it according to the information you have.</w:t>
            </w:r>
          </w:p>
          <w:p w14:paraId="79C57972"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 xml:space="preserve">Please provide details with about the potential vulnerable groups in the building with reference to their rights within the scope of the CDRC project. (i.e. additional interest deduction, rental support, etc.). </w:t>
            </w:r>
          </w:p>
          <w:p w14:paraId="27D0FEDB" w14:textId="77777777" w:rsidR="00E02AE5" w:rsidRPr="00175D8B" w:rsidRDefault="00E02AE5" w:rsidP="00DF417A">
            <w:pPr>
              <w:spacing w:before="40" w:after="40"/>
              <w:ind w:left="690"/>
              <w:rPr>
                <w:i/>
                <w:iCs/>
                <w:color w:val="000000" w:themeColor="text1"/>
                <w:sz w:val="20"/>
                <w:szCs w:val="20"/>
              </w:rPr>
            </w:pPr>
            <w:r w:rsidRPr="00175D8B">
              <w:rPr>
                <w:i/>
                <w:iCs/>
                <w:color w:val="000000" w:themeColor="text1"/>
                <w:sz w:val="20"/>
                <w:szCs w:val="20"/>
              </w:rPr>
              <w:lastRenderedPageBreak/>
              <w:t>Vulnerable groups: Female-headed households, elderly, persons with disabilities, poor households (including those with many children) and persons without social security insurance (including unemployed youth and households with child laborers), migrants / Syrians under temporary protection / Ethnic groups, persons and groups whose livelihoods depend on the structures covered by the Project and who will be permanently displaced economically and physically (e.g.supers)</w:t>
            </w:r>
          </w:p>
          <w:p w14:paraId="17CDD587" w14:textId="77777777" w:rsidR="00E02AE5" w:rsidRPr="00175D8B" w:rsidRDefault="00E02AE5" w:rsidP="00DF417A">
            <w:pPr>
              <w:spacing w:before="40" w:after="40"/>
              <w:rPr>
                <w:i/>
                <w:iCs/>
                <w:color w:val="000000" w:themeColor="text1"/>
                <w:sz w:val="20"/>
                <w:szCs w:val="20"/>
              </w:rPr>
            </w:pPr>
          </w:p>
          <w:p w14:paraId="4E8557D6" w14:textId="77777777" w:rsidR="00E02AE5" w:rsidRPr="00175D8B" w:rsidRDefault="00E02AE5" w:rsidP="00DF417A">
            <w:pPr>
              <w:spacing w:before="40" w:after="40"/>
              <w:rPr>
                <w:color w:val="000000" w:themeColor="text1"/>
                <w:sz w:val="20"/>
                <w:szCs w:val="20"/>
              </w:rPr>
            </w:pPr>
          </w:p>
        </w:tc>
        <w:tc>
          <w:tcPr>
            <w:tcW w:w="662" w:type="pct"/>
          </w:tcPr>
          <w:p w14:paraId="6C8784A1" w14:textId="77777777" w:rsidR="00E02AE5" w:rsidRPr="00175D8B" w:rsidRDefault="00E02AE5" w:rsidP="00DF417A">
            <w:pPr>
              <w:spacing w:before="40" w:after="40"/>
              <w:rPr>
                <w:color w:val="000000" w:themeColor="text1"/>
                <w:sz w:val="20"/>
                <w:szCs w:val="20"/>
              </w:rPr>
            </w:pPr>
          </w:p>
        </w:tc>
        <w:tc>
          <w:tcPr>
            <w:tcW w:w="479" w:type="pct"/>
          </w:tcPr>
          <w:p w14:paraId="25F8172A" w14:textId="77777777" w:rsidR="00E02AE5" w:rsidRPr="00175D8B" w:rsidRDefault="00E02AE5" w:rsidP="00DF417A">
            <w:pPr>
              <w:spacing w:before="40" w:after="40"/>
              <w:rPr>
                <w:color w:val="000000" w:themeColor="text1"/>
                <w:sz w:val="20"/>
                <w:szCs w:val="20"/>
              </w:rPr>
            </w:pPr>
          </w:p>
        </w:tc>
        <w:tc>
          <w:tcPr>
            <w:tcW w:w="531" w:type="pct"/>
          </w:tcPr>
          <w:p w14:paraId="399D77B5" w14:textId="77777777" w:rsidR="00E02AE5" w:rsidRPr="00175D8B" w:rsidRDefault="00E02AE5" w:rsidP="00DF417A">
            <w:pPr>
              <w:spacing w:before="40" w:after="40"/>
              <w:rPr>
                <w:color w:val="000000" w:themeColor="text1"/>
                <w:sz w:val="20"/>
                <w:szCs w:val="20"/>
              </w:rPr>
            </w:pPr>
          </w:p>
        </w:tc>
        <w:tc>
          <w:tcPr>
            <w:tcW w:w="477" w:type="pct"/>
          </w:tcPr>
          <w:p w14:paraId="69061F3C" w14:textId="77777777" w:rsidR="00E02AE5" w:rsidRPr="00175D8B" w:rsidRDefault="00E02AE5" w:rsidP="00DF417A">
            <w:pPr>
              <w:spacing w:before="40" w:after="40"/>
              <w:rPr>
                <w:color w:val="000000" w:themeColor="text1"/>
                <w:sz w:val="20"/>
                <w:szCs w:val="20"/>
              </w:rPr>
            </w:pPr>
          </w:p>
        </w:tc>
        <w:tc>
          <w:tcPr>
            <w:tcW w:w="392" w:type="pct"/>
          </w:tcPr>
          <w:p w14:paraId="2AE941C0" w14:textId="77777777" w:rsidR="00E02AE5" w:rsidRPr="00175D8B" w:rsidRDefault="00E02AE5" w:rsidP="00DF417A">
            <w:pPr>
              <w:spacing w:before="40" w:after="40"/>
              <w:rPr>
                <w:color w:val="000000" w:themeColor="text1"/>
                <w:sz w:val="20"/>
                <w:szCs w:val="20"/>
              </w:rPr>
            </w:pPr>
          </w:p>
        </w:tc>
      </w:tr>
      <w:tr w:rsidR="00D21866" w:rsidRPr="00175D8B" w14:paraId="483485EE" w14:textId="77777777" w:rsidTr="008C490F">
        <w:trPr>
          <w:trHeight w:val="562"/>
          <w:jc w:val="center"/>
        </w:trPr>
        <w:tc>
          <w:tcPr>
            <w:tcW w:w="2459" w:type="pct"/>
            <w:vMerge/>
          </w:tcPr>
          <w:p w14:paraId="09B5B8C9" w14:textId="77777777" w:rsidR="00E02AE5" w:rsidRPr="00175D8B" w:rsidRDefault="00E02AE5" w:rsidP="00DF417A">
            <w:pPr>
              <w:spacing w:before="40" w:after="40"/>
              <w:rPr>
                <w:color w:val="000000" w:themeColor="text1"/>
                <w:sz w:val="20"/>
                <w:szCs w:val="20"/>
              </w:rPr>
            </w:pPr>
          </w:p>
        </w:tc>
        <w:tc>
          <w:tcPr>
            <w:tcW w:w="2541" w:type="pct"/>
            <w:gridSpan w:val="5"/>
          </w:tcPr>
          <w:p w14:paraId="1B7EA2A1"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Explanation</w:t>
            </w:r>
            <w:r w:rsidRPr="00175D8B">
              <w:rPr>
                <w:color w:val="000000" w:themeColor="text1"/>
                <w:sz w:val="20"/>
                <w:szCs w:val="20"/>
              </w:rPr>
              <w:t>:</w:t>
            </w:r>
          </w:p>
          <w:p w14:paraId="6431C963" w14:textId="77777777" w:rsidR="00E02AE5" w:rsidRPr="00175D8B" w:rsidRDefault="00E02AE5" w:rsidP="00DF417A">
            <w:pPr>
              <w:spacing w:before="40" w:after="40"/>
              <w:rPr>
                <w:color w:val="000000" w:themeColor="text1"/>
                <w:sz w:val="20"/>
                <w:szCs w:val="20"/>
              </w:rPr>
            </w:pPr>
          </w:p>
          <w:p w14:paraId="6507BF11" w14:textId="77777777" w:rsidR="00E02AE5" w:rsidRPr="00175D8B" w:rsidRDefault="00E02AE5" w:rsidP="00DF417A">
            <w:pPr>
              <w:spacing w:before="40" w:after="40"/>
              <w:rPr>
                <w:color w:val="000000" w:themeColor="text1"/>
                <w:sz w:val="20"/>
                <w:szCs w:val="20"/>
              </w:rPr>
            </w:pPr>
          </w:p>
          <w:p w14:paraId="7539E2CA" w14:textId="77777777" w:rsidR="00E02AE5" w:rsidRPr="00175D8B" w:rsidRDefault="00E02AE5" w:rsidP="00DF417A">
            <w:pPr>
              <w:spacing w:before="40" w:after="40"/>
              <w:rPr>
                <w:color w:val="000000" w:themeColor="text1"/>
                <w:sz w:val="20"/>
                <w:szCs w:val="20"/>
              </w:rPr>
            </w:pPr>
          </w:p>
          <w:p w14:paraId="48BE43A3" w14:textId="77777777" w:rsidR="00E02AE5" w:rsidRPr="00175D8B" w:rsidRDefault="00E02AE5" w:rsidP="00DF417A">
            <w:pPr>
              <w:spacing w:before="40" w:after="40"/>
              <w:rPr>
                <w:color w:val="000000" w:themeColor="text1"/>
                <w:sz w:val="20"/>
                <w:szCs w:val="20"/>
              </w:rPr>
            </w:pPr>
          </w:p>
          <w:p w14:paraId="46359F8D"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 xml:space="preserve"> </w:t>
            </w:r>
          </w:p>
          <w:p w14:paraId="1236CE2D"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 xml:space="preserve">Within the scope of the Climate and Disaster Resilient Cities Project, beneficiaries who have not previously benefited from rental assistance or interest support have been informed that they can apply for and benefit from rental assistance in accordance with Article 16 of </w:t>
            </w:r>
            <w:r w:rsidRPr="00175D8B">
              <w:rPr>
                <w:color w:val="000000" w:themeColor="text1"/>
                <w:sz w:val="20"/>
                <w:szCs w:val="20"/>
              </w:rPr>
              <w:lastRenderedPageBreak/>
              <w:t>the Implementing Regulation of Law No. 6306 and the conditions specified in the Rental Assistance Guide, even if the one-year application period has passed.</w:t>
            </w:r>
          </w:p>
          <w:p w14:paraId="5B9041AE"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Accordingly, the project will ensure that all eligible PAPs (homeowners, renters, business owners, etc.) receive compensation in accordance with the Project’s RF.</w:t>
            </w:r>
          </w:p>
        </w:tc>
      </w:tr>
      <w:tr w:rsidR="00D21866" w:rsidRPr="00175D8B" w14:paraId="01202FB9" w14:textId="77777777" w:rsidTr="008C490F">
        <w:trPr>
          <w:trHeight w:val="219"/>
          <w:jc w:val="center"/>
        </w:trPr>
        <w:tc>
          <w:tcPr>
            <w:tcW w:w="2459" w:type="pct"/>
            <w:vMerge w:val="restart"/>
          </w:tcPr>
          <w:p w14:paraId="2202CD82"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lastRenderedPageBreak/>
              <w:t>Other environmental and social risks (if any, please identify nature and level)</w:t>
            </w:r>
          </w:p>
          <w:p w14:paraId="6092CA18" w14:textId="77777777" w:rsidR="00E02AE5" w:rsidRPr="00175D8B" w:rsidRDefault="00E02AE5" w:rsidP="00DF417A">
            <w:pPr>
              <w:spacing w:before="40" w:after="40"/>
              <w:rPr>
                <w:color w:val="000000" w:themeColor="text1"/>
                <w:sz w:val="20"/>
                <w:szCs w:val="20"/>
              </w:rPr>
            </w:pPr>
          </w:p>
        </w:tc>
        <w:tc>
          <w:tcPr>
            <w:tcW w:w="662" w:type="pct"/>
          </w:tcPr>
          <w:p w14:paraId="7A5FDAB3" w14:textId="77777777" w:rsidR="00E02AE5" w:rsidRPr="00175D8B" w:rsidRDefault="00E02AE5" w:rsidP="00DF417A">
            <w:pPr>
              <w:spacing w:before="40" w:after="40"/>
              <w:rPr>
                <w:color w:val="000000" w:themeColor="text1"/>
                <w:sz w:val="20"/>
                <w:szCs w:val="20"/>
              </w:rPr>
            </w:pPr>
          </w:p>
        </w:tc>
        <w:tc>
          <w:tcPr>
            <w:tcW w:w="479" w:type="pct"/>
          </w:tcPr>
          <w:p w14:paraId="4A55F904" w14:textId="77777777" w:rsidR="00E02AE5" w:rsidRPr="00175D8B" w:rsidRDefault="00E02AE5" w:rsidP="00DF417A">
            <w:pPr>
              <w:spacing w:before="40" w:after="40"/>
              <w:rPr>
                <w:color w:val="000000" w:themeColor="text1"/>
                <w:sz w:val="20"/>
                <w:szCs w:val="20"/>
              </w:rPr>
            </w:pPr>
          </w:p>
        </w:tc>
        <w:tc>
          <w:tcPr>
            <w:tcW w:w="531" w:type="pct"/>
          </w:tcPr>
          <w:p w14:paraId="5F3EEF2F" w14:textId="77777777" w:rsidR="00E02AE5" w:rsidRPr="00175D8B" w:rsidRDefault="00E02AE5" w:rsidP="00DF417A">
            <w:pPr>
              <w:spacing w:before="40" w:after="40"/>
              <w:rPr>
                <w:color w:val="000000" w:themeColor="text1"/>
                <w:sz w:val="20"/>
                <w:szCs w:val="20"/>
              </w:rPr>
            </w:pPr>
          </w:p>
        </w:tc>
        <w:tc>
          <w:tcPr>
            <w:tcW w:w="477" w:type="pct"/>
          </w:tcPr>
          <w:p w14:paraId="0C6ACB06" w14:textId="77777777" w:rsidR="00E02AE5" w:rsidRPr="00175D8B" w:rsidRDefault="00E02AE5" w:rsidP="00DF417A">
            <w:pPr>
              <w:spacing w:before="40" w:after="40"/>
              <w:rPr>
                <w:color w:val="000000" w:themeColor="text1"/>
                <w:sz w:val="20"/>
                <w:szCs w:val="20"/>
              </w:rPr>
            </w:pPr>
          </w:p>
        </w:tc>
        <w:tc>
          <w:tcPr>
            <w:tcW w:w="392" w:type="pct"/>
          </w:tcPr>
          <w:p w14:paraId="77FB5CB3" w14:textId="77777777" w:rsidR="00E02AE5" w:rsidRPr="00175D8B" w:rsidRDefault="00E02AE5" w:rsidP="00DF417A">
            <w:pPr>
              <w:spacing w:before="40" w:after="40"/>
              <w:rPr>
                <w:color w:val="000000" w:themeColor="text1"/>
                <w:sz w:val="20"/>
                <w:szCs w:val="20"/>
              </w:rPr>
            </w:pPr>
          </w:p>
        </w:tc>
      </w:tr>
      <w:tr w:rsidR="00D21866" w:rsidRPr="00175D8B" w14:paraId="4420C13E" w14:textId="77777777" w:rsidTr="008C490F">
        <w:trPr>
          <w:trHeight w:val="533"/>
          <w:jc w:val="center"/>
        </w:trPr>
        <w:tc>
          <w:tcPr>
            <w:tcW w:w="2459" w:type="pct"/>
            <w:vMerge/>
          </w:tcPr>
          <w:p w14:paraId="4AD386E0" w14:textId="77777777" w:rsidR="00E02AE5" w:rsidRPr="00175D8B" w:rsidRDefault="00E02AE5" w:rsidP="00DF417A">
            <w:pPr>
              <w:spacing w:before="40" w:after="40"/>
              <w:rPr>
                <w:color w:val="000000" w:themeColor="text1"/>
                <w:sz w:val="20"/>
                <w:szCs w:val="20"/>
              </w:rPr>
            </w:pPr>
          </w:p>
        </w:tc>
        <w:tc>
          <w:tcPr>
            <w:tcW w:w="2541" w:type="pct"/>
            <w:gridSpan w:val="5"/>
          </w:tcPr>
          <w:p w14:paraId="2FEA21D5"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Explanation:</w:t>
            </w:r>
            <w:r w:rsidRPr="00175D8B">
              <w:rPr>
                <w:color w:val="000000" w:themeColor="text1"/>
                <w:sz w:val="20"/>
                <w:szCs w:val="20"/>
              </w:rPr>
              <w:t xml:space="preserve"> </w:t>
            </w:r>
          </w:p>
        </w:tc>
      </w:tr>
    </w:tbl>
    <w:tbl>
      <w:tblPr>
        <w:tblStyle w:val="TabloKlavuzu3"/>
        <w:tblW w:w="14983" w:type="dxa"/>
        <w:jc w:val="center"/>
        <w:tblLayout w:type="fixed"/>
        <w:tblLook w:val="04A0" w:firstRow="1" w:lastRow="0" w:firstColumn="1" w:lastColumn="0" w:noHBand="0" w:noVBand="1"/>
      </w:tblPr>
      <w:tblGrid>
        <w:gridCol w:w="5491"/>
        <w:gridCol w:w="2017"/>
        <w:gridCol w:w="1843"/>
        <w:gridCol w:w="1984"/>
        <w:gridCol w:w="1985"/>
        <w:gridCol w:w="1663"/>
      </w:tblGrid>
      <w:tr w:rsidR="00E02AE5" w:rsidRPr="00175D8B" w14:paraId="69250243" w14:textId="77777777" w:rsidTr="002550A6">
        <w:trPr>
          <w:trHeight w:val="330"/>
          <w:tblHeader/>
          <w:jc w:val="center"/>
        </w:trPr>
        <w:tc>
          <w:tcPr>
            <w:tcW w:w="14983" w:type="dxa"/>
            <w:gridSpan w:val="6"/>
          </w:tcPr>
          <w:p w14:paraId="37A251B3"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lastRenderedPageBreak/>
              <w:t>PART-IV: Environmental and Social Risks - Current Status (For Type-III subprojects only)</w:t>
            </w:r>
          </w:p>
        </w:tc>
      </w:tr>
      <w:tr w:rsidR="00E02AE5" w:rsidRPr="00175D8B" w14:paraId="37DDBDB5" w14:textId="77777777" w:rsidTr="002550A6">
        <w:trPr>
          <w:trHeight w:val="611"/>
          <w:tblHeader/>
          <w:jc w:val="center"/>
        </w:trPr>
        <w:tc>
          <w:tcPr>
            <w:tcW w:w="5491" w:type="dxa"/>
          </w:tcPr>
          <w:p w14:paraId="4BD4B40F"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Environmental and Social Considerations</w:t>
            </w:r>
          </w:p>
          <w:p w14:paraId="3A0C769F" w14:textId="77777777" w:rsidR="00E02AE5" w:rsidRPr="00175D8B" w:rsidRDefault="00E02AE5" w:rsidP="00DF417A">
            <w:pPr>
              <w:spacing w:before="40" w:after="40"/>
              <w:rPr>
                <w:b/>
                <w:bCs/>
                <w:color w:val="000000" w:themeColor="text1"/>
                <w:sz w:val="20"/>
                <w:szCs w:val="20"/>
              </w:rPr>
            </w:pPr>
          </w:p>
        </w:tc>
        <w:tc>
          <w:tcPr>
            <w:tcW w:w="9492" w:type="dxa"/>
            <w:gridSpan w:val="5"/>
          </w:tcPr>
          <w:p w14:paraId="0B2F7D11"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 xml:space="preserve">Risk According to Predicted / Observed Conditions </w:t>
            </w:r>
          </w:p>
        </w:tc>
      </w:tr>
      <w:tr w:rsidR="00E02AE5" w:rsidRPr="00175D8B" w14:paraId="3A78F7F8" w14:textId="77777777" w:rsidTr="002550A6">
        <w:trPr>
          <w:trHeight w:val="611"/>
          <w:tblHeader/>
          <w:jc w:val="center"/>
        </w:trPr>
        <w:tc>
          <w:tcPr>
            <w:tcW w:w="5491" w:type="dxa"/>
          </w:tcPr>
          <w:p w14:paraId="50C39C00"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 xml:space="preserve">Risk Level </w:t>
            </w:r>
          </w:p>
        </w:tc>
        <w:tc>
          <w:tcPr>
            <w:tcW w:w="2017" w:type="dxa"/>
          </w:tcPr>
          <w:p w14:paraId="7B447E45"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No Risk</w:t>
            </w:r>
          </w:p>
        </w:tc>
        <w:tc>
          <w:tcPr>
            <w:tcW w:w="1843" w:type="dxa"/>
          </w:tcPr>
          <w:p w14:paraId="0DAD07D8" w14:textId="77777777" w:rsidR="00E02AE5" w:rsidRPr="00175D8B" w:rsidRDefault="00E02AE5" w:rsidP="00DF417A">
            <w:pPr>
              <w:rPr>
                <w:b/>
                <w:bCs/>
                <w:color w:val="000000" w:themeColor="text1"/>
                <w:sz w:val="20"/>
                <w:szCs w:val="20"/>
              </w:rPr>
            </w:pPr>
            <w:r w:rsidRPr="00175D8B">
              <w:rPr>
                <w:b/>
                <w:bCs/>
                <w:color w:val="000000" w:themeColor="text1"/>
                <w:sz w:val="20"/>
                <w:szCs w:val="20"/>
              </w:rPr>
              <w:t xml:space="preserve">Low </w:t>
            </w:r>
          </w:p>
          <w:p w14:paraId="421296CD" w14:textId="77777777" w:rsidR="00E02AE5" w:rsidRPr="00175D8B" w:rsidRDefault="00E02AE5" w:rsidP="00DF417A">
            <w:pPr>
              <w:rPr>
                <w:b/>
                <w:bCs/>
                <w:color w:val="000000" w:themeColor="text1"/>
                <w:sz w:val="20"/>
                <w:szCs w:val="20"/>
              </w:rPr>
            </w:pPr>
            <w:r w:rsidRPr="00175D8B">
              <w:rPr>
                <w:b/>
                <w:bCs/>
                <w:color w:val="000000" w:themeColor="text1"/>
                <w:sz w:val="20"/>
                <w:szCs w:val="20"/>
              </w:rPr>
              <w:t xml:space="preserve">Risk </w:t>
            </w:r>
          </w:p>
        </w:tc>
        <w:tc>
          <w:tcPr>
            <w:tcW w:w="1984" w:type="dxa"/>
          </w:tcPr>
          <w:p w14:paraId="5E300C30" w14:textId="77777777" w:rsidR="00E02AE5" w:rsidRPr="00175D8B" w:rsidRDefault="00E02AE5" w:rsidP="00DF417A">
            <w:pPr>
              <w:rPr>
                <w:b/>
                <w:bCs/>
                <w:color w:val="000000" w:themeColor="text1"/>
                <w:sz w:val="20"/>
                <w:szCs w:val="20"/>
              </w:rPr>
            </w:pPr>
            <w:r w:rsidRPr="00175D8B">
              <w:rPr>
                <w:b/>
                <w:bCs/>
                <w:color w:val="000000" w:themeColor="text1"/>
                <w:sz w:val="20"/>
                <w:szCs w:val="20"/>
              </w:rPr>
              <w:t xml:space="preserve">Moderate </w:t>
            </w:r>
          </w:p>
          <w:p w14:paraId="745085D8" w14:textId="77777777" w:rsidR="00E02AE5" w:rsidRPr="00175D8B" w:rsidRDefault="00E02AE5" w:rsidP="00DF417A">
            <w:pPr>
              <w:rPr>
                <w:b/>
                <w:bCs/>
                <w:color w:val="000000" w:themeColor="text1"/>
                <w:sz w:val="20"/>
                <w:szCs w:val="20"/>
              </w:rPr>
            </w:pPr>
            <w:r w:rsidRPr="00175D8B">
              <w:rPr>
                <w:b/>
                <w:bCs/>
                <w:color w:val="000000" w:themeColor="text1"/>
                <w:sz w:val="20"/>
                <w:szCs w:val="20"/>
              </w:rPr>
              <w:t>Risk</w:t>
            </w:r>
          </w:p>
        </w:tc>
        <w:tc>
          <w:tcPr>
            <w:tcW w:w="1985" w:type="dxa"/>
          </w:tcPr>
          <w:p w14:paraId="502BABB3" w14:textId="77777777" w:rsidR="00E02AE5" w:rsidRPr="00175D8B" w:rsidRDefault="00E02AE5" w:rsidP="00DF417A">
            <w:pPr>
              <w:rPr>
                <w:b/>
                <w:bCs/>
                <w:color w:val="000000" w:themeColor="text1"/>
                <w:sz w:val="20"/>
                <w:szCs w:val="20"/>
              </w:rPr>
            </w:pPr>
            <w:r w:rsidRPr="00175D8B">
              <w:rPr>
                <w:b/>
                <w:bCs/>
                <w:color w:val="000000" w:themeColor="text1"/>
                <w:sz w:val="20"/>
                <w:szCs w:val="20"/>
              </w:rPr>
              <w:t xml:space="preserve">Substantial </w:t>
            </w:r>
          </w:p>
          <w:p w14:paraId="3666D229" w14:textId="77777777" w:rsidR="00E02AE5" w:rsidRPr="00175D8B" w:rsidRDefault="00E02AE5" w:rsidP="00DF417A">
            <w:pPr>
              <w:rPr>
                <w:b/>
                <w:bCs/>
                <w:color w:val="000000" w:themeColor="text1"/>
                <w:sz w:val="20"/>
                <w:szCs w:val="20"/>
              </w:rPr>
            </w:pPr>
            <w:r w:rsidRPr="00175D8B">
              <w:rPr>
                <w:b/>
                <w:bCs/>
                <w:color w:val="000000" w:themeColor="text1"/>
                <w:sz w:val="20"/>
                <w:szCs w:val="20"/>
              </w:rPr>
              <w:t>Risk</w:t>
            </w:r>
          </w:p>
        </w:tc>
        <w:tc>
          <w:tcPr>
            <w:tcW w:w="1663" w:type="dxa"/>
          </w:tcPr>
          <w:p w14:paraId="21994A76" w14:textId="77777777" w:rsidR="00E02AE5" w:rsidRPr="00175D8B" w:rsidRDefault="00E02AE5" w:rsidP="00DF417A">
            <w:pPr>
              <w:rPr>
                <w:b/>
                <w:bCs/>
                <w:color w:val="000000" w:themeColor="text1"/>
                <w:sz w:val="20"/>
                <w:szCs w:val="20"/>
              </w:rPr>
            </w:pPr>
            <w:r w:rsidRPr="00175D8B">
              <w:rPr>
                <w:b/>
                <w:bCs/>
                <w:color w:val="000000" w:themeColor="text1"/>
                <w:sz w:val="20"/>
                <w:szCs w:val="20"/>
              </w:rPr>
              <w:t xml:space="preserve">High </w:t>
            </w:r>
          </w:p>
          <w:p w14:paraId="10CA42FF" w14:textId="77777777" w:rsidR="00E02AE5" w:rsidRPr="00175D8B" w:rsidRDefault="00E02AE5" w:rsidP="00DF417A">
            <w:pPr>
              <w:rPr>
                <w:b/>
                <w:bCs/>
                <w:color w:val="000000" w:themeColor="text1"/>
                <w:sz w:val="20"/>
                <w:szCs w:val="20"/>
              </w:rPr>
            </w:pPr>
            <w:r w:rsidRPr="00175D8B">
              <w:rPr>
                <w:b/>
                <w:bCs/>
                <w:color w:val="000000" w:themeColor="text1"/>
                <w:sz w:val="20"/>
                <w:szCs w:val="20"/>
              </w:rPr>
              <w:t xml:space="preserve">Risk </w:t>
            </w:r>
          </w:p>
        </w:tc>
      </w:tr>
      <w:tr w:rsidR="00E02AE5" w:rsidRPr="00175D8B" w14:paraId="5AF9D768" w14:textId="77777777" w:rsidTr="002550A6">
        <w:trPr>
          <w:trHeight w:val="293"/>
          <w:jc w:val="center"/>
        </w:trPr>
        <w:tc>
          <w:tcPr>
            <w:tcW w:w="5491" w:type="dxa"/>
            <w:vMerge w:val="restart"/>
          </w:tcPr>
          <w:p w14:paraId="4DCDBBEF"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 xml:space="preserve">What is the risk in terms of presence of unmanageable amount of demolition waste, if they are still present at the site or areas close to the site, if any? </w:t>
            </w:r>
          </w:p>
        </w:tc>
        <w:tc>
          <w:tcPr>
            <w:tcW w:w="2017" w:type="dxa"/>
          </w:tcPr>
          <w:p w14:paraId="68AFADAB" w14:textId="77777777" w:rsidR="00E02AE5" w:rsidRPr="00175D8B" w:rsidRDefault="00E02AE5" w:rsidP="00DF417A">
            <w:pPr>
              <w:spacing w:before="40" w:after="40"/>
              <w:rPr>
                <w:color w:val="000000" w:themeColor="text1"/>
                <w:sz w:val="20"/>
                <w:szCs w:val="20"/>
              </w:rPr>
            </w:pPr>
          </w:p>
        </w:tc>
        <w:tc>
          <w:tcPr>
            <w:tcW w:w="1843" w:type="dxa"/>
          </w:tcPr>
          <w:p w14:paraId="36A65DE7" w14:textId="77777777" w:rsidR="00E02AE5" w:rsidRPr="00175D8B" w:rsidRDefault="00E02AE5" w:rsidP="00DF417A">
            <w:pPr>
              <w:spacing w:before="40" w:after="40"/>
              <w:rPr>
                <w:color w:val="000000" w:themeColor="text1"/>
                <w:sz w:val="20"/>
                <w:szCs w:val="20"/>
              </w:rPr>
            </w:pPr>
          </w:p>
        </w:tc>
        <w:tc>
          <w:tcPr>
            <w:tcW w:w="1984" w:type="dxa"/>
          </w:tcPr>
          <w:p w14:paraId="276D2629" w14:textId="77777777" w:rsidR="00E02AE5" w:rsidRPr="00175D8B" w:rsidRDefault="00E02AE5" w:rsidP="00DF417A">
            <w:pPr>
              <w:spacing w:before="40" w:after="40"/>
              <w:rPr>
                <w:color w:val="000000" w:themeColor="text1"/>
                <w:sz w:val="20"/>
                <w:szCs w:val="20"/>
              </w:rPr>
            </w:pPr>
          </w:p>
        </w:tc>
        <w:tc>
          <w:tcPr>
            <w:tcW w:w="1985" w:type="dxa"/>
          </w:tcPr>
          <w:p w14:paraId="215DB210" w14:textId="77777777" w:rsidR="00E02AE5" w:rsidRPr="00175D8B" w:rsidRDefault="00E02AE5" w:rsidP="00DF417A">
            <w:pPr>
              <w:spacing w:before="40" w:after="40"/>
              <w:rPr>
                <w:color w:val="000000" w:themeColor="text1"/>
                <w:sz w:val="20"/>
                <w:szCs w:val="20"/>
              </w:rPr>
            </w:pPr>
          </w:p>
        </w:tc>
        <w:tc>
          <w:tcPr>
            <w:tcW w:w="1663" w:type="dxa"/>
          </w:tcPr>
          <w:p w14:paraId="2284C803" w14:textId="77777777" w:rsidR="00E02AE5" w:rsidRPr="00175D8B" w:rsidRDefault="00E02AE5" w:rsidP="00DF417A">
            <w:pPr>
              <w:spacing w:before="40" w:after="40"/>
              <w:rPr>
                <w:color w:val="000000" w:themeColor="text1"/>
                <w:sz w:val="20"/>
                <w:szCs w:val="20"/>
              </w:rPr>
            </w:pPr>
          </w:p>
        </w:tc>
      </w:tr>
      <w:tr w:rsidR="00E02AE5" w:rsidRPr="00175D8B" w14:paraId="591F845B" w14:textId="77777777" w:rsidTr="002550A6">
        <w:trPr>
          <w:trHeight w:val="1140"/>
          <w:jc w:val="center"/>
        </w:trPr>
        <w:tc>
          <w:tcPr>
            <w:tcW w:w="5491" w:type="dxa"/>
            <w:vMerge/>
          </w:tcPr>
          <w:p w14:paraId="3DC99316" w14:textId="77777777" w:rsidR="00E02AE5" w:rsidRPr="00175D8B" w:rsidRDefault="00E02AE5" w:rsidP="00DF417A">
            <w:pPr>
              <w:spacing w:before="40" w:after="40"/>
              <w:rPr>
                <w:color w:val="000000" w:themeColor="text1"/>
                <w:sz w:val="20"/>
                <w:szCs w:val="20"/>
              </w:rPr>
            </w:pPr>
          </w:p>
        </w:tc>
        <w:tc>
          <w:tcPr>
            <w:tcW w:w="9492" w:type="dxa"/>
            <w:gridSpan w:val="5"/>
          </w:tcPr>
          <w:p w14:paraId="791C98D1"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Explanation:</w:t>
            </w:r>
            <w:r w:rsidRPr="00175D8B">
              <w:rPr>
                <w:color w:val="000000" w:themeColor="text1"/>
                <w:sz w:val="20"/>
                <w:szCs w:val="20"/>
              </w:rPr>
              <w:t xml:space="preserve"> </w:t>
            </w:r>
          </w:p>
        </w:tc>
      </w:tr>
      <w:tr w:rsidR="00E02AE5" w:rsidRPr="00175D8B" w14:paraId="21192E58" w14:textId="77777777" w:rsidTr="002550A6">
        <w:trPr>
          <w:trHeight w:val="348"/>
          <w:jc w:val="center"/>
        </w:trPr>
        <w:tc>
          <w:tcPr>
            <w:tcW w:w="5491" w:type="dxa"/>
            <w:vMerge w:val="restart"/>
          </w:tcPr>
          <w:p w14:paraId="29258FC5"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What is the risk of future grievance regarding dust generation, due to evidence of such grievance during demolition? (Was there a significant complaint(s) about dust during the demolition?)</w:t>
            </w:r>
          </w:p>
        </w:tc>
        <w:tc>
          <w:tcPr>
            <w:tcW w:w="2017" w:type="dxa"/>
          </w:tcPr>
          <w:p w14:paraId="210943F2" w14:textId="77777777" w:rsidR="00E02AE5" w:rsidRPr="00175D8B" w:rsidRDefault="00E02AE5" w:rsidP="00DF417A">
            <w:pPr>
              <w:spacing w:before="40" w:after="40"/>
              <w:rPr>
                <w:color w:val="000000" w:themeColor="text1"/>
                <w:sz w:val="20"/>
                <w:szCs w:val="20"/>
              </w:rPr>
            </w:pPr>
          </w:p>
        </w:tc>
        <w:tc>
          <w:tcPr>
            <w:tcW w:w="1843" w:type="dxa"/>
          </w:tcPr>
          <w:p w14:paraId="7B806A69" w14:textId="77777777" w:rsidR="00E02AE5" w:rsidRPr="00175D8B" w:rsidRDefault="00E02AE5" w:rsidP="00DF417A">
            <w:pPr>
              <w:spacing w:before="40" w:after="40"/>
              <w:rPr>
                <w:color w:val="000000" w:themeColor="text1"/>
                <w:sz w:val="20"/>
                <w:szCs w:val="20"/>
              </w:rPr>
            </w:pPr>
          </w:p>
        </w:tc>
        <w:tc>
          <w:tcPr>
            <w:tcW w:w="1984" w:type="dxa"/>
          </w:tcPr>
          <w:p w14:paraId="087F33A3" w14:textId="77777777" w:rsidR="00E02AE5" w:rsidRPr="00175D8B" w:rsidRDefault="00E02AE5" w:rsidP="00DF417A">
            <w:pPr>
              <w:spacing w:before="40" w:after="40"/>
              <w:rPr>
                <w:color w:val="000000" w:themeColor="text1"/>
                <w:sz w:val="20"/>
                <w:szCs w:val="20"/>
              </w:rPr>
            </w:pPr>
          </w:p>
        </w:tc>
        <w:tc>
          <w:tcPr>
            <w:tcW w:w="1985" w:type="dxa"/>
          </w:tcPr>
          <w:p w14:paraId="12ECA080" w14:textId="77777777" w:rsidR="00E02AE5" w:rsidRPr="00175D8B" w:rsidRDefault="00E02AE5" w:rsidP="00DF417A">
            <w:pPr>
              <w:spacing w:before="40" w:after="40"/>
              <w:rPr>
                <w:color w:val="000000" w:themeColor="text1"/>
                <w:sz w:val="20"/>
                <w:szCs w:val="20"/>
              </w:rPr>
            </w:pPr>
          </w:p>
        </w:tc>
        <w:tc>
          <w:tcPr>
            <w:tcW w:w="1663" w:type="dxa"/>
          </w:tcPr>
          <w:p w14:paraId="1AD60F64" w14:textId="77777777" w:rsidR="00E02AE5" w:rsidRPr="00175D8B" w:rsidRDefault="00E02AE5" w:rsidP="00DF417A">
            <w:pPr>
              <w:spacing w:before="40" w:after="40"/>
              <w:rPr>
                <w:color w:val="000000" w:themeColor="text1"/>
                <w:sz w:val="20"/>
                <w:szCs w:val="20"/>
              </w:rPr>
            </w:pPr>
          </w:p>
        </w:tc>
      </w:tr>
      <w:tr w:rsidR="00E02AE5" w:rsidRPr="00175D8B" w14:paraId="728E18D9" w14:textId="77777777" w:rsidTr="002550A6">
        <w:trPr>
          <w:trHeight w:val="1350"/>
          <w:jc w:val="center"/>
        </w:trPr>
        <w:tc>
          <w:tcPr>
            <w:tcW w:w="5491" w:type="dxa"/>
            <w:vMerge/>
          </w:tcPr>
          <w:p w14:paraId="5E13B697" w14:textId="77777777" w:rsidR="00E02AE5" w:rsidRPr="00175D8B" w:rsidRDefault="00E02AE5" w:rsidP="00DF417A">
            <w:pPr>
              <w:spacing w:before="40" w:after="40"/>
              <w:rPr>
                <w:color w:val="000000" w:themeColor="text1"/>
                <w:sz w:val="20"/>
                <w:szCs w:val="20"/>
              </w:rPr>
            </w:pPr>
          </w:p>
        </w:tc>
        <w:tc>
          <w:tcPr>
            <w:tcW w:w="9492" w:type="dxa"/>
            <w:gridSpan w:val="5"/>
          </w:tcPr>
          <w:p w14:paraId="3550A9C7"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 xml:space="preserve">Explanation: </w:t>
            </w:r>
          </w:p>
        </w:tc>
      </w:tr>
      <w:tr w:rsidR="00E02AE5" w:rsidRPr="00175D8B" w14:paraId="1595E92F" w14:textId="77777777" w:rsidTr="002550A6">
        <w:trPr>
          <w:trHeight w:val="196"/>
          <w:jc w:val="center"/>
        </w:trPr>
        <w:tc>
          <w:tcPr>
            <w:tcW w:w="5491" w:type="dxa"/>
            <w:vMerge w:val="restart"/>
          </w:tcPr>
          <w:p w14:paraId="505C29B4"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What is the risk of future grievance regarding noise generation, due to evidence of such grievance during demolition? (Was there a complaint about noise during the demolition?)</w:t>
            </w:r>
          </w:p>
        </w:tc>
        <w:tc>
          <w:tcPr>
            <w:tcW w:w="2017" w:type="dxa"/>
          </w:tcPr>
          <w:p w14:paraId="7AB8B561" w14:textId="77777777" w:rsidR="00E02AE5" w:rsidRPr="00175D8B" w:rsidRDefault="00E02AE5" w:rsidP="00DF417A">
            <w:pPr>
              <w:spacing w:before="40" w:after="40"/>
              <w:rPr>
                <w:color w:val="000000" w:themeColor="text1"/>
                <w:sz w:val="20"/>
                <w:szCs w:val="20"/>
              </w:rPr>
            </w:pPr>
          </w:p>
        </w:tc>
        <w:tc>
          <w:tcPr>
            <w:tcW w:w="1843" w:type="dxa"/>
          </w:tcPr>
          <w:p w14:paraId="1B134606" w14:textId="77777777" w:rsidR="00E02AE5" w:rsidRPr="00175D8B" w:rsidRDefault="00E02AE5" w:rsidP="00DF417A">
            <w:pPr>
              <w:spacing w:before="40" w:after="40"/>
              <w:rPr>
                <w:color w:val="000000" w:themeColor="text1"/>
                <w:sz w:val="20"/>
                <w:szCs w:val="20"/>
              </w:rPr>
            </w:pPr>
          </w:p>
        </w:tc>
        <w:tc>
          <w:tcPr>
            <w:tcW w:w="1984" w:type="dxa"/>
          </w:tcPr>
          <w:p w14:paraId="4D720A5A" w14:textId="77777777" w:rsidR="00E02AE5" w:rsidRPr="00175D8B" w:rsidRDefault="00E02AE5" w:rsidP="00DF417A">
            <w:pPr>
              <w:spacing w:before="40" w:after="40"/>
              <w:rPr>
                <w:color w:val="000000" w:themeColor="text1"/>
                <w:sz w:val="20"/>
                <w:szCs w:val="20"/>
              </w:rPr>
            </w:pPr>
          </w:p>
        </w:tc>
        <w:tc>
          <w:tcPr>
            <w:tcW w:w="1985" w:type="dxa"/>
          </w:tcPr>
          <w:p w14:paraId="2B04050D" w14:textId="77777777" w:rsidR="00E02AE5" w:rsidRPr="00175D8B" w:rsidRDefault="00E02AE5" w:rsidP="00DF417A">
            <w:pPr>
              <w:spacing w:before="40" w:after="40"/>
              <w:rPr>
                <w:color w:val="000000" w:themeColor="text1"/>
                <w:sz w:val="20"/>
                <w:szCs w:val="20"/>
              </w:rPr>
            </w:pPr>
          </w:p>
        </w:tc>
        <w:tc>
          <w:tcPr>
            <w:tcW w:w="1663" w:type="dxa"/>
          </w:tcPr>
          <w:p w14:paraId="54427BD8" w14:textId="77777777" w:rsidR="00E02AE5" w:rsidRPr="00175D8B" w:rsidRDefault="00E02AE5" w:rsidP="00DF417A">
            <w:pPr>
              <w:spacing w:before="40" w:after="40"/>
              <w:rPr>
                <w:color w:val="000000" w:themeColor="text1"/>
                <w:sz w:val="20"/>
                <w:szCs w:val="20"/>
              </w:rPr>
            </w:pPr>
          </w:p>
        </w:tc>
      </w:tr>
      <w:tr w:rsidR="00E02AE5" w:rsidRPr="00175D8B" w14:paraId="0B614D37" w14:textId="77777777" w:rsidTr="002550A6">
        <w:trPr>
          <w:trHeight w:val="1380"/>
          <w:jc w:val="center"/>
        </w:trPr>
        <w:tc>
          <w:tcPr>
            <w:tcW w:w="5491" w:type="dxa"/>
            <w:vMerge/>
          </w:tcPr>
          <w:p w14:paraId="331F7024" w14:textId="77777777" w:rsidR="00E02AE5" w:rsidRPr="00175D8B" w:rsidRDefault="00E02AE5" w:rsidP="00DF417A">
            <w:pPr>
              <w:spacing w:before="40" w:after="40"/>
              <w:rPr>
                <w:color w:val="000000" w:themeColor="text1"/>
                <w:sz w:val="20"/>
                <w:szCs w:val="20"/>
              </w:rPr>
            </w:pPr>
          </w:p>
        </w:tc>
        <w:tc>
          <w:tcPr>
            <w:tcW w:w="9492" w:type="dxa"/>
            <w:gridSpan w:val="5"/>
          </w:tcPr>
          <w:p w14:paraId="581DD42B"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Explanation:</w:t>
            </w:r>
            <w:r w:rsidRPr="00175D8B">
              <w:rPr>
                <w:color w:val="000000" w:themeColor="text1"/>
                <w:sz w:val="20"/>
                <w:szCs w:val="20"/>
              </w:rPr>
              <w:t xml:space="preserve"> </w:t>
            </w:r>
          </w:p>
        </w:tc>
      </w:tr>
      <w:tr w:rsidR="00E02AE5" w:rsidRPr="00175D8B" w14:paraId="259AD865" w14:textId="77777777" w:rsidTr="002550A6">
        <w:trPr>
          <w:trHeight w:val="302"/>
          <w:jc w:val="center"/>
        </w:trPr>
        <w:tc>
          <w:tcPr>
            <w:tcW w:w="5491" w:type="dxa"/>
            <w:vMerge w:val="restart"/>
          </w:tcPr>
          <w:p w14:paraId="2EDBF76C"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What is the risk of meeting with nuisance with neighbors due to a damage to other buildings during the demolition process?</w:t>
            </w:r>
          </w:p>
        </w:tc>
        <w:tc>
          <w:tcPr>
            <w:tcW w:w="2017" w:type="dxa"/>
          </w:tcPr>
          <w:p w14:paraId="47AFA5CD" w14:textId="77777777" w:rsidR="00E02AE5" w:rsidRPr="00175D8B" w:rsidRDefault="00E02AE5" w:rsidP="00DF417A">
            <w:pPr>
              <w:spacing w:before="40" w:after="40"/>
              <w:rPr>
                <w:color w:val="000000" w:themeColor="text1"/>
                <w:sz w:val="20"/>
                <w:szCs w:val="20"/>
              </w:rPr>
            </w:pPr>
          </w:p>
        </w:tc>
        <w:tc>
          <w:tcPr>
            <w:tcW w:w="1843" w:type="dxa"/>
          </w:tcPr>
          <w:p w14:paraId="387892D3" w14:textId="77777777" w:rsidR="00E02AE5" w:rsidRPr="00175D8B" w:rsidRDefault="00E02AE5" w:rsidP="00DF417A">
            <w:pPr>
              <w:spacing w:before="40" w:after="40"/>
              <w:rPr>
                <w:color w:val="000000" w:themeColor="text1"/>
                <w:sz w:val="20"/>
                <w:szCs w:val="20"/>
              </w:rPr>
            </w:pPr>
          </w:p>
        </w:tc>
        <w:tc>
          <w:tcPr>
            <w:tcW w:w="1984" w:type="dxa"/>
          </w:tcPr>
          <w:p w14:paraId="04A56AF8" w14:textId="77777777" w:rsidR="00E02AE5" w:rsidRPr="00175D8B" w:rsidRDefault="00E02AE5" w:rsidP="00DF417A">
            <w:pPr>
              <w:spacing w:before="40" w:after="40"/>
              <w:rPr>
                <w:color w:val="000000" w:themeColor="text1"/>
                <w:sz w:val="20"/>
                <w:szCs w:val="20"/>
              </w:rPr>
            </w:pPr>
          </w:p>
        </w:tc>
        <w:tc>
          <w:tcPr>
            <w:tcW w:w="1985" w:type="dxa"/>
          </w:tcPr>
          <w:p w14:paraId="5905560D" w14:textId="77777777" w:rsidR="00E02AE5" w:rsidRPr="00175D8B" w:rsidRDefault="00E02AE5" w:rsidP="00DF417A">
            <w:pPr>
              <w:spacing w:before="40" w:after="40"/>
              <w:rPr>
                <w:color w:val="000000" w:themeColor="text1"/>
                <w:sz w:val="20"/>
                <w:szCs w:val="20"/>
              </w:rPr>
            </w:pPr>
          </w:p>
        </w:tc>
        <w:tc>
          <w:tcPr>
            <w:tcW w:w="1663" w:type="dxa"/>
          </w:tcPr>
          <w:p w14:paraId="3CC32623" w14:textId="77777777" w:rsidR="00E02AE5" w:rsidRPr="00175D8B" w:rsidRDefault="00E02AE5" w:rsidP="00DF417A">
            <w:pPr>
              <w:spacing w:before="40" w:after="40"/>
              <w:rPr>
                <w:color w:val="000000" w:themeColor="text1"/>
                <w:sz w:val="20"/>
                <w:szCs w:val="20"/>
              </w:rPr>
            </w:pPr>
          </w:p>
        </w:tc>
      </w:tr>
      <w:tr w:rsidR="00E02AE5" w:rsidRPr="00175D8B" w14:paraId="5605760D" w14:textId="77777777" w:rsidTr="002550A6">
        <w:trPr>
          <w:trHeight w:val="825"/>
          <w:jc w:val="center"/>
        </w:trPr>
        <w:tc>
          <w:tcPr>
            <w:tcW w:w="5491" w:type="dxa"/>
            <w:vMerge/>
          </w:tcPr>
          <w:p w14:paraId="406C5FB3" w14:textId="77777777" w:rsidR="00E02AE5" w:rsidRPr="00175D8B" w:rsidRDefault="00E02AE5" w:rsidP="00DF417A">
            <w:pPr>
              <w:spacing w:before="40" w:after="40"/>
              <w:rPr>
                <w:color w:val="000000" w:themeColor="text1"/>
                <w:sz w:val="20"/>
                <w:szCs w:val="20"/>
              </w:rPr>
            </w:pPr>
          </w:p>
        </w:tc>
        <w:tc>
          <w:tcPr>
            <w:tcW w:w="9492" w:type="dxa"/>
            <w:gridSpan w:val="5"/>
          </w:tcPr>
          <w:p w14:paraId="18A03B09"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Explanation:</w:t>
            </w:r>
            <w:r w:rsidRPr="00175D8B">
              <w:rPr>
                <w:color w:val="000000" w:themeColor="text1"/>
                <w:sz w:val="20"/>
                <w:szCs w:val="20"/>
              </w:rPr>
              <w:t xml:space="preserve"> </w:t>
            </w:r>
          </w:p>
        </w:tc>
      </w:tr>
      <w:tr w:rsidR="00E02AE5" w:rsidRPr="00175D8B" w14:paraId="476BEEEB" w14:textId="77777777" w:rsidTr="002550A6">
        <w:trPr>
          <w:trHeight w:val="315"/>
          <w:jc w:val="center"/>
        </w:trPr>
        <w:tc>
          <w:tcPr>
            <w:tcW w:w="5491" w:type="dxa"/>
            <w:vMerge w:val="restart"/>
          </w:tcPr>
          <w:p w14:paraId="2A8EA9E4"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 xml:space="preserve">What is the risk of future issues due to lack of demolition plan during the demolition or insufficiency of it in terms of quality? </w:t>
            </w:r>
          </w:p>
        </w:tc>
        <w:tc>
          <w:tcPr>
            <w:tcW w:w="2017" w:type="dxa"/>
          </w:tcPr>
          <w:p w14:paraId="3E184926" w14:textId="77777777" w:rsidR="00E02AE5" w:rsidRPr="00175D8B" w:rsidRDefault="00E02AE5" w:rsidP="00DF417A">
            <w:pPr>
              <w:spacing w:before="40" w:after="40"/>
              <w:rPr>
                <w:color w:val="000000" w:themeColor="text1"/>
                <w:sz w:val="20"/>
                <w:szCs w:val="20"/>
              </w:rPr>
            </w:pPr>
          </w:p>
        </w:tc>
        <w:tc>
          <w:tcPr>
            <w:tcW w:w="1843" w:type="dxa"/>
          </w:tcPr>
          <w:p w14:paraId="44BB0EEC" w14:textId="77777777" w:rsidR="00E02AE5" w:rsidRPr="00175D8B" w:rsidRDefault="00E02AE5" w:rsidP="00DF417A">
            <w:pPr>
              <w:spacing w:before="40" w:after="40"/>
              <w:rPr>
                <w:color w:val="000000" w:themeColor="text1"/>
                <w:sz w:val="20"/>
                <w:szCs w:val="20"/>
              </w:rPr>
            </w:pPr>
          </w:p>
        </w:tc>
        <w:tc>
          <w:tcPr>
            <w:tcW w:w="1984" w:type="dxa"/>
          </w:tcPr>
          <w:p w14:paraId="57383E96" w14:textId="77777777" w:rsidR="00E02AE5" w:rsidRPr="00175D8B" w:rsidRDefault="00E02AE5" w:rsidP="00DF417A">
            <w:pPr>
              <w:spacing w:before="40" w:after="40"/>
              <w:rPr>
                <w:color w:val="000000" w:themeColor="text1"/>
                <w:sz w:val="20"/>
                <w:szCs w:val="20"/>
              </w:rPr>
            </w:pPr>
          </w:p>
        </w:tc>
        <w:tc>
          <w:tcPr>
            <w:tcW w:w="1985" w:type="dxa"/>
          </w:tcPr>
          <w:p w14:paraId="23C5EBF1" w14:textId="77777777" w:rsidR="00E02AE5" w:rsidRPr="00175D8B" w:rsidRDefault="00E02AE5" w:rsidP="00DF417A">
            <w:pPr>
              <w:spacing w:before="40" w:after="40"/>
              <w:rPr>
                <w:color w:val="000000" w:themeColor="text1"/>
                <w:sz w:val="20"/>
                <w:szCs w:val="20"/>
              </w:rPr>
            </w:pPr>
          </w:p>
        </w:tc>
        <w:tc>
          <w:tcPr>
            <w:tcW w:w="1663" w:type="dxa"/>
          </w:tcPr>
          <w:p w14:paraId="7AF94228" w14:textId="77777777" w:rsidR="00E02AE5" w:rsidRPr="00175D8B" w:rsidRDefault="00E02AE5" w:rsidP="00DF417A">
            <w:pPr>
              <w:spacing w:before="40" w:after="40"/>
              <w:rPr>
                <w:color w:val="000000" w:themeColor="text1"/>
                <w:sz w:val="20"/>
                <w:szCs w:val="20"/>
              </w:rPr>
            </w:pPr>
          </w:p>
        </w:tc>
      </w:tr>
      <w:tr w:rsidR="00E02AE5" w:rsidRPr="00175D8B" w14:paraId="3882ECB6" w14:textId="77777777" w:rsidTr="002550A6">
        <w:trPr>
          <w:trHeight w:val="555"/>
          <w:jc w:val="center"/>
        </w:trPr>
        <w:tc>
          <w:tcPr>
            <w:tcW w:w="5491" w:type="dxa"/>
            <w:vMerge/>
          </w:tcPr>
          <w:p w14:paraId="12B986EA" w14:textId="77777777" w:rsidR="00E02AE5" w:rsidRPr="00175D8B" w:rsidRDefault="00E02AE5" w:rsidP="00DF417A">
            <w:pPr>
              <w:spacing w:before="40" w:after="40"/>
              <w:rPr>
                <w:color w:val="000000" w:themeColor="text1"/>
                <w:sz w:val="20"/>
                <w:szCs w:val="20"/>
              </w:rPr>
            </w:pPr>
          </w:p>
        </w:tc>
        <w:tc>
          <w:tcPr>
            <w:tcW w:w="9492" w:type="dxa"/>
            <w:gridSpan w:val="5"/>
          </w:tcPr>
          <w:p w14:paraId="727974CE"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Explanation:</w:t>
            </w:r>
            <w:r w:rsidRPr="00175D8B">
              <w:rPr>
                <w:color w:val="000000" w:themeColor="text1"/>
                <w:sz w:val="20"/>
                <w:szCs w:val="20"/>
              </w:rPr>
              <w:t xml:space="preserve"> </w:t>
            </w:r>
          </w:p>
        </w:tc>
      </w:tr>
      <w:tr w:rsidR="00E02AE5" w:rsidRPr="00175D8B" w14:paraId="0D53A0B0" w14:textId="77777777" w:rsidTr="002550A6">
        <w:trPr>
          <w:trHeight w:val="161"/>
          <w:jc w:val="center"/>
        </w:trPr>
        <w:tc>
          <w:tcPr>
            <w:tcW w:w="5491" w:type="dxa"/>
            <w:vMerge w:val="restart"/>
          </w:tcPr>
          <w:p w14:paraId="11BFCEEC"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 xml:space="preserve">What is the risk in terms of asbestos presence at the demolition site as a pre visual observation assessment) </w:t>
            </w:r>
          </w:p>
          <w:p w14:paraId="0671EE2F" w14:textId="77777777" w:rsidR="00E02AE5" w:rsidRPr="00175D8B" w:rsidRDefault="00E02AE5" w:rsidP="00DF417A">
            <w:pPr>
              <w:spacing w:before="40" w:after="40"/>
              <w:rPr>
                <w:color w:val="000000" w:themeColor="text1"/>
                <w:sz w:val="20"/>
                <w:szCs w:val="20"/>
              </w:rPr>
            </w:pPr>
          </w:p>
          <w:p w14:paraId="5BCB2843" w14:textId="77777777" w:rsidR="00E02AE5" w:rsidRPr="00175D8B" w:rsidRDefault="00E02AE5" w:rsidP="00DF417A">
            <w:pPr>
              <w:spacing w:before="40" w:after="40"/>
              <w:rPr>
                <w:color w:val="000000" w:themeColor="text1"/>
                <w:sz w:val="20"/>
                <w:szCs w:val="20"/>
              </w:rPr>
            </w:pPr>
          </w:p>
        </w:tc>
        <w:tc>
          <w:tcPr>
            <w:tcW w:w="2017" w:type="dxa"/>
          </w:tcPr>
          <w:p w14:paraId="1BD46C1B" w14:textId="77777777" w:rsidR="00E02AE5" w:rsidRPr="00175D8B" w:rsidRDefault="00E02AE5" w:rsidP="00DF417A">
            <w:pPr>
              <w:spacing w:before="40" w:after="40"/>
              <w:rPr>
                <w:color w:val="000000" w:themeColor="text1"/>
                <w:sz w:val="20"/>
                <w:szCs w:val="20"/>
              </w:rPr>
            </w:pPr>
          </w:p>
        </w:tc>
        <w:tc>
          <w:tcPr>
            <w:tcW w:w="1843" w:type="dxa"/>
          </w:tcPr>
          <w:p w14:paraId="3F441283" w14:textId="77777777" w:rsidR="00E02AE5" w:rsidRPr="00175D8B" w:rsidRDefault="00E02AE5" w:rsidP="00DF417A">
            <w:pPr>
              <w:spacing w:before="40" w:after="40"/>
              <w:rPr>
                <w:color w:val="000000" w:themeColor="text1"/>
                <w:sz w:val="20"/>
                <w:szCs w:val="20"/>
              </w:rPr>
            </w:pPr>
          </w:p>
        </w:tc>
        <w:tc>
          <w:tcPr>
            <w:tcW w:w="1984" w:type="dxa"/>
          </w:tcPr>
          <w:p w14:paraId="3187091A" w14:textId="77777777" w:rsidR="00E02AE5" w:rsidRPr="00175D8B" w:rsidRDefault="00E02AE5" w:rsidP="00DF417A">
            <w:pPr>
              <w:spacing w:before="40" w:after="40"/>
              <w:rPr>
                <w:color w:val="000000" w:themeColor="text1"/>
                <w:sz w:val="20"/>
                <w:szCs w:val="20"/>
              </w:rPr>
            </w:pPr>
          </w:p>
        </w:tc>
        <w:tc>
          <w:tcPr>
            <w:tcW w:w="1985" w:type="dxa"/>
          </w:tcPr>
          <w:p w14:paraId="2474F84C" w14:textId="77777777" w:rsidR="00E02AE5" w:rsidRPr="00175D8B" w:rsidRDefault="00E02AE5" w:rsidP="00DF417A">
            <w:pPr>
              <w:spacing w:before="40" w:after="40"/>
              <w:rPr>
                <w:color w:val="000000" w:themeColor="text1"/>
                <w:sz w:val="20"/>
                <w:szCs w:val="20"/>
              </w:rPr>
            </w:pPr>
          </w:p>
        </w:tc>
        <w:tc>
          <w:tcPr>
            <w:tcW w:w="1663" w:type="dxa"/>
          </w:tcPr>
          <w:p w14:paraId="36664AE2" w14:textId="77777777" w:rsidR="00E02AE5" w:rsidRPr="00175D8B" w:rsidRDefault="00E02AE5" w:rsidP="00DF417A">
            <w:pPr>
              <w:spacing w:before="40" w:after="40"/>
              <w:rPr>
                <w:color w:val="000000" w:themeColor="text1"/>
                <w:sz w:val="20"/>
                <w:szCs w:val="20"/>
              </w:rPr>
            </w:pPr>
          </w:p>
        </w:tc>
      </w:tr>
      <w:tr w:rsidR="00E02AE5" w:rsidRPr="00175D8B" w14:paraId="3F8AB78E" w14:textId="77777777" w:rsidTr="002550A6">
        <w:trPr>
          <w:trHeight w:val="435"/>
          <w:jc w:val="center"/>
        </w:trPr>
        <w:tc>
          <w:tcPr>
            <w:tcW w:w="5491" w:type="dxa"/>
            <w:vMerge/>
          </w:tcPr>
          <w:p w14:paraId="5C483895" w14:textId="77777777" w:rsidR="00E02AE5" w:rsidRPr="00175D8B" w:rsidRDefault="00E02AE5" w:rsidP="00DF417A">
            <w:pPr>
              <w:spacing w:before="40" w:after="40"/>
              <w:rPr>
                <w:color w:val="000000" w:themeColor="text1"/>
                <w:sz w:val="20"/>
                <w:szCs w:val="20"/>
              </w:rPr>
            </w:pPr>
          </w:p>
        </w:tc>
        <w:tc>
          <w:tcPr>
            <w:tcW w:w="9492" w:type="dxa"/>
            <w:gridSpan w:val="5"/>
          </w:tcPr>
          <w:p w14:paraId="59AF9241"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Explanation:</w:t>
            </w:r>
            <w:r w:rsidRPr="00175D8B">
              <w:rPr>
                <w:color w:val="000000" w:themeColor="text1"/>
                <w:sz w:val="20"/>
                <w:szCs w:val="20"/>
              </w:rPr>
              <w:t xml:space="preserve"> </w:t>
            </w:r>
          </w:p>
        </w:tc>
      </w:tr>
      <w:tr w:rsidR="00E02AE5" w:rsidRPr="00175D8B" w14:paraId="25327C3D" w14:textId="77777777" w:rsidTr="002550A6">
        <w:trPr>
          <w:trHeight w:val="283"/>
          <w:jc w:val="center"/>
        </w:trPr>
        <w:tc>
          <w:tcPr>
            <w:tcW w:w="5491" w:type="dxa"/>
            <w:vMerge w:val="restart"/>
          </w:tcPr>
          <w:p w14:paraId="47B0AAA9"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What is the risk in terms of legal / reputational / public discomfort due to any fatal accident or accident caused disability during the demolition process?</w:t>
            </w:r>
          </w:p>
        </w:tc>
        <w:tc>
          <w:tcPr>
            <w:tcW w:w="2017" w:type="dxa"/>
            <w:vAlign w:val="center"/>
          </w:tcPr>
          <w:p w14:paraId="5F8FFAB2" w14:textId="77777777" w:rsidR="00E02AE5" w:rsidRPr="00175D8B" w:rsidRDefault="00E02AE5" w:rsidP="00DF417A">
            <w:pPr>
              <w:spacing w:before="40" w:after="40"/>
              <w:rPr>
                <w:color w:val="000000" w:themeColor="text1"/>
                <w:sz w:val="20"/>
                <w:szCs w:val="20"/>
              </w:rPr>
            </w:pPr>
          </w:p>
        </w:tc>
        <w:tc>
          <w:tcPr>
            <w:tcW w:w="1843" w:type="dxa"/>
            <w:vAlign w:val="center"/>
          </w:tcPr>
          <w:p w14:paraId="31916EAF" w14:textId="77777777" w:rsidR="00E02AE5" w:rsidRPr="00175D8B" w:rsidRDefault="00E02AE5" w:rsidP="00DF417A">
            <w:pPr>
              <w:spacing w:before="40" w:after="40"/>
              <w:rPr>
                <w:color w:val="000000" w:themeColor="text1"/>
                <w:sz w:val="20"/>
                <w:szCs w:val="20"/>
              </w:rPr>
            </w:pPr>
          </w:p>
        </w:tc>
        <w:tc>
          <w:tcPr>
            <w:tcW w:w="1984" w:type="dxa"/>
            <w:vAlign w:val="center"/>
          </w:tcPr>
          <w:p w14:paraId="334FF841" w14:textId="77777777" w:rsidR="00E02AE5" w:rsidRPr="00175D8B" w:rsidRDefault="00E02AE5" w:rsidP="00DF417A">
            <w:pPr>
              <w:spacing w:before="40" w:after="40"/>
              <w:rPr>
                <w:color w:val="000000" w:themeColor="text1"/>
                <w:sz w:val="20"/>
                <w:szCs w:val="20"/>
              </w:rPr>
            </w:pPr>
          </w:p>
        </w:tc>
        <w:tc>
          <w:tcPr>
            <w:tcW w:w="1985" w:type="dxa"/>
            <w:vAlign w:val="center"/>
          </w:tcPr>
          <w:p w14:paraId="1DF3B6CC" w14:textId="77777777" w:rsidR="00E02AE5" w:rsidRPr="00175D8B" w:rsidRDefault="00E02AE5" w:rsidP="00DF417A">
            <w:pPr>
              <w:spacing w:before="40" w:after="40"/>
              <w:rPr>
                <w:color w:val="000000" w:themeColor="text1"/>
                <w:sz w:val="20"/>
                <w:szCs w:val="20"/>
              </w:rPr>
            </w:pPr>
          </w:p>
        </w:tc>
        <w:tc>
          <w:tcPr>
            <w:tcW w:w="1663" w:type="dxa"/>
            <w:vAlign w:val="center"/>
          </w:tcPr>
          <w:p w14:paraId="29B87A24" w14:textId="77777777" w:rsidR="00E02AE5" w:rsidRPr="00175D8B" w:rsidRDefault="00E02AE5" w:rsidP="00DF417A">
            <w:pPr>
              <w:spacing w:before="40" w:after="40"/>
              <w:rPr>
                <w:color w:val="000000" w:themeColor="text1"/>
                <w:sz w:val="20"/>
                <w:szCs w:val="20"/>
              </w:rPr>
            </w:pPr>
          </w:p>
        </w:tc>
      </w:tr>
      <w:tr w:rsidR="00E02AE5" w:rsidRPr="00175D8B" w14:paraId="12F5C039" w14:textId="77777777" w:rsidTr="002550A6">
        <w:trPr>
          <w:trHeight w:val="1230"/>
          <w:jc w:val="center"/>
        </w:trPr>
        <w:tc>
          <w:tcPr>
            <w:tcW w:w="5491" w:type="dxa"/>
            <w:vMerge/>
          </w:tcPr>
          <w:p w14:paraId="1CD4FCBD" w14:textId="77777777" w:rsidR="00E02AE5" w:rsidRPr="00175D8B" w:rsidRDefault="00E02AE5" w:rsidP="00DF417A">
            <w:pPr>
              <w:spacing w:before="40" w:after="40"/>
              <w:rPr>
                <w:color w:val="000000" w:themeColor="text1"/>
                <w:sz w:val="20"/>
                <w:szCs w:val="20"/>
              </w:rPr>
            </w:pPr>
          </w:p>
        </w:tc>
        <w:tc>
          <w:tcPr>
            <w:tcW w:w="9492" w:type="dxa"/>
            <w:gridSpan w:val="5"/>
            <w:vAlign w:val="bottom"/>
          </w:tcPr>
          <w:p w14:paraId="31F0AA90" w14:textId="77777777" w:rsidR="00E02AE5" w:rsidRPr="00175D8B" w:rsidRDefault="00E02AE5" w:rsidP="00DF417A">
            <w:pPr>
              <w:spacing w:before="40" w:after="40"/>
              <w:rPr>
                <w:b/>
                <w:bCs/>
                <w:color w:val="000000" w:themeColor="text1"/>
                <w:sz w:val="20"/>
                <w:szCs w:val="20"/>
              </w:rPr>
            </w:pPr>
            <w:r w:rsidRPr="00175D8B">
              <w:rPr>
                <w:b/>
                <w:bCs/>
                <w:color w:val="000000" w:themeColor="text1"/>
                <w:sz w:val="20"/>
                <w:szCs w:val="20"/>
              </w:rPr>
              <w:t xml:space="preserve">Explanation: </w:t>
            </w:r>
          </w:p>
          <w:p w14:paraId="78CC3039" w14:textId="77777777" w:rsidR="00E02AE5" w:rsidRPr="00175D8B" w:rsidRDefault="00E02AE5" w:rsidP="00DF417A">
            <w:pPr>
              <w:spacing w:before="40" w:after="40"/>
              <w:rPr>
                <w:b/>
                <w:bCs/>
                <w:color w:val="000000" w:themeColor="text1"/>
                <w:sz w:val="20"/>
                <w:szCs w:val="20"/>
              </w:rPr>
            </w:pPr>
          </w:p>
          <w:p w14:paraId="4C62F9B6" w14:textId="77777777" w:rsidR="00E02AE5" w:rsidRPr="00175D8B" w:rsidRDefault="00E02AE5" w:rsidP="00DF417A">
            <w:pPr>
              <w:spacing w:before="40" w:after="40"/>
              <w:rPr>
                <w:b/>
                <w:bCs/>
                <w:color w:val="000000" w:themeColor="text1"/>
                <w:sz w:val="20"/>
                <w:szCs w:val="20"/>
              </w:rPr>
            </w:pPr>
            <w:r w:rsidRPr="00175D8B">
              <w:rPr>
                <w:color w:val="000000" w:themeColor="text1"/>
                <w:sz w:val="20"/>
                <w:szCs w:val="20"/>
              </w:rPr>
              <w:t xml:space="preserve"> </w:t>
            </w:r>
          </w:p>
          <w:p w14:paraId="0C129077" w14:textId="77777777" w:rsidR="00E02AE5" w:rsidRPr="00175D8B" w:rsidRDefault="00E02AE5" w:rsidP="00DF417A">
            <w:pPr>
              <w:rPr>
                <w:color w:val="000000" w:themeColor="text1"/>
                <w:sz w:val="20"/>
                <w:szCs w:val="20"/>
              </w:rPr>
            </w:pPr>
          </w:p>
          <w:p w14:paraId="3F3CD470" w14:textId="77777777" w:rsidR="00E02AE5" w:rsidRPr="00175D8B" w:rsidRDefault="00E02AE5" w:rsidP="00DF417A">
            <w:pPr>
              <w:rPr>
                <w:color w:val="000000" w:themeColor="text1"/>
                <w:sz w:val="20"/>
                <w:szCs w:val="20"/>
              </w:rPr>
            </w:pPr>
          </w:p>
          <w:p w14:paraId="1BAE90CD" w14:textId="77777777" w:rsidR="00E02AE5" w:rsidRPr="00175D8B" w:rsidRDefault="00E02AE5" w:rsidP="00DF417A">
            <w:pPr>
              <w:spacing w:before="40" w:after="40"/>
              <w:rPr>
                <w:b/>
                <w:bCs/>
                <w:color w:val="000000" w:themeColor="text1"/>
                <w:sz w:val="20"/>
                <w:szCs w:val="20"/>
              </w:rPr>
            </w:pPr>
          </w:p>
        </w:tc>
      </w:tr>
      <w:tr w:rsidR="00E02AE5" w:rsidRPr="00175D8B" w14:paraId="41C56CDB" w14:textId="77777777" w:rsidTr="002550A6">
        <w:trPr>
          <w:trHeight w:val="395"/>
          <w:jc w:val="center"/>
        </w:trPr>
        <w:tc>
          <w:tcPr>
            <w:tcW w:w="5491" w:type="dxa"/>
            <w:vMerge w:val="restart"/>
          </w:tcPr>
          <w:p w14:paraId="78DC0393"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lastRenderedPageBreak/>
              <w:t xml:space="preserve">As a preliminary observation, are there any property owners who will benefit from the additional interest rate discount specified in the sub-project? </w:t>
            </w:r>
          </w:p>
          <w:p w14:paraId="2B821970" w14:textId="77777777" w:rsidR="00E02AE5" w:rsidRPr="00175D8B" w:rsidRDefault="00E02AE5" w:rsidP="00DF417A">
            <w:pPr>
              <w:spacing w:before="40" w:after="40"/>
              <w:rPr>
                <w:color w:val="000000" w:themeColor="text1"/>
                <w:sz w:val="20"/>
                <w:szCs w:val="20"/>
              </w:rPr>
            </w:pPr>
          </w:p>
          <w:p w14:paraId="39169B0E"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 xml:space="preserve">(This is an indicative piece of information. Please adjust it according to the information you have. </w:t>
            </w:r>
          </w:p>
          <w:p w14:paraId="334738DC" w14:textId="77777777" w:rsidR="00E02AE5" w:rsidRPr="00175D8B" w:rsidRDefault="00E02AE5" w:rsidP="00DF417A">
            <w:pPr>
              <w:spacing w:before="40" w:after="40"/>
              <w:rPr>
                <w:color w:val="000000" w:themeColor="text1"/>
                <w:sz w:val="20"/>
                <w:szCs w:val="20"/>
              </w:rPr>
            </w:pPr>
            <w:r w:rsidRPr="00175D8B">
              <w:rPr>
                <w:rFonts w:ascii="Tahoma" w:eastAsia="Times New Roman" w:hAnsi="Tahoma" w:cs="Tahoma"/>
                <w:color w:val="000000" w:themeColor="text1"/>
                <w:sz w:val="20"/>
                <w:szCs w:val="20"/>
              </w:rPr>
              <w:t>﻿</w:t>
            </w:r>
          </w:p>
          <w:p w14:paraId="4E5D226B" w14:textId="77777777" w:rsidR="00E02AE5" w:rsidRPr="00175D8B" w:rsidRDefault="00E02AE5" w:rsidP="00DF417A">
            <w:pPr>
              <w:spacing w:before="40" w:after="40"/>
              <w:rPr>
                <w:i/>
                <w:iCs/>
                <w:color w:val="000000" w:themeColor="text1"/>
                <w:sz w:val="20"/>
                <w:szCs w:val="20"/>
              </w:rPr>
            </w:pPr>
            <w:r w:rsidRPr="00175D8B">
              <w:rPr>
                <w:i/>
                <w:iCs/>
                <w:color w:val="000000" w:themeColor="text1"/>
                <w:sz w:val="20"/>
                <w:szCs w:val="20"/>
              </w:rPr>
              <w:t>(Within the scope of the Project, four categories determined by the Presidency for annual interest rate reduction on loans are presented below):</w:t>
            </w:r>
          </w:p>
          <w:p w14:paraId="65FE3C2F" w14:textId="77777777" w:rsidR="00E02AE5" w:rsidRPr="00175D8B" w:rsidRDefault="00E02AE5" w:rsidP="00DF417A">
            <w:pPr>
              <w:spacing w:before="40" w:after="40"/>
              <w:rPr>
                <w:i/>
                <w:iCs/>
                <w:color w:val="000000" w:themeColor="text1"/>
                <w:sz w:val="20"/>
                <w:szCs w:val="20"/>
              </w:rPr>
            </w:pPr>
            <w:r w:rsidRPr="00175D8B">
              <w:rPr>
                <w:b/>
                <w:bCs/>
                <w:i/>
                <w:iCs/>
                <w:color w:val="000000" w:themeColor="text1"/>
                <w:sz w:val="20"/>
                <w:szCs w:val="20"/>
                <w:u w:val="single"/>
              </w:rPr>
              <w:t>Category I:</w:t>
            </w:r>
            <w:r w:rsidRPr="00175D8B">
              <w:rPr>
                <w:i/>
                <w:iCs/>
                <w:color w:val="000000" w:themeColor="text1"/>
                <w:sz w:val="20"/>
                <w:szCs w:val="20"/>
              </w:rPr>
              <w:t xml:space="preserve"> Citizens who do not own any other independent unit registered in the land registry besides the risky building in which </w:t>
            </w:r>
            <w:r w:rsidRPr="00175D8B">
              <w:rPr>
                <w:i/>
                <w:iCs/>
                <w:color w:val="000000" w:themeColor="text1"/>
                <w:sz w:val="20"/>
                <w:szCs w:val="20"/>
              </w:rPr>
              <w:lastRenderedPageBreak/>
              <w:t>they reside, and are homeowners residing in the same property with their household.</w:t>
            </w:r>
          </w:p>
          <w:p w14:paraId="6557C4B1" w14:textId="77777777" w:rsidR="00E02AE5" w:rsidRPr="00175D8B" w:rsidRDefault="00E02AE5" w:rsidP="00DF417A">
            <w:pPr>
              <w:spacing w:before="40" w:after="40"/>
              <w:rPr>
                <w:i/>
                <w:iCs/>
                <w:color w:val="000000" w:themeColor="text1"/>
                <w:sz w:val="20"/>
                <w:szCs w:val="20"/>
              </w:rPr>
            </w:pPr>
            <w:r w:rsidRPr="00175D8B">
              <w:rPr>
                <w:b/>
                <w:bCs/>
                <w:i/>
                <w:iCs/>
                <w:color w:val="000000" w:themeColor="text1"/>
                <w:sz w:val="20"/>
                <w:szCs w:val="20"/>
                <w:u w:val="single"/>
              </w:rPr>
              <w:t>Category II</w:t>
            </w:r>
            <w:r w:rsidRPr="00175D8B">
              <w:rPr>
                <w:i/>
                <w:iCs/>
                <w:color w:val="000000" w:themeColor="text1"/>
                <w:sz w:val="20"/>
                <w:szCs w:val="20"/>
                <w:u w:val="single"/>
              </w:rPr>
              <w:t>:</w:t>
            </w:r>
            <w:r w:rsidRPr="00175D8B">
              <w:rPr>
                <w:i/>
                <w:iCs/>
                <w:color w:val="000000" w:themeColor="text1"/>
                <w:sz w:val="20"/>
                <w:szCs w:val="20"/>
              </w:rPr>
              <w:t xml:space="preserve"> Households with low and middle income (Income threshold for Category II additional interest rate discount).</w:t>
            </w:r>
          </w:p>
          <w:p w14:paraId="7321B089" w14:textId="77777777" w:rsidR="00E02AE5" w:rsidRPr="00175D8B" w:rsidRDefault="00E02AE5" w:rsidP="00DF417A">
            <w:pPr>
              <w:spacing w:before="40" w:after="40"/>
              <w:rPr>
                <w:i/>
                <w:iCs/>
                <w:color w:val="000000" w:themeColor="text1"/>
                <w:sz w:val="20"/>
                <w:szCs w:val="20"/>
              </w:rPr>
            </w:pPr>
            <w:r w:rsidRPr="00175D8B">
              <w:rPr>
                <w:b/>
                <w:bCs/>
                <w:i/>
                <w:iCs/>
                <w:color w:val="000000" w:themeColor="text1"/>
                <w:sz w:val="20"/>
                <w:szCs w:val="20"/>
                <w:u w:val="single"/>
              </w:rPr>
              <w:t>Category III</w:t>
            </w:r>
            <w:r w:rsidRPr="00175D8B">
              <w:rPr>
                <w:i/>
                <w:iCs/>
                <w:color w:val="000000" w:themeColor="text1"/>
                <w:sz w:val="20"/>
                <w:szCs w:val="20"/>
                <w:u w:val="single"/>
              </w:rPr>
              <w:t>:</w:t>
            </w:r>
            <w:r w:rsidRPr="00175D8B">
              <w:rPr>
                <w:i/>
                <w:iCs/>
                <w:color w:val="000000" w:themeColor="text1"/>
                <w:sz w:val="20"/>
                <w:szCs w:val="20"/>
              </w:rPr>
              <w:t xml:space="preserve"> Families of martyrs, veterans, war and duty disabled individuals, widows and orphans, retirees, citizens with at least 40% disability, and households where the main income earner is a woman or where there is a high level of social vulnerability.</w:t>
            </w:r>
          </w:p>
          <w:p w14:paraId="6E7E69BC" w14:textId="77777777" w:rsidR="00E02AE5" w:rsidRPr="00175D8B" w:rsidRDefault="00E02AE5" w:rsidP="00DF417A">
            <w:pPr>
              <w:spacing w:before="40" w:after="40"/>
              <w:rPr>
                <w:i/>
                <w:iCs/>
                <w:color w:val="000000" w:themeColor="text1"/>
                <w:sz w:val="20"/>
                <w:szCs w:val="20"/>
              </w:rPr>
            </w:pPr>
            <w:r w:rsidRPr="00175D8B">
              <w:rPr>
                <w:b/>
                <w:bCs/>
                <w:i/>
                <w:iCs/>
                <w:color w:val="000000" w:themeColor="text1"/>
                <w:sz w:val="20"/>
                <w:szCs w:val="20"/>
                <w:u w:val="single"/>
              </w:rPr>
              <w:t>Category IV</w:t>
            </w:r>
            <w:r w:rsidRPr="00175D8B">
              <w:rPr>
                <w:b/>
                <w:bCs/>
                <w:i/>
                <w:iCs/>
                <w:color w:val="000000" w:themeColor="text1"/>
                <w:sz w:val="20"/>
                <w:szCs w:val="20"/>
              </w:rPr>
              <w:t>:</w:t>
            </w:r>
            <w:r w:rsidRPr="00175D8B">
              <w:rPr>
                <w:i/>
                <w:iCs/>
                <w:color w:val="000000" w:themeColor="text1"/>
                <w:sz w:val="20"/>
                <w:szCs w:val="20"/>
              </w:rPr>
              <w:t xml:space="preserve"> For projects where an A or B type social vulnerability ID card is presented, an annual interest rate reduction of 0.50 or 0.25, respectively, is applied.</w:t>
            </w:r>
          </w:p>
          <w:p w14:paraId="02AB35C8" w14:textId="77777777" w:rsidR="00E02AE5" w:rsidRPr="00175D8B" w:rsidRDefault="00E02AE5" w:rsidP="00DF417A">
            <w:pPr>
              <w:spacing w:before="40" w:after="40"/>
              <w:rPr>
                <w:color w:val="000000" w:themeColor="text1"/>
                <w:sz w:val="20"/>
                <w:szCs w:val="20"/>
              </w:rPr>
            </w:pPr>
          </w:p>
          <w:p w14:paraId="7D3ADD18"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(For additional interest rate reduction categories, please visit the link below:</w:t>
            </w:r>
          </w:p>
          <w:p w14:paraId="5640DEB3" w14:textId="77777777" w:rsidR="00E02AE5" w:rsidRPr="00175D8B" w:rsidRDefault="0043424E" w:rsidP="00DF417A">
            <w:pPr>
              <w:spacing w:before="40" w:after="40"/>
              <w:rPr>
                <w:color w:val="000000" w:themeColor="text1"/>
                <w:sz w:val="20"/>
                <w:szCs w:val="20"/>
              </w:rPr>
            </w:pPr>
            <w:hyperlink r:id="rId56" w:tgtFrame="_blank" w:history="1">
              <w:r w:rsidR="00E02AE5" w:rsidRPr="00175D8B">
                <w:rPr>
                  <w:color w:val="000000" w:themeColor="text1"/>
                  <w:sz w:val="20"/>
                  <w:szCs w:val="20"/>
                </w:rPr>
                <w:t>https://kentseldirenclilik.csb.gov.tr/proje-kapsaminda-verilecek-kredilerin-yillik-faiz-oranina-baskanligimizca-belirlenmis-olan-4-</w:t>
              </w:r>
              <w:r w:rsidR="00E02AE5" w:rsidRPr="00175D8B">
                <w:rPr>
                  <w:color w:val="000000" w:themeColor="text1"/>
                  <w:sz w:val="20"/>
                  <w:szCs w:val="20"/>
                </w:rPr>
                <w:lastRenderedPageBreak/>
                <w:t>kategoriden-her-bir-kategori-icin-yillik-bazda-faiz-indirimi-uygulanacaktir-haber-286788</w:t>
              </w:r>
            </w:hyperlink>
            <w:r w:rsidR="00E02AE5" w:rsidRPr="00175D8B">
              <w:rPr>
                <w:color w:val="000000" w:themeColor="text1"/>
                <w:sz w:val="20"/>
                <w:szCs w:val="20"/>
              </w:rPr>
              <w:t>)</w:t>
            </w:r>
          </w:p>
          <w:p w14:paraId="11AC690C" w14:textId="77777777" w:rsidR="00E02AE5" w:rsidRPr="00175D8B" w:rsidRDefault="00E02AE5" w:rsidP="00DF417A">
            <w:pPr>
              <w:spacing w:before="40" w:after="40"/>
              <w:rPr>
                <w:color w:val="000000" w:themeColor="text1"/>
                <w:sz w:val="20"/>
                <w:szCs w:val="20"/>
              </w:rPr>
            </w:pPr>
          </w:p>
          <w:p w14:paraId="1E46BA0B" w14:textId="77777777" w:rsidR="00E02AE5" w:rsidRPr="00175D8B" w:rsidRDefault="00E02AE5" w:rsidP="00DF417A">
            <w:pPr>
              <w:spacing w:before="40" w:after="40"/>
              <w:rPr>
                <w:color w:val="000000" w:themeColor="text1"/>
                <w:sz w:val="20"/>
                <w:szCs w:val="20"/>
              </w:rPr>
            </w:pPr>
          </w:p>
        </w:tc>
        <w:tc>
          <w:tcPr>
            <w:tcW w:w="2017" w:type="dxa"/>
          </w:tcPr>
          <w:p w14:paraId="1A5BF2D1" w14:textId="77777777" w:rsidR="00E02AE5" w:rsidRPr="00175D8B" w:rsidRDefault="00E02AE5" w:rsidP="00DF417A">
            <w:pPr>
              <w:spacing w:before="40" w:after="40"/>
              <w:rPr>
                <w:color w:val="000000" w:themeColor="text1"/>
                <w:sz w:val="20"/>
                <w:szCs w:val="20"/>
              </w:rPr>
            </w:pPr>
          </w:p>
        </w:tc>
        <w:tc>
          <w:tcPr>
            <w:tcW w:w="1843" w:type="dxa"/>
          </w:tcPr>
          <w:p w14:paraId="547F05F4" w14:textId="77777777" w:rsidR="00E02AE5" w:rsidRPr="00175D8B" w:rsidRDefault="00E02AE5" w:rsidP="00DF417A">
            <w:pPr>
              <w:spacing w:before="40" w:after="40"/>
              <w:rPr>
                <w:color w:val="000000" w:themeColor="text1"/>
                <w:sz w:val="20"/>
                <w:szCs w:val="20"/>
              </w:rPr>
            </w:pPr>
          </w:p>
        </w:tc>
        <w:tc>
          <w:tcPr>
            <w:tcW w:w="1984" w:type="dxa"/>
          </w:tcPr>
          <w:p w14:paraId="28144D2A" w14:textId="77777777" w:rsidR="00E02AE5" w:rsidRPr="00175D8B" w:rsidRDefault="00E02AE5" w:rsidP="00DF417A">
            <w:pPr>
              <w:spacing w:before="40" w:after="40"/>
              <w:rPr>
                <w:color w:val="000000" w:themeColor="text1"/>
                <w:sz w:val="20"/>
                <w:szCs w:val="20"/>
              </w:rPr>
            </w:pPr>
          </w:p>
        </w:tc>
        <w:tc>
          <w:tcPr>
            <w:tcW w:w="1985" w:type="dxa"/>
          </w:tcPr>
          <w:p w14:paraId="2DE110D6" w14:textId="77777777" w:rsidR="00E02AE5" w:rsidRPr="00175D8B" w:rsidRDefault="00E02AE5" w:rsidP="00DF417A">
            <w:pPr>
              <w:spacing w:before="40" w:after="40"/>
              <w:rPr>
                <w:color w:val="000000" w:themeColor="text1"/>
                <w:sz w:val="20"/>
                <w:szCs w:val="20"/>
              </w:rPr>
            </w:pPr>
          </w:p>
        </w:tc>
        <w:tc>
          <w:tcPr>
            <w:tcW w:w="1663" w:type="dxa"/>
          </w:tcPr>
          <w:p w14:paraId="2E4FADA5" w14:textId="77777777" w:rsidR="00E02AE5" w:rsidRPr="00175D8B" w:rsidRDefault="00E02AE5" w:rsidP="00DF417A">
            <w:pPr>
              <w:spacing w:before="40" w:after="40"/>
              <w:rPr>
                <w:color w:val="000000" w:themeColor="text1"/>
                <w:sz w:val="20"/>
                <w:szCs w:val="20"/>
              </w:rPr>
            </w:pPr>
          </w:p>
        </w:tc>
      </w:tr>
      <w:tr w:rsidR="00E02AE5" w:rsidRPr="00175D8B" w14:paraId="5F79E7EE" w14:textId="77777777" w:rsidTr="002550A6">
        <w:trPr>
          <w:trHeight w:val="1155"/>
          <w:jc w:val="center"/>
        </w:trPr>
        <w:tc>
          <w:tcPr>
            <w:tcW w:w="5491" w:type="dxa"/>
            <w:vMerge/>
          </w:tcPr>
          <w:p w14:paraId="4DEDE633" w14:textId="77777777" w:rsidR="00E02AE5" w:rsidRPr="00175D8B" w:rsidRDefault="00E02AE5" w:rsidP="00DF417A">
            <w:pPr>
              <w:spacing w:before="40" w:after="40"/>
              <w:rPr>
                <w:color w:val="000000" w:themeColor="text1"/>
                <w:sz w:val="20"/>
                <w:szCs w:val="20"/>
              </w:rPr>
            </w:pPr>
          </w:p>
        </w:tc>
        <w:tc>
          <w:tcPr>
            <w:tcW w:w="9492" w:type="dxa"/>
            <w:gridSpan w:val="5"/>
          </w:tcPr>
          <w:p w14:paraId="3AA507CC" w14:textId="77777777" w:rsidR="00E02AE5" w:rsidRPr="00175D8B" w:rsidRDefault="00E02AE5" w:rsidP="00DF417A">
            <w:pPr>
              <w:spacing w:before="40" w:after="40"/>
              <w:rPr>
                <w:color w:val="000000" w:themeColor="text1"/>
                <w:sz w:val="20"/>
                <w:szCs w:val="20"/>
              </w:rPr>
            </w:pPr>
            <w:r w:rsidRPr="00175D8B">
              <w:rPr>
                <w:b/>
                <w:bCs/>
                <w:color w:val="000000" w:themeColor="text1"/>
                <w:sz w:val="20"/>
                <w:szCs w:val="20"/>
              </w:rPr>
              <w:t>Explanation:</w:t>
            </w:r>
            <w:r w:rsidRPr="00175D8B">
              <w:rPr>
                <w:color w:val="000000" w:themeColor="text1"/>
                <w:sz w:val="20"/>
                <w:szCs w:val="20"/>
              </w:rPr>
              <w:t xml:space="preserve"> </w:t>
            </w:r>
          </w:p>
          <w:p w14:paraId="6828EBB5" w14:textId="77777777" w:rsidR="00E02AE5" w:rsidRPr="00175D8B" w:rsidRDefault="00E02AE5" w:rsidP="00DF417A">
            <w:pPr>
              <w:tabs>
                <w:tab w:val="left" w:pos="8789"/>
                <w:tab w:val="left" w:pos="9072"/>
              </w:tabs>
              <w:spacing w:before="40" w:after="40"/>
              <w:rPr>
                <w:color w:val="000000" w:themeColor="text1"/>
                <w:sz w:val="20"/>
                <w:szCs w:val="20"/>
              </w:rPr>
            </w:pPr>
            <w:r w:rsidRPr="00175D8B">
              <w:rPr>
                <w:color w:val="000000" w:themeColor="text1"/>
                <w:sz w:val="20"/>
                <w:szCs w:val="20"/>
              </w:rPr>
              <w:t>Within the scope of the Climate and Disaster Resilient Cities Project, beneficiaries who have not previously benefited from rental assistance or interest support have been informed that they can apply for and benefit from rental assistance in accordance with Article 16 of the Implementing Regulation of Law No. 6306 and the conditions specified in the Rental Assistance Guide, even if the one-year application period has passed.</w:t>
            </w:r>
          </w:p>
          <w:p w14:paraId="04E76D5A" w14:textId="77777777" w:rsidR="00E02AE5" w:rsidRPr="00175D8B" w:rsidRDefault="00E02AE5" w:rsidP="00DF417A">
            <w:pPr>
              <w:spacing w:before="40" w:after="40"/>
              <w:rPr>
                <w:color w:val="000000" w:themeColor="text1"/>
                <w:sz w:val="20"/>
                <w:szCs w:val="20"/>
              </w:rPr>
            </w:pPr>
            <w:r w:rsidRPr="00175D8B">
              <w:rPr>
                <w:color w:val="000000" w:themeColor="text1"/>
                <w:sz w:val="20"/>
                <w:szCs w:val="20"/>
              </w:rPr>
              <w:t>Accordingly, the project will ensure that all eligible PAPs (homeowners, renters, business owners, etc.) receive compensation in accordance with the Project’s RF.</w:t>
            </w:r>
          </w:p>
          <w:p w14:paraId="3D5ACD11" w14:textId="77777777" w:rsidR="00E02AE5" w:rsidRPr="00175D8B" w:rsidRDefault="00E02AE5" w:rsidP="00DF417A">
            <w:pPr>
              <w:spacing w:before="40" w:after="40"/>
              <w:rPr>
                <w:color w:val="000000" w:themeColor="text1"/>
                <w:sz w:val="20"/>
                <w:szCs w:val="20"/>
              </w:rPr>
            </w:pPr>
          </w:p>
        </w:tc>
      </w:tr>
    </w:tbl>
    <w:tbl>
      <w:tblPr>
        <w:tblStyle w:val="TabloKlavuzu2"/>
        <w:tblW w:w="14024" w:type="dxa"/>
        <w:jc w:val="center"/>
        <w:tblLook w:val="04A0" w:firstRow="1" w:lastRow="0" w:firstColumn="1" w:lastColumn="0" w:noHBand="0" w:noVBand="1"/>
      </w:tblPr>
      <w:tblGrid>
        <w:gridCol w:w="4204"/>
        <w:gridCol w:w="1138"/>
        <w:gridCol w:w="1591"/>
        <w:gridCol w:w="876"/>
        <w:gridCol w:w="333"/>
        <w:gridCol w:w="1191"/>
        <w:gridCol w:w="1043"/>
        <w:gridCol w:w="513"/>
        <w:gridCol w:w="795"/>
        <w:gridCol w:w="1137"/>
        <w:gridCol w:w="1203"/>
      </w:tblGrid>
      <w:tr w:rsidR="00E02AE5" w:rsidRPr="00175D8B" w14:paraId="00E1D402" w14:textId="77777777" w:rsidTr="002550A6">
        <w:trPr>
          <w:trHeight w:val="637"/>
          <w:jc w:val="center"/>
        </w:trPr>
        <w:tc>
          <w:tcPr>
            <w:tcW w:w="14024" w:type="dxa"/>
            <w:gridSpan w:val="11"/>
          </w:tcPr>
          <w:p w14:paraId="62C37EBC" w14:textId="77777777" w:rsidR="00E02AE5" w:rsidRPr="00175D8B" w:rsidRDefault="00E02AE5" w:rsidP="00DF417A">
            <w:pPr>
              <w:spacing w:before="40" w:after="40" w:line="240" w:lineRule="auto"/>
              <w:jc w:val="left"/>
              <w:rPr>
                <w:b/>
                <w:bCs/>
                <w:color w:val="000000"/>
                <w:sz w:val="20"/>
              </w:rPr>
            </w:pPr>
            <w:r w:rsidRPr="00175D8B">
              <w:rPr>
                <w:b/>
                <w:bCs/>
                <w:color w:val="000000"/>
                <w:sz w:val="20"/>
              </w:rPr>
              <w:lastRenderedPageBreak/>
              <w:t>PART-V: Screening Summary</w:t>
            </w:r>
          </w:p>
        </w:tc>
      </w:tr>
      <w:tr w:rsidR="00E02AE5" w:rsidRPr="00175D8B" w14:paraId="49610E2D" w14:textId="77777777" w:rsidTr="002550A6">
        <w:trPr>
          <w:trHeight w:val="476"/>
          <w:jc w:val="center"/>
        </w:trPr>
        <w:tc>
          <w:tcPr>
            <w:tcW w:w="4204" w:type="dxa"/>
            <w:vMerge w:val="restart"/>
          </w:tcPr>
          <w:p w14:paraId="728EFECE" w14:textId="77777777" w:rsidR="00E02AE5" w:rsidRPr="00175D8B" w:rsidRDefault="00E02AE5" w:rsidP="00DF417A">
            <w:pPr>
              <w:spacing w:before="40" w:after="40" w:line="240" w:lineRule="auto"/>
              <w:jc w:val="left"/>
              <w:rPr>
                <w:b/>
                <w:bCs/>
                <w:color w:val="000000"/>
                <w:sz w:val="20"/>
              </w:rPr>
            </w:pPr>
            <w:r w:rsidRPr="00175D8B">
              <w:rPr>
                <w:b/>
                <w:bCs/>
                <w:color w:val="000000"/>
                <w:sz w:val="20"/>
              </w:rPr>
              <w:t xml:space="preserve">Designated Category </w:t>
            </w:r>
          </w:p>
        </w:tc>
        <w:tc>
          <w:tcPr>
            <w:tcW w:w="5129" w:type="dxa"/>
            <w:gridSpan w:val="5"/>
            <w:vAlign w:val="center"/>
          </w:tcPr>
          <w:p w14:paraId="72D219DF" w14:textId="77777777" w:rsidR="00E02AE5" w:rsidRPr="00175D8B" w:rsidRDefault="00E02AE5" w:rsidP="00DF417A">
            <w:pPr>
              <w:spacing w:before="40" w:after="40" w:line="240" w:lineRule="auto"/>
              <w:jc w:val="center"/>
              <w:rPr>
                <w:b/>
                <w:bCs/>
                <w:color w:val="000000"/>
                <w:sz w:val="20"/>
              </w:rPr>
            </w:pPr>
            <w:r w:rsidRPr="00175D8B">
              <w:rPr>
                <w:b/>
                <w:bCs/>
                <w:color w:val="000000"/>
                <w:sz w:val="20"/>
              </w:rPr>
              <w:t>Environmental</w:t>
            </w:r>
          </w:p>
        </w:tc>
        <w:tc>
          <w:tcPr>
            <w:tcW w:w="4691" w:type="dxa"/>
            <w:gridSpan w:val="5"/>
            <w:vAlign w:val="center"/>
          </w:tcPr>
          <w:p w14:paraId="0137811E" w14:textId="77777777" w:rsidR="00E02AE5" w:rsidRPr="00175D8B" w:rsidRDefault="00E02AE5" w:rsidP="00DF417A">
            <w:pPr>
              <w:spacing w:before="40" w:after="40" w:line="240" w:lineRule="auto"/>
              <w:jc w:val="center"/>
              <w:rPr>
                <w:b/>
                <w:bCs/>
                <w:color w:val="000000"/>
                <w:sz w:val="20"/>
              </w:rPr>
            </w:pPr>
            <w:r w:rsidRPr="00175D8B">
              <w:rPr>
                <w:b/>
                <w:bCs/>
                <w:color w:val="000000"/>
                <w:sz w:val="20"/>
              </w:rPr>
              <w:t>Social</w:t>
            </w:r>
          </w:p>
        </w:tc>
      </w:tr>
      <w:tr w:rsidR="00E02AE5" w:rsidRPr="00175D8B" w14:paraId="62A3CA04" w14:textId="77777777" w:rsidTr="002550A6">
        <w:trPr>
          <w:trHeight w:val="398"/>
          <w:jc w:val="center"/>
        </w:trPr>
        <w:tc>
          <w:tcPr>
            <w:tcW w:w="4204" w:type="dxa"/>
            <w:vMerge/>
            <w:vAlign w:val="center"/>
          </w:tcPr>
          <w:p w14:paraId="2B69A99E" w14:textId="77777777" w:rsidR="00E02AE5" w:rsidRPr="00175D8B" w:rsidRDefault="00E02AE5" w:rsidP="00DF417A">
            <w:pPr>
              <w:spacing w:before="40" w:after="40" w:line="240" w:lineRule="auto"/>
              <w:jc w:val="left"/>
              <w:rPr>
                <w:b/>
                <w:bCs/>
                <w:color w:val="000000"/>
                <w:sz w:val="20"/>
              </w:rPr>
            </w:pPr>
          </w:p>
        </w:tc>
        <w:tc>
          <w:tcPr>
            <w:tcW w:w="1138" w:type="dxa"/>
          </w:tcPr>
          <w:p w14:paraId="0F9CEC77" w14:textId="77777777" w:rsidR="00E02AE5" w:rsidRPr="00175D8B" w:rsidRDefault="00E02AE5" w:rsidP="00DF417A">
            <w:pPr>
              <w:spacing w:before="40" w:after="40" w:line="240" w:lineRule="auto"/>
              <w:jc w:val="left"/>
              <w:rPr>
                <w:color w:val="000000"/>
                <w:sz w:val="20"/>
              </w:rPr>
            </w:pPr>
            <w:r w:rsidRPr="00175D8B">
              <w:rPr>
                <w:color w:val="000000"/>
                <w:sz w:val="20"/>
              </w:rPr>
              <w:t>High*</w:t>
            </w:r>
          </w:p>
        </w:tc>
        <w:tc>
          <w:tcPr>
            <w:tcW w:w="1591" w:type="dxa"/>
            <w:vAlign w:val="center"/>
          </w:tcPr>
          <w:p w14:paraId="12285172" w14:textId="77777777" w:rsidR="00E02AE5" w:rsidRPr="00175D8B" w:rsidRDefault="00E02AE5" w:rsidP="00DF417A">
            <w:pPr>
              <w:spacing w:before="40" w:after="40" w:line="240" w:lineRule="auto"/>
              <w:jc w:val="left"/>
              <w:rPr>
                <w:color w:val="000000"/>
                <w:sz w:val="20"/>
              </w:rPr>
            </w:pPr>
            <w:r w:rsidRPr="00175D8B">
              <w:rPr>
                <w:color w:val="000000"/>
                <w:sz w:val="20"/>
              </w:rPr>
              <w:t xml:space="preserve">Substantial* </w:t>
            </w:r>
          </w:p>
        </w:tc>
        <w:tc>
          <w:tcPr>
            <w:tcW w:w="1209" w:type="dxa"/>
            <w:gridSpan w:val="2"/>
          </w:tcPr>
          <w:p w14:paraId="2FC94F71" w14:textId="77777777" w:rsidR="00E02AE5" w:rsidRPr="00175D8B" w:rsidRDefault="00E02AE5" w:rsidP="00DF417A">
            <w:pPr>
              <w:spacing w:before="40" w:after="40" w:line="240" w:lineRule="auto"/>
              <w:jc w:val="left"/>
              <w:rPr>
                <w:color w:val="000000"/>
                <w:sz w:val="20"/>
              </w:rPr>
            </w:pPr>
            <w:r w:rsidRPr="00175D8B">
              <w:rPr>
                <w:color w:val="000000"/>
                <w:sz w:val="20"/>
              </w:rPr>
              <w:t xml:space="preserve">Moderate* </w:t>
            </w:r>
          </w:p>
        </w:tc>
        <w:tc>
          <w:tcPr>
            <w:tcW w:w="1191" w:type="dxa"/>
          </w:tcPr>
          <w:p w14:paraId="58F97166" w14:textId="77777777" w:rsidR="00E02AE5" w:rsidRPr="00175D8B" w:rsidRDefault="00E02AE5" w:rsidP="00DF417A">
            <w:pPr>
              <w:spacing w:before="40" w:after="40" w:line="240" w:lineRule="auto"/>
              <w:jc w:val="left"/>
              <w:rPr>
                <w:color w:val="000000"/>
                <w:sz w:val="20"/>
              </w:rPr>
            </w:pPr>
            <w:r w:rsidRPr="00175D8B">
              <w:rPr>
                <w:color w:val="000000"/>
                <w:sz w:val="20"/>
              </w:rPr>
              <w:t>Low*</w:t>
            </w:r>
          </w:p>
        </w:tc>
        <w:tc>
          <w:tcPr>
            <w:tcW w:w="1043" w:type="dxa"/>
          </w:tcPr>
          <w:p w14:paraId="74803D9A" w14:textId="77777777" w:rsidR="00E02AE5" w:rsidRPr="00175D8B" w:rsidRDefault="00E02AE5" w:rsidP="00DF417A">
            <w:pPr>
              <w:spacing w:before="40" w:after="40" w:line="240" w:lineRule="auto"/>
              <w:jc w:val="left"/>
              <w:rPr>
                <w:color w:val="000000"/>
                <w:sz w:val="20"/>
              </w:rPr>
            </w:pPr>
            <w:r w:rsidRPr="00175D8B">
              <w:rPr>
                <w:color w:val="000000"/>
                <w:sz w:val="20"/>
              </w:rPr>
              <w:t xml:space="preserve">High* </w:t>
            </w:r>
          </w:p>
        </w:tc>
        <w:tc>
          <w:tcPr>
            <w:tcW w:w="1308" w:type="dxa"/>
            <w:gridSpan w:val="2"/>
          </w:tcPr>
          <w:p w14:paraId="76C83E32" w14:textId="77777777" w:rsidR="00E02AE5" w:rsidRPr="00175D8B" w:rsidRDefault="00E02AE5" w:rsidP="00DF417A">
            <w:pPr>
              <w:spacing w:before="40" w:after="40" w:line="240" w:lineRule="auto"/>
              <w:jc w:val="left"/>
              <w:rPr>
                <w:color w:val="000000"/>
                <w:sz w:val="20"/>
              </w:rPr>
            </w:pPr>
            <w:r w:rsidRPr="00175D8B">
              <w:rPr>
                <w:color w:val="000000"/>
                <w:sz w:val="20"/>
              </w:rPr>
              <w:t>Substantial*</w:t>
            </w:r>
          </w:p>
        </w:tc>
        <w:tc>
          <w:tcPr>
            <w:tcW w:w="1137" w:type="dxa"/>
          </w:tcPr>
          <w:p w14:paraId="7B06EABD" w14:textId="77777777" w:rsidR="00E02AE5" w:rsidRPr="00175D8B" w:rsidRDefault="00E02AE5" w:rsidP="00DF417A">
            <w:pPr>
              <w:spacing w:before="40" w:after="40" w:line="240" w:lineRule="auto"/>
              <w:jc w:val="left"/>
              <w:rPr>
                <w:color w:val="000000"/>
                <w:sz w:val="20"/>
              </w:rPr>
            </w:pPr>
            <w:r w:rsidRPr="00175D8B">
              <w:rPr>
                <w:color w:val="000000"/>
                <w:sz w:val="20"/>
              </w:rPr>
              <w:t xml:space="preserve">Moderate* </w:t>
            </w:r>
          </w:p>
        </w:tc>
        <w:tc>
          <w:tcPr>
            <w:tcW w:w="1203" w:type="dxa"/>
          </w:tcPr>
          <w:p w14:paraId="53684820" w14:textId="77777777" w:rsidR="00E02AE5" w:rsidRPr="00175D8B" w:rsidRDefault="00E02AE5" w:rsidP="00DF417A">
            <w:pPr>
              <w:spacing w:before="40" w:after="40" w:line="240" w:lineRule="auto"/>
              <w:jc w:val="left"/>
              <w:rPr>
                <w:color w:val="000000"/>
                <w:sz w:val="20"/>
              </w:rPr>
            </w:pPr>
            <w:r w:rsidRPr="00175D8B">
              <w:rPr>
                <w:color w:val="000000"/>
                <w:sz w:val="20"/>
              </w:rPr>
              <w:t>Low*</w:t>
            </w:r>
          </w:p>
        </w:tc>
      </w:tr>
      <w:tr w:rsidR="00E02AE5" w:rsidRPr="00175D8B" w14:paraId="5248875D" w14:textId="77777777" w:rsidTr="002550A6">
        <w:trPr>
          <w:trHeight w:val="375"/>
          <w:jc w:val="center"/>
        </w:trPr>
        <w:tc>
          <w:tcPr>
            <w:tcW w:w="4204" w:type="dxa"/>
            <w:vMerge/>
          </w:tcPr>
          <w:p w14:paraId="4089E5DA" w14:textId="77777777" w:rsidR="00E02AE5" w:rsidRPr="00175D8B" w:rsidRDefault="00E02AE5" w:rsidP="00DF417A">
            <w:pPr>
              <w:spacing w:before="40" w:after="40" w:line="240" w:lineRule="auto"/>
              <w:jc w:val="left"/>
              <w:rPr>
                <w:b/>
                <w:bCs/>
                <w:color w:val="000000"/>
                <w:sz w:val="20"/>
              </w:rPr>
            </w:pPr>
          </w:p>
        </w:tc>
        <w:tc>
          <w:tcPr>
            <w:tcW w:w="1138" w:type="dxa"/>
          </w:tcPr>
          <w:p w14:paraId="0543B357" w14:textId="77777777" w:rsidR="00E02AE5" w:rsidRPr="00175D8B" w:rsidRDefault="00E02AE5" w:rsidP="00DF417A">
            <w:pPr>
              <w:spacing w:before="40" w:after="40" w:line="240" w:lineRule="auto"/>
              <w:jc w:val="left"/>
              <w:rPr>
                <w:color w:val="000000"/>
                <w:sz w:val="20"/>
              </w:rPr>
            </w:pPr>
          </w:p>
        </w:tc>
        <w:tc>
          <w:tcPr>
            <w:tcW w:w="1591" w:type="dxa"/>
            <w:vAlign w:val="center"/>
          </w:tcPr>
          <w:p w14:paraId="1143CD9A" w14:textId="77777777" w:rsidR="00E02AE5" w:rsidRPr="00175D8B" w:rsidRDefault="00E02AE5" w:rsidP="00DF417A">
            <w:pPr>
              <w:spacing w:before="40" w:after="40" w:line="240" w:lineRule="auto"/>
              <w:jc w:val="center"/>
              <w:rPr>
                <w:color w:val="000000"/>
                <w:sz w:val="20"/>
              </w:rPr>
            </w:pPr>
          </w:p>
        </w:tc>
        <w:tc>
          <w:tcPr>
            <w:tcW w:w="1209" w:type="dxa"/>
            <w:gridSpan w:val="2"/>
          </w:tcPr>
          <w:p w14:paraId="71333AE0" w14:textId="77777777" w:rsidR="00E02AE5" w:rsidRPr="00175D8B" w:rsidRDefault="00E02AE5" w:rsidP="00DF417A">
            <w:pPr>
              <w:spacing w:before="40" w:after="40" w:line="240" w:lineRule="auto"/>
              <w:jc w:val="left"/>
              <w:rPr>
                <w:color w:val="000000"/>
                <w:sz w:val="20"/>
              </w:rPr>
            </w:pPr>
            <w:r w:rsidRPr="00175D8B">
              <w:rPr>
                <w:color w:val="000000"/>
                <w:sz w:val="20"/>
              </w:rPr>
              <w:t xml:space="preserve"> </w:t>
            </w:r>
          </w:p>
        </w:tc>
        <w:tc>
          <w:tcPr>
            <w:tcW w:w="1191" w:type="dxa"/>
          </w:tcPr>
          <w:p w14:paraId="55668A7A" w14:textId="77777777" w:rsidR="00E02AE5" w:rsidRPr="00175D8B" w:rsidRDefault="00E02AE5" w:rsidP="00DF417A">
            <w:pPr>
              <w:spacing w:before="40" w:after="40" w:line="240" w:lineRule="auto"/>
              <w:jc w:val="left"/>
              <w:rPr>
                <w:color w:val="000000"/>
                <w:sz w:val="20"/>
              </w:rPr>
            </w:pPr>
          </w:p>
        </w:tc>
        <w:tc>
          <w:tcPr>
            <w:tcW w:w="1043" w:type="dxa"/>
          </w:tcPr>
          <w:p w14:paraId="59DB41C3" w14:textId="77777777" w:rsidR="00E02AE5" w:rsidRPr="00175D8B" w:rsidRDefault="00E02AE5" w:rsidP="00DF417A">
            <w:pPr>
              <w:spacing w:before="40" w:after="40" w:line="240" w:lineRule="auto"/>
              <w:jc w:val="left"/>
              <w:rPr>
                <w:color w:val="000000"/>
                <w:sz w:val="20"/>
              </w:rPr>
            </w:pPr>
          </w:p>
        </w:tc>
        <w:tc>
          <w:tcPr>
            <w:tcW w:w="1308" w:type="dxa"/>
            <w:gridSpan w:val="2"/>
          </w:tcPr>
          <w:p w14:paraId="4B76AEB4" w14:textId="77777777" w:rsidR="00E02AE5" w:rsidRPr="00175D8B" w:rsidRDefault="00E02AE5" w:rsidP="00DF417A">
            <w:pPr>
              <w:spacing w:before="40" w:after="40" w:line="240" w:lineRule="auto"/>
              <w:jc w:val="left"/>
              <w:rPr>
                <w:color w:val="000000"/>
                <w:sz w:val="20"/>
              </w:rPr>
            </w:pPr>
          </w:p>
        </w:tc>
        <w:tc>
          <w:tcPr>
            <w:tcW w:w="1137" w:type="dxa"/>
          </w:tcPr>
          <w:p w14:paraId="23191991" w14:textId="77777777" w:rsidR="00E02AE5" w:rsidRPr="00175D8B" w:rsidRDefault="00E02AE5" w:rsidP="00DF417A">
            <w:pPr>
              <w:spacing w:before="40" w:after="40" w:line="240" w:lineRule="auto"/>
              <w:jc w:val="left"/>
              <w:rPr>
                <w:color w:val="000000"/>
                <w:sz w:val="20"/>
              </w:rPr>
            </w:pPr>
          </w:p>
        </w:tc>
        <w:tc>
          <w:tcPr>
            <w:tcW w:w="1203" w:type="dxa"/>
          </w:tcPr>
          <w:p w14:paraId="14F691EA" w14:textId="77777777" w:rsidR="00E02AE5" w:rsidRPr="00175D8B" w:rsidRDefault="00E02AE5" w:rsidP="00DF417A">
            <w:pPr>
              <w:spacing w:before="40" w:after="40" w:line="240" w:lineRule="auto"/>
              <w:jc w:val="left"/>
              <w:rPr>
                <w:color w:val="000000"/>
                <w:sz w:val="20"/>
              </w:rPr>
            </w:pPr>
          </w:p>
        </w:tc>
      </w:tr>
      <w:tr w:rsidR="00E02AE5" w:rsidRPr="00175D8B" w14:paraId="101780AF" w14:textId="77777777" w:rsidTr="002550A6">
        <w:trPr>
          <w:trHeight w:val="2367"/>
          <w:jc w:val="center"/>
        </w:trPr>
        <w:tc>
          <w:tcPr>
            <w:tcW w:w="4204" w:type="dxa"/>
          </w:tcPr>
          <w:p w14:paraId="437DCDF5" w14:textId="77777777" w:rsidR="00E02AE5" w:rsidRPr="00175D8B" w:rsidRDefault="00E02AE5" w:rsidP="00DF417A">
            <w:pPr>
              <w:spacing w:before="40" w:after="40" w:line="240" w:lineRule="auto"/>
              <w:jc w:val="left"/>
              <w:rPr>
                <w:b/>
                <w:bCs/>
                <w:color w:val="000000"/>
                <w:sz w:val="20"/>
              </w:rPr>
            </w:pPr>
            <w:r w:rsidRPr="00175D8B">
              <w:rPr>
                <w:b/>
                <w:bCs/>
                <w:color w:val="000000"/>
                <w:sz w:val="20"/>
              </w:rPr>
              <w:t>Reasons for Determining the Category and Related Details</w:t>
            </w:r>
          </w:p>
        </w:tc>
        <w:tc>
          <w:tcPr>
            <w:tcW w:w="5129" w:type="dxa"/>
            <w:gridSpan w:val="5"/>
          </w:tcPr>
          <w:p w14:paraId="4C52FB4E" w14:textId="77777777" w:rsidR="00E02AE5" w:rsidRPr="00175D8B" w:rsidRDefault="00E02AE5" w:rsidP="00DF417A">
            <w:pPr>
              <w:spacing w:before="40" w:after="40" w:line="240" w:lineRule="auto"/>
              <w:jc w:val="left"/>
              <w:rPr>
                <w:color w:val="000000"/>
                <w:sz w:val="20"/>
              </w:rPr>
            </w:pPr>
          </w:p>
        </w:tc>
        <w:tc>
          <w:tcPr>
            <w:tcW w:w="4691" w:type="dxa"/>
            <w:gridSpan w:val="5"/>
          </w:tcPr>
          <w:p w14:paraId="267FCE3B" w14:textId="77777777" w:rsidR="00E02AE5" w:rsidRPr="00175D8B" w:rsidRDefault="00E02AE5" w:rsidP="00DF417A">
            <w:pPr>
              <w:spacing w:before="40" w:after="40" w:line="240" w:lineRule="auto"/>
              <w:jc w:val="left"/>
              <w:rPr>
                <w:color w:val="000000"/>
                <w:sz w:val="20"/>
              </w:rPr>
            </w:pPr>
          </w:p>
        </w:tc>
      </w:tr>
      <w:tr w:rsidR="00E02AE5" w:rsidRPr="00175D8B" w14:paraId="4D2F02EF" w14:textId="77777777" w:rsidTr="002550A6">
        <w:trPr>
          <w:trHeight w:val="720"/>
          <w:jc w:val="center"/>
        </w:trPr>
        <w:tc>
          <w:tcPr>
            <w:tcW w:w="4204" w:type="dxa"/>
            <w:vMerge w:val="restart"/>
          </w:tcPr>
          <w:p w14:paraId="70B0657B" w14:textId="77777777" w:rsidR="00E02AE5" w:rsidRPr="00175D8B" w:rsidRDefault="00E02AE5" w:rsidP="00DF417A">
            <w:pPr>
              <w:spacing w:before="40" w:after="40" w:line="240" w:lineRule="auto"/>
              <w:jc w:val="left"/>
              <w:rPr>
                <w:b/>
                <w:bCs/>
                <w:color w:val="000000"/>
                <w:sz w:val="20"/>
              </w:rPr>
            </w:pPr>
            <w:r w:rsidRPr="00175D8B">
              <w:rPr>
                <w:b/>
                <w:bCs/>
                <w:color w:val="000000"/>
                <w:sz w:val="20"/>
              </w:rPr>
              <w:lastRenderedPageBreak/>
              <w:t xml:space="preserve">Required Tools </w:t>
            </w:r>
          </w:p>
        </w:tc>
        <w:tc>
          <w:tcPr>
            <w:tcW w:w="3605" w:type="dxa"/>
            <w:gridSpan w:val="3"/>
          </w:tcPr>
          <w:p w14:paraId="3A320A75" w14:textId="77777777" w:rsidR="00E02AE5" w:rsidRPr="00175D8B" w:rsidRDefault="00E02AE5" w:rsidP="00DF417A">
            <w:pPr>
              <w:spacing w:before="40" w:after="40" w:line="240" w:lineRule="auto"/>
              <w:jc w:val="left"/>
              <w:rPr>
                <w:color w:val="000000"/>
                <w:sz w:val="20"/>
              </w:rPr>
            </w:pPr>
            <w:r w:rsidRPr="00175D8B">
              <w:rPr>
                <w:color w:val="000000"/>
                <w:sz w:val="20"/>
              </w:rPr>
              <w:t>Neighborhood Level ESIA**</w:t>
            </w:r>
          </w:p>
        </w:tc>
        <w:tc>
          <w:tcPr>
            <w:tcW w:w="3080" w:type="dxa"/>
            <w:gridSpan w:val="4"/>
          </w:tcPr>
          <w:p w14:paraId="2CC7FE33" w14:textId="77777777" w:rsidR="00E02AE5" w:rsidRPr="00175D8B" w:rsidRDefault="00E02AE5" w:rsidP="00DF417A">
            <w:pPr>
              <w:spacing w:before="40" w:after="40" w:line="240" w:lineRule="auto"/>
              <w:jc w:val="left"/>
              <w:rPr>
                <w:color w:val="000000"/>
                <w:sz w:val="20"/>
              </w:rPr>
            </w:pPr>
            <w:r w:rsidRPr="00175D8B">
              <w:rPr>
                <w:color w:val="000000"/>
                <w:sz w:val="20"/>
              </w:rPr>
              <w:t>ESMP Checklist***</w:t>
            </w:r>
          </w:p>
        </w:tc>
        <w:tc>
          <w:tcPr>
            <w:tcW w:w="3135" w:type="dxa"/>
            <w:gridSpan w:val="3"/>
          </w:tcPr>
          <w:p w14:paraId="0F6FC040" w14:textId="77777777" w:rsidR="00E02AE5" w:rsidRPr="00175D8B" w:rsidRDefault="00E02AE5" w:rsidP="00DF417A">
            <w:pPr>
              <w:spacing w:before="40" w:after="40" w:line="240" w:lineRule="auto"/>
              <w:jc w:val="left"/>
              <w:rPr>
                <w:color w:val="000000"/>
                <w:sz w:val="20"/>
              </w:rPr>
            </w:pPr>
            <w:r w:rsidRPr="00175D8B">
              <w:rPr>
                <w:color w:val="000000"/>
                <w:sz w:val="20"/>
              </w:rPr>
              <w:t>E&amp;S Audit / Environmental and Social Action Plan****</w:t>
            </w:r>
          </w:p>
        </w:tc>
      </w:tr>
      <w:tr w:rsidR="00E02AE5" w:rsidRPr="00175D8B" w14:paraId="78AA5864" w14:textId="77777777" w:rsidTr="002550A6">
        <w:trPr>
          <w:trHeight w:val="984"/>
          <w:jc w:val="center"/>
        </w:trPr>
        <w:tc>
          <w:tcPr>
            <w:tcW w:w="4204" w:type="dxa"/>
            <w:vMerge/>
          </w:tcPr>
          <w:p w14:paraId="1F9060B2" w14:textId="77777777" w:rsidR="00E02AE5" w:rsidRPr="00175D8B" w:rsidRDefault="00E02AE5" w:rsidP="00DF417A">
            <w:pPr>
              <w:spacing w:after="0" w:line="240" w:lineRule="auto"/>
              <w:jc w:val="left"/>
              <w:rPr>
                <w:b/>
                <w:bCs/>
                <w:color w:val="000000"/>
                <w:sz w:val="20"/>
              </w:rPr>
            </w:pPr>
          </w:p>
        </w:tc>
        <w:tc>
          <w:tcPr>
            <w:tcW w:w="3605" w:type="dxa"/>
            <w:gridSpan w:val="3"/>
          </w:tcPr>
          <w:p w14:paraId="00DA464A" w14:textId="77777777" w:rsidR="00E02AE5" w:rsidRPr="00175D8B" w:rsidRDefault="00E02AE5" w:rsidP="00DF417A">
            <w:pPr>
              <w:spacing w:after="0" w:line="240" w:lineRule="auto"/>
              <w:jc w:val="left"/>
              <w:rPr>
                <w:color w:val="000000"/>
                <w:sz w:val="20"/>
              </w:rPr>
            </w:pPr>
          </w:p>
        </w:tc>
        <w:tc>
          <w:tcPr>
            <w:tcW w:w="3080" w:type="dxa"/>
            <w:gridSpan w:val="4"/>
          </w:tcPr>
          <w:p w14:paraId="50C72C25" w14:textId="77777777" w:rsidR="00E02AE5" w:rsidRPr="00175D8B" w:rsidRDefault="00E02AE5" w:rsidP="00DF417A">
            <w:pPr>
              <w:spacing w:after="0" w:line="240" w:lineRule="auto"/>
              <w:jc w:val="left"/>
              <w:rPr>
                <w:color w:val="000000"/>
                <w:sz w:val="20"/>
              </w:rPr>
            </w:pPr>
            <w:r w:rsidRPr="00175D8B">
              <w:rPr>
                <w:color w:val="000000"/>
                <w:sz w:val="20"/>
              </w:rPr>
              <w:t>REQUIRED.</w:t>
            </w:r>
          </w:p>
        </w:tc>
        <w:tc>
          <w:tcPr>
            <w:tcW w:w="3135" w:type="dxa"/>
            <w:gridSpan w:val="3"/>
          </w:tcPr>
          <w:p w14:paraId="03F5682E" w14:textId="77777777" w:rsidR="00E02AE5" w:rsidRPr="00175D8B" w:rsidRDefault="00E02AE5" w:rsidP="00DF417A">
            <w:pPr>
              <w:spacing w:after="0" w:line="240" w:lineRule="auto"/>
              <w:jc w:val="left"/>
              <w:rPr>
                <w:color w:val="000000"/>
                <w:sz w:val="20"/>
              </w:rPr>
            </w:pPr>
          </w:p>
        </w:tc>
      </w:tr>
    </w:tbl>
    <w:p w14:paraId="3A0DF08F" w14:textId="77777777" w:rsidR="00E02AE5" w:rsidRPr="00175D8B" w:rsidRDefault="00E02AE5" w:rsidP="00E02AE5">
      <w:pPr>
        <w:jc w:val="center"/>
        <w:rPr>
          <w:b/>
          <w:bCs/>
        </w:rPr>
        <w:sectPr w:rsidR="00E02AE5" w:rsidRPr="00175D8B" w:rsidSect="00D21866">
          <w:pgSz w:w="16838" w:h="11906" w:orient="landscape"/>
          <w:pgMar w:top="1418" w:right="1418" w:bottom="1418" w:left="1418" w:header="709" w:footer="709" w:gutter="0"/>
          <w:cols w:space="708"/>
          <w:docGrid w:linePitch="360"/>
        </w:sectPr>
      </w:pPr>
    </w:p>
    <w:p w14:paraId="43D27E15" w14:textId="77777777" w:rsidR="00E02AE5" w:rsidRPr="00175D8B" w:rsidRDefault="00E02AE5" w:rsidP="00E02AE5">
      <w:r w:rsidRPr="00175D8B">
        <w:lastRenderedPageBreak/>
        <w:t xml:space="preserve">* Note to User: If one or more of the questions asked in the screening list on environmental issues are answered as "high risk", the relevant sub-project will be identified as "high risk" in environmental terms. </w:t>
      </w:r>
    </w:p>
    <w:p w14:paraId="7D3BC730" w14:textId="77777777" w:rsidR="00E02AE5" w:rsidRPr="00175D8B" w:rsidRDefault="00E02AE5" w:rsidP="00E02AE5">
      <w:r w:rsidRPr="00175D8B">
        <w:t xml:space="preserve">** Note to User: Neighborhood level / based ESIAs will not be sub-project specific. In case more than 10 sub-projects with a social risk classification of "high" and environmental risk classification of "substantial" are implemented in the same neighborhood within a one-month period, this box will be filled in the screening checklist of each sub-project and sent to the PMU head office for their review. </w:t>
      </w:r>
    </w:p>
    <w:p w14:paraId="79557B4A" w14:textId="77777777" w:rsidR="00E02AE5" w:rsidRPr="00175D8B" w:rsidRDefault="00E02AE5" w:rsidP="00E02AE5">
      <w:r w:rsidRPr="00175D8B">
        <w:t>*** Note to User: It will in all probability be required for each proposed sub-project, however, its scope will be determined based on the assessments in this screening list.</w:t>
      </w:r>
    </w:p>
    <w:p w14:paraId="3617D669" w14:textId="6D8C6514" w:rsidR="00C20E78" w:rsidRPr="00175D8B" w:rsidRDefault="00E02AE5" w:rsidP="00E02AE5">
      <w:r w:rsidRPr="00175D8B">
        <w:t>**** Note to User: E&amp;S Audit will be required for each Type-III subproject. The requirement for an Environmental and Social Action Plan will be determined based on the results of the audit but is highly likely to be required. The ESAP will include relevant environmental and social corrective measures based on</w:t>
      </w:r>
      <w:r w:rsidR="008D7469" w:rsidRPr="00175D8B">
        <w:t xml:space="preserve"> the findings of the E&amp;S Audit.</w:t>
      </w:r>
    </w:p>
    <w:p w14:paraId="2335F33B" w14:textId="0A2BC6E5" w:rsidR="00C20E78" w:rsidRPr="00175D8B" w:rsidRDefault="00C20E78" w:rsidP="00C20E78">
      <w:pPr>
        <w:rPr>
          <w:b/>
          <w:lang w:val="en-GB"/>
        </w:rPr>
      </w:pPr>
      <w:r w:rsidRPr="00175D8B">
        <w:rPr>
          <w:b/>
          <w:lang w:val="en-GB"/>
        </w:rPr>
        <w:t xml:space="preserve">Within the scope of the </w:t>
      </w:r>
      <w:r w:rsidRPr="00175D8B">
        <w:rPr>
          <w:b/>
          <w:bCs/>
          <w:lang w:val="en-GB"/>
        </w:rPr>
        <w:t>“Climate and Disaster Resilient Cities Project”</w:t>
      </w:r>
      <w:r w:rsidRPr="00175D8B">
        <w:rPr>
          <w:b/>
          <w:lang w:val="en-GB"/>
        </w:rPr>
        <w:t xml:space="preserve">, the undersigned hereby declare, accept, and undertake that all environmental, social, and other issues detailed in this </w:t>
      </w:r>
      <w:r w:rsidRPr="00175D8B">
        <w:rPr>
          <w:b/>
          <w:bCs/>
          <w:lang w:val="en-GB"/>
        </w:rPr>
        <w:t>Environmental and Social Management Plan Checklist</w:t>
      </w:r>
      <w:r w:rsidRPr="00175D8B">
        <w:rPr>
          <w:b/>
          <w:lang w:val="en-GB"/>
        </w:rPr>
        <w:t xml:space="preserve"> for the Reconstruction Work Titled:</w:t>
      </w:r>
      <w:r w:rsidRPr="00175D8B">
        <w:rPr>
          <w:b/>
          <w:bCs/>
          <w:lang w:val="en-GB"/>
        </w:rPr>
        <w:t xml:space="preserve"> ......................................................................................Project</w:t>
      </w:r>
      <w:r w:rsidRPr="00175D8B">
        <w:rPr>
          <w:b/>
          <w:lang w:val="en-GB"/>
        </w:rPr>
        <w:t>,</w:t>
      </w:r>
      <w:r w:rsidRPr="00175D8B">
        <w:rPr>
          <w:b/>
          <w:lang w:val="en-GB"/>
        </w:rPr>
        <w:br/>
        <w:t xml:space="preserve">constitute binding commitments. In the event of any action contrary to the provisions set forth in this checklist or any breach of these commitments, the undersigned acknowledge that they shall be subject to all sanctions stipulated under the </w:t>
      </w:r>
      <w:r w:rsidRPr="00175D8B">
        <w:rPr>
          <w:b/>
          <w:bCs/>
          <w:lang w:val="en-GB"/>
        </w:rPr>
        <w:t>Environmental Law No. 2872</w:t>
      </w:r>
      <w:r w:rsidRPr="00175D8B">
        <w:rPr>
          <w:b/>
          <w:lang w:val="en-GB"/>
        </w:rPr>
        <w:t xml:space="preserve"> and all related legislation — including suspension of works — as well as all sanctions prescribed under the </w:t>
      </w:r>
      <w:r w:rsidRPr="00175D8B">
        <w:rPr>
          <w:b/>
          <w:bCs/>
          <w:lang w:val="en-GB"/>
        </w:rPr>
        <w:t>World Bank Environmental and Social Standards</w:t>
      </w:r>
      <w:r w:rsidRPr="00175D8B">
        <w:rPr>
          <w:b/>
          <w:lang w:val="en-GB"/>
        </w:rPr>
        <w:t>.</w:t>
      </w:r>
    </w:p>
    <w:p w14:paraId="19DB2FD6" w14:textId="77777777" w:rsidR="00C20E78" w:rsidRPr="00175D8B" w:rsidRDefault="00C20E78" w:rsidP="00C20E78">
      <w:pPr>
        <w:rPr>
          <w:b/>
          <w:bCs/>
          <w:lang w:val="en-GB"/>
        </w:rPr>
      </w:pPr>
    </w:p>
    <w:p w14:paraId="5E58041E" w14:textId="77777777" w:rsidR="00C20E78" w:rsidRPr="00175D8B" w:rsidRDefault="00C20E78" w:rsidP="00C20E78">
      <w:pPr>
        <w:rPr>
          <w:bCs/>
          <w:lang w:val="en-GB"/>
        </w:rPr>
      </w:pPr>
      <w:r w:rsidRPr="00175D8B">
        <w:rPr>
          <w:bCs/>
          <w:lang w:val="en-GB"/>
        </w:rPr>
        <w:t>Contractor (Name–Surname)</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bCs/>
          <w:lang w:val="en-GB"/>
        </w:rPr>
        <w:t>Site Supervisor (Name–Surname)</w:t>
      </w:r>
    </w:p>
    <w:p w14:paraId="7E08B3B2" w14:textId="4BE65502" w:rsidR="00C20E78" w:rsidRPr="00175D8B" w:rsidRDefault="00C20E78" w:rsidP="00C20E78">
      <w:pPr>
        <w:rPr>
          <w:lang w:val="en-GB"/>
        </w:rPr>
      </w:pPr>
      <w:r w:rsidRPr="00175D8B">
        <w:rPr>
          <w:lang w:val="en-GB"/>
        </w:rPr>
        <w:br/>
      </w:r>
      <w:r w:rsidRPr="00175D8B">
        <w:rPr>
          <w:bCs/>
          <w:lang w:val="en-GB"/>
        </w:rPr>
        <w:t>Signature</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lang w:val="en-GB"/>
        </w:rPr>
        <w:t> </w:t>
      </w:r>
      <w:r w:rsidRPr="00175D8B">
        <w:rPr>
          <w:bCs/>
          <w:lang w:val="en-GB"/>
        </w:rPr>
        <w:t>Signature</w:t>
      </w:r>
    </w:p>
    <w:p w14:paraId="16F93A1B" w14:textId="77777777" w:rsidR="00C20E78" w:rsidRPr="00175D8B" w:rsidRDefault="00C20E78" w:rsidP="00E02AE5"/>
    <w:p w14:paraId="166CBEAB" w14:textId="301901AA" w:rsidR="00B05B27" w:rsidRPr="00175D8B" w:rsidRDefault="00B05B27">
      <w:pPr>
        <w:spacing w:after="160" w:line="278" w:lineRule="auto"/>
        <w:jc w:val="left"/>
      </w:pPr>
      <w:r w:rsidRPr="00175D8B">
        <w:br w:type="page"/>
      </w:r>
    </w:p>
    <w:p w14:paraId="26FDA051" w14:textId="24EB6E35" w:rsidR="00E02AE5" w:rsidRPr="00175D8B" w:rsidRDefault="00E02AE5">
      <w:pPr>
        <w:pStyle w:val="Balk1"/>
        <w:rPr>
          <w:b/>
          <w:sz w:val="28"/>
          <w:szCs w:val="28"/>
          <w:lang w:eastAsia="tr-TR"/>
        </w:rPr>
      </w:pPr>
      <w:bookmarkStart w:id="538" w:name="_Toc207987190"/>
      <w:bookmarkStart w:id="539" w:name="_Toc212541921"/>
      <w:bookmarkStart w:id="540" w:name="_Toc212542432"/>
      <w:bookmarkStart w:id="541" w:name="_Toc220672841"/>
      <w:r w:rsidRPr="00175D8B">
        <w:rPr>
          <w:b/>
          <w:sz w:val="28"/>
          <w:szCs w:val="28"/>
          <w:lang w:eastAsia="tr-TR"/>
        </w:rPr>
        <w:lastRenderedPageBreak/>
        <w:t>ANNEX 1</w:t>
      </w:r>
      <w:r w:rsidR="00A00BA9">
        <w:rPr>
          <w:b/>
          <w:sz w:val="28"/>
          <w:szCs w:val="28"/>
          <w:lang w:eastAsia="tr-TR"/>
        </w:rPr>
        <w:t>2</w:t>
      </w:r>
      <w:r w:rsidRPr="00175D8B">
        <w:rPr>
          <w:b/>
          <w:sz w:val="28"/>
          <w:szCs w:val="28"/>
          <w:lang w:eastAsia="tr-TR"/>
        </w:rPr>
        <w:t>- LIST OF NON-ELIGIBLE TYPES OF SUB-PROJECTS</w:t>
      </w:r>
      <w:bookmarkEnd w:id="538"/>
      <w:bookmarkEnd w:id="539"/>
      <w:bookmarkEnd w:id="540"/>
      <w:bookmarkEnd w:id="541"/>
    </w:p>
    <w:p w14:paraId="6AFC09C8" w14:textId="77777777" w:rsidR="00E02AE5" w:rsidRPr="00175D8B" w:rsidRDefault="00E02AE5" w:rsidP="00E02AE5">
      <w:r w:rsidRPr="00175D8B">
        <w:t xml:space="preserve">The list of non-eligible types of sub-projects are presented below: </w:t>
      </w:r>
    </w:p>
    <w:p w14:paraId="62102CFF" w14:textId="77777777" w:rsidR="00E02AE5" w:rsidRPr="00175D8B" w:rsidRDefault="00E02AE5">
      <w:pPr>
        <w:numPr>
          <w:ilvl w:val="0"/>
          <w:numId w:val="51"/>
        </w:numPr>
        <w:pBdr>
          <w:top w:val="nil"/>
          <w:left w:val="nil"/>
          <w:bottom w:val="nil"/>
          <w:right w:val="nil"/>
          <w:between w:val="nil"/>
        </w:pBdr>
        <w:spacing w:before="120" w:after="0"/>
        <w:rPr>
          <w:color w:val="000000"/>
        </w:rPr>
      </w:pPr>
      <w:r w:rsidRPr="00175D8B">
        <w:rPr>
          <w:color w:val="000000"/>
        </w:rPr>
        <w:t>Any sub-project that is included in the World Bank Group/International Finance Corporation Exclusion List</w:t>
      </w:r>
    </w:p>
    <w:p w14:paraId="219B2FD8" w14:textId="77777777" w:rsidR="00E02AE5" w:rsidRPr="00175D8B" w:rsidRDefault="00E02AE5">
      <w:pPr>
        <w:numPr>
          <w:ilvl w:val="0"/>
          <w:numId w:val="51"/>
        </w:numPr>
        <w:pBdr>
          <w:top w:val="nil"/>
          <w:left w:val="nil"/>
          <w:bottom w:val="nil"/>
          <w:right w:val="nil"/>
          <w:between w:val="nil"/>
        </w:pBdr>
        <w:spacing w:after="0"/>
        <w:rPr>
          <w:color w:val="000000"/>
        </w:rPr>
      </w:pPr>
      <w:r w:rsidRPr="00175D8B">
        <w:rPr>
          <w:color w:val="000000"/>
        </w:rPr>
        <w:t xml:space="preserve">Any sub-project that includes the buildings registered as Cultural Heritage. </w:t>
      </w:r>
    </w:p>
    <w:p w14:paraId="598738F3" w14:textId="77777777" w:rsidR="00E02AE5" w:rsidRPr="00175D8B" w:rsidRDefault="00E02AE5">
      <w:pPr>
        <w:numPr>
          <w:ilvl w:val="0"/>
          <w:numId w:val="51"/>
        </w:numPr>
        <w:pBdr>
          <w:top w:val="nil"/>
          <w:left w:val="nil"/>
          <w:bottom w:val="nil"/>
          <w:right w:val="nil"/>
          <w:between w:val="nil"/>
        </w:pBdr>
        <w:spacing w:after="0"/>
        <w:rPr>
          <w:color w:val="000000"/>
        </w:rPr>
      </w:pPr>
      <w:r w:rsidRPr="00175D8B">
        <w:rPr>
          <w:color w:val="000000"/>
        </w:rPr>
        <w:t>Any sub-project that will have impacts on Natural Habitats/Critical Habitats and trigger an overall ESS6 such as alteration of environmentally important areas, including wetlands, native forests, grasslands, and other “critical” natural habitats and ecosystem services.</w:t>
      </w:r>
    </w:p>
    <w:p w14:paraId="33A0A70F" w14:textId="77777777" w:rsidR="00E02AE5" w:rsidRPr="00175D8B" w:rsidRDefault="00E02AE5">
      <w:pPr>
        <w:numPr>
          <w:ilvl w:val="0"/>
          <w:numId w:val="51"/>
        </w:numPr>
        <w:pBdr>
          <w:top w:val="nil"/>
          <w:left w:val="nil"/>
          <w:bottom w:val="nil"/>
          <w:right w:val="nil"/>
          <w:between w:val="nil"/>
        </w:pBdr>
        <w:spacing w:after="0"/>
        <w:rPr>
          <w:color w:val="000000"/>
        </w:rPr>
      </w:pPr>
      <w:r w:rsidRPr="00175D8B">
        <w:rPr>
          <w:color w:val="000000"/>
        </w:rPr>
        <w:t>Any sub-projects where in-situ transformation is not possible.</w:t>
      </w:r>
    </w:p>
    <w:p w14:paraId="3535A9B1" w14:textId="77777777" w:rsidR="00E02AE5" w:rsidRPr="00175D8B" w:rsidRDefault="00E02AE5">
      <w:pPr>
        <w:numPr>
          <w:ilvl w:val="0"/>
          <w:numId w:val="51"/>
        </w:numPr>
        <w:pBdr>
          <w:top w:val="nil"/>
          <w:left w:val="nil"/>
          <w:bottom w:val="nil"/>
          <w:right w:val="nil"/>
          <w:between w:val="nil"/>
        </w:pBdr>
        <w:spacing w:after="0"/>
        <w:rPr>
          <w:color w:val="000000"/>
        </w:rPr>
      </w:pPr>
      <w:r w:rsidRPr="00175D8B">
        <w:rPr>
          <w:color w:val="000000"/>
        </w:rPr>
        <w:t xml:space="preserve">The buildings which are </w:t>
      </w:r>
      <w:r w:rsidRPr="00175D8B">
        <w:rPr>
          <w:color w:val="000000"/>
          <w:u w:val="single"/>
        </w:rPr>
        <w:t>not registered</w:t>
      </w:r>
      <w:r w:rsidRPr="00175D8B">
        <w:rPr>
          <w:color w:val="000000"/>
        </w:rPr>
        <w:t xml:space="preserve"> as risky building within the scope of Law and Implementation Regulation. </w:t>
      </w:r>
    </w:p>
    <w:p w14:paraId="66BBAA77" w14:textId="77777777" w:rsidR="00E02AE5" w:rsidRPr="00175D8B" w:rsidRDefault="00E02AE5">
      <w:pPr>
        <w:numPr>
          <w:ilvl w:val="0"/>
          <w:numId w:val="51"/>
        </w:numPr>
        <w:pBdr>
          <w:top w:val="nil"/>
          <w:left w:val="nil"/>
          <w:bottom w:val="nil"/>
          <w:right w:val="nil"/>
          <w:between w:val="nil"/>
        </w:pBdr>
        <w:spacing w:after="0"/>
        <w:rPr>
          <w:color w:val="000000"/>
        </w:rPr>
      </w:pPr>
      <w:r w:rsidRPr="00175D8B">
        <w:rPr>
          <w:color w:val="000000"/>
        </w:rPr>
        <w:t xml:space="preserve">Risky buildings within designated Disaster Exposed Areas. </w:t>
      </w:r>
    </w:p>
    <w:p w14:paraId="488775CA" w14:textId="77777777" w:rsidR="00E02AE5" w:rsidRPr="00175D8B" w:rsidRDefault="00E02AE5">
      <w:pPr>
        <w:numPr>
          <w:ilvl w:val="0"/>
          <w:numId w:val="51"/>
        </w:numPr>
        <w:pBdr>
          <w:top w:val="nil"/>
          <w:left w:val="nil"/>
          <w:bottom w:val="nil"/>
          <w:right w:val="nil"/>
          <w:between w:val="nil"/>
        </w:pBdr>
        <w:spacing w:after="0"/>
        <w:rPr>
          <w:color w:val="000000"/>
        </w:rPr>
      </w:pPr>
      <w:r w:rsidRPr="00175D8B">
        <w:rPr>
          <w:color w:val="000000"/>
        </w:rPr>
        <w:t>Any sub-project that would affect the quality and/or quantity of international waterways as defined in WB OP 7.50 and that would benefit from existing hydroelectric dams in a way, triggering any dam safety issues under the scope of ESS4.</w:t>
      </w:r>
    </w:p>
    <w:p w14:paraId="0FBEA911" w14:textId="77777777" w:rsidR="00E02AE5" w:rsidRPr="00175D8B" w:rsidRDefault="00E02AE5">
      <w:pPr>
        <w:numPr>
          <w:ilvl w:val="0"/>
          <w:numId w:val="51"/>
        </w:numPr>
        <w:pBdr>
          <w:top w:val="nil"/>
          <w:left w:val="nil"/>
          <w:bottom w:val="nil"/>
          <w:right w:val="nil"/>
          <w:between w:val="nil"/>
        </w:pBdr>
        <w:spacing w:after="0"/>
        <w:rPr>
          <w:color w:val="000000"/>
        </w:rPr>
      </w:pPr>
      <w:r w:rsidRPr="00175D8B">
        <w:rPr>
          <w:color w:val="000000"/>
        </w:rPr>
        <w:t>Any Type-III sub-Project, whose demolishing works had been completed before October 1, 2020.</w:t>
      </w:r>
    </w:p>
    <w:p w14:paraId="2068AD1F" w14:textId="77777777" w:rsidR="00E02AE5" w:rsidRPr="00175D8B" w:rsidRDefault="00E02AE5">
      <w:pPr>
        <w:numPr>
          <w:ilvl w:val="0"/>
          <w:numId w:val="51"/>
        </w:numPr>
        <w:pBdr>
          <w:top w:val="nil"/>
          <w:left w:val="nil"/>
          <w:bottom w:val="nil"/>
          <w:right w:val="nil"/>
          <w:between w:val="nil"/>
        </w:pBdr>
        <w:spacing w:after="0"/>
        <w:rPr>
          <w:color w:val="000000"/>
        </w:rPr>
      </w:pPr>
      <w:r w:rsidRPr="00175D8B">
        <w:rPr>
          <w:color w:val="000000"/>
        </w:rPr>
        <w:t>Any sub-project which would be classified as “High Risk”</w:t>
      </w:r>
      <w:r w:rsidRPr="00175D8B">
        <w:rPr>
          <w:color w:val="000000"/>
          <w:vertAlign w:val="superscript"/>
        </w:rPr>
        <w:footnoteReference w:id="39"/>
      </w:r>
      <w:r w:rsidRPr="00175D8B">
        <w:rPr>
          <w:color w:val="000000"/>
        </w:rPr>
        <w:t xml:space="preserve"> in terms of environmental risks.</w:t>
      </w:r>
    </w:p>
    <w:p w14:paraId="33775529" w14:textId="4166870A" w:rsidR="00B05B27" w:rsidRPr="00175D8B" w:rsidRDefault="00B05B27">
      <w:pPr>
        <w:spacing w:after="160" w:line="278" w:lineRule="auto"/>
        <w:jc w:val="left"/>
        <w:rPr>
          <w:color w:val="000000"/>
        </w:rPr>
      </w:pPr>
      <w:r w:rsidRPr="00175D8B">
        <w:rPr>
          <w:color w:val="000000"/>
        </w:rPr>
        <w:br w:type="page"/>
      </w:r>
    </w:p>
    <w:p w14:paraId="365F1076" w14:textId="3623BE53" w:rsidR="00AB748C" w:rsidRPr="00175D8B" w:rsidRDefault="00AB748C">
      <w:pPr>
        <w:pStyle w:val="Balk1"/>
        <w:rPr>
          <w:b/>
          <w:sz w:val="28"/>
          <w:szCs w:val="28"/>
          <w:lang w:eastAsia="tr-TR"/>
        </w:rPr>
      </w:pPr>
      <w:bookmarkStart w:id="542" w:name="_Toc212541922"/>
      <w:bookmarkStart w:id="543" w:name="_Toc212542433"/>
      <w:bookmarkStart w:id="544" w:name="_Toc220672842"/>
      <w:r w:rsidRPr="00175D8B">
        <w:rPr>
          <w:b/>
          <w:sz w:val="28"/>
          <w:szCs w:val="28"/>
          <w:lang w:eastAsia="tr-TR"/>
        </w:rPr>
        <w:lastRenderedPageBreak/>
        <w:t>ANNEX 1</w:t>
      </w:r>
      <w:r w:rsidR="00A00BA9">
        <w:rPr>
          <w:b/>
          <w:sz w:val="28"/>
          <w:szCs w:val="28"/>
          <w:lang w:eastAsia="tr-TR"/>
        </w:rPr>
        <w:t>3</w:t>
      </w:r>
      <w:r w:rsidRPr="00175D8B">
        <w:rPr>
          <w:b/>
          <w:sz w:val="28"/>
          <w:szCs w:val="28"/>
          <w:lang w:eastAsia="tr-TR"/>
        </w:rPr>
        <w:t>- OCCUPATIONAL HEALTH AND SAFETY MANAGEMENT PLAN</w:t>
      </w:r>
      <w:bookmarkEnd w:id="542"/>
      <w:bookmarkEnd w:id="543"/>
      <w:bookmarkEnd w:id="544"/>
    </w:p>
    <w:p w14:paraId="7807418D" w14:textId="77777777" w:rsidR="00AB748C" w:rsidRPr="00175D8B" w:rsidRDefault="00AB748C">
      <w:pPr>
        <w:pStyle w:val="ListeParagraf"/>
        <w:numPr>
          <w:ilvl w:val="0"/>
          <w:numId w:val="36"/>
        </w:numPr>
        <w:rPr>
          <w:b/>
          <w:bCs/>
        </w:rPr>
      </w:pPr>
      <w:r w:rsidRPr="00175D8B">
        <w:rPr>
          <w:b/>
          <w:bCs/>
        </w:rPr>
        <w:t>Purpose and Scope</w:t>
      </w:r>
    </w:p>
    <w:p w14:paraId="496AB163" w14:textId="77777777" w:rsidR="00AB748C" w:rsidRPr="00175D8B" w:rsidRDefault="00AB748C" w:rsidP="00AB748C">
      <w:r w:rsidRPr="00175D8B">
        <w:t>This plan presents the Occupational Health and Safety (OHS) management principles for the subproject activities within the scope of Component 2 of the Project. Prior to construction activities, the Contractor will also develop its own Occupational Health and Safety Management Plan (OHSMP) in line with national legislation to address OHS issues.</w:t>
      </w:r>
    </w:p>
    <w:p w14:paraId="1D2403D9" w14:textId="77777777" w:rsidR="00AB748C" w:rsidRPr="00175D8B" w:rsidRDefault="00AB748C" w:rsidP="00AB748C">
      <w:r w:rsidRPr="00175D8B">
        <w:t>This plan outlines the framework of the OHS system to be followed by the Contractor during the land preparation and construction phase.</w:t>
      </w:r>
    </w:p>
    <w:p w14:paraId="09B4705B" w14:textId="592E3533" w:rsidR="00AB748C" w:rsidRPr="00175D8B" w:rsidRDefault="00AB748C" w:rsidP="00AB748C">
      <w:r w:rsidRPr="00175D8B">
        <w:t xml:space="preserve">This plan has been prepared to be implemented by the Project Management Unit (PMU), Contractors and Subcontractors. In addition, </w:t>
      </w:r>
      <w:r w:rsidR="00FE737E" w:rsidRPr="00175D8B">
        <w:t xml:space="preserve">Contractors are required to adopt plan requirements within their management plans. </w:t>
      </w:r>
      <w:r w:rsidRPr="00175D8B">
        <w:t>The roles and responsibilities for the implementation of the Plan are presented in Annex 1.</w:t>
      </w:r>
    </w:p>
    <w:p w14:paraId="6A470256" w14:textId="77777777" w:rsidR="00AB748C" w:rsidRPr="00175D8B" w:rsidRDefault="00AB748C" w:rsidP="00AB748C">
      <w:r w:rsidRPr="00175D8B">
        <w:t>This Plan is a living document and responsibilities, procedures and compliance actions should be updated as appropriate.</w:t>
      </w:r>
    </w:p>
    <w:p w14:paraId="41318EAF" w14:textId="77777777" w:rsidR="00AB748C" w:rsidRPr="00175D8B" w:rsidRDefault="00AB748C">
      <w:pPr>
        <w:pStyle w:val="ListeParagraf"/>
        <w:numPr>
          <w:ilvl w:val="0"/>
          <w:numId w:val="36"/>
        </w:numPr>
        <w:rPr>
          <w:b/>
          <w:bCs/>
        </w:rPr>
      </w:pPr>
      <w:r w:rsidRPr="00175D8B">
        <w:rPr>
          <w:b/>
          <w:bCs/>
        </w:rPr>
        <w:t>Legal Framework</w:t>
      </w:r>
    </w:p>
    <w:p w14:paraId="253BA991" w14:textId="77777777" w:rsidR="00AB748C" w:rsidRPr="00175D8B" w:rsidRDefault="00AB748C">
      <w:pPr>
        <w:pStyle w:val="ListeParagraf"/>
        <w:numPr>
          <w:ilvl w:val="1"/>
          <w:numId w:val="36"/>
        </w:numPr>
        <w:rPr>
          <w:b/>
          <w:bCs/>
        </w:rPr>
      </w:pPr>
      <w:r w:rsidRPr="00175D8B">
        <w:rPr>
          <w:b/>
          <w:bCs/>
        </w:rPr>
        <w:t>National Legislation</w:t>
      </w:r>
    </w:p>
    <w:p w14:paraId="7CE4D8EB" w14:textId="77777777" w:rsidR="00AB748C" w:rsidRPr="00175D8B" w:rsidRDefault="00AB748C" w:rsidP="00AB748C">
      <w:pPr>
        <w:rPr>
          <w:rFonts w:eastAsia="Aptos" w:cs="Aptos"/>
          <w:kern w:val="0"/>
          <w:szCs w:val="22"/>
          <w:lang w:eastAsia="tr-TR"/>
          <w14:ligatures w14:val="none"/>
        </w:rPr>
      </w:pPr>
      <w:r w:rsidRPr="00175D8B">
        <w:rPr>
          <w:rFonts w:eastAsia="Aptos" w:cs="Aptos"/>
          <w:kern w:val="0"/>
          <w:szCs w:val="22"/>
          <w:lang w:eastAsia="tr-TR"/>
          <w14:ligatures w14:val="none"/>
        </w:rPr>
        <w:t>The main national legislation that the Project is subject to on occupational health and safety is as follows:</w:t>
      </w:r>
    </w:p>
    <w:p w14:paraId="7262A6E1" w14:textId="77777777" w:rsidR="00AB748C" w:rsidRPr="00175D8B" w:rsidRDefault="00AB748C">
      <w:pPr>
        <w:numPr>
          <w:ilvl w:val="1"/>
          <w:numId w:val="49"/>
        </w:numPr>
        <w:pBdr>
          <w:top w:val="nil"/>
          <w:left w:val="nil"/>
          <w:bottom w:val="nil"/>
          <w:right w:val="nil"/>
          <w:between w:val="nil"/>
        </w:pBdr>
        <w:spacing w:before="120"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Occupational Health and Safety Law No. 6331</w:t>
      </w:r>
    </w:p>
    <w:p w14:paraId="4DA8FB27"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Health and Safety Signs Regulation</w:t>
      </w:r>
    </w:p>
    <w:p w14:paraId="66B7D2EB"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Implementing Regulation on the Duties, Authorities, Responsibilities and Training of Workplace Physicians and Other Health Personnel</w:t>
      </w:r>
    </w:p>
    <w:p w14:paraId="352373B6"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Emergency Situations in Workplaces</w:t>
      </w:r>
    </w:p>
    <w:p w14:paraId="2C1AEE00"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Implementing Regulation on the Procedures and Principles of Employee Occupational Health and Safety Training</w:t>
      </w:r>
    </w:p>
    <w:p w14:paraId="20294A85"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Communiqué on Workplace Hazard Classes Regarding Occupational Health and Safety</w:t>
      </w:r>
    </w:p>
    <w:p w14:paraId="6B1CA5F5"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Duties, Authorities, Responsibilities and Training of Occupational Safety Specialists</w:t>
      </w:r>
    </w:p>
    <w:p w14:paraId="45179972"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Occupational Health and Safety Services Regulation</w:t>
      </w:r>
    </w:p>
    <w:p w14:paraId="3566848E"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Occupational Health and Safety Risk Assessment Regulation</w:t>
      </w:r>
    </w:p>
    <w:p w14:paraId="38F802C5"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Occupational Health and Safety Boards</w:t>
      </w:r>
    </w:p>
    <w:p w14:paraId="1D8F0879"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lastRenderedPageBreak/>
        <w:t>Regulation on Health and Safety Measures in Asbestos Work</w:t>
      </w:r>
    </w:p>
    <w:p w14:paraId="1344D9AF"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National Occupational Health and Safety Council Regulation</w:t>
      </w:r>
    </w:p>
    <w:p w14:paraId="535FCC3D"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Stopping Work at Workplaces</w:t>
      </w:r>
    </w:p>
    <w:p w14:paraId="1D2B2CCF"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Health and Safety Conditions in the Use of Work Equipment</w:t>
      </w:r>
    </w:p>
    <w:p w14:paraId="1C62C337"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Protection of Employees from the Hazards of Explosive Environments</w:t>
      </w:r>
    </w:p>
    <w:p w14:paraId="13E7C96F"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Implementing Regulation on the Use of Personal Protective Equipment in Workplaces</w:t>
      </w:r>
    </w:p>
    <w:p w14:paraId="3E27607F"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Implementing Regulation on the Vocational Training of Those Who Will Work in Dangerous and Very Dangerous Class Jobs</w:t>
      </w:r>
    </w:p>
    <w:p w14:paraId="07ADB252"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Protection of Employees from Risks Related to Noise</w:t>
      </w:r>
    </w:p>
    <w:p w14:paraId="2D9EA086"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Health and Safety Precautions in Working with Chemicals</w:t>
      </w:r>
    </w:p>
    <w:p w14:paraId="3980F904"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Laboratories Performing Occupational Hygiene Measurement, Testing and Analysis</w:t>
      </w:r>
    </w:p>
    <w:p w14:paraId="23DDDB1B"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Health and Safety Precautions in Working with Screened Vehicles</w:t>
      </w:r>
    </w:p>
    <w:p w14:paraId="112B6DAF"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Protection of Employees from Vibration Related Risks</w:t>
      </w:r>
    </w:p>
    <w:p w14:paraId="4A1B8201"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Occupational Health and Safety in Temporary or Fixed Term Jobs</w:t>
      </w:r>
    </w:p>
    <w:p w14:paraId="1C573961"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Communiqué on the Qualifications and Selection Procedures and Principles of the Employee Representative on Occupational Health and Safety</w:t>
      </w:r>
    </w:p>
    <w:p w14:paraId="59410FFC"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Combating Dust</w:t>
      </w:r>
    </w:p>
    <w:p w14:paraId="300F16E8"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Support of Occupational Health and Safety Services</w:t>
      </w:r>
    </w:p>
    <w:p w14:paraId="4DEE8C63"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Implementing Regulation on the Prevention and Mitigation of Major Industrial Accidents</w:t>
      </w:r>
    </w:p>
    <w:p w14:paraId="538C7E17"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Occupational Health and Safety in Construction Works</w:t>
      </w:r>
    </w:p>
    <w:p w14:paraId="4FCE272C"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the Procedures and Principles of Employment of Children and Young Workers</w:t>
      </w:r>
    </w:p>
    <w:p w14:paraId="32C1B5A0"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Communiqué on Supporting Occupational Health and Safety Services</w:t>
      </w:r>
    </w:p>
    <w:p w14:paraId="4C619184"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Regulation on Protection of Buildings from Fire</w:t>
      </w:r>
    </w:p>
    <w:p w14:paraId="56185F5A" w14:textId="77777777" w:rsidR="00AB748C" w:rsidRPr="00175D8B" w:rsidRDefault="00AB748C">
      <w:pPr>
        <w:numPr>
          <w:ilvl w:val="1"/>
          <w:numId w:val="49"/>
        </w:numPr>
        <w:pBdr>
          <w:top w:val="nil"/>
          <w:left w:val="nil"/>
          <w:bottom w:val="nil"/>
          <w:right w:val="nil"/>
          <w:between w:val="nil"/>
        </w:pBdr>
        <w:spacing w:after="16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Communiqué on Categorization Guide of Personal Protective Equipment</w:t>
      </w:r>
    </w:p>
    <w:p w14:paraId="000ED6D7" w14:textId="77777777" w:rsidR="00AB748C" w:rsidRPr="00175D8B" w:rsidRDefault="00AB748C">
      <w:pPr>
        <w:pStyle w:val="ListeParagraf"/>
        <w:numPr>
          <w:ilvl w:val="1"/>
          <w:numId w:val="36"/>
        </w:numPr>
        <w:rPr>
          <w:b/>
          <w:bCs/>
        </w:rPr>
      </w:pPr>
      <w:r w:rsidRPr="00175D8B">
        <w:rPr>
          <w:b/>
          <w:bCs/>
        </w:rPr>
        <w:t>World Bank ESF Requirements</w:t>
      </w:r>
    </w:p>
    <w:p w14:paraId="5454B319" w14:textId="77777777" w:rsidR="00AB748C" w:rsidRPr="00175D8B" w:rsidRDefault="00AB748C">
      <w:pPr>
        <w:pStyle w:val="ListeParagraf"/>
        <w:numPr>
          <w:ilvl w:val="2"/>
          <w:numId w:val="36"/>
        </w:numPr>
        <w:rPr>
          <w:b/>
          <w:bCs/>
        </w:rPr>
      </w:pPr>
      <w:r w:rsidRPr="00175D8B">
        <w:rPr>
          <w:b/>
          <w:bCs/>
        </w:rPr>
        <w:t>Labor and Working Conditions - ESS2</w:t>
      </w:r>
    </w:p>
    <w:p w14:paraId="50679A61" w14:textId="2DD61C11" w:rsidR="00AB748C" w:rsidRPr="00175D8B" w:rsidRDefault="00AB748C" w:rsidP="00AB748C">
      <w:r w:rsidRPr="00175D8B">
        <w:t>ESS2 emphasizes measures relating to occupational health and safety that should be applied to the Projects and sets the requirements that should be fulfilled by financed Projects.</w:t>
      </w:r>
    </w:p>
    <w:p w14:paraId="09FF8BCD" w14:textId="77777777" w:rsidR="008C490F" w:rsidRPr="00175D8B" w:rsidRDefault="008C490F" w:rsidP="00AB748C"/>
    <w:p w14:paraId="319A499D" w14:textId="77777777" w:rsidR="00AB748C" w:rsidRPr="00175D8B" w:rsidRDefault="00AB748C">
      <w:pPr>
        <w:pStyle w:val="ListeParagraf"/>
        <w:numPr>
          <w:ilvl w:val="2"/>
          <w:numId w:val="36"/>
        </w:numPr>
        <w:rPr>
          <w:b/>
          <w:bCs/>
        </w:rPr>
      </w:pPr>
      <w:r w:rsidRPr="00175D8B">
        <w:rPr>
          <w:b/>
          <w:bCs/>
        </w:rPr>
        <w:t>Environmental Health and Safety Guidelines</w:t>
      </w:r>
    </w:p>
    <w:p w14:paraId="0706E5BA" w14:textId="77777777" w:rsidR="00AB748C" w:rsidRPr="00175D8B" w:rsidRDefault="00AB748C" w:rsidP="00AB748C">
      <w:r w:rsidRPr="00175D8B">
        <w:lastRenderedPageBreak/>
        <w:t>The World Bank Group Environmental, Health and Safety Guidelines (EHS Guideline) are technical reference documents with general and industry-specific examples of GIIP. EHS Guideline is used as a technical source of information during Project appraisal. The EHS Guideline contains the performance levels and measures that are generally considered to be achievable in new facilities at reasonable costs by existing technology. Occupational Health and Safety is addressed in the General EHS Guideline document under Section 2. In addition, in Section 4.2, risks and measures related to occupational health and safety are specified in construction and demolition activities.</w:t>
      </w:r>
    </w:p>
    <w:p w14:paraId="2EA7D44F" w14:textId="77777777" w:rsidR="00AB748C" w:rsidRPr="00175D8B" w:rsidRDefault="00AB748C">
      <w:pPr>
        <w:pStyle w:val="ListeParagraf"/>
        <w:numPr>
          <w:ilvl w:val="0"/>
          <w:numId w:val="36"/>
        </w:numPr>
        <w:rPr>
          <w:b/>
          <w:bCs/>
        </w:rPr>
      </w:pPr>
      <w:r w:rsidRPr="00175D8B">
        <w:rPr>
          <w:b/>
          <w:bCs/>
        </w:rPr>
        <w:t>Roles and Responsibilities</w:t>
      </w:r>
    </w:p>
    <w:p w14:paraId="778895F7" w14:textId="77777777" w:rsidR="00AB748C" w:rsidRPr="00175D8B" w:rsidRDefault="00AB748C" w:rsidP="00AB748C">
      <w:r w:rsidRPr="00175D8B">
        <w:t xml:space="preserve">Involvement of all in implementing, maintaining and continually improving OHS processes is the key to successful completion and achievement of quality objectives set by the management. All Project personnel will therefore be required to be familiar with the content of this plan and will participate in implementing, maintaining and improving the management system. It is the responsibility of the PMU and all key personnel to ensure that the requirements for quality are fulfilled for works under their responsibility. </w:t>
      </w:r>
    </w:p>
    <w:p w14:paraId="4DEE1892" w14:textId="77777777" w:rsidR="00AB748C" w:rsidRPr="00175D8B" w:rsidRDefault="00AB748C" w:rsidP="00AB748C">
      <w:bookmarkStart w:id="545" w:name="_10kxoro" w:colFirst="0" w:colLast="0"/>
      <w:bookmarkEnd w:id="545"/>
      <w:r w:rsidRPr="00175D8B">
        <w:t>All new staff and staff who are given new responsibilities are to be inducted into the requirements set out in this plan in general and into their function and responsibilities in particular. In this context, roles and responsibilities related to occupational health and safety management are given in the table below:</w:t>
      </w:r>
    </w:p>
    <w:p w14:paraId="42316BFC" w14:textId="77777777" w:rsidR="00AB748C" w:rsidRPr="00175D8B" w:rsidRDefault="00AB748C" w:rsidP="00AB748C">
      <w:pPr>
        <w:keepNext/>
        <w:spacing w:after="200" w:line="240" w:lineRule="auto"/>
        <w:jc w:val="center"/>
        <w:rPr>
          <w:rFonts w:eastAsia="Aptos" w:cs="Aptos"/>
          <w:b/>
          <w:i/>
          <w:iCs/>
          <w:color w:val="000000"/>
          <w:kern w:val="0"/>
          <w:sz w:val="20"/>
          <w:szCs w:val="18"/>
          <w:lang w:eastAsia="tr-TR"/>
          <w14:ligatures w14:val="none"/>
        </w:rPr>
      </w:pPr>
      <w:r w:rsidRPr="00175D8B">
        <w:rPr>
          <w:rFonts w:eastAsia="Aptos" w:cs="Aptos"/>
          <w:b/>
          <w:i/>
          <w:iCs/>
          <w:color w:val="000000"/>
          <w:kern w:val="0"/>
          <w:sz w:val="20"/>
          <w:szCs w:val="18"/>
          <w:lang w:eastAsia="tr-TR"/>
          <w14:ligatures w14:val="none"/>
        </w:rPr>
        <w:t>Roles and Responsibilities</w:t>
      </w:r>
    </w:p>
    <w:tbl>
      <w:tblPr>
        <w:tblStyle w:val="8"/>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7938"/>
      </w:tblGrid>
      <w:tr w:rsidR="00AB748C" w:rsidRPr="00175D8B" w14:paraId="4EEA6F6A" w14:textId="77777777" w:rsidTr="002550A6">
        <w:trPr>
          <w:tblHeade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BB7C1"/>
          </w:tcPr>
          <w:p w14:paraId="7D087F4E" w14:textId="77777777" w:rsidR="00AB748C" w:rsidRPr="00175D8B" w:rsidRDefault="00AB748C" w:rsidP="00DF417A">
            <w:pPr>
              <w:pBdr>
                <w:top w:val="nil"/>
                <w:left w:val="nil"/>
                <w:bottom w:val="nil"/>
                <w:right w:val="nil"/>
                <w:between w:val="nil"/>
              </w:pBdr>
              <w:spacing w:after="0"/>
              <w:jc w:val="left"/>
              <w:rPr>
                <w:b/>
                <w:color w:val="000000"/>
                <w:sz w:val="20"/>
                <w:szCs w:val="20"/>
              </w:rPr>
            </w:pPr>
            <w:r w:rsidRPr="00175D8B">
              <w:rPr>
                <w:b/>
                <w:color w:val="000000"/>
                <w:sz w:val="20"/>
                <w:szCs w:val="20"/>
              </w:rPr>
              <w:t>Roles</w:t>
            </w:r>
          </w:p>
        </w:tc>
        <w:tc>
          <w:tcPr>
            <w:tcW w:w="7938" w:type="dxa"/>
            <w:tcBorders>
              <w:top w:val="single" w:sz="4" w:space="0" w:color="000000"/>
              <w:left w:val="single" w:sz="4" w:space="0" w:color="000000"/>
              <w:bottom w:val="single" w:sz="4" w:space="0" w:color="000000"/>
              <w:right w:val="single" w:sz="4" w:space="0" w:color="000000"/>
            </w:tcBorders>
            <w:shd w:val="clear" w:color="auto" w:fill="ABB7C1"/>
          </w:tcPr>
          <w:p w14:paraId="4A08CE98" w14:textId="77777777" w:rsidR="00AB748C" w:rsidRPr="00175D8B" w:rsidRDefault="00AB748C" w:rsidP="00DF417A">
            <w:pPr>
              <w:pBdr>
                <w:top w:val="nil"/>
                <w:left w:val="nil"/>
                <w:bottom w:val="nil"/>
                <w:right w:val="nil"/>
                <w:between w:val="nil"/>
              </w:pBdr>
              <w:spacing w:after="0"/>
              <w:rPr>
                <w:b/>
                <w:color w:val="000000"/>
                <w:sz w:val="20"/>
                <w:szCs w:val="20"/>
              </w:rPr>
            </w:pPr>
            <w:r w:rsidRPr="00175D8B">
              <w:rPr>
                <w:b/>
                <w:color w:val="000000"/>
                <w:sz w:val="20"/>
                <w:szCs w:val="20"/>
              </w:rPr>
              <w:t>Responsibilities</w:t>
            </w:r>
          </w:p>
        </w:tc>
      </w:tr>
      <w:tr w:rsidR="00AB748C" w:rsidRPr="00175D8B" w14:paraId="342AAC8E" w14:textId="77777777" w:rsidTr="002550A6">
        <w:trP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12C11951" w14:textId="77777777" w:rsidR="00AB748C" w:rsidRPr="00175D8B" w:rsidRDefault="00AB748C" w:rsidP="00DF417A">
            <w:pPr>
              <w:pBdr>
                <w:top w:val="nil"/>
                <w:left w:val="nil"/>
                <w:bottom w:val="nil"/>
                <w:right w:val="nil"/>
                <w:between w:val="nil"/>
              </w:pBdr>
              <w:spacing w:after="0"/>
              <w:jc w:val="left"/>
              <w:rPr>
                <w:color w:val="000000"/>
                <w:sz w:val="20"/>
                <w:szCs w:val="20"/>
              </w:rPr>
            </w:pPr>
            <w:r w:rsidRPr="00175D8B">
              <w:rPr>
                <w:color w:val="000000"/>
                <w:sz w:val="20"/>
                <w:szCs w:val="20"/>
              </w:rPr>
              <w:t xml:space="preserve">Project Management Unit (PMU) </w:t>
            </w:r>
          </w:p>
        </w:tc>
        <w:tc>
          <w:tcPr>
            <w:tcW w:w="7938" w:type="dxa"/>
            <w:tcBorders>
              <w:top w:val="single" w:sz="4" w:space="0" w:color="000000"/>
              <w:left w:val="single" w:sz="4" w:space="0" w:color="000000"/>
              <w:bottom w:val="single" w:sz="4" w:space="0" w:color="000000"/>
              <w:right w:val="single" w:sz="4" w:space="0" w:color="000000"/>
            </w:tcBorders>
            <w:shd w:val="clear" w:color="auto" w:fill="F2F2F2"/>
          </w:tcPr>
          <w:p w14:paraId="14F4E9CE"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Ensure adequate resources are provided for the implementation of this Plan.</w:t>
            </w:r>
          </w:p>
          <w:p w14:paraId="12BA5237"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Review and update the Plan as needed</w:t>
            </w:r>
          </w:p>
          <w:p w14:paraId="10F0BB4F"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Ensuring that technical support is provided to contractors to implement the plan.</w:t>
            </w:r>
          </w:p>
          <w:p w14:paraId="7E4E896E"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Ensure that relevant training is provided by contractors through review of training records and relevant training documentation.</w:t>
            </w:r>
          </w:p>
          <w:p w14:paraId="25FB48F5"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Supervising the contractor's compliance with Project requirements through contractor monitoring and reports.</w:t>
            </w:r>
          </w:p>
        </w:tc>
      </w:tr>
      <w:tr w:rsidR="00AB748C" w:rsidRPr="00175D8B" w14:paraId="28AF3174" w14:textId="77777777" w:rsidTr="002550A6">
        <w:trP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642A9D59" w14:textId="77777777" w:rsidR="00AB748C" w:rsidRPr="00175D8B" w:rsidRDefault="00AB748C" w:rsidP="00DF417A">
            <w:pPr>
              <w:pBdr>
                <w:top w:val="nil"/>
                <w:left w:val="nil"/>
                <w:bottom w:val="nil"/>
                <w:right w:val="nil"/>
                <w:between w:val="nil"/>
              </w:pBdr>
              <w:spacing w:after="0"/>
              <w:jc w:val="left"/>
              <w:rPr>
                <w:color w:val="000000"/>
                <w:sz w:val="20"/>
                <w:szCs w:val="20"/>
              </w:rPr>
            </w:pPr>
            <w:r w:rsidRPr="00175D8B">
              <w:rPr>
                <w:color w:val="000000"/>
                <w:sz w:val="20"/>
                <w:szCs w:val="20"/>
              </w:rPr>
              <w:t>Contractor</w:t>
            </w:r>
          </w:p>
          <w:p w14:paraId="51E35066" w14:textId="77777777" w:rsidR="00AB748C" w:rsidRPr="00175D8B" w:rsidRDefault="00AB748C" w:rsidP="00DF417A">
            <w:pPr>
              <w:pBdr>
                <w:top w:val="nil"/>
                <w:left w:val="nil"/>
                <w:bottom w:val="nil"/>
                <w:right w:val="nil"/>
                <w:between w:val="nil"/>
              </w:pBdr>
              <w:spacing w:after="0"/>
              <w:jc w:val="left"/>
              <w:rPr>
                <w:color w:val="000000"/>
                <w:sz w:val="20"/>
                <w:szCs w:val="20"/>
              </w:rPr>
            </w:pPr>
            <w:r w:rsidRPr="00175D8B">
              <w:rPr>
                <w:color w:val="000000"/>
                <w:sz w:val="20"/>
                <w:szCs w:val="20"/>
              </w:rPr>
              <w:t>Management Representative / Project Manager</w:t>
            </w:r>
          </w:p>
        </w:tc>
        <w:tc>
          <w:tcPr>
            <w:tcW w:w="7938" w:type="dxa"/>
            <w:tcBorders>
              <w:top w:val="single" w:sz="4" w:space="0" w:color="000000"/>
              <w:left w:val="single" w:sz="4" w:space="0" w:color="000000"/>
              <w:bottom w:val="single" w:sz="4" w:space="0" w:color="000000"/>
              <w:right w:val="single" w:sz="4" w:space="0" w:color="000000"/>
            </w:tcBorders>
            <w:shd w:val="clear" w:color="auto" w:fill="F2F2F2"/>
          </w:tcPr>
          <w:p w14:paraId="18903691"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Demonstrates the values through H&amp;S Leadership outlined within this H&amp;S plan.</w:t>
            </w:r>
          </w:p>
          <w:p w14:paraId="6F8A2686"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Provides suitable and sufficient resources (e.g., people, equipment and budget) to ensure H&amp;S department can fully function.</w:t>
            </w:r>
          </w:p>
          <w:p w14:paraId="21F4D852"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Reviews H&amp;S performance to provide support and commitment and to ensure that areas of concern are recognized and effectively managed.</w:t>
            </w:r>
          </w:p>
          <w:p w14:paraId="491B7C28"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Provides active participation in the implementation of the safety program (e.g., audits, safety committees, training etc.).</w:t>
            </w:r>
          </w:p>
          <w:p w14:paraId="3E76F77A"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Recognizes personnel who continuously demonstrate commitment and proactive leadership qualities with regard to H&amp;S.</w:t>
            </w:r>
          </w:p>
          <w:p w14:paraId="7500E134"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Ensures that H&amp;S will be the first specific topic, at all Project related meetings.</w:t>
            </w:r>
          </w:p>
          <w:p w14:paraId="3DCC7895"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lastRenderedPageBreak/>
              <w:t>Reviews the H&amp;S performance on an ongoing basis, provide support and commitment to ensure that areas of H&amp;S concern are recognized and managed.</w:t>
            </w:r>
          </w:p>
          <w:p w14:paraId="683ACD29"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Establishes coordination to resolve the non-compliance issues that cannot be addressed / resolved by the line organization.</w:t>
            </w:r>
          </w:p>
          <w:p w14:paraId="32DD805A"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Participates actively in the implementation of the safety program (e.g., audits, safety committees, training etc.).</w:t>
            </w:r>
          </w:p>
          <w:p w14:paraId="7691CA18"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Approves specific work method statements and risk assessments for work being carried out, where applicable.</w:t>
            </w:r>
          </w:p>
          <w:p w14:paraId="5202ECE9"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Will co-ordinate with the H&amp;S Expert and facilitate the weekly H&amp;S meetings.</w:t>
            </w:r>
          </w:p>
          <w:p w14:paraId="55477997"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Will set a personal example and assist in the proactive promotion of safety as a personal objective.</w:t>
            </w:r>
          </w:p>
          <w:p w14:paraId="3210729E"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Ensures that all sub-contractors at the site are aware and trained in the H&amp;S requirements of the Project.</w:t>
            </w:r>
          </w:p>
          <w:p w14:paraId="3C09EC4B"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Actively participates in construction site/ camps and office inspections.</w:t>
            </w:r>
          </w:p>
          <w:p w14:paraId="63BACB5E"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Ensures that this plan is implemented in line with Project standards</w:t>
            </w:r>
          </w:p>
          <w:p w14:paraId="1018B1FD"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As his/her main responsibility, ensures the implementation of the Plan (also by the Subcontractors, if any) and reports the non-compliances and the implementation performance of the Plan to the PMU.</w:t>
            </w:r>
          </w:p>
          <w:p w14:paraId="1E70EC69"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Participates in the development of corrective and/or remedial actions when necessary (e.g., when non-compliances are detected, when there is a change in the relevant legislation, etc.).</w:t>
            </w:r>
          </w:p>
          <w:p w14:paraId="6D2A4624"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Provides relevant training.</w:t>
            </w:r>
          </w:p>
          <w:p w14:paraId="09D1D6A8"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Performs internal and daily audits and recording any non-compliances detected.</w:t>
            </w:r>
          </w:p>
          <w:p w14:paraId="52249D02"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Ensures that relevant non-compliances are recorded and promptly responded to.</w:t>
            </w:r>
          </w:p>
          <w:p w14:paraId="61A8357C"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Reviews and updates the Plan as needed (in coordination with the PMU).</w:t>
            </w:r>
          </w:p>
          <w:p w14:paraId="0D18B522"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Develops and implements a program for monitoring and analysis of all environmental incidents and contingencies</w:t>
            </w:r>
          </w:p>
          <w:p w14:paraId="07E9A016"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Ensures that OHS considerations are included in the daily checklist to be included in the monthly report to the PMU</w:t>
            </w:r>
          </w:p>
        </w:tc>
      </w:tr>
      <w:tr w:rsidR="00AB748C" w:rsidRPr="00175D8B" w14:paraId="4AD3957A" w14:textId="77777777" w:rsidTr="002550A6">
        <w:trP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6408F13A" w14:textId="77777777" w:rsidR="00AB748C" w:rsidRPr="00175D8B" w:rsidRDefault="00AB748C" w:rsidP="00DF417A">
            <w:pPr>
              <w:pBdr>
                <w:top w:val="nil"/>
                <w:left w:val="nil"/>
                <w:bottom w:val="nil"/>
                <w:right w:val="nil"/>
                <w:between w:val="nil"/>
              </w:pBdr>
              <w:spacing w:after="0"/>
              <w:rPr>
                <w:color w:val="000000"/>
                <w:sz w:val="20"/>
                <w:szCs w:val="20"/>
              </w:rPr>
            </w:pPr>
            <w:r w:rsidRPr="00175D8B">
              <w:rPr>
                <w:color w:val="000000"/>
                <w:sz w:val="20"/>
                <w:szCs w:val="20"/>
              </w:rPr>
              <w:lastRenderedPageBreak/>
              <w:t>Contractor</w:t>
            </w:r>
          </w:p>
          <w:p w14:paraId="461B1FDA" w14:textId="77777777" w:rsidR="00AB748C" w:rsidRPr="00175D8B" w:rsidRDefault="00AB748C" w:rsidP="00DF417A">
            <w:pPr>
              <w:pBdr>
                <w:top w:val="nil"/>
                <w:left w:val="nil"/>
                <w:bottom w:val="nil"/>
                <w:right w:val="nil"/>
                <w:between w:val="nil"/>
              </w:pBdr>
              <w:spacing w:after="0"/>
              <w:rPr>
                <w:color w:val="000000"/>
                <w:sz w:val="20"/>
                <w:szCs w:val="20"/>
              </w:rPr>
            </w:pPr>
            <w:r w:rsidRPr="00175D8B">
              <w:rPr>
                <w:color w:val="000000"/>
                <w:sz w:val="20"/>
                <w:szCs w:val="20"/>
              </w:rPr>
              <w:t>OHS Focal Point</w:t>
            </w:r>
          </w:p>
        </w:tc>
        <w:tc>
          <w:tcPr>
            <w:tcW w:w="7938" w:type="dxa"/>
            <w:tcBorders>
              <w:top w:val="single" w:sz="4" w:space="0" w:color="000000"/>
              <w:left w:val="single" w:sz="4" w:space="0" w:color="000000"/>
              <w:bottom w:val="single" w:sz="4" w:space="0" w:color="000000"/>
              <w:right w:val="single" w:sz="4" w:space="0" w:color="000000"/>
            </w:tcBorders>
            <w:shd w:val="clear" w:color="auto" w:fill="F2F2F2"/>
          </w:tcPr>
          <w:p w14:paraId="19A1C99C"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Provides office H&amp;S support and assistance as required.</w:t>
            </w:r>
          </w:p>
          <w:p w14:paraId="6EC03039"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Evaluates and monitors the safety performance on a weekly and monthly basis.</w:t>
            </w:r>
          </w:p>
          <w:p w14:paraId="5E06F0A5"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Develops all necessary ISO 45001:2018 Systems Documents</w:t>
            </w:r>
          </w:p>
          <w:p w14:paraId="4B4AC02F"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Develops core H&amp;S Strategies, Procedures, Instructions etc.</w:t>
            </w:r>
          </w:p>
          <w:p w14:paraId="0DBBA78A"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Effectively manages the safety personnel under his control and provide appropriate direction and training as required optimizing their effectiveness on site</w:t>
            </w:r>
          </w:p>
          <w:p w14:paraId="73171227"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Establishes an inspection scheme and schedule that involves all levels of site supervision, office personnel and other exposed to the define stage of the Project</w:t>
            </w:r>
          </w:p>
          <w:p w14:paraId="572044C6"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Implements an H&amp;S training program</w:t>
            </w:r>
          </w:p>
          <w:p w14:paraId="0BFB3B45"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Reviews the results of inspections of PMU to identify safety issues and deficiencies, and to advise PMU on findings</w:t>
            </w:r>
          </w:p>
          <w:p w14:paraId="401D89A7"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Co-ordinates the investigation of any incident (LTI, near miss, property damage etc. as necessary)</w:t>
            </w:r>
          </w:p>
          <w:p w14:paraId="48369F5D"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Identifies any trends relevant to incident investigations that become apparent and to ensure that remedial actions have been agreed and corrective action performed and recorded</w:t>
            </w:r>
          </w:p>
          <w:p w14:paraId="728C8880"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Reviews, compiles, analyses, and interprets contractor Key Performance Indicator data to determine causes, trends, and relationships of injury/illness, major severity potential Incidents and all other unplanned events</w:t>
            </w:r>
          </w:p>
          <w:p w14:paraId="145D8EEA"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lastRenderedPageBreak/>
              <w:t>Inspects the place of employment, by visual observation and mechanical testing equipment, to observe and report on potential violations of any of the above H&amp;S standards</w:t>
            </w:r>
          </w:p>
          <w:p w14:paraId="64405696"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Gathers evidence and prepares reports on safety violation complaints and occupational accidents and fatalities</w:t>
            </w:r>
          </w:p>
          <w:p w14:paraId="13469F72"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Reviews accident, injury, and illness reports to detect problem areas related to employee / contractor safety</w:t>
            </w:r>
          </w:p>
          <w:p w14:paraId="175FA1EC"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Act as a team member of all Incident Investigation committees where required</w:t>
            </w:r>
          </w:p>
        </w:tc>
      </w:tr>
      <w:tr w:rsidR="00AB748C" w:rsidRPr="00175D8B" w14:paraId="51CBCD06" w14:textId="77777777" w:rsidTr="002550A6">
        <w:trP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321A52BF" w14:textId="77777777" w:rsidR="00AB748C" w:rsidRPr="00175D8B" w:rsidRDefault="00AB748C" w:rsidP="00DF417A">
            <w:pPr>
              <w:pBdr>
                <w:top w:val="nil"/>
                <w:left w:val="nil"/>
                <w:bottom w:val="nil"/>
                <w:right w:val="nil"/>
                <w:between w:val="nil"/>
              </w:pBdr>
              <w:spacing w:after="0"/>
              <w:rPr>
                <w:color w:val="000000"/>
                <w:sz w:val="20"/>
                <w:szCs w:val="20"/>
              </w:rPr>
            </w:pPr>
            <w:r w:rsidRPr="00175D8B">
              <w:rPr>
                <w:color w:val="000000"/>
                <w:sz w:val="20"/>
                <w:szCs w:val="20"/>
              </w:rPr>
              <w:lastRenderedPageBreak/>
              <w:t>All Staff</w:t>
            </w:r>
          </w:p>
        </w:tc>
        <w:tc>
          <w:tcPr>
            <w:tcW w:w="7938" w:type="dxa"/>
            <w:tcBorders>
              <w:top w:val="single" w:sz="4" w:space="0" w:color="000000"/>
              <w:left w:val="single" w:sz="4" w:space="0" w:color="000000"/>
              <w:bottom w:val="single" w:sz="4" w:space="0" w:color="000000"/>
              <w:right w:val="single" w:sz="4" w:space="0" w:color="000000"/>
            </w:tcBorders>
            <w:shd w:val="clear" w:color="auto" w:fill="F2F2F2"/>
          </w:tcPr>
          <w:p w14:paraId="36E532AB"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Learning, understanding and complying with all Health &amp; Safety procedures, rules and practice which are applicable to their conduct at all times whether at or away from the workplace</w:t>
            </w:r>
          </w:p>
          <w:p w14:paraId="11D59654"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Employees are responsible for their personal safety and the safety of their co-workers, through both their acts or their omissions</w:t>
            </w:r>
          </w:p>
          <w:p w14:paraId="49F4BD93"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Be constantly aware of their work situation and report hazardous situations to their supervisors, stopping work and informing their immediate supervisor if there is a potential for any harm</w:t>
            </w:r>
          </w:p>
          <w:p w14:paraId="4D199EEC"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 xml:space="preserve">Comply with all health and safety requirements, practices and other initiatives at all times </w:t>
            </w:r>
          </w:p>
          <w:p w14:paraId="6AF29A80"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 xml:space="preserve">Use and maintain the appropriate supplied Personal Protective Equipment (PPE), reporting all deficiencies and replacing as necessary </w:t>
            </w:r>
          </w:p>
          <w:p w14:paraId="781E0760"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 xml:space="preserve">Reporting substandard procedures or conditions to their immediate supervisor </w:t>
            </w:r>
          </w:p>
          <w:p w14:paraId="330DD6DA"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 xml:space="preserve">Understand that any employee who jeopardizes their safety and health and /or the safety and health of others will be subject to disciplinary action (including immediate termination of employment) </w:t>
            </w:r>
          </w:p>
          <w:p w14:paraId="34F82F1B"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 xml:space="preserve">Working in a safe manner at all times. </w:t>
            </w:r>
          </w:p>
          <w:p w14:paraId="3033E458" w14:textId="77777777" w:rsidR="00AB748C" w:rsidRPr="00175D8B" w:rsidRDefault="00AB748C">
            <w:pPr>
              <w:numPr>
                <w:ilvl w:val="0"/>
                <w:numId w:val="50"/>
              </w:numPr>
              <w:pBdr>
                <w:top w:val="nil"/>
                <w:left w:val="nil"/>
                <w:bottom w:val="nil"/>
                <w:right w:val="nil"/>
                <w:between w:val="nil"/>
              </w:pBdr>
              <w:spacing w:after="0" w:line="259" w:lineRule="auto"/>
              <w:ind w:left="426" w:hanging="284"/>
              <w:jc w:val="left"/>
              <w:rPr>
                <w:color w:val="000000"/>
                <w:sz w:val="20"/>
                <w:szCs w:val="20"/>
              </w:rPr>
            </w:pPr>
            <w:r w:rsidRPr="00175D8B">
              <w:rPr>
                <w:color w:val="000000"/>
                <w:sz w:val="20"/>
                <w:szCs w:val="20"/>
              </w:rPr>
              <w:t>Stopping their immediate or impending work where they consider the work being performed is ‘at risk’ or unsafe</w:t>
            </w:r>
          </w:p>
        </w:tc>
      </w:tr>
    </w:tbl>
    <w:p w14:paraId="12853CD8" w14:textId="503AC513" w:rsidR="00AB748C" w:rsidRPr="00175D8B" w:rsidRDefault="00AB748C" w:rsidP="00AB748C"/>
    <w:p w14:paraId="1C7BDFE5" w14:textId="77777777" w:rsidR="00AB748C" w:rsidRPr="00175D8B" w:rsidRDefault="00AB748C">
      <w:pPr>
        <w:pStyle w:val="ListeParagraf"/>
        <w:numPr>
          <w:ilvl w:val="0"/>
          <w:numId w:val="36"/>
        </w:numPr>
        <w:rPr>
          <w:b/>
          <w:bCs/>
        </w:rPr>
      </w:pPr>
      <w:r w:rsidRPr="00175D8B">
        <w:rPr>
          <w:b/>
          <w:bCs/>
        </w:rPr>
        <w:t>Mitigation Measures and Management Controls</w:t>
      </w:r>
    </w:p>
    <w:p w14:paraId="57491B39" w14:textId="77777777" w:rsidR="00AB748C" w:rsidRPr="00175D8B" w:rsidRDefault="00AB748C">
      <w:pPr>
        <w:pStyle w:val="ListeParagraf"/>
        <w:numPr>
          <w:ilvl w:val="1"/>
          <w:numId w:val="36"/>
        </w:numPr>
        <w:rPr>
          <w:b/>
          <w:bCs/>
        </w:rPr>
      </w:pPr>
      <w:r w:rsidRPr="00175D8B">
        <w:rPr>
          <w:b/>
          <w:bCs/>
        </w:rPr>
        <w:t>Risk Assessment and Management</w:t>
      </w:r>
    </w:p>
    <w:p w14:paraId="2AA63B0A" w14:textId="77777777" w:rsidR="00AB748C" w:rsidRPr="00175D8B" w:rsidRDefault="00AB748C" w:rsidP="00AB748C">
      <w:pPr>
        <w:rPr>
          <w:rFonts w:eastAsia="Aptos" w:cs="Aptos"/>
          <w:kern w:val="0"/>
          <w:szCs w:val="22"/>
          <w:lang w:eastAsia="tr-TR"/>
          <w14:ligatures w14:val="none"/>
        </w:rPr>
      </w:pPr>
      <w:r w:rsidRPr="00175D8B">
        <w:rPr>
          <w:rFonts w:eastAsia="Aptos" w:cs="Aptos"/>
          <w:kern w:val="0"/>
          <w:szCs w:val="22"/>
          <w:lang w:eastAsia="tr-TR"/>
          <w14:ligatures w14:val="none"/>
        </w:rPr>
        <w:t xml:space="preserve">Risk assessment and the management of risks is a key process for the management of H&amp;S and is central to meeting the expectations of the Project’s H&amp;S goals. The approach focuses on identifying, assessing and managing H&amp;S related risks in all Project activities. </w:t>
      </w:r>
    </w:p>
    <w:p w14:paraId="4633C699" w14:textId="77777777" w:rsidR="00AB748C" w:rsidRPr="00175D8B" w:rsidRDefault="00AB748C" w:rsidP="00AB748C">
      <w:pPr>
        <w:spacing w:after="160"/>
        <w:rPr>
          <w:rFonts w:eastAsia="Aptos" w:cs="Aptos"/>
          <w:kern w:val="0"/>
          <w:szCs w:val="22"/>
          <w:lang w:eastAsia="tr-TR"/>
          <w14:ligatures w14:val="none"/>
        </w:rPr>
      </w:pPr>
      <w:r w:rsidRPr="00175D8B">
        <w:rPr>
          <w:rFonts w:eastAsia="Aptos" w:cs="Aptos"/>
          <w:kern w:val="0"/>
          <w:szCs w:val="22"/>
          <w:lang w:eastAsia="tr-TR"/>
          <w14:ligatures w14:val="none"/>
        </w:rPr>
        <w:t>The approach is one of systematic identification of hazards, recording of hazards, performing risk assessments, and devising risk controls to eliminate or reduce risk to at least tolerable level that is “As Low as Reasonably Practicable (ALARP)”.</w:t>
      </w:r>
    </w:p>
    <w:p w14:paraId="4B56BEDD" w14:textId="77777777" w:rsidR="00AB748C" w:rsidRPr="00175D8B" w:rsidRDefault="00AB748C" w:rsidP="00AB748C">
      <w:pPr>
        <w:spacing w:after="160"/>
        <w:rPr>
          <w:rFonts w:eastAsia="Aptos" w:cs="Aptos"/>
          <w:kern w:val="0"/>
          <w:szCs w:val="22"/>
          <w:lang w:eastAsia="tr-TR"/>
          <w14:ligatures w14:val="none"/>
        </w:rPr>
      </w:pPr>
      <w:r w:rsidRPr="00175D8B">
        <w:rPr>
          <w:rFonts w:eastAsia="Aptos" w:cs="Aptos"/>
          <w:kern w:val="0"/>
          <w:szCs w:val="22"/>
          <w:lang w:eastAsia="tr-TR"/>
          <w14:ligatures w14:val="none"/>
        </w:rPr>
        <w:t>The main categories of activity for which risk assessments are required on a case-by-case basis are:</w:t>
      </w:r>
    </w:p>
    <w:p w14:paraId="59E4F19C" w14:textId="77777777" w:rsidR="00AB748C" w:rsidRPr="00175D8B" w:rsidRDefault="00AB748C">
      <w:pPr>
        <w:numPr>
          <w:ilvl w:val="1"/>
          <w:numId w:val="49"/>
        </w:numPr>
        <w:pBdr>
          <w:top w:val="nil"/>
          <w:left w:val="nil"/>
          <w:bottom w:val="nil"/>
          <w:right w:val="nil"/>
          <w:between w:val="nil"/>
        </w:pBdr>
        <w:spacing w:before="120"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Hazard Identification (HAZID);</w:t>
      </w:r>
    </w:p>
    <w:p w14:paraId="3F15D8E5"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Hazard and Operability Study (HAZOP);</w:t>
      </w:r>
    </w:p>
    <w:p w14:paraId="442EA042"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Quantitative Risk Assessment (QRA);</w:t>
      </w:r>
    </w:p>
    <w:p w14:paraId="4BC6E05D"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lastRenderedPageBreak/>
        <w:t>Layout reviews;</w:t>
      </w:r>
    </w:p>
    <w:p w14:paraId="279A2834"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Design and engineering reviews;</w:t>
      </w:r>
    </w:p>
    <w:p w14:paraId="60051341" w14:textId="77777777" w:rsidR="00AB748C" w:rsidRPr="00175D8B" w:rsidRDefault="00AB748C">
      <w:pPr>
        <w:numPr>
          <w:ilvl w:val="1"/>
          <w:numId w:val="49"/>
        </w:numPr>
        <w:pBdr>
          <w:top w:val="nil"/>
          <w:left w:val="nil"/>
          <w:bottom w:val="nil"/>
          <w:right w:val="nil"/>
          <w:between w:val="nil"/>
        </w:pBdr>
        <w:spacing w:after="16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Utilization of an Action Tracking Register.</w:t>
      </w:r>
    </w:p>
    <w:p w14:paraId="3DC07F94" w14:textId="77777777" w:rsidR="00AB748C" w:rsidRPr="00175D8B" w:rsidRDefault="00AB748C" w:rsidP="00AB748C">
      <w:pPr>
        <w:spacing w:after="160"/>
        <w:rPr>
          <w:rFonts w:eastAsia="Aptos" w:cs="Aptos"/>
          <w:kern w:val="0"/>
          <w:szCs w:val="22"/>
          <w:lang w:eastAsia="tr-TR"/>
          <w14:ligatures w14:val="none"/>
        </w:rPr>
      </w:pPr>
      <w:r w:rsidRPr="00175D8B">
        <w:rPr>
          <w:rFonts w:eastAsia="Aptos" w:cs="Aptos"/>
          <w:kern w:val="0"/>
          <w:szCs w:val="22"/>
          <w:lang w:eastAsia="tr-TR"/>
          <w14:ligatures w14:val="none"/>
        </w:rPr>
        <w:t>The Contractor will implement a number of risk assessment and risk management activities prior to the commencement of construction activities.</w:t>
      </w:r>
    </w:p>
    <w:p w14:paraId="1CEB17E0" w14:textId="77777777" w:rsidR="00AB748C" w:rsidRPr="00175D8B" w:rsidRDefault="00AB748C" w:rsidP="00AB748C">
      <w:pPr>
        <w:spacing w:after="160"/>
        <w:rPr>
          <w:rFonts w:eastAsia="Aptos" w:cs="Aptos"/>
          <w:kern w:val="0"/>
          <w:szCs w:val="22"/>
          <w:lang w:eastAsia="tr-TR"/>
          <w14:ligatures w14:val="none"/>
        </w:rPr>
      </w:pPr>
      <w:r w:rsidRPr="00175D8B">
        <w:rPr>
          <w:rFonts w:eastAsia="Aptos" w:cs="Aptos"/>
          <w:kern w:val="0"/>
          <w:szCs w:val="22"/>
          <w:lang w:eastAsia="tr-TR"/>
          <w14:ligatures w14:val="none"/>
        </w:rPr>
        <w:t>Actions will be taken to resolve potential problems prior to beginning work or mobilization to site, underlining the need to determine levels of risk for all activities to impose appropriate management controls.</w:t>
      </w:r>
    </w:p>
    <w:p w14:paraId="01FFAE51" w14:textId="77777777" w:rsidR="00AB748C" w:rsidRPr="00175D8B" w:rsidRDefault="00AB748C" w:rsidP="00AB748C">
      <w:pPr>
        <w:spacing w:after="160"/>
        <w:rPr>
          <w:rFonts w:eastAsia="Aptos" w:cs="Aptos"/>
          <w:kern w:val="0"/>
          <w:szCs w:val="22"/>
          <w:lang w:eastAsia="tr-TR"/>
          <w14:ligatures w14:val="none"/>
        </w:rPr>
      </w:pPr>
      <w:r w:rsidRPr="00175D8B">
        <w:rPr>
          <w:rFonts w:eastAsia="Aptos" w:cs="Aptos"/>
          <w:kern w:val="0"/>
          <w:szCs w:val="22"/>
          <w:lang w:eastAsia="tr-TR"/>
          <w14:ligatures w14:val="none"/>
        </w:rPr>
        <w:t>The Contractor is required to continue the development of these assessments to ensure that risks are mitigated prior to execution of the work. The Contractor will develop a comprehensive training program that will be in compliance with Turkish H&amp;S Legislation and the requirements of the World Bank.</w:t>
      </w:r>
    </w:p>
    <w:p w14:paraId="48CF06E8" w14:textId="77777777" w:rsidR="00AB748C" w:rsidRPr="00175D8B" w:rsidRDefault="00AB748C">
      <w:pPr>
        <w:pStyle w:val="ListeParagraf"/>
        <w:numPr>
          <w:ilvl w:val="1"/>
          <w:numId w:val="36"/>
        </w:numPr>
        <w:rPr>
          <w:b/>
          <w:bCs/>
        </w:rPr>
      </w:pPr>
      <w:r w:rsidRPr="00175D8B">
        <w:rPr>
          <w:b/>
          <w:bCs/>
        </w:rPr>
        <w:t>Hazard Identification</w:t>
      </w:r>
    </w:p>
    <w:p w14:paraId="4948D5F0" w14:textId="77777777" w:rsidR="00AB748C" w:rsidRPr="00175D8B" w:rsidRDefault="00AB748C" w:rsidP="00E34C1D">
      <w:r w:rsidRPr="00175D8B">
        <w:t>Identification of hazards is the responsibility of all personnel who access all Project areas. The Contractor must ensure that hazards with potential to harm personnel are identified, assessed (in terms of risk) and controlled to reduce the risk.</w:t>
      </w:r>
    </w:p>
    <w:p w14:paraId="0A443900" w14:textId="77777777" w:rsidR="00AB748C" w:rsidRPr="00175D8B" w:rsidRDefault="00AB748C" w:rsidP="00E34C1D">
      <w:r w:rsidRPr="00175D8B">
        <w:t>The Contractor will provide a range of tools to assist in the identification, assessment and control of hazards and risks pertaining to activities within the Project area.</w:t>
      </w:r>
    </w:p>
    <w:p w14:paraId="764B5C2F" w14:textId="77777777" w:rsidR="00AB748C" w:rsidRPr="00175D8B" w:rsidRDefault="00AB748C" w:rsidP="00E34C1D">
      <w:r w:rsidRPr="00175D8B">
        <w:t>Risk assessment framework should be in place to provide for the efficient assessment of risks, and allow for the implementation of controls commensurate with the level of risk identified.</w:t>
      </w:r>
    </w:p>
    <w:p w14:paraId="441C7734" w14:textId="77777777" w:rsidR="00AB748C" w:rsidRPr="00175D8B" w:rsidRDefault="00AB748C" w:rsidP="00E34C1D">
      <w:r w:rsidRPr="00175D8B">
        <w:t>Hazards and risks are identified through other means such as:</w:t>
      </w:r>
    </w:p>
    <w:p w14:paraId="1315D0BF" w14:textId="77777777" w:rsidR="00AB748C" w:rsidRPr="00175D8B" w:rsidRDefault="00AB748C">
      <w:pPr>
        <w:pStyle w:val="ListeParagraf"/>
        <w:numPr>
          <w:ilvl w:val="0"/>
          <w:numId w:val="37"/>
        </w:numPr>
      </w:pPr>
      <w:r w:rsidRPr="00175D8B">
        <w:t>throughout the course of a work activity;</w:t>
      </w:r>
    </w:p>
    <w:p w14:paraId="46F5F478" w14:textId="77777777" w:rsidR="00AB748C" w:rsidRPr="00175D8B" w:rsidRDefault="00AB748C">
      <w:pPr>
        <w:pStyle w:val="ListeParagraf"/>
        <w:numPr>
          <w:ilvl w:val="0"/>
          <w:numId w:val="37"/>
        </w:numPr>
      </w:pPr>
      <w:r w:rsidRPr="00175D8B">
        <w:t>during workplace inspections;</w:t>
      </w:r>
    </w:p>
    <w:p w14:paraId="64B08B90" w14:textId="77777777" w:rsidR="00AB748C" w:rsidRPr="00175D8B" w:rsidRDefault="00AB748C">
      <w:pPr>
        <w:pStyle w:val="ListeParagraf"/>
        <w:numPr>
          <w:ilvl w:val="0"/>
          <w:numId w:val="37"/>
        </w:numPr>
      </w:pPr>
      <w:r w:rsidRPr="00175D8B">
        <w:t>during pre-start inspections of equipment;</w:t>
      </w:r>
    </w:p>
    <w:p w14:paraId="63E709B3" w14:textId="77777777" w:rsidR="00AB748C" w:rsidRPr="00175D8B" w:rsidRDefault="00AB748C">
      <w:pPr>
        <w:pStyle w:val="ListeParagraf"/>
        <w:numPr>
          <w:ilvl w:val="0"/>
          <w:numId w:val="37"/>
        </w:numPr>
      </w:pPr>
      <w:r w:rsidRPr="00175D8B">
        <w:t>through Incident Analyses;</w:t>
      </w:r>
    </w:p>
    <w:p w14:paraId="316BF191" w14:textId="77777777" w:rsidR="00AB748C" w:rsidRPr="00175D8B" w:rsidRDefault="00AB748C">
      <w:pPr>
        <w:pStyle w:val="ListeParagraf"/>
        <w:numPr>
          <w:ilvl w:val="0"/>
          <w:numId w:val="37"/>
        </w:numPr>
      </w:pPr>
      <w:r w:rsidRPr="00175D8B">
        <w:t>during auditing activities; and</w:t>
      </w:r>
    </w:p>
    <w:p w14:paraId="151F23D7" w14:textId="77777777" w:rsidR="00AB748C" w:rsidRPr="00175D8B" w:rsidRDefault="00AB748C">
      <w:pPr>
        <w:pStyle w:val="ListeParagraf"/>
        <w:numPr>
          <w:ilvl w:val="0"/>
          <w:numId w:val="37"/>
        </w:numPr>
      </w:pPr>
      <w:r w:rsidRPr="00175D8B">
        <w:t>via a range of other methods.</w:t>
      </w:r>
    </w:p>
    <w:p w14:paraId="66AEB29D" w14:textId="77777777" w:rsidR="00AB748C" w:rsidRPr="00175D8B" w:rsidRDefault="00AB748C">
      <w:pPr>
        <w:pStyle w:val="ListeParagraf"/>
        <w:numPr>
          <w:ilvl w:val="1"/>
          <w:numId w:val="36"/>
        </w:numPr>
        <w:rPr>
          <w:b/>
          <w:bCs/>
        </w:rPr>
      </w:pPr>
      <w:r w:rsidRPr="00175D8B">
        <w:rPr>
          <w:b/>
          <w:bCs/>
        </w:rPr>
        <w:t>Incident Management</w:t>
      </w:r>
    </w:p>
    <w:p w14:paraId="57072420" w14:textId="77777777" w:rsidR="00AB748C" w:rsidRPr="00175D8B" w:rsidRDefault="00AB748C" w:rsidP="00AB748C">
      <w:r w:rsidRPr="00175D8B">
        <w:t>The Contractor must ensure immediate response to and timely reporting, analysis and communication of all incidents to PMU.</w:t>
      </w:r>
    </w:p>
    <w:p w14:paraId="4801B977" w14:textId="77777777" w:rsidR="00AB748C" w:rsidRPr="00175D8B" w:rsidRDefault="00AB748C" w:rsidP="00AB748C">
      <w:r w:rsidRPr="00175D8B">
        <w:lastRenderedPageBreak/>
        <w:t>All personnel have a responsibility to report all incidents regardless of severity, to their supervisor as soon as practicable.</w:t>
      </w:r>
    </w:p>
    <w:p w14:paraId="0534DBE8" w14:textId="77777777" w:rsidR="00AB748C" w:rsidRPr="00175D8B" w:rsidRDefault="00AB748C" w:rsidP="00AB748C">
      <w:r w:rsidRPr="00175D8B">
        <w:t>All incidents will be recorded in the approved incident reporting system, and be analyzed to a level commensurate with the actual consequence or potential risk rating, whichever is higher.</w:t>
      </w:r>
    </w:p>
    <w:p w14:paraId="57E5064E" w14:textId="77777777" w:rsidR="00AB748C" w:rsidRPr="00175D8B" w:rsidRDefault="00AB748C">
      <w:pPr>
        <w:pStyle w:val="ListeParagraf"/>
        <w:numPr>
          <w:ilvl w:val="1"/>
          <w:numId w:val="36"/>
        </w:numPr>
        <w:rPr>
          <w:b/>
          <w:bCs/>
        </w:rPr>
      </w:pPr>
      <w:r w:rsidRPr="00175D8B">
        <w:rPr>
          <w:b/>
          <w:bCs/>
        </w:rPr>
        <w:t>Injury Management</w:t>
      </w:r>
    </w:p>
    <w:p w14:paraId="082FD2EE" w14:textId="77777777" w:rsidR="00AB748C" w:rsidRPr="00175D8B" w:rsidRDefault="00AB748C" w:rsidP="00AB748C">
      <w:r w:rsidRPr="00175D8B">
        <w:t>The Contractor is committed to return workers to meaningful and productive employment at the earliest possible time.</w:t>
      </w:r>
    </w:p>
    <w:p w14:paraId="2DBB99DA" w14:textId="77777777" w:rsidR="00AB748C" w:rsidRPr="00175D8B" w:rsidRDefault="00AB748C">
      <w:pPr>
        <w:pStyle w:val="ListeParagraf"/>
        <w:numPr>
          <w:ilvl w:val="1"/>
          <w:numId w:val="36"/>
        </w:numPr>
        <w:rPr>
          <w:b/>
          <w:bCs/>
        </w:rPr>
      </w:pPr>
      <w:r w:rsidRPr="00175D8B">
        <w:rPr>
          <w:b/>
          <w:bCs/>
        </w:rPr>
        <w:t>Fitness for Duty</w:t>
      </w:r>
    </w:p>
    <w:p w14:paraId="110A0C2D" w14:textId="77777777" w:rsidR="00AB748C" w:rsidRPr="00175D8B" w:rsidRDefault="00AB748C" w:rsidP="00AB748C">
      <w:r w:rsidRPr="00175D8B">
        <w:t>The Contractor employees will undergo a medical assessment to ensure they are medically fit to perform their role before commencing the works and these controls will be repeated annually.</w:t>
      </w:r>
    </w:p>
    <w:p w14:paraId="4981D4DE" w14:textId="77777777" w:rsidR="00AB748C" w:rsidRPr="00175D8B" w:rsidRDefault="00AB748C" w:rsidP="00AB748C">
      <w:r w:rsidRPr="00175D8B">
        <w:t xml:space="preserve">Employees must make their supervisor informed of any pre-existing injury or illness which may affect their performance or has the potential to impact safety and health in the workplace. A medical assessment may also be required to determine associated risks or limitations. </w:t>
      </w:r>
    </w:p>
    <w:p w14:paraId="163AF9E1" w14:textId="1770CBF9" w:rsidR="008D7469" w:rsidRPr="00175D8B" w:rsidRDefault="00AB748C" w:rsidP="00AB748C">
      <w:r w:rsidRPr="00175D8B">
        <w:t>The Contractor will ensure that work activities do not aggravate a disclosed injury or illness, or impact the safety and health of the workplace.</w:t>
      </w:r>
    </w:p>
    <w:p w14:paraId="0EFBD044" w14:textId="77777777" w:rsidR="00AB748C" w:rsidRPr="00175D8B" w:rsidRDefault="00AB748C">
      <w:pPr>
        <w:pStyle w:val="ListeParagraf"/>
        <w:numPr>
          <w:ilvl w:val="2"/>
          <w:numId w:val="36"/>
        </w:numPr>
        <w:rPr>
          <w:b/>
          <w:bCs/>
        </w:rPr>
      </w:pPr>
      <w:r w:rsidRPr="00175D8B">
        <w:rPr>
          <w:b/>
          <w:bCs/>
        </w:rPr>
        <w:t>Health Surveillance</w:t>
      </w:r>
    </w:p>
    <w:p w14:paraId="6D718BC7" w14:textId="77777777" w:rsidR="00AB748C" w:rsidRPr="00175D8B" w:rsidRDefault="00AB748C" w:rsidP="00AB748C">
      <w:pPr>
        <w:rPr>
          <w:rFonts w:eastAsia="Aptos" w:cs="Aptos"/>
          <w:kern w:val="0"/>
          <w:szCs w:val="22"/>
          <w:lang w:eastAsia="tr-TR"/>
          <w14:ligatures w14:val="none"/>
        </w:rPr>
      </w:pPr>
      <w:r w:rsidRPr="00175D8B">
        <w:rPr>
          <w:rFonts w:eastAsia="Aptos" w:cs="Aptos"/>
          <w:kern w:val="0"/>
          <w:szCs w:val="22"/>
          <w:lang w:eastAsia="tr-TR"/>
          <w14:ligatures w14:val="none"/>
        </w:rPr>
        <w:t>The Contractor must ensure that health assessments are carried out in respect of all personnel who engage in specific tasks with the potential for occupational exposure, if:</w:t>
      </w:r>
    </w:p>
    <w:p w14:paraId="380C51A5" w14:textId="77777777" w:rsidR="00AB748C" w:rsidRPr="00175D8B" w:rsidRDefault="00AB748C">
      <w:pPr>
        <w:numPr>
          <w:ilvl w:val="1"/>
          <w:numId w:val="49"/>
        </w:numPr>
        <w:pBdr>
          <w:top w:val="nil"/>
          <w:left w:val="nil"/>
          <w:bottom w:val="nil"/>
          <w:right w:val="nil"/>
          <w:between w:val="nil"/>
        </w:pBdr>
        <w:spacing w:before="120"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an identifiable disease or other adverse effect on the health of the employee may be related to the exposure;</w:t>
      </w:r>
    </w:p>
    <w:p w14:paraId="4BA506A0"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there is a reasonable likelihood that the disease or adverse effect may occur under the particular conditions of work; and</w:t>
      </w:r>
    </w:p>
    <w:p w14:paraId="14FC003E" w14:textId="77777777" w:rsidR="00AB748C" w:rsidRPr="00175D8B" w:rsidRDefault="00AB748C">
      <w:pPr>
        <w:numPr>
          <w:ilvl w:val="1"/>
          <w:numId w:val="49"/>
        </w:numPr>
        <w:pBdr>
          <w:top w:val="nil"/>
          <w:left w:val="nil"/>
          <w:bottom w:val="nil"/>
          <w:right w:val="nil"/>
          <w:between w:val="nil"/>
        </w:pBdr>
        <w:spacing w:after="16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there are recognized techniques for detecting indications of the disease or adverse effect.</w:t>
      </w:r>
    </w:p>
    <w:p w14:paraId="22A21561" w14:textId="77777777" w:rsidR="00AB748C" w:rsidRPr="00175D8B" w:rsidRDefault="00AB748C" w:rsidP="00AB748C">
      <w:pPr>
        <w:spacing w:after="160"/>
        <w:rPr>
          <w:rFonts w:eastAsia="Aptos" w:cs="Aptos"/>
          <w:kern w:val="0"/>
          <w:szCs w:val="22"/>
          <w:lang w:eastAsia="tr-TR"/>
          <w14:ligatures w14:val="none"/>
        </w:rPr>
      </w:pPr>
      <w:r w:rsidRPr="00175D8B">
        <w:rPr>
          <w:rFonts w:eastAsia="Aptos" w:cs="Aptos"/>
          <w:kern w:val="0"/>
          <w:szCs w:val="22"/>
          <w:lang w:eastAsia="tr-TR"/>
          <w14:ligatures w14:val="none"/>
        </w:rPr>
        <w:t>Health Surveillance is carried out to monitor for possible health effects that may arise following occupational exposures at concentrations above accepted exposure standards. Where a risk assessment determines there is a reasonable likelihood that employees may be exposed to an occupational hazard at levels exceeding accepted values, management will conduct specific health monitoring to assess actual exposures and the effects of these exposures on personnel.</w:t>
      </w:r>
    </w:p>
    <w:p w14:paraId="3F1AEF53" w14:textId="77777777" w:rsidR="00AB748C" w:rsidRPr="00175D8B" w:rsidRDefault="00AB748C">
      <w:pPr>
        <w:pStyle w:val="ListeParagraf"/>
        <w:numPr>
          <w:ilvl w:val="2"/>
          <w:numId w:val="36"/>
        </w:numPr>
        <w:rPr>
          <w:b/>
          <w:bCs/>
        </w:rPr>
      </w:pPr>
      <w:r w:rsidRPr="00175D8B">
        <w:rPr>
          <w:b/>
          <w:bCs/>
        </w:rPr>
        <w:t>Fatigue Management</w:t>
      </w:r>
    </w:p>
    <w:p w14:paraId="075C08C4" w14:textId="77777777" w:rsidR="00AB748C" w:rsidRPr="00175D8B" w:rsidRDefault="00AB748C" w:rsidP="00AB748C">
      <w:r w:rsidRPr="00175D8B">
        <w:lastRenderedPageBreak/>
        <w:t>Fatigue is defined as an impaired physical and/or mental condition that arises from an individual’s exposure to physical and mental exertion and inadequate or disturbed sleep.</w:t>
      </w:r>
    </w:p>
    <w:p w14:paraId="70C8F0DC" w14:textId="77777777" w:rsidR="00AB748C" w:rsidRPr="00175D8B" w:rsidRDefault="00AB748C" w:rsidP="00AB748C">
      <w:r w:rsidRPr="00175D8B">
        <w:t>The Contractor recognizes that fatigue may arise from hours and patterns of work and activities, and travel/commute time. As it is also influenced by factors outside of work, such as family responsibilities, stress, lifestyle, personal health etc., the management of fatigue is a shared responsibility between management and the individual.</w:t>
      </w:r>
    </w:p>
    <w:p w14:paraId="67CD27D3" w14:textId="77777777" w:rsidR="00AB748C" w:rsidRPr="00175D8B" w:rsidRDefault="00AB748C">
      <w:pPr>
        <w:pStyle w:val="ListeParagraf"/>
        <w:numPr>
          <w:ilvl w:val="1"/>
          <w:numId w:val="36"/>
        </w:numPr>
        <w:rPr>
          <w:b/>
          <w:bCs/>
        </w:rPr>
      </w:pPr>
      <w:r w:rsidRPr="00175D8B">
        <w:rPr>
          <w:b/>
          <w:bCs/>
        </w:rPr>
        <w:t>General Hazard Prevention</w:t>
      </w:r>
    </w:p>
    <w:p w14:paraId="447DA5E4" w14:textId="77777777" w:rsidR="00AB748C" w:rsidRPr="00175D8B" w:rsidRDefault="00AB748C" w:rsidP="00AB748C">
      <w:r w:rsidRPr="00175D8B">
        <w:t>The Contractor acknowledges the risk associated with Project area operations, and provides for the reporting and rectification of hazards.</w:t>
      </w:r>
    </w:p>
    <w:p w14:paraId="2351E64F" w14:textId="77777777" w:rsidR="00AB748C" w:rsidRPr="00175D8B" w:rsidRDefault="00AB748C">
      <w:pPr>
        <w:pStyle w:val="ListeParagraf"/>
        <w:numPr>
          <w:ilvl w:val="2"/>
          <w:numId w:val="36"/>
        </w:numPr>
        <w:rPr>
          <w:b/>
          <w:bCs/>
        </w:rPr>
      </w:pPr>
      <w:r w:rsidRPr="00175D8B">
        <w:rPr>
          <w:b/>
          <w:bCs/>
        </w:rPr>
        <w:t>Working Alone</w:t>
      </w:r>
    </w:p>
    <w:p w14:paraId="664CD7F8" w14:textId="1F592D09" w:rsidR="00E1528E" w:rsidRPr="00175D8B" w:rsidRDefault="00AB748C" w:rsidP="00AB748C">
      <w:r w:rsidRPr="00175D8B">
        <w:t>Where personnel are required to work alone, the activities and conditions should be subjected to risk assessment and a safe system of work should be developed.</w:t>
      </w:r>
    </w:p>
    <w:p w14:paraId="66BFE38C" w14:textId="77777777" w:rsidR="00AB748C" w:rsidRPr="00175D8B" w:rsidRDefault="00AB748C">
      <w:pPr>
        <w:pStyle w:val="ListeParagraf"/>
        <w:numPr>
          <w:ilvl w:val="2"/>
          <w:numId w:val="36"/>
        </w:numPr>
        <w:rPr>
          <w:b/>
          <w:bCs/>
        </w:rPr>
      </w:pPr>
      <w:r w:rsidRPr="00175D8B">
        <w:rPr>
          <w:b/>
          <w:bCs/>
        </w:rPr>
        <w:t>Manual Handling</w:t>
      </w:r>
    </w:p>
    <w:p w14:paraId="6A89665F" w14:textId="77777777" w:rsidR="00AB748C" w:rsidRPr="00175D8B" w:rsidRDefault="00AB748C" w:rsidP="00AB748C">
      <w:r w:rsidRPr="00175D8B">
        <w:t>Where a manual handling task is required, a risk assessment will be completed to identify the hazards. The risk of injury should be assessed for each hazard, and appropriate controls implemented, including manual handling training as appropriate.</w:t>
      </w:r>
    </w:p>
    <w:p w14:paraId="342935A9" w14:textId="77777777" w:rsidR="00AB748C" w:rsidRPr="00175D8B" w:rsidRDefault="00AB748C" w:rsidP="00AB748C">
      <w:r w:rsidRPr="00175D8B">
        <w:t>The Contractor must ensure suitable powered mechanical plant or equipment and lifting aids are provided to enable personnel to avoid heavy manual tasks.</w:t>
      </w:r>
    </w:p>
    <w:p w14:paraId="2BFC647F" w14:textId="77777777" w:rsidR="00AB748C" w:rsidRPr="00175D8B" w:rsidRDefault="00AB748C">
      <w:pPr>
        <w:pStyle w:val="ListeParagraf"/>
        <w:numPr>
          <w:ilvl w:val="2"/>
          <w:numId w:val="36"/>
        </w:numPr>
        <w:rPr>
          <w:b/>
          <w:bCs/>
        </w:rPr>
      </w:pPr>
      <w:r w:rsidRPr="00175D8B">
        <w:rPr>
          <w:b/>
          <w:bCs/>
        </w:rPr>
        <w:t>Hygiene and Sanitation</w:t>
      </w:r>
    </w:p>
    <w:p w14:paraId="0CA81649" w14:textId="77777777" w:rsidR="00AB748C" w:rsidRPr="00175D8B" w:rsidRDefault="00AB748C" w:rsidP="00AB748C">
      <w:r w:rsidRPr="00175D8B">
        <w:t>The Contractor must supply suitable facilities for personnel including:</w:t>
      </w:r>
    </w:p>
    <w:p w14:paraId="276BA033" w14:textId="77777777" w:rsidR="00AB748C" w:rsidRPr="00175D8B" w:rsidRDefault="00AB748C">
      <w:pPr>
        <w:numPr>
          <w:ilvl w:val="1"/>
          <w:numId w:val="49"/>
        </w:numPr>
        <w:pBdr>
          <w:top w:val="nil"/>
          <w:left w:val="nil"/>
          <w:bottom w:val="nil"/>
          <w:right w:val="nil"/>
          <w:between w:val="nil"/>
        </w:pBdr>
        <w:spacing w:before="120"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toilet facilities within a reasonable distance from each workspace;</w:t>
      </w:r>
    </w:p>
    <w:p w14:paraId="66ED8869"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sanitation and hygiene facilities that are properly maintained;</w:t>
      </w:r>
    </w:p>
    <w:p w14:paraId="419713B7" w14:textId="77777777" w:rsidR="00AB748C" w:rsidRPr="00175D8B" w:rsidRDefault="00AB748C">
      <w:pPr>
        <w:numPr>
          <w:ilvl w:val="1"/>
          <w:numId w:val="49"/>
        </w:numPr>
        <w:pBdr>
          <w:top w:val="nil"/>
          <w:left w:val="nil"/>
          <w:bottom w:val="nil"/>
          <w:right w:val="nil"/>
          <w:between w:val="nil"/>
        </w:pBdr>
        <w:spacing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eating places that are dry, clean, well-ventilated and have adequate seating, tables, hand washing and waste disposal facilities; and</w:t>
      </w:r>
    </w:p>
    <w:p w14:paraId="5BDC18B6" w14:textId="77777777" w:rsidR="00AB748C" w:rsidRPr="00175D8B" w:rsidRDefault="00AB748C">
      <w:pPr>
        <w:numPr>
          <w:ilvl w:val="1"/>
          <w:numId w:val="49"/>
        </w:numPr>
        <w:pBdr>
          <w:top w:val="nil"/>
          <w:left w:val="nil"/>
          <w:bottom w:val="nil"/>
          <w:right w:val="nil"/>
          <w:between w:val="nil"/>
        </w:pBdr>
        <w:spacing w:after="16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potable water supplies available to all personnel.</w:t>
      </w:r>
    </w:p>
    <w:p w14:paraId="25ACF807" w14:textId="469EEDF3" w:rsidR="00AB748C" w:rsidRPr="00175D8B" w:rsidRDefault="00AB748C" w:rsidP="00AB748C">
      <w:pPr>
        <w:spacing w:after="160"/>
        <w:rPr>
          <w:rFonts w:eastAsia="Aptos" w:cs="Aptos"/>
          <w:kern w:val="0"/>
          <w:szCs w:val="22"/>
          <w:lang w:eastAsia="tr-TR"/>
          <w14:ligatures w14:val="none"/>
        </w:rPr>
      </w:pPr>
      <w:r w:rsidRPr="00175D8B">
        <w:rPr>
          <w:rFonts w:eastAsia="Aptos" w:cs="Aptos"/>
          <w:kern w:val="0"/>
          <w:szCs w:val="22"/>
          <w:lang w:eastAsia="tr-TR"/>
          <w14:ligatures w14:val="none"/>
        </w:rPr>
        <w:t>Personnel must not intentionally pollute work areas or misuse or damage any sanitation or hygiene facilities provided.</w:t>
      </w:r>
    </w:p>
    <w:p w14:paraId="5A1B6B94" w14:textId="71ABC2E1" w:rsidR="00A22808" w:rsidRPr="00175D8B" w:rsidRDefault="00A22808" w:rsidP="00AB748C">
      <w:pPr>
        <w:spacing w:after="160"/>
        <w:rPr>
          <w:rFonts w:eastAsia="Aptos" w:cs="Aptos"/>
          <w:kern w:val="0"/>
          <w:szCs w:val="22"/>
          <w:lang w:eastAsia="tr-TR"/>
          <w14:ligatures w14:val="none"/>
        </w:rPr>
      </w:pPr>
    </w:p>
    <w:p w14:paraId="65603679" w14:textId="77777777" w:rsidR="00A22808" w:rsidRPr="00175D8B" w:rsidRDefault="00A22808" w:rsidP="00AB748C">
      <w:pPr>
        <w:spacing w:after="160"/>
        <w:rPr>
          <w:rFonts w:eastAsia="Aptos" w:cs="Aptos"/>
          <w:kern w:val="0"/>
          <w:szCs w:val="22"/>
          <w:lang w:eastAsia="tr-TR"/>
          <w14:ligatures w14:val="none"/>
        </w:rPr>
      </w:pPr>
    </w:p>
    <w:p w14:paraId="77B3EC52" w14:textId="77777777" w:rsidR="00AB748C" w:rsidRPr="00175D8B" w:rsidRDefault="00AB748C">
      <w:pPr>
        <w:pStyle w:val="ListeParagraf"/>
        <w:numPr>
          <w:ilvl w:val="2"/>
          <w:numId w:val="36"/>
        </w:numPr>
        <w:rPr>
          <w:b/>
          <w:bCs/>
        </w:rPr>
      </w:pPr>
      <w:r w:rsidRPr="00175D8B">
        <w:rPr>
          <w:b/>
          <w:bCs/>
        </w:rPr>
        <w:lastRenderedPageBreak/>
        <w:t>Occupational Hygiene</w:t>
      </w:r>
    </w:p>
    <w:p w14:paraId="4C7E0671" w14:textId="77777777" w:rsidR="00AB748C" w:rsidRPr="00175D8B" w:rsidRDefault="00AB748C" w:rsidP="00AB748C">
      <w:r w:rsidRPr="00175D8B">
        <w:t>The Contractor must ensure commitment to monitoring and reporting of occupational health hazards and hazardous occupational environments, and implement controls to reduce risk in accordance with all applicable regulations and, wherever practicable, with regard to accepted best practices.</w:t>
      </w:r>
    </w:p>
    <w:p w14:paraId="19C9F23F" w14:textId="77777777" w:rsidR="00AB748C" w:rsidRPr="00175D8B" w:rsidRDefault="00AB748C" w:rsidP="00AB748C">
      <w:r w:rsidRPr="00175D8B">
        <w:t>Specific occupational hygiene assessments will be conducted with reference to approved methodologies and applicable standards. Ongoing assessments will be conducted and, as required, controls implemented for the following occupational health hazards:</w:t>
      </w:r>
    </w:p>
    <w:p w14:paraId="735F2284" w14:textId="77777777" w:rsidR="00AB748C" w:rsidRPr="00175D8B" w:rsidRDefault="00AB748C">
      <w:pPr>
        <w:numPr>
          <w:ilvl w:val="1"/>
          <w:numId w:val="49"/>
        </w:numPr>
        <w:pBdr>
          <w:top w:val="nil"/>
          <w:left w:val="nil"/>
          <w:bottom w:val="nil"/>
          <w:right w:val="nil"/>
          <w:between w:val="nil"/>
        </w:pBdr>
        <w:spacing w:before="120" w:after="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airborne contaminants such as metal dusts, respirable silica and asbestos fibers; and</w:t>
      </w:r>
    </w:p>
    <w:p w14:paraId="23BC14AC" w14:textId="77777777" w:rsidR="00AB748C" w:rsidRPr="00175D8B" w:rsidRDefault="00AB748C">
      <w:pPr>
        <w:numPr>
          <w:ilvl w:val="1"/>
          <w:numId w:val="49"/>
        </w:numPr>
        <w:pBdr>
          <w:top w:val="nil"/>
          <w:left w:val="nil"/>
          <w:bottom w:val="nil"/>
          <w:right w:val="nil"/>
          <w:between w:val="nil"/>
        </w:pBdr>
        <w:spacing w:after="160"/>
        <w:ind w:left="714" w:hanging="357"/>
        <w:jc w:val="left"/>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occupational noise exposure.</w:t>
      </w:r>
    </w:p>
    <w:p w14:paraId="0171C190" w14:textId="77777777" w:rsidR="00AB748C" w:rsidRPr="00175D8B" w:rsidRDefault="00AB748C" w:rsidP="00AB748C">
      <w:r w:rsidRPr="00175D8B">
        <w:t>Risk assessment, evaluation and control of occupational hazards may be undertaken in consideration of the following broad hazard categories:</w:t>
      </w:r>
    </w:p>
    <w:p w14:paraId="041B51D6" w14:textId="77777777" w:rsidR="00AB748C" w:rsidRPr="00175D8B" w:rsidRDefault="00AB748C">
      <w:pPr>
        <w:numPr>
          <w:ilvl w:val="1"/>
          <w:numId w:val="49"/>
        </w:numPr>
        <w:pBdr>
          <w:top w:val="nil"/>
          <w:left w:val="nil"/>
          <w:bottom w:val="nil"/>
          <w:right w:val="nil"/>
          <w:between w:val="nil"/>
        </w:pBdr>
        <w:spacing w:before="120" w:after="0"/>
        <w:ind w:left="714" w:hanging="357"/>
        <w:rPr>
          <w:color w:val="000000"/>
        </w:rPr>
      </w:pPr>
      <w:r w:rsidRPr="00175D8B">
        <w:rPr>
          <w:color w:val="000000"/>
        </w:rPr>
        <w:t>chemical hazards - such as fumes and vapors;</w:t>
      </w:r>
    </w:p>
    <w:p w14:paraId="271F2BC7" w14:textId="77777777" w:rsidR="00AB748C" w:rsidRPr="00175D8B" w:rsidRDefault="00AB748C">
      <w:pPr>
        <w:numPr>
          <w:ilvl w:val="1"/>
          <w:numId w:val="49"/>
        </w:numPr>
        <w:pBdr>
          <w:top w:val="nil"/>
          <w:left w:val="nil"/>
          <w:bottom w:val="nil"/>
          <w:right w:val="nil"/>
          <w:between w:val="nil"/>
        </w:pBdr>
        <w:spacing w:after="0"/>
        <w:ind w:left="714" w:hanging="357"/>
        <w:rPr>
          <w:color w:val="000000"/>
        </w:rPr>
      </w:pPr>
      <w:r w:rsidRPr="00175D8B">
        <w:rPr>
          <w:color w:val="000000"/>
        </w:rPr>
        <w:t>physical hazards - those related to heat, cold, noise, vibration, ionizing radiation, ultra-violet light and workplace lighting;</w:t>
      </w:r>
    </w:p>
    <w:p w14:paraId="71DF36A2" w14:textId="77777777" w:rsidR="00AB748C" w:rsidRPr="00175D8B" w:rsidRDefault="00AB748C">
      <w:pPr>
        <w:numPr>
          <w:ilvl w:val="1"/>
          <w:numId w:val="49"/>
        </w:numPr>
        <w:pBdr>
          <w:top w:val="nil"/>
          <w:left w:val="nil"/>
          <w:bottom w:val="nil"/>
          <w:right w:val="nil"/>
          <w:between w:val="nil"/>
        </w:pBdr>
        <w:spacing w:after="0"/>
        <w:ind w:left="714" w:hanging="357"/>
        <w:rPr>
          <w:color w:val="000000"/>
        </w:rPr>
      </w:pPr>
      <w:r w:rsidRPr="00175D8B">
        <w:rPr>
          <w:color w:val="000000"/>
        </w:rPr>
        <w:t>biological hazards - including mosquito-borne viruses, potable water contaminants and other water-borne hazards such as legionella; and</w:t>
      </w:r>
    </w:p>
    <w:p w14:paraId="1B3FCE64" w14:textId="77777777" w:rsidR="00AB748C" w:rsidRPr="00175D8B" w:rsidRDefault="00AB748C">
      <w:pPr>
        <w:numPr>
          <w:ilvl w:val="1"/>
          <w:numId w:val="49"/>
        </w:numPr>
        <w:pBdr>
          <w:top w:val="nil"/>
          <w:left w:val="nil"/>
          <w:bottom w:val="nil"/>
          <w:right w:val="nil"/>
          <w:between w:val="nil"/>
        </w:pBdr>
        <w:ind w:left="714" w:hanging="357"/>
        <w:rPr>
          <w:color w:val="000000"/>
        </w:rPr>
      </w:pPr>
      <w:bookmarkStart w:id="546" w:name="_sabnu4" w:colFirst="0" w:colLast="0"/>
      <w:bookmarkEnd w:id="546"/>
      <w:r w:rsidRPr="00175D8B">
        <w:rPr>
          <w:color w:val="000000"/>
        </w:rPr>
        <w:t>ergonomic hazards - including manual handling hazards.</w:t>
      </w:r>
    </w:p>
    <w:p w14:paraId="79DD92FD" w14:textId="77777777" w:rsidR="00AB748C" w:rsidRPr="00175D8B" w:rsidRDefault="00AB748C">
      <w:pPr>
        <w:pStyle w:val="ListeParagraf"/>
        <w:numPr>
          <w:ilvl w:val="2"/>
          <w:numId w:val="36"/>
        </w:numPr>
        <w:rPr>
          <w:b/>
          <w:bCs/>
        </w:rPr>
      </w:pPr>
      <w:r w:rsidRPr="00175D8B">
        <w:rPr>
          <w:b/>
          <w:bCs/>
        </w:rPr>
        <w:t>Hazardous Substances</w:t>
      </w:r>
    </w:p>
    <w:p w14:paraId="445CEABF" w14:textId="77777777" w:rsidR="00AB748C" w:rsidRPr="00175D8B" w:rsidRDefault="00AB748C" w:rsidP="00AB748C">
      <w:r w:rsidRPr="00175D8B">
        <w:t>The Contractor must ensure the safe control of hazardous substances and reduce the level of exposure to personnel, property and the environment in accordance with the ESIA Requirements.</w:t>
      </w:r>
    </w:p>
    <w:p w14:paraId="3BA67E86" w14:textId="77777777" w:rsidR="00AB748C" w:rsidRPr="00175D8B" w:rsidRDefault="00AB748C" w:rsidP="00AB748C">
      <w:r w:rsidRPr="00175D8B">
        <w:t>A risk assessment will be undertaken to assess the health risks to personnel. Health Surveillance may be required to monitor the health of personnel who are at significant risk of exposure to hazardous substances. Material Safety Data Sheet Forms will be present near each chemical and hazardous substance.</w:t>
      </w:r>
    </w:p>
    <w:p w14:paraId="7D50AC0C" w14:textId="77777777" w:rsidR="00AB748C" w:rsidRPr="00175D8B" w:rsidRDefault="00AB748C">
      <w:pPr>
        <w:pStyle w:val="ListeParagraf"/>
        <w:numPr>
          <w:ilvl w:val="2"/>
          <w:numId w:val="36"/>
        </w:numPr>
        <w:rPr>
          <w:b/>
          <w:bCs/>
        </w:rPr>
      </w:pPr>
      <w:r w:rsidRPr="00175D8B">
        <w:rPr>
          <w:b/>
          <w:bCs/>
        </w:rPr>
        <w:t>Personal Protective Equipment (PPE)</w:t>
      </w:r>
    </w:p>
    <w:p w14:paraId="1AE5529B" w14:textId="77777777" w:rsidR="00AB748C" w:rsidRPr="00175D8B" w:rsidRDefault="00AB748C" w:rsidP="00AB748C">
      <w:r w:rsidRPr="00175D8B">
        <w:t>The Contractor must ensure that all personnel and visitors wear or use personal protective equipment provided if it is necessary to protect them from harm. Personal protective equipment will be properly fitted, and users instructed in their use.</w:t>
      </w:r>
    </w:p>
    <w:p w14:paraId="6A9EBCBA" w14:textId="77777777" w:rsidR="00AB748C" w:rsidRPr="00175D8B" w:rsidRDefault="00AB748C" w:rsidP="00AB748C">
      <w:r w:rsidRPr="00175D8B">
        <w:t>All personal protective equipment supplied must conform to an applicable be properly maintained and, if it becomes defective, replaced.</w:t>
      </w:r>
    </w:p>
    <w:p w14:paraId="66BB2327" w14:textId="77777777" w:rsidR="00AB748C" w:rsidRPr="00175D8B" w:rsidRDefault="00AB748C">
      <w:pPr>
        <w:pStyle w:val="ListeParagraf"/>
        <w:numPr>
          <w:ilvl w:val="2"/>
          <w:numId w:val="36"/>
        </w:numPr>
        <w:rPr>
          <w:b/>
          <w:bCs/>
        </w:rPr>
      </w:pPr>
      <w:r w:rsidRPr="00175D8B">
        <w:rPr>
          <w:b/>
          <w:bCs/>
        </w:rPr>
        <w:lastRenderedPageBreak/>
        <w:t>Safety Signs</w:t>
      </w:r>
    </w:p>
    <w:p w14:paraId="34408B7A" w14:textId="77777777" w:rsidR="00AB748C" w:rsidRPr="00175D8B" w:rsidRDefault="00AB748C" w:rsidP="00AB748C">
      <w:r w:rsidRPr="00175D8B">
        <w:t>The Contractor must ensure that sufficient Safety Signs are posted in workplaces and travel ways to prevent incidents, identify hazards, indicate the location of safety and fire protection equipment, and provide guidance and instruction in emergency procedures.</w:t>
      </w:r>
    </w:p>
    <w:p w14:paraId="2B3387E9" w14:textId="77777777" w:rsidR="00AB748C" w:rsidRPr="00175D8B" w:rsidRDefault="00AB748C">
      <w:pPr>
        <w:pStyle w:val="ListeParagraf"/>
        <w:numPr>
          <w:ilvl w:val="2"/>
          <w:numId w:val="36"/>
        </w:numPr>
        <w:rPr>
          <w:b/>
          <w:bCs/>
        </w:rPr>
      </w:pPr>
      <w:r w:rsidRPr="00175D8B">
        <w:rPr>
          <w:b/>
          <w:bCs/>
        </w:rPr>
        <w:t>Fall Prevention</w:t>
      </w:r>
    </w:p>
    <w:p w14:paraId="72F1BF25" w14:textId="77777777" w:rsidR="00AB748C" w:rsidRPr="00175D8B" w:rsidRDefault="00AB748C" w:rsidP="00AB748C">
      <w:r w:rsidRPr="00175D8B">
        <w:t>The Contractor must ensure that all personnel undertaking activities where there is a risk of a person falling from one level to another do so in a controlled manner to reduce the risk of personal injury.</w:t>
      </w:r>
    </w:p>
    <w:p w14:paraId="3F3EF5EA" w14:textId="77777777" w:rsidR="00AB748C" w:rsidRPr="00175D8B" w:rsidRDefault="00AB748C">
      <w:pPr>
        <w:pStyle w:val="ListeParagraf"/>
        <w:numPr>
          <w:ilvl w:val="1"/>
          <w:numId w:val="36"/>
        </w:numPr>
        <w:rPr>
          <w:b/>
          <w:bCs/>
        </w:rPr>
      </w:pPr>
      <w:r w:rsidRPr="00175D8B">
        <w:rPr>
          <w:b/>
          <w:bCs/>
        </w:rPr>
        <w:t>Task Specific Hazard Prevention</w:t>
      </w:r>
    </w:p>
    <w:p w14:paraId="6D6CD511" w14:textId="77777777" w:rsidR="00AB748C" w:rsidRPr="00175D8B" w:rsidRDefault="00AB748C">
      <w:pPr>
        <w:pStyle w:val="ListeParagraf"/>
        <w:numPr>
          <w:ilvl w:val="2"/>
          <w:numId w:val="36"/>
        </w:numPr>
        <w:rPr>
          <w:b/>
          <w:bCs/>
        </w:rPr>
      </w:pPr>
      <w:r w:rsidRPr="00175D8B">
        <w:rPr>
          <w:b/>
          <w:bCs/>
        </w:rPr>
        <w:t>High Risk Work</w:t>
      </w:r>
    </w:p>
    <w:p w14:paraId="0336DCD3" w14:textId="77777777" w:rsidR="00AB748C" w:rsidRPr="00175D8B" w:rsidRDefault="00AB748C" w:rsidP="00AB748C">
      <w:r w:rsidRPr="00175D8B">
        <w:t>The Contractor must identify High Risk Work, as detailed in the Danger Classes List Communique Related to Occupational Health and Safety (O.G. 25.11.2009/ 27417), and implement a procedure or risk assessment specific to that task to ensure adequate controls are in place to eliminate, prevent or control possible risks.</w:t>
      </w:r>
    </w:p>
    <w:p w14:paraId="6495F0E1" w14:textId="67B7F234" w:rsidR="008C490F" w:rsidRPr="00175D8B" w:rsidRDefault="00AB748C" w:rsidP="00AB748C">
      <w:r w:rsidRPr="00175D8B">
        <w:t>The Contractor must ensure that personnel performing High Risk Work having relative training with respect to Regulation on The Procedures and Principles Of Employee Health And Safety Trainings (O.G. 15.03.2013 / 28648).</w:t>
      </w:r>
    </w:p>
    <w:p w14:paraId="36D0E0F1" w14:textId="77777777" w:rsidR="00AB748C" w:rsidRPr="00175D8B" w:rsidRDefault="00AB748C">
      <w:pPr>
        <w:pStyle w:val="ListeParagraf"/>
        <w:numPr>
          <w:ilvl w:val="2"/>
          <w:numId w:val="36"/>
        </w:numPr>
        <w:rPr>
          <w:b/>
          <w:bCs/>
        </w:rPr>
      </w:pPr>
      <w:r w:rsidRPr="00175D8B">
        <w:rPr>
          <w:b/>
          <w:bCs/>
        </w:rPr>
        <w:t>Electrical Work</w:t>
      </w:r>
    </w:p>
    <w:p w14:paraId="06525479" w14:textId="77777777" w:rsidR="00AB748C" w:rsidRPr="00175D8B" w:rsidRDefault="00AB748C" w:rsidP="00AB748C">
      <w:r w:rsidRPr="00175D8B">
        <w:t>An electrical log book will be kept at each operational site to record plans, work carried out and other relevant information.</w:t>
      </w:r>
    </w:p>
    <w:p w14:paraId="1F7F4E0C" w14:textId="77777777" w:rsidR="00AB748C" w:rsidRPr="00175D8B" w:rsidRDefault="00AB748C" w:rsidP="00AB748C">
      <w:r w:rsidRPr="00175D8B">
        <w:t>Electrical equipment will be provided with full current isolating devices capable of being secured in the isolating position wherever practicable. Where such features are not practicable, a risk assessment will be conducted to establish suitable alternative controls, and outcomes communicated to impacted personnel.</w:t>
      </w:r>
    </w:p>
    <w:p w14:paraId="71E1DCA7" w14:textId="77777777" w:rsidR="00AB748C" w:rsidRPr="00175D8B" w:rsidRDefault="00AB748C">
      <w:pPr>
        <w:pStyle w:val="ListeParagraf"/>
        <w:numPr>
          <w:ilvl w:val="2"/>
          <w:numId w:val="36"/>
        </w:numPr>
        <w:rPr>
          <w:b/>
          <w:bCs/>
        </w:rPr>
      </w:pPr>
      <w:r w:rsidRPr="00175D8B">
        <w:rPr>
          <w:b/>
          <w:bCs/>
        </w:rPr>
        <w:t>Scaffolding</w:t>
      </w:r>
    </w:p>
    <w:p w14:paraId="00DAD8A6" w14:textId="77777777" w:rsidR="00AB748C" w:rsidRPr="00175D8B" w:rsidRDefault="00AB748C" w:rsidP="00AB748C">
      <w:r w:rsidRPr="00175D8B">
        <w:t>Scaffolding may be used for the purpose of supporting access or working platforms, personnel, plant or other material.</w:t>
      </w:r>
    </w:p>
    <w:p w14:paraId="66B61405" w14:textId="77777777" w:rsidR="00AB748C" w:rsidRPr="00175D8B" w:rsidRDefault="00AB748C" w:rsidP="00AB748C">
      <w:r w:rsidRPr="00175D8B">
        <w:t>Personnel erecting scaffold must ensure that an area where scaffold is to be erected is clear of rubbish and material or equipment not required for immediate use.</w:t>
      </w:r>
    </w:p>
    <w:p w14:paraId="722AFB1A" w14:textId="77777777" w:rsidR="00AB748C" w:rsidRPr="00175D8B" w:rsidRDefault="00AB748C" w:rsidP="00AB748C">
      <w:r w:rsidRPr="00175D8B">
        <w:lastRenderedPageBreak/>
        <w:t>The Contractor must ensure personnel are not required to use incomplete scaffold. Where incomplete scaffold is to be left unattended, danger tags, warning signs or other appropriate measures will be used to alert personnel and deter them from unauthorized access.</w:t>
      </w:r>
    </w:p>
    <w:p w14:paraId="75F00057" w14:textId="77777777" w:rsidR="00AB748C" w:rsidRPr="00175D8B" w:rsidRDefault="00AB748C">
      <w:pPr>
        <w:pStyle w:val="ListeParagraf"/>
        <w:numPr>
          <w:ilvl w:val="2"/>
          <w:numId w:val="36"/>
        </w:numPr>
        <w:rPr>
          <w:b/>
          <w:bCs/>
        </w:rPr>
      </w:pPr>
      <w:r w:rsidRPr="00175D8B">
        <w:rPr>
          <w:rFonts w:eastAsia="Aptos" w:cs="Aptos"/>
          <w:b/>
          <w:bCs/>
          <w:kern w:val="0"/>
          <w:szCs w:val="22"/>
          <w:lang w:eastAsia="tr-TR"/>
          <w14:ligatures w14:val="none"/>
        </w:rPr>
        <w:t>Driving Safety</w:t>
      </w:r>
    </w:p>
    <w:p w14:paraId="1349F907" w14:textId="77777777" w:rsidR="00AB748C" w:rsidRPr="00175D8B" w:rsidRDefault="00AB748C" w:rsidP="00AB748C">
      <w:r w:rsidRPr="00175D8B">
        <w:t>The Contractor must ensure that personnel permitted to drive either a vehicle in Contractor controlled areas or a Contractor owned vehicle on public roads, hold a current driver’s license and comply with the relevant road rules for that class of vehicle.</w:t>
      </w:r>
    </w:p>
    <w:p w14:paraId="17E338EB" w14:textId="77777777" w:rsidR="00AB748C" w:rsidRPr="00175D8B" w:rsidRDefault="00AB748C" w:rsidP="00AB748C">
      <w:r w:rsidRPr="00175D8B">
        <w:t>All personnel driving vehicles on Contractor land must obey all traffic directions, traffic rules and the relevant Traffic Management Plan.</w:t>
      </w:r>
    </w:p>
    <w:p w14:paraId="030B4BC4" w14:textId="77777777" w:rsidR="00AB748C" w:rsidRPr="00175D8B" w:rsidRDefault="00AB748C">
      <w:pPr>
        <w:pStyle w:val="ListeParagraf"/>
        <w:numPr>
          <w:ilvl w:val="1"/>
          <w:numId w:val="36"/>
        </w:numPr>
        <w:rPr>
          <w:b/>
          <w:bCs/>
        </w:rPr>
      </w:pPr>
      <w:r w:rsidRPr="00175D8B">
        <w:rPr>
          <w:b/>
          <w:bCs/>
        </w:rPr>
        <w:t>Access and Site Security</w:t>
      </w:r>
    </w:p>
    <w:p w14:paraId="6366611D" w14:textId="77777777" w:rsidR="00AB748C" w:rsidRPr="00175D8B" w:rsidRDefault="00AB748C" w:rsidP="00AB748C">
      <w:pPr>
        <w:rPr>
          <w:rFonts w:eastAsia="Aptos" w:cs="Aptos"/>
          <w:kern w:val="0"/>
          <w:szCs w:val="22"/>
          <w:lang w:eastAsia="tr-TR"/>
          <w14:ligatures w14:val="none"/>
        </w:rPr>
      </w:pPr>
      <w:r w:rsidRPr="00175D8B">
        <w:rPr>
          <w:rFonts w:eastAsia="Aptos" w:cs="Aptos"/>
          <w:kern w:val="0"/>
          <w:szCs w:val="22"/>
          <w:lang w:eastAsia="tr-TR"/>
          <w14:ligatures w14:val="none"/>
        </w:rPr>
        <w:t>Access to the Project area will be restricted by the Contractor and necessary precautions will be taken such as fencing the area and placing relevant signs, etc.</w:t>
      </w:r>
    </w:p>
    <w:p w14:paraId="0456CEB6" w14:textId="52D44B85" w:rsidR="008C490F" w:rsidRPr="00175D8B" w:rsidRDefault="00AB748C" w:rsidP="00AB748C">
      <w:pPr>
        <w:spacing w:after="160"/>
        <w:rPr>
          <w:rFonts w:eastAsia="Aptos" w:cs="Aptos"/>
          <w:kern w:val="0"/>
          <w:szCs w:val="22"/>
          <w:lang w:eastAsia="tr-TR"/>
          <w14:ligatures w14:val="none"/>
        </w:rPr>
      </w:pPr>
      <w:r w:rsidRPr="00175D8B">
        <w:rPr>
          <w:rFonts w:eastAsia="Aptos" w:cs="Aptos"/>
          <w:kern w:val="0"/>
          <w:szCs w:val="22"/>
          <w:lang w:eastAsia="tr-TR"/>
          <w14:ligatures w14:val="none"/>
        </w:rPr>
        <w:t xml:space="preserve">It is the Contractor’s responsibility to ensure that all site security requirements identified in the Risk Assessment for this activity are fully implemented. </w:t>
      </w:r>
    </w:p>
    <w:p w14:paraId="7EF370F8" w14:textId="77777777" w:rsidR="00AB748C" w:rsidRPr="00175D8B" w:rsidRDefault="00AB748C">
      <w:pPr>
        <w:pStyle w:val="ListeParagraf"/>
        <w:numPr>
          <w:ilvl w:val="1"/>
          <w:numId w:val="36"/>
        </w:numPr>
        <w:rPr>
          <w:b/>
          <w:bCs/>
        </w:rPr>
      </w:pPr>
      <w:r w:rsidRPr="00175D8B">
        <w:rPr>
          <w:b/>
          <w:bCs/>
        </w:rPr>
        <w:t>Site Induction and Site Safety Rules</w:t>
      </w:r>
    </w:p>
    <w:p w14:paraId="5C41C610" w14:textId="77777777" w:rsidR="00AB748C" w:rsidRPr="00175D8B" w:rsidRDefault="00AB748C" w:rsidP="00AB748C">
      <w:r w:rsidRPr="00175D8B">
        <w:t>Site inductions will be carried out by the Contractor. Arrangements for site inductions for this Project will be:</w:t>
      </w:r>
    </w:p>
    <w:p w14:paraId="62584A46" w14:textId="77777777" w:rsidR="00AB748C" w:rsidRPr="00175D8B" w:rsidRDefault="00AB748C">
      <w:pPr>
        <w:numPr>
          <w:ilvl w:val="1"/>
          <w:numId w:val="49"/>
        </w:numPr>
        <w:pBdr>
          <w:top w:val="nil"/>
          <w:left w:val="nil"/>
          <w:bottom w:val="nil"/>
          <w:right w:val="nil"/>
          <w:between w:val="nil"/>
        </w:pBdr>
        <w:spacing w:before="120" w:after="0"/>
        <w:ind w:left="714" w:hanging="357"/>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Any new worker coming to the work site will be briefed on the site safety rules including the site logistics plan, hazards, evacuation procedures, emergency and first aid procedures, and the duties and responsibilities of all persons on site. </w:t>
      </w:r>
    </w:p>
    <w:p w14:paraId="70263FEF" w14:textId="77777777" w:rsidR="00AB748C" w:rsidRPr="00175D8B" w:rsidRDefault="00AB748C">
      <w:pPr>
        <w:numPr>
          <w:ilvl w:val="1"/>
          <w:numId w:val="49"/>
        </w:numPr>
        <w:pBdr>
          <w:top w:val="nil"/>
          <w:left w:val="nil"/>
          <w:bottom w:val="nil"/>
          <w:right w:val="nil"/>
          <w:between w:val="nil"/>
        </w:pBdr>
        <w:spacing w:after="0"/>
        <w:ind w:left="714" w:hanging="357"/>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A Site Induction briefing and Site Safety Rules will be developed in Turkish and in English. </w:t>
      </w:r>
    </w:p>
    <w:p w14:paraId="066FB23B" w14:textId="77777777" w:rsidR="00AB748C" w:rsidRPr="00175D8B" w:rsidRDefault="00AB748C">
      <w:pPr>
        <w:numPr>
          <w:ilvl w:val="1"/>
          <w:numId w:val="49"/>
        </w:numPr>
        <w:pBdr>
          <w:top w:val="nil"/>
          <w:left w:val="nil"/>
          <w:bottom w:val="nil"/>
          <w:right w:val="nil"/>
          <w:between w:val="nil"/>
        </w:pBdr>
        <w:spacing w:after="0"/>
        <w:ind w:left="714" w:hanging="357"/>
        <w:rPr>
          <w:rFonts w:eastAsia="Aptos" w:cs="Aptos"/>
          <w:color w:val="000000"/>
          <w:kern w:val="0"/>
          <w:szCs w:val="22"/>
          <w:lang w:eastAsia="tr-TR"/>
          <w14:ligatures w14:val="none"/>
        </w:rPr>
      </w:pPr>
      <w:r w:rsidRPr="00175D8B">
        <w:rPr>
          <w:rFonts w:eastAsia="Aptos" w:cs="Aptos"/>
          <w:color w:val="000000"/>
          <w:kern w:val="0"/>
          <w:szCs w:val="22"/>
          <w:lang w:eastAsia="tr-TR"/>
          <w14:ligatures w14:val="none"/>
        </w:rPr>
        <w:t xml:space="preserve">All attendees of the Site Induction briefing will be recorded. </w:t>
      </w:r>
    </w:p>
    <w:p w14:paraId="06154566" w14:textId="77777777" w:rsidR="00AB748C" w:rsidRPr="00175D8B" w:rsidRDefault="00AB748C">
      <w:pPr>
        <w:numPr>
          <w:ilvl w:val="1"/>
          <w:numId w:val="49"/>
        </w:numPr>
        <w:pBdr>
          <w:top w:val="nil"/>
          <w:left w:val="nil"/>
          <w:bottom w:val="nil"/>
          <w:right w:val="nil"/>
          <w:between w:val="nil"/>
        </w:pBdr>
        <w:spacing w:after="160"/>
        <w:ind w:left="714" w:hanging="357"/>
        <w:rPr>
          <w:rFonts w:eastAsia="Aptos" w:cs="Aptos"/>
          <w:color w:val="000000"/>
          <w:kern w:val="0"/>
          <w:szCs w:val="22"/>
          <w:lang w:eastAsia="tr-TR"/>
          <w14:ligatures w14:val="none"/>
        </w:rPr>
      </w:pPr>
      <w:bookmarkStart w:id="547" w:name="_15phjt5" w:colFirst="0" w:colLast="0"/>
      <w:bookmarkEnd w:id="547"/>
      <w:r w:rsidRPr="00175D8B">
        <w:rPr>
          <w:rFonts w:eastAsia="Aptos" w:cs="Aptos"/>
          <w:color w:val="000000"/>
          <w:kern w:val="0"/>
          <w:szCs w:val="22"/>
          <w:lang w:eastAsia="tr-TR"/>
          <w14:ligatures w14:val="none"/>
        </w:rPr>
        <w:t>Visitors will be given a brief site induction (either orally or in writing) and will be accompanied at all times during their visit to the site.</w:t>
      </w:r>
    </w:p>
    <w:p w14:paraId="791403DD" w14:textId="77777777" w:rsidR="00AB748C" w:rsidRPr="00175D8B" w:rsidRDefault="00AB748C">
      <w:pPr>
        <w:pStyle w:val="ListeParagraf"/>
        <w:numPr>
          <w:ilvl w:val="1"/>
          <w:numId w:val="36"/>
        </w:numPr>
        <w:jc w:val="left"/>
        <w:rPr>
          <w:b/>
          <w:bCs/>
        </w:rPr>
      </w:pPr>
      <w:r w:rsidRPr="00175D8B">
        <w:rPr>
          <w:b/>
          <w:bCs/>
        </w:rPr>
        <w:t>Workplace Inspections</w:t>
      </w:r>
    </w:p>
    <w:p w14:paraId="0FE51CC4" w14:textId="77777777" w:rsidR="00AB748C" w:rsidRPr="00175D8B" w:rsidRDefault="00AB748C" w:rsidP="00AB748C">
      <w:pPr>
        <w:jc w:val="left"/>
      </w:pPr>
      <w:r w:rsidRPr="00175D8B">
        <w:t>Inspections of the Project site should be carried out weekly. Contractor will undertake weekly inspections of the whole work site, and specifically of:</w:t>
      </w:r>
    </w:p>
    <w:p w14:paraId="638D38D5" w14:textId="77777777" w:rsidR="00AB748C" w:rsidRPr="00175D8B" w:rsidRDefault="00AB748C">
      <w:pPr>
        <w:numPr>
          <w:ilvl w:val="1"/>
          <w:numId w:val="49"/>
        </w:numPr>
        <w:pBdr>
          <w:top w:val="nil"/>
          <w:left w:val="nil"/>
          <w:bottom w:val="nil"/>
          <w:right w:val="nil"/>
          <w:between w:val="nil"/>
        </w:pBdr>
        <w:spacing w:before="120" w:after="0"/>
        <w:ind w:left="714" w:hanging="357"/>
        <w:rPr>
          <w:color w:val="000000"/>
        </w:rPr>
      </w:pPr>
      <w:r w:rsidRPr="00175D8B">
        <w:rPr>
          <w:color w:val="000000"/>
        </w:rPr>
        <w:t xml:space="preserve">Equipment </w:t>
      </w:r>
    </w:p>
    <w:p w14:paraId="3BCA34F9" w14:textId="77777777" w:rsidR="00AB748C" w:rsidRPr="00175D8B" w:rsidRDefault="00AB748C">
      <w:pPr>
        <w:numPr>
          <w:ilvl w:val="1"/>
          <w:numId w:val="49"/>
        </w:numPr>
        <w:pBdr>
          <w:top w:val="nil"/>
          <w:left w:val="nil"/>
          <w:bottom w:val="nil"/>
          <w:right w:val="nil"/>
          <w:between w:val="nil"/>
        </w:pBdr>
        <w:spacing w:after="0"/>
        <w:ind w:left="714" w:hanging="357"/>
        <w:rPr>
          <w:color w:val="000000"/>
        </w:rPr>
      </w:pPr>
      <w:r w:rsidRPr="00175D8B">
        <w:rPr>
          <w:color w:val="000000"/>
        </w:rPr>
        <w:t xml:space="preserve">Scaffolds </w:t>
      </w:r>
    </w:p>
    <w:p w14:paraId="575EF605" w14:textId="77777777" w:rsidR="00AB748C" w:rsidRPr="00175D8B" w:rsidRDefault="00AB748C">
      <w:pPr>
        <w:numPr>
          <w:ilvl w:val="1"/>
          <w:numId w:val="49"/>
        </w:numPr>
        <w:pBdr>
          <w:top w:val="nil"/>
          <w:left w:val="nil"/>
          <w:bottom w:val="nil"/>
          <w:right w:val="nil"/>
          <w:between w:val="nil"/>
        </w:pBdr>
        <w:spacing w:after="0"/>
        <w:ind w:left="714" w:hanging="357"/>
        <w:rPr>
          <w:color w:val="000000"/>
        </w:rPr>
      </w:pPr>
      <w:r w:rsidRPr="00175D8B">
        <w:rPr>
          <w:color w:val="000000"/>
        </w:rPr>
        <w:lastRenderedPageBreak/>
        <w:t>Small tools</w:t>
      </w:r>
    </w:p>
    <w:p w14:paraId="7110F52E" w14:textId="77777777" w:rsidR="00AB748C" w:rsidRPr="00175D8B" w:rsidRDefault="00AB748C">
      <w:pPr>
        <w:numPr>
          <w:ilvl w:val="1"/>
          <w:numId w:val="49"/>
        </w:numPr>
        <w:pBdr>
          <w:top w:val="nil"/>
          <w:left w:val="nil"/>
          <w:bottom w:val="nil"/>
          <w:right w:val="nil"/>
          <w:between w:val="nil"/>
        </w:pBdr>
        <w:spacing w:after="0"/>
        <w:ind w:left="714" w:hanging="357"/>
        <w:rPr>
          <w:color w:val="000000"/>
        </w:rPr>
      </w:pPr>
      <w:r w:rsidRPr="00175D8B">
        <w:rPr>
          <w:color w:val="000000"/>
        </w:rPr>
        <w:t xml:space="preserve">Lifting devices </w:t>
      </w:r>
    </w:p>
    <w:p w14:paraId="329ADDF9" w14:textId="77777777" w:rsidR="00AB748C" w:rsidRPr="00175D8B" w:rsidRDefault="00AB748C">
      <w:pPr>
        <w:numPr>
          <w:ilvl w:val="1"/>
          <w:numId w:val="49"/>
        </w:numPr>
        <w:pBdr>
          <w:top w:val="nil"/>
          <w:left w:val="nil"/>
          <w:bottom w:val="nil"/>
          <w:right w:val="nil"/>
          <w:between w:val="nil"/>
        </w:pBdr>
        <w:spacing w:after="0"/>
        <w:ind w:left="714" w:hanging="357"/>
        <w:rPr>
          <w:color w:val="000000"/>
        </w:rPr>
      </w:pPr>
      <w:r w:rsidRPr="00175D8B">
        <w:rPr>
          <w:color w:val="000000"/>
        </w:rPr>
        <w:t xml:space="preserve">Electrical cables </w:t>
      </w:r>
    </w:p>
    <w:p w14:paraId="7A426176" w14:textId="77777777" w:rsidR="00AB748C" w:rsidRPr="00175D8B" w:rsidRDefault="00AB748C">
      <w:pPr>
        <w:numPr>
          <w:ilvl w:val="1"/>
          <w:numId w:val="49"/>
        </w:numPr>
        <w:pBdr>
          <w:top w:val="nil"/>
          <w:left w:val="nil"/>
          <w:bottom w:val="nil"/>
          <w:right w:val="nil"/>
          <w:between w:val="nil"/>
        </w:pBdr>
        <w:spacing w:after="0"/>
        <w:ind w:left="714" w:hanging="357"/>
        <w:rPr>
          <w:color w:val="000000"/>
        </w:rPr>
      </w:pPr>
      <w:r w:rsidRPr="00175D8B">
        <w:rPr>
          <w:color w:val="000000"/>
        </w:rPr>
        <w:t xml:space="preserve">Fire extinguishers </w:t>
      </w:r>
    </w:p>
    <w:p w14:paraId="5FA1DB0F" w14:textId="77777777" w:rsidR="00AB748C" w:rsidRPr="00175D8B" w:rsidRDefault="00AB748C">
      <w:pPr>
        <w:numPr>
          <w:ilvl w:val="1"/>
          <w:numId w:val="49"/>
        </w:numPr>
        <w:pBdr>
          <w:top w:val="nil"/>
          <w:left w:val="nil"/>
          <w:bottom w:val="nil"/>
          <w:right w:val="nil"/>
          <w:between w:val="nil"/>
        </w:pBdr>
        <w:ind w:left="714" w:hanging="357"/>
        <w:rPr>
          <w:color w:val="000000"/>
        </w:rPr>
      </w:pPr>
      <w:r w:rsidRPr="00175D8B">
        <w:rPr>
          <w:color w:val="000000"/>
        </w:rPr>
        <w:t xml:space="preserve">First aid kits </w:t>
      </w:r>
    </w:p>
    <w:p w14:paraId="5F5DBD91" w14:textId="77777777" w:rsidR="00AB748C" w:rsidRPr="00175D8B" w:rsidRDefault="00AB748C" w:rsidP="00AB748C">
      <w:pPr>
        <w:jc w:val="left"/>
      </w:pPr>
      <w:r w:rsidRPr="00175D8B">
        <w:t>Records of the inspections will be kept by H&amp;S Expert.</w:t>
      </w:r>
    </w:p>
    <w:p w14:paraId="2A3E4BD4" w14:textId="77777777" w:rsidR="00AB748C" w:rsidRPr="00175D8B" w:rsidRDefault="00AB748C">
      <w:pPr>
        <w:pStyle w:val="ListeParagraf"/>
        <w:numPr>
          <w:ilvl w:val="0"/>
          <w:numId w:val="36"/>
        </w:numPr>
        <w:rPr>
          <w:b/>
          <w:bCs/>
        </w:rPr>
      </w:pPr>
      <w:r w:rsidRPr="00175D8B">
        <w:rPr>
          <w:b/>
          <w:bCs/>
        </w:rPr>
        <w:t>Training, Reporting and Monitoring</w:t>
      </w:r>
    </w:p>
    <w:p w14:paraId="32EFC9ED" w14:textId="77777777" w:rsidR="00AB748C" w:rsidRPr="00175D8B" w:rsidRDefault="00AB748C">
      <w:pPr>
        <w:pStyle w:val="ListeParagraf"/>
        <w:numPr>
          <w:ilvl w:val="1"/>
          <w:numId w:val="36"/>
        </w:numPr>
        <w:rPr>
          <w:b/>
          <w:bCs/>
        </w:rPr>
      </w:pPr>
      <w:r w:rsidRPr="00175D8B">
        <w:rPr>
          <w:b/>
          <w:bCs/>
        </w:rPr>
        <w:t>Training</w:t>
      </w:r>
    </w:p>
    <w:p w14:paraId="34224EA2" w14:textId="77777777" w:rsidR="00AB748C" w:rsidRPr="00175D8B" w:rsidRDefault="00AB748C" w:rsidP="00AB748C">
      <w:r w:rsidRPr="00175D8B">
        <w:t>The Contractor will be committed to providing employees with the necessary training to perform their work safely and effectively.</w:t>
      </w:r>
    </w:p>
    <w:p w14:paraId="4E397D07" w14:textId="77777777" w:rsidR="00BD6ADB" w:rsidRPr="00175D8B" w:rsidRDefault="00BD6ADB" w:rsidP="00AB748C">
      <w:r w:rsidRPr="00175D8B">
        <w:t>Refer to the Employment and Training Plan (ETP) for further information about the identification, coordination and management of training.</w:t>
      </w:r>
    </w:p>
    <w:p w14:paraId="6C6552F0" w14:textId="29D0E6F8" w:rsidR="00AB748C" w:rsidRPr="00175D8B" w:rsidRDefault="00AB748C" w:rsidP="00AB748C">
      <w:r w:rsidRPr="00175D8B">
        <w:t>All personnel are required to complete the induction training. This induction informs participants of the minimum safety, environmental and security requirements to gain access to the Project area.</w:t>
      </w:r>
    </w:p>
    <w:p w14:paraId="062BC358" w14:textId="77777777" w:rsidR="00AB748C" w:rsidRPr="00175D8B" w:rsidRDefault="00AB748C" w:rsidP="00AB748C">
      <w:r w:rsidRPr="00175D8B">
        <w:t>On completion of the Induction Training, personnel will be suitably inducted to their work area. They will be informed of the hazards and controls, the location of firefighting and first aid equipment, and emergency response and evacuation procedures as a minimum.</w:t>
      </w:r>
    </w:p>
    <w:p w14:paraId="57F1A7B6" w14:textId="77777777" w:rsidR="00AB748C" w:rsidRPr="00175D8B" w:rsidRDefault="00AB748C" w:rsidP="00AB748C">
      <w:r w:rsidRPr="00175D8B">
        <w:t>It will be the responsibility of the H&amp;S Expert to control and determine the training needs of the personnel, prepare the training programme and have it approved by the Project manager. Trainings may be renewed or additional trainings may be provided if it is seen necessary by H&amp;S expert or Project Manager in case of a significant incident etc.</w:t>
      </w:r>
    </w:p>
    <w:p w14:paraId="6CBBD96A" w14:textId="77777777" w:rsidR="00AB748C" w:rsidRPr="00175D8B" w:rsidRDefault="00AB748C">
      <w:pPr>
        <w:pStyle w:val="ListeParagraf"/>
        <w:numPr>
          <w:ilvl w:val="1"/>
          <w:numId w:val="36"/>
        </w:numPr>
        <w:rPr>
          <w:b/>
          <w:bCs/>
        </w:rPr>
      </w:pPr>
      <w:r w:rsidRPr="00175D8B">
        <w:rPr>
          <w:b/>
          <w:bCs/>
        </w:rPr>
        <w:t>Reporting</w:t>
      </w:r>
    </w:p>
    <w:p w14:paraId="7D90B1B6" w14:textId="77777777" w:rsidR="00AB748C" w:rsidRPr="00175D8B" w:rsidRDefault="00AB748C" w:rsidP="00AB748C">
      <w:r w:rsidRPr="00175D8B">
        <w:t xml:space="preserve">Daily inspections will be carried out under the coordination of the H&amp;S Expert. All serious incidents including near misses will be reported, investigated, and documented immediately to PMU and WB. In this scope, the World Bank and PMU will be promptly notified of any incident or accident related to the Project which has, or is likely to have, a significant adverse effect on the environment, the affected communities, the public or workers including but not limited to; incidents and accidents encountered during construction works, environmental spills, etc. Sufficient detail will be provided regarding the incident or accident, findings of the Root Cause Analysis (RCA), indicating immediate measures or corrective actions taken or that are planned to be taken to address it, compensation paid, and any </w:t>
      </w:r>
      <w:r w:rsidRPr="00175D8B">
        <w:lastRenderedPageBreak/>
        <w:t>information provided by any contractor and supervision consultant, as appropriate. It will be ensured that the incident report is in line with the World Bank’s Environment and Social Incidence Response Toolkit (ESIRT). Subsequently, as per the Bank’s request, a report on the incident or accident and propose any measures to prevent its recurrence will be prepared.</w:t>
      </w:r>
    </w:p>
    <w:p w14:paraId="32FE9D36" w14:textId="77777777" w:rsidR="00AB748C" w:rsidRPr="00175D8B" w:rsidRDefault="00AB748C" w:rsidP="00AB748C">
      <w:r w:rsidRPr="00175D8B">
        <w:t>All contact with and reporting to government officials is to be done by the H&amp;S Expert in consultation with the Project Manager. In regard to injuries, all compensation carriers have specific legislative reporting requirements for the employer, worker, and attending physician(s).</w:t>
      </w:r>
    </w:p>
    <w:p w14:paraId="6CE1F176" w14:textId="77777777" w:rsidR="00AB748C" w:rsidRPr="00175D8B" w:rsidRDefault="00AB748C" w:rsidP="00AB748C">
      <w:r w:rsidRPr="00175D8B">
        <w:t>All incidents will be reported to the H&amp;S Expert immediately. All incidents that require medical attention or have the potential for medical attention require immediate notification to the Project Manager. All serious incidents will be reported to the Project Manager immediately – the notification of any government agencies will be coordinated by the Project Manager.</w:t>
      </w:r>
    </w:p>
    <w:p w14:paraId="247A43AC" w14:textId="0D4634DF" w:rsidR="00B05B27" w:rsidRPr="00175D8B" w:rsidRDefault="00AB748C" w:rsidP="00AB748C">
      <w:r w:rsidRPr="00175D8B">
        <w:t>The H&amp;S Expert and the Project Manager will be promptly notified of equipment or property damage. The Incident Report Form will be completed for all incidents and forwarded to the district office for administrative processing.</w:t>
      </w:r>
    </w:p>
    <w:p w14:paraId="1E73F102" w14:textId="77777777" w:rsidR="00AB748C" w:rsidRPr="00175D8B" w:rsidRDefault="00AB748C">
      <w:pPr>
        <w:pStyle w:val="ListeParagraf"/>
        <w:numPr>
          <w:ilvl w:val="1"/>
          <w:numId w:val="36"/>
        </w:numPr>
        <w:rPr>
          <w:b/>
          <w:bCs/>
        </w:rPr>
      </w:pPr>
      <w:r w:rsidRPr="00175D8B">
        <w:rPr>
          <w:b/>
          <w:bCs/>
        </w:rPr>
        <w:t>Monitoring</w:t>
      </w:r>
    </w:p>
    <w:p w14:paraId="60F1AF4B" w14:textId="77777777" w:rsidR="00AB748C" w:rsidRPr="00175D8B" w:rsidRDefault="00AB748C" w:rsidP="00AB748C">
      <w:r w:rsidRPr="00175D8B">
        <w:t>Key monitoring activities outlined in the ESMF will focus on ensuring compliance with the mitigation measures and management controls described in this plan, using key performance indicators.</w:t>
      </w:r>
    </w:p>
    <w:p w14:paraId="32DEBAB8" w14:textId="77777777" w:rsidR="00AB748C" w:rsidRPr="00175D8B" w:rsidRDefault="00AB748C" w:rsidP="00AB748C">
      <w:r w:rsidRPr="00175D8B">
        <w:t>Monitoring activities for each Occupational Health and Safety issue will be detailed in the management / implementation plans and procedures to be prepared by the Contractor prior to the start of the land preparation and construction phase. Monitoring activities will be designed to target specific issues to meet site-specific requirements, in line with the plan framework presented in the ESMF and taking into account key performance indicators.</w:t>
      </w:r>
    </w:p>
    <w:p w14:paraId="25AE02F5" w14:textId="77777777" w:rsidR="00AB748C" w:rsidRPr="00175D8B" w:rsidRDefault="00AB748C" w:rsidP="00AB748C">
      <w:r w:rsidRPr="00175D8B">
        <w:t>Performance indicators for the implementation of the Plan are provided below and relevant indicators will also be included in the Project's Environmental, Health and Safety (EHS) procedures and plans:</w:t>
      </w:r>
    </w:p>
    <w:p w14:paraId="1FB429E0" w14:textId="77777777" w:rsidR="00AB748C" w:rsidRPr="00175D8B" w:rsidRDefault="00AB748C" w:rsidP="00AB748C">
      <w:pPr>
        <w:jc w:val="center"/>
        <w:rPr>
          <w:b/>
          <w:i/>
          <w:sz w:val="20"/>
          <w:szCs w:val="20"/>
        </w:rPr>
      </w:pPr>
      <w:r w:rsidRPr="00175D8B">
        <w:rPr>
          <w:b/>
          <w:i/>
          <w:sz w:val="20"/>
          <w:szCs w:val="20"/>
        </w:rPr>
        <w:t>OHS Management</w:t>
      </w:r>
    </w:p>
    <w:tbl>
      <w:tblPr>
        <w:tblStyle w:val="7"/>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127"/>
        <w:gridCol w:w="1984"/>
        <w:gridCol w:w="1554"/>
      </w:tblGrid>
      <w:tr w:rsidR="00AB748C" w:rsidRPr="00175D8B" w14:paraId="6548E036" w14:textId="77777777" w:rsidTr="00DF417A">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BB7C1"/>
          </w:tcPr>
          <w:p w14:paraId="5DB74B0B" w14:textId="77777777" w:rsidR="00AB748C" w:rsidRPr="00175D8B" w:rsidRDefault="00AB748C" w:rsidP="00DF417A">
            <w:pPr>
              <w:jc w:val="left"/>
              <w:rPr>
                <w:rFonts w:eastAsia="Aptos" w:cs="Aptos"/>
                <w:b/>
                <w:sz w:val="20"/>
                <w:szCs w:val="20"/>
              </w:rPr>
            </w:pPr>
            <w:r w:rsidRPr="00175D8B">
              <w:rPr>
                <w:rFonts w:eastAsia="Aptos" w:cs="Aptos"/>
                <w:b/>
                <w:sz w:val="20"/>
                <w:szCs w:val="20"/>
              </w:rPr>
              <w:t>Key Performance Indicator</w:t>
            </w:r>
          </w:p>
        </w:tc>
        <w:tc>
          <w:tcPr>
            <w:tcW w:w="2127" w:type="dxa"/>
            <w:tcBorders>
              <w:top w:val="single" w:sz="4" w:space="0" w:color="000000"/>
              <w:left w:val="single" w:sz="4" w:space="0" w:color="000000"/>
              <w:bottom w:val="single" w:sz="4" w:space="0" w:color="000000"/>
              <w:right w:val="single" w:sz="4" w:space="0" w:color="000000"/>
            </w:tcBorders>
            <w:shd w:val="clear" w:color="auto" w:fill="ABB7C1"/>
          </w:tcPr>
          <w:p w14:paraId="5BC6C893" w14:textId="77777777" w:rsidR="00AB748C" w:rsidRPr="00175D8B" w:rsidRDefault="00AB748C" w:rsidP="00DF417A">
            <w:pPr>
              <w:jc w:val="left"/>
              <w:rPr>
                <w:rFonts w:eastAsia="Aptos" w:cs="Aptos"/>
                <w:b/>
                <w:sz w:val="20"/>
                <w:szCs w:val="20"/>
              </w:rPr>
            </w:pPr>
            <w:r w:rsidRPr="00175D8B">
              <w:rPr>
                <w:rFonts w:eastAsia="Aptos" w:cs="Aptos"/>
                <w:b/>
                <w:sz w:val="20"/>
                <w:szCs w:val="20"/>
              </w:rPr>
              <w:t>Target</w:t>
            </w:r>
          </w:p>
        </w:tc>
        <w:tc>
          <w:tcPr>
            <w:tcW w:w="1984" w:type="dxa"/>
            <w:tcBorders>
              <w:top w:val="single" w:sz="4" w:space="0" w:color="000000"/>
              <w:left w:val="single" w:sz="4" w:space="0" w:color="000000"/>
              <w:bottom w:val="single" w:sz="4" w:space="0" w:color="000000"/>
              <w:right w:val="single" w:sz="4" w:space="0" w:color="000000"/>
            </w:tcBorders>
            <w:shd w:val="clear" w:color="auto" w:fill="ABB7C1"/>
          </w:tcPr>
          <w:p w14:paraId="74099899" w14:textId="77777777" w:rsidR="00AB748C" w:rsidRPr="00175D8B" w:rsidRDefault="00AB748C" w:rsidP="00DF417A">
            <w:pPr>
              <w:jc w:val="left"/>
              <w:rPr>
                <w:rFonts w:eastAsia="Aptos" w:cs="Aptos"/>
                <w:b/>
                <w:sz w:val="20"/>
                <w:szCs w:val="20"/>
              </w:rPr>
            </w:pPr>
            <w:r w:rsidRPr="00175D8B">
              <w:rPr>
                <w:rFonts w:eastAsia="Aptos" w:cs="Aptos"/>
                <w:b/>
                <w:sz w:val="20"/>
                <w:szCs w:val="20"/>
              </w:rPr>
              <w:t>Records</w:t>
            </w:r>
          </w:p>
        </w:tc>
        <w:tc>
          <w:tcPr>
            <w:tcW w:w="1554" w:type="dxa"/>
            <w:tcBorders>
              <w:top w:val="single" w:sz="4" w:space="0" w:color="000000"/>
              <w:left w:val="single" w:sz="4" w:space="0" w:color="000000"/>
              <w:bottom w:val="single" w:sz="4" w:space="0" w:color="000000"/>
              <w:right w:val="single" w:sz="4" w:space="0" w:color="000000"/>
            </w:tcBorders>
            <w:shd w:val="clear" w:color="auto" w:fill="ABB7C1"/>
          </w:tcPr>
          <w:p w14:paraId="2F3026AF" w14:textId="77777777" w:rsidR="00AB748C" w:rsidRPr="00175D8B" w:rsidRDefault="00AB748C" w:rsidP="00DF417A">
            <w:pPr>
              <w:jc w:val="left"/>
              <w:rPr>
                <w:rFonts w:eastAsia="Aptos" w:cs="Aptos"/>
                <w:b/>
                <w:sz w:val="20"/>
                <w:szCs w:val="20"/>
              </w:rPr>
            </w:pPr>
            <w:r w:rsidRPr="00175D8B">
              <w:rPr>
                <w:rFonts w:eastAsia="Aptos" w:cs="Aptos"/>
                <w:b/>
                <w:sz w:val="20"/>
                <w:szCs w:val="20"/>
              </w:rPr>
              <w:t>Responsibility</w:t>
            </w:r>
          </w:p>
        </w:tc>
      </w:tr>
      <w:tr w:rsidR="00AB748C" w:rsidRPr="00175D8B" w14:paraId="29DD2921" w14:textId="77777777" w:rsidTr="00DF417A">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2F2F2"/>
          </w:tcPr>
          <w:p w14:paraId="37CE7340" w14:textId="77777777" w:rsidR="00AB748C" w:rsidRPr="00175D8B" w:rsidRDefault="00AB748C" w:rsidP="00DF417A">
            <w:pPr>
              <w:jc w:val="left"/>
              <w:rPr>
                <w:rFonts w:eastAsia="Aptos" w:cs="Aptos"/>
                <w:sz w:val="20"/>
                <w:szCs w:val="20"/>
              </w:rPr>
            </w:pPr>
            <w:r w:rsidRPr="00175D8B">
              <w:rPr>
                <w:rFonts w:eastAsia="Aptos" w:cs="Aptos"/>
                <w:sz w:val="20"/>
                <w:szCs w:val="20"/>
              </w:rPr>
              <w:t>H&amp;S Audit and Review Schedule</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cPr>
          <w:p w14:paraId="06282CDB" w14:textId="77777777" w:rsidR="00AB748C" w:rsidRPr="00175D8B" w:rsidRDefault="00AB748C" w:rsidP="00DF417A">
            <w:pPr>
              <w:jc w:val="left"/>
              <w:rPr>
                <w:rFonts w:eastAsia="Aptos" w:cs="Aptos"/>
                <w:sz w:val="20"/>
                <w:szCs w:val="20"/>
              </w:rPr>
            </w:pPr>
            <w:r w:rsidRPr="00175D8B">
              <w:rPr>
                <w:rFonts w:eastAsia="Aptos" w:cs="Aptos"/>
                <w:sz w:val="20"/>
                <w:szCs w:val="20"/>
              </w:rPr>
              <w:t>At least once a week</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4E4D6F6D" w14:textId="77777777" w:rsidR="00AB748C" w:rsidRPr="00175D8B" w:rsidRDefault="00AB748C" w:rsidP="00DF417A">
            <w:pPr>
              <w:jc w:val="left"/>
              <w:rPr>
                <w:rFonts w:eastAsia="Aptos" w:cs="Aptos"/>
                <w:sz w:val="20"/>
                <w:szCs w:val="20"/>
              </w:rPr>
            </w:pPr>
            <w:r w:rsidRPr="00175D8B">
              <w:rPr>
                <w:rFonts w:eastAsia="Aptos" w:cs="Aptos"/>
                <w:sz w:val="20"/>
                <w:szCs w:val="20"/>
              </w:rPr>
              <w:t>H&amp;S Records</w:t>
            </w:r>
          </w:p>
          <w:p w14:paraId="0BB88656" w14:textId="77777777" w:rsidR="00AB748C" w:rsidRPr="00175D8B" w:rsidRDefault="00AB748C" w:rsidP="00DF417A">
            <w:pPr>
              <w:jc w:val="left"/>
              <w:rPr>
                <w:rFonts w:eastAsia="Aptos" w:cs="Aptos"/>
                <w:sz w:val="20"/>
                <w:szCs w:val="20"/>
              </w:rPr>
            </w:pPr>
            <w:r w:rsidRPr="00175D8B">
              <w:rPr>
                <w:rFonts w:eastAsia="Aptos" w:cs="Aptos"/>
                <w:sz w:val="20"/>
                <w:szCs w:val="20"/>
              </w:rPr>
              <w:t>Audit Reports</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cPr>
          <w:p w14:paraId="41064DA2" w14:textId="77777777" w:rsidR="00AB748C" w:rsidRPr="00175D8B" w:rsidRDefault="00AB748C" w:rsidP="00DF417A">
            <w:pPr>
              <w:jc w:val="left"/>
              <w:rPr>
                <w:rFonts w:eastAsia="Aptos" w:cs="Aptos"/>
                <w:sz w:val="20"/>
                <w:szCs w:val="20"/>
              </w:rPr>
            </w:pPr>
            <w:r w:rsidRPr="00175D8B">
              <w:rPr>
                <w:rFonts w:eastAsia="Aptos" w:cs="Aptos"/>
                <w:sz w:val="20"/>
                <w:szCs w:val="20"/>
              </w:rPr>
              <w:t>HS Expert</w:t>
            </w:r>
          </w:p>
        </w:tc>
      </w:tr>
      <w:tr w:rsidR="00AB748C" w:rsidRPr="00175D8B" w14:paraId="56F1FA59" w14:textId="77777777" w:rsidTr="00DF417A">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2F2F2"/>
          </w:tcPr>
          <w:p w14:paraId="247F9255" w14:textId="77777777" w:rsidR="00AB748C" w:rsidRPr="00175D8B" w:rsidRDefault="00AB748C" w:rsidP="00DF417A">
            <w:pPr>
              <w:jc w:val="left"/>
              <w:rPr>
                <w:rFonts w:eastAsia="Aptos" w:cs="Aptos"/>
                <w:sz w:val="20"/>
                <w:szCs w:val="20"/>
              </w:rPr>
            </w:pPr>
            <w:r w:rsidRPr="00175D8B">
              <w:rPr>
                <w:rFonts w:eastAsia="Aptos" w:cs="Aptos"/>
                <w:sz w:val="20"/>
                <w:szCs w:val="20"/>
              </w:rPr>
              <w:lastRenderedPageBreak/>
              <w:t>H&amp;S Policies communicated to all Project personnel</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cPr>
          <w:p w14:paraId="4D1D9B53" w14:textId="77777777" w:rsidR="00AB748C" w:rsidRPr="00175D8B" w:rsidRDefault="00AB748C" w:rsidP="00DF417A">
            <w:pPr>
              <w:jc w:val="left"/>
              <w:rPr>
                <w:rFonts w:eastAsia="Aptos" w:cs="Aptos"/>
                <w:sz w:val="20"/>
                <w:szCs w:val="20"/>
              </w:rPr>
            </w:pPr>
            <w:r w:rsidRPr="00175D8B">
              <w:rPr>
                <w:rFonts w:eastAsia="Aptos" w:cs="Aptos"/>
                <w:sz w:val="20"/>
                <w:szCs w:val="20"/>
              </w:rPr>
              <w:t>At least once a month</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03DC8DD5" w14:textId="77777777" w:rsidR="00AB748C" w:rsidRPr="00175D8B" w:rsidRDefault="00AB748C" w:rsidP="00DF417A">
            <w:pPr>
              <w:jc w:val="left"/>
              <w:rPr>
                <w:rFonts w:eastAsia="Aptos" w:cs="Aptos"/>
                <w:sz w:val="20"/>
                <w:szCs w:val="20"/>
              </w:rPr>
            </w:pPr>
            <w:r w:rsidRPr="00175D8B">
              <w:rPr>
                <w:rFonts w:eastAsia="Aptos" w:cs="Aptos"/>
                <w:sz w:val="20"/>
                <w:szCs w:val="20"/>
              </w:rPr>
              <w:t>Minutes of Meetings</w:t>
            </w:r>
          </w:p>
          <w:p w14:paraId="3F39CD37" w14:textId="77777777" w:rsidR="00AB748C" w:rsidRPr="00175D8B" w:rsidRDefault="00AB748C" w:rsidP="00DF417A">
            <w:pPr>
              <w:jc w:val="left"/>
              <w:rPr>
                <w:rFonts w:eastAsia="Aptos" w:cs="Aptos"/>
                <w:sz w:val="20"/>
                <w:szCs w:val="20"/>
              </w:rPr>
            </w:pPr>
            <w:r w:rsidRPr="00175D8B">
              <w:rPr>
                <w:rFonts w:eastAsia="Aptos" w:cs="Aptos"/>
                <w:sz w:val="20"/>
                <w:szCs w:val="20"/>
              </w:rPr>
              <w:t xml:space="preserve">Training Records </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cPr>
          <w:p w14:paraId="27829099" w14:textId="77777777" w:rsidR="00AB748C" w:rsidRPr="00175D8B" w:rsidRDefault="00AB748C" w:rsidP="00DF417A">
            <w:pPr>
              <w:jc w:val="left"/>
              <w:rPr>
                <w:rFonts w:eastAsia="Aptos" w:cs="Aptos"/>
                <w:sz w:val="20"/>
                <w:szCs w:val="20"/>
              </w:rPr>
            </w:pPr>
            <w:r w:rsidRPr="00175D8B">
              <w:rPr>
                <w:rFonts w:eastAsia="Aptos" w:cs="Aptos"/>
                <w:sz w:val="20"/>
                <w:szCs w:val="20"/>
              </w:rPr>
              <w:t>HS Expert</w:t>
            </w:r>
          </w:p>
        </w:tc>
      </w:tr>
      <w:tr w:rsidR="00AB748C" w:rsidRPr="00175D8B" w14:paraId="0C27D5DE" w14:textId="77777777" w:rsidTr="00DF417A">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2F2F2"/>
          </w:tcPr>
          <w:p w14:paraId="1C1E0E16" w14:textId="77777777" w:rsidR="00AB748C" w:rsidRPr="00175D8B" w:rsidRDefault="00AB748C" w:rsidP="00DF417A">
            <w:pPr>
              <w:jc w:val="left"/>
              <w:rPr>
                <w:rFonts w:eastAsia="Aptos" w:cs="Aptos"/>
                <w:sz w:val="20"/>
                <w:szCs w:val="20"/>
              </w:rPr>
            </w:pPr>
            <w:r w:rsidRPr="00175D8B">
              <w:rPr>
                <w:rFonts w:eastAsia="Aptos" w:cs="Aptos"/>
                <w:sz w:val="20"/>
                <w:szCs w:val="20"/>
              </w:rPr>
              <w:t>Management engagement in H&amp;S Meetings/ Reviews to demonstrate visible leadership</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cPr>
          <w:p w14:paraId="480F2F18" w14:textId="77777777" w:rsidR="00AB748C" w:rsidRPr="00175D8B" w:rsidRDefault="00AB748C" w:rsidP="00DF417A">
            <w:pPr>
              <w:jc w:val="left"/>
              <w:rPr>
                <w:rFonts w:eastAsia="Aptos" w:cs="Aptos"/>
                <w:sz w:val="20"/>
                <w:szCs w:val="20"/>
              </w:rPr>
            </w:pPr>
            <w:r w:rsidRPr="00175D8B">
              <w:rPr>
                <w:rFonts w:eastAsia="Aptos" w:cs="Aptos"/>
                <w:sz w:val="20"/>
                <w:szCs w:val="20"/>
              </w:rPr>
              <w:t>At least once a month</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098E820A" w14:textId="77777777" w:rsidR="00AB748C" w:rsidRPr="00175D8B" w:rsidRDefault="00AB748C" w:rsidP="00DF417A">
            <w:pPr>
              <w:jc w:val="left"/>
              <w:rPr>
                <w:rFonts w:eastAsia="Aptos" w:cs="Aptos"/>
                <w:sz w:val="20"/>
                <w:szCs w:val="20"/>
              </w:rPr>
            </w:pPr>
            <w:r w:rsidRPr="00175D8B">
              <w:rPr>
                <w:rFonts w:eastAsia="Aptos" w:cs="Aptos"/>
                <w:sz w:val="20"/>
                <w:szCs w:val="20"/>
              </w:rPr>
              <w:t>Minutes of Meetings</w:t>
            </w:r>
          </w:p>
          <w:p w14:paraId="3B1F76B3" w14:textId="77777777" w:rsidR="00AB748C" w:rsidRPr="00175D8B" w:rsidRDefault="00AB748C" w:rsidP="00DF417A">
            <w:pPr>
              <w:jc w:val="left"/>
              <w:rPr>
                <w:rFonts w:eastAsia="Aptos" w:cs="Aptos"/>
                <w:sz w:val="20"/>
                <w:szCs w:val="20"/>
              </w:rPr>
            </w:pPr>
          </w:p>
        </w:tc>
        <w:tc>
          <w:tcPr>
            <w:tcW w:w="1554" w:type="dxa"/>
            <w:tcBorders>
              <w:top w:val="single" w:sz="4" w:space="0" w:color="000000"/>
              <w:left w:val="single" w:sz="4" w:space="0" w:color="000000"/>
              <w:bottom w:val="single" w:sz="4" w:space="0" w:color="000000"/>
              <w:right w:val="single" w:sz="4" w:space="0" w:color="000000"/>
            </w:tcBorders>
            <w:shd w:val="clear" w:color="auto" w:fill="F2F2F2"/>
          </w:tcPr>
          <w:p w14:paraId="41198C4A" w14:textId="77777777" w:rsidR="00AB748C" w:rsidRPr="00175D8B" w:rsidRDefault="00AB748C" w:rsidP="00DF417A">
            <w:pPr>
              <w:jc w:val="left"/>
              <w:rPr>
                <w:rFonts w:eastAsia="Aptos" w:cs="Aptos"/>
                <w:sz w:val="20"/>
                <w:szCs w:val="20"/>
              </w:rPr>
            </w:pPr>
            <w:r w:rsidRPr="00175D8B">
              <w:rPr>
                <w:rFonts w:eastAsia="Aptos" w:cs="Aptos"/>
                <w:sz w:val="20"/>
                <w:szCs w:val="20"/>
              </w:rPr>
              <w:t>Project Manager</w:t>
            </w:r>
          </w:p>
        </w:tc>
      </w:tr>
      <w:tr w:rsidR="00AB748C" w:rsidRPr="00175D8B" w14:paraId="664CA4C0" w14:textId="77777777" w:rsidTr="00DF417A">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2F2F2"/>
          </w:tcPr>
          <w:p w14:paraId="6F445719" w14:textId="77777777" w:rsidR="00AB748C" w:rsidRPr="00175D8B" w:rsidRDefault="00AB748C" w:rsidP="00DF417A">
            <w:pPr>
              <w:jc w:val="left"/>
              <w:rPr>
                <w:rFonts w:eastAsia="Aptos" w:cs="Aptos"/>
                <w:sz w:val="20"/>
                <w:szCs w:val="20"/>
              </w:rPr>
            </w:pPr>
            <w:r w:rsidRPr="00175D8B">
              <w:rPr>
                <w:rFonts w:eastAsia="Aptos" w:cs="Aptos"/>
                <w:sz w:val="20"/>
                <w:szCs w:val="20"/>
              </w:rPr>
              <w:t xml:space="preserve">Weekly H&amp;S Meetings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cPr>
          <w:p w14:paraId="2BCE55CA" w14:textId="77777777" w:rsidR="00AB748C" w:rsidRPr="00175D8B" w:rsidRDefault="00AB748C" w:rsidP="00DF417A">
            <w:pPr>
              <w:jc w:val="left"/>
              <w:rPr>
                <w:rFonts w:eastAsia="Aptos" w:cs="Aptos"/>
                <w:sz w:val="20"/>
                <w:szCs w:val="20"/>
              </w:rPr>
            </w:pPr>
            <w:r w:rsidRPr="00175D8B">
              <w:rPr>
                <w:rFonts w:eastAsia="Aptos" w:cs="Aptos"/>
                <w:sz w:val="20"/>
                <w:szCs w:val="20"/>
              </w:rPr>
              <w:t>At least once a week</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25BDFC07" w14:textId="77777777" w:rsidR="00AB748C" w:rsidRPr="00175D8B" w:rsidRDefault="00AB748C" w:rsidP="00DF417A">
            <w:pPr>
              <w:jc w:val="left"/>
              <w:rPr>
                <w:rFonts w:eastAsia="Aptos" w:cs="Aptos"/>
                <w:sz w:val="20"/>
                <w:szCs w:val="20"/>
              </w:rPr>
            </w:pPr>
            <w:r w:rsidRPr="00175D8B">
              <w:rPr>
                <w:rFonts w:eastAsia="Aptos" w:cs="Aptos"/>
                <w:sz w:val="20"/>
                <w:szCs w:val="20"/>
              </w:rPr>
              <w:t>Minutes of Meetings</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cPr>
          <w:p w14:paraId="047A63A0" w14:textId="77777777" w:rsidR="00AB748C" w:rsidRPr="00175D8B" w:rsidRDefault="00AB748C" w:rsidP="00DF417A">
            <w:pPr>
              <w:jc w:val="left"/>
              <w:rPr>
                <w:rFonts w:eastAsia="Aptos" w:cs="Aptos"/>
                <w:sz w:val="20"/>
                <w:szCs w:val="20"/>
              </w:rPr>
            </w:pPr>
            <w:r w:rsidRPr="00175D8B">
              <w:rPr>
                <w:rFonts w:eastAsia="Aptos" w:cs="Aptos"/>
                <w:sz w:val="20"/>
                <w:szCs w:val="20"/>
              </w:rPr>
              <w:t>HS Expert</w:t>
            </w:r>
          </w:p>
        </w:tc>
      </w:tr>
      <w:tr w:rsidR="00AB748C" w:rsidRPr="00175D8B" w14:paraId="7DC48F5F" w14:textId="77777777" w:rsidTr="00DF417A">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2F2F2"/>
          </w:tcPr>
          <w:p w14:paraId="2559395C" w14:textId="77777777" w:rsidR="00AB748C" w:rsidRPr="00175D8B" w:rsidRDefault="00AB748C" w:rsidP="00DF417A">
            <w:pPr>
              <w:jc w:val="left"/>
              <w:rPr>
                <w:rFonts w:eastAsia="Aptos" w:cs="Aptos"/>
                <w:sz w:val="20"/>
                <w:szCs w:val="20"/>
              </w:rPr>
            </w:pPr>
            <w:r w:rsidRPr="00175D8B">
              <w:rPr>
                <w:rFonts w:eastAsia="Aptos" w:cs="Aptos"/>
                <w:sz w:val="20"/>
                <w:szCs w:val="20"/>
              </w:rPr>
              <w:t>H&amp;S Walkdowns</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cPr>
          <w:p w14:paraId="6AFA4F91" w14:textId="77777777" w:rsidR="00AB748C" w:rsidRPr="00175D8B" w:rsidRDefault="00AB748C" w:rsidP="00DF417A">
            <w:pPr>
              <w:jc w:val="left"/>
              <w:rPr>
                <w:rFonts w:eastAsia="Aptos" w:cs="Aptos"/>
                <w:sz w:val="20"/>
                <w:szCs w:val="20"/>
              </w:rPr>
            </w:pPr>
            <w:r w:rsidRPr="00175D8B">
              <w:rPr>
                <w:rFonts w:eastAsia="Aptos" w:cs="Aptos"/>
                <w:sz w:val="20"/>
                <w:szCs w:val="20"/>
              </w:rPr>
              <w:t>At least once a week</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1FCB6304" w14:textId="77777777" w:rsidR="00AB748C" w:rsidRPr="00175D8B" w:rsidRDefault="00AB748C" w:rsidP="00DF417A">
            <w:pPr>
              <w:jc w:val="left"/>
              <w:rPr>
                <w:rFonts w:eastAsia="Aptos" w:cs="Aptos"/>
                <w:sz w:val="20"/>
                <w:szCs w:val="20"/>
              </w:rPr>
            </w:pPr>
            <w:r w:rsidRPr="00175D8B">
              <w:rPr>
                <w:rFonts w:eastAsia="Aptos" w:cs="Aptos"/>
                <w:sz w:val="20"/>
                <w:szCs w:val="20"/>
              </w:rPr>
              <w:t>H&amp;S Records</w:t>
            </w:r>
          </w:p>
          <w:p w14:paraId="58A25550" w14:textId="77777777" w:rsidR="00AB748C" w:rsidRPr="00175D8B" w:rsidRDefault="00AB748C" w:rsidP="00DF417A">
            <w:pPr>
              <w:jc w:val="left"/>
              <w:rPr>
                <w:rFonts w:eastAsia="Aptos" w:cs="Aptos"/>
                <w:sz w:val="20"/>
                <w:szCs w:val="20"/>
              </w:rPr>
            </w:pPr>
            <w:r w:rsidRPr="00175D8B">
              <w:rPr>
                <w:rFonts w:eastAsia="Aptos" w:cs="Aptos"/>
                <w:sz w:val="20"/>
                <w:szCs w:val="20"/>
              </w:rPr>
              <w:t>Audit Reports</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cPr>
          <w:p w14:paraId="66AFB521" w14:textId="77777777" w:rsidR="00AB748C" w:rsidRPr="00175D8B" w:rsidRDefault="00AB748C" w:rsidP="00DF417A">
            <w:pPr>
              <w:jc w:val="left"/>
              <w:rPr>
                <w:rFonts w:eastAsia="Aptos" w:cs="Aptos"/>
                <w:sz w:val="20"/>
                <w:szCs w:val="20"/>
              </w:rPr>
            </w:pPr>
            <w:r w:rsidRPr="00175D8B">
              <w:rPr>
                <w:rFonts w:eastAsia="Aptos" w:cs="Aptos"/>
                <w:sz w:val="20"/>
                <w:szCs w:val="20"/>
              </w:rPr>
              <w:t>HS Expert</w:t>
            </w:r>
          </w:p>
        </w:tc>
      </w:tr>
      <w:tr w:rsidR="00AB748C" w:rsidRPr="00175D8B" w14:paraId="3BB151FB" w14:textId="77777777" w:rsidTr="00DF417A">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2F2F2"/>
          </w:tcPr>
          <w:p w14:paraId="78BD2E4A" w14:textId="77777777" w:rsidR="00AB748C" w:rsidRPr="00175D8B" w:rsidRDefault="00AB748C" w:rsidP="00DF417A">
            <w:pPr>
              <w:jc w:val="left"/>
              <w:rPr>
                <w:rFonts w:eastAsia="Aptos" w:cs="Aptos"/>
                <w:sz w:val="20"/>
                <w:szCs w:val="20"/>
              </w:rPr>
            </w:pPr>
            <w:r w:rsidRPr="00175D8B">
              <w:rPr>
                <w:rFonts w:eastAsia="Aptos" w:cs="Aptos"/>
                <w:sz w:val="20"/>
                <w:szCs w:val="20"/>
              </w:rPr>
              <w:t>H&amp;S Induction - All Project site personnel receives before commencing the work at site</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cPr>
          <w:p w14:paraId="0CA5B39D" w14:textId="77777777" w:rsidR="00AB748C" w:rsidRPr="00175D8B" w:rsidRDefault="00AB748C" w:rsidP="00DF417A">
            <w:pPr>
              <w:jc w:val="left"/>
              <w:rPr>
                <w:rFonts w:eastAsia="Aptos" w:cs="Aptos"/>
                <w:sz w:val="20"/>
                <w:szCs w:val="20"/>
              </w:rPr>
            </w:pPr>
            <w:r w:rsidRPr="00175D8B">
              <w:rPr>
                <w:rFonts w:eastAsia="Aptos" w:cs="Aptos"/>
                <w:sz w:val="20"/>
                <w:szCs w:val="20"/>
              </w:rPr>
              <w:t>Before starting the works</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4BE842B6" w14:textId="77777777" w:rsidR="00AB748C" w:rsidRPr="00175D8B" w:rsidRDefault="00AB748C" w:rsidP="00DF417A">
            <w:pPr>
              <w:jc w:val="left"/>
              <w:rPr>
                <w:rFonts w:eastAsia="Aptos" w:cs="Aptos"/>
                <w:sz w:val="20"/>
                <w:szCs w:val="20"/>
              </w:rPr>
            </w:pPr>
            <w:r w:rsidRPr="00175D8B">
              <w:rPr>
                <w:rFonts w:eastAsia="Aptos" w:cs="Aptos"/>
                <w:sz w:val="20"/>
                <w:szCs w:val="20"/>
              </w:rPr>
              <w:t>Training Records</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cPr>
          <w:p w14:paraId="28540E32" w14:textId="77777777" w:rsidR="00AB748C" w:rsidRPr="00175D8B" w:rsidRDefault="00AB748C" w:rsidP="00DF417A">
            <w:pPr>
              <w:jc w:val="left"/>
              <w:rPr>
                <w:rFonts w:eastAsia="Aptos" w:cs="Aptos"/>
                <w:sz w:val="20"/>
                <w:szCs w:val="20"/>
              </w:rPr>
            </w:pPr>
            <w:r w:rsidRPr="00175D8B">
              <w:rPr>
                <w:rFonts w:eastAsia="Aptos" w:cs="Aptos"/>
                <w:sz w:val="20"/>
                <w:szCs w:val="20"/>
              </w:rPr>
              <w:t>HS Expert</w:t>
            </w:r>
          </w:p>
        </w:tc>
      </w:tr>
      <w:tr w:rsidR="00AB748C" w:rsidRPr="00175D8B" w14:paraId="4BBBDC93" w14:textId="77777777" w:rsidTr="00DF417A">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2F2F2"/>
          </w:tcPr>
          <w:p w14:paraId="1CA2DE68" w14:textId="77777777" w:rsidR="00AB748C" w:rsidRPr="00175D8B" w:rsidRDefault="00AB748C" w:rsidP="00DF417A">
            <w:pPr>
              <w:jc w:val="left"/>
              <w:rPr>
                <w:rFonts w:eastAsia="Aptos" w:cs="Aptos"/>
                <w:sz w:val="20"/>
                <w:szCs w:val="20"/>
              </w:rPr>
            </w:pPr>
            <w:r w:rsidRPr="00175D8B">
              <w:rPr>
                <w:rFonts w:eastAsia="Aptos" w:cs="Aptos"/>
                <w:sz w:val="20"/>
                <w:szCs w:val="20"/>
              </w:rPr>
              <w:t>Emergency Drills</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cPr>
          <w:p w14:paraId="2F3AF58D" w14:textId="77777777" w:rsidR="00AB748C" w:rsidRPr="00175D8B" w:rsidRDefault="00AB748C" w:rsidP="00DF417A">
            <w:pPr>
              <w:jc w:val="left"/>
              <w:rPr>
                <w:rFonts w:eastAsia="Aptos" w:cs="Aptos"/>
                <w:sz w:val="20"/>
                <w:szCs w:val="20"/>
              </w:rPr>
            </w:pPr>
            <w:r w:rsidRPr="00175D8B">
              <w:rPr>
                <w:rFonts w:eastAsia="Aptos" w:cs="Aptos"/>
                <w:sz w:val="20"/>
                <w:szCs w:val="20"/>
              </w:rPr>
              <w:t>Twice a year</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03EAFDCA" w14:textId="77777777" w:rsidR="00AB748C" w:rsidRPr="00175D8B" w:rsidRDefault="00AB748C" w:rsidP="00DF417A">
            <w:pPr>
              <w:jc w:val="left"/>
              <w:rPr>
                <w:rFonts w:eastAsia="Aptos" w:cs="Aptos"/>
                <w:sz w:val="20"/>
                <w:szCs w:val="20"/>
              </w:rPr>
            </w:pPr>
            <w:r w:rsidRPr="00175D8B">
              <w:rPr>
                <w:rFonts w:eastAsia="Aptos" w:cs="Aptos"/>
                <w:sz w:val="20"/>
                <w:szCs w:val="20"/>
              </w:rPr>
              <w:t>H&amp;S Records</w:t>
            </w:r>
          </w:p>
          <w:p w14:paraId="6916E082" w14:textId="77777777" w:rsidR="00AB748C" w:rsidRPr="00175D8B" w:rsidRDefault="00AB748C" w:rsidP="00DF417A">
            <w:pPr>
              <w:jc w:val="left"/>
              <w:rPr>
                <w:rFonts w:eastAsia="Aptos" w:cs="Aptos"/>
                <w:sz w:val="20"/>
                <w:szCs w:val="20"/>
              </w:rPr>
            </w:pPr>
            <w:r w:rsidRPr="00175D8B">
              <w:rPr>
                <w:rFonts w:eastAsia="Aptos" w:cs="Aptos"/>
                <w:sz w:val="20"/>
                <w:szCs w:val="20"/>
              </w:rPr>
              <w:t>Audit Reports</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cPr>
          <w:p w14:paraId="2DAFC8EC" w14:textId="77777777" w:rsidR="00AB748C" w:rsidRPr="00175D8B" w:rsidRDefault="00AB748C" w:rsidP="00DF417A">
            <w:pPr>
              <w:jc w:val="left"/>
              <w:rPr>
                <w:rFonts w:eastAsia="Aptos" w:cs="Aptos"/>
                <w:sz w:val="20"/>
                <w:szCs w:val="20"/>
              </w:rPr>
            </w:pPr>
            <w:r w:rsidRPr="00175D8B">
              <w:rPr>
                <w:rFonts w:eastAsia="Aptos" w:cs="Aptos"/>
                <w:sz w:val="20"/>
                <w:szCs w:val="20"/>
              </w:rPr>
              <w:t>Project Manager</w:t>
            </w:r>
          </w:p>
        </w:tc>
      </w:tr>
      <w:tr w:rsidR="00AB748C" w:rsidRPr="00175D8B" w14:paraId="6D241BEB" w14:textId="77777777" w:rsidTr="00DF417A">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2F2F2"/>
          </w:tcPr>
          <w:p w14:paraId="0109E140" w14:textId="77777777" w:rsidR="00AB748C" w:rsidRPr="00175D8B" w:rsidRDefault="00AB748C" w:rsidP="00DF417A">
            <w:pPr>
              <w:jc w:val="left"/>
              <w:rPr>
                <w:rFonts w:eastAsia="Aptos" w:cs="Aptos"/>
                <w:sz w:val="20"/>
                <w:szCs w:val="20"/>
              </w:rPr>
            </w:pPr>
            <w:r w:rsidRPr="00175D8B">
              <w:rPr>
                <w:rFonts w:eastAsia="Aptos" w:cs="Aptos"/>
                <w:sz w:val="20"/>
                <w:szCs w:val="20"/>
              </w:rPr>
              <w:t xml:space="preserve">H&amp;S Reporting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cPr>
          <w:p w14:paraId="731312AA" w14:textId="77777777" w:rsidR="00AB748C" w:rsidRPr="00175D8B" w:rsidRDefault="00AB748C" w:rsidP="00DF417A">
            <w:pPr>
              <w:jc w:val="left"/>
              <w:rPr>
                <w:rFonts w:eastAsia="Aptos" w:cs="Aptos"/>
                <w:sz w:val="20"/>
                <w:szCs w:val="20"/>
              </w:rPr>
            </w:pPr>
            <w:r w:rsidRPr="00175D8B">
              <w:rPr>
                <w:rFonts w:eastAsia="Aptos" w:cs="Aptos"/>
                <w:sz w:val="20"/>
                <w:szCs w:val="20"/>
              </w:rPr>
              <w:t>Quarterly</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3DBFE95D" w14:textId="77777777" w:rsidR="00AB748C" w:rsidRPr="00175D8B" w:rsidRDefault="00AB748C" w:rsidP="00DF417A">
            <w:pPr>
              <w:jc w:val="left"/>
              <w:rPr>
                <w:rFonts w:eastAsia="Aptos" w:cs="Aptos"/>
                <w:sz w:val="20"/>
                <w:szCs w:val="20"/>
              </w:rPr>
            </w:pPr>
            <w:r w:rsidRPr="00175D8B">
              <w:rPr>
                <w:rFonts w:eastAsia="Aptos" w:cs="Aptos"/>
                <w:sz w:val="20"/>
                <w:szCs w:val="20"/>
              </w:rPr>
              <w:t>Quarterly Monitoring Reports</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cPr>
          <w:p w14:paraId="06685F7E" w14:textId="77777777" w:rsidR="00AB748C" w:rsidRPr="00175D8B" w:rsidRDefault="00AB748C" w:rsidP="00DF417A">
            <w:pPr>
              <w:jc w:val="left"/>
              <w:rPr>
                <w:rFonts w:eastAsia="Aptos" w:cs="Aptos"/>
                <w:sz w:val="20"/>
                <w:szCs w:val="20"/>
              </w:rPr>
            </w:pPr>
            <w:r w:rsidRPr="00175D8B">
              <w:rPr>
                <w:rFonts w:eastAsia="Aptos" w:cs="Aptos"/>
                <w:sz w:val="20"/>
                <w:szCs w:val="20"/>
              </w:rPr>
              <w:t>Project Manager</w:t>
            </w:r>
          </w:p>
        </w:tc>
      </w:tr>
    </w:tbl>
    <w:p w14:paraId="1D4FFA96" w14:textId="77777777" w:rsidR="00AB748C" w:rsidRPr="00175D8B" w:rsidRDefault="00AB748C" w:rsidP="00AB748C"/>
    <w:p w14:paraId="204D1BD8" w14:textId="77777777" w:rsidR="00AB748C" w:rsidRPr="00175D8B" w:rsidRDefault="00AB748C" w:rsidP="00AB748C">
      <w:pPr>
        <w:jc w:val="center"/>
        <w:rPr>
          <w:b/>
          <w:i/>
          <w:sz w:val="20"/>
          <w:szCs w:val="20"/>
        </w:rPr>
      </w:pPr>
      <w:r w:rsidRPr="00175D8B">
        <w:rPr>
          <w:b/>
          <w:i/>
          <w:sz w:val="20"/>
          <w:szCs w:val="20"/>
        </w:rPr>
        <w:t>Lagging Indicators</w:t>
      </w:r>
    </w:p>
    <w:tbl>
      <w:tblPr>
        <w:tblStyle w:val="6"/>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7"/>
        <w:gridCol w:w="2003"/>
        <w:gridCol w:w="1638"/>
        <w:gridCol w:w="1554"/>
      </w:tblGrid>
      <w:tr w:rsidR="00AB748C" w:rsidRPr="00175D8B" w14:paraId="77C846CB" w14:textId="77777777" w:rsidTr="00DF417A">
        <w:trPr>
          <w:jc w:val="center"/>
        </w:trPr>
        <w:tc>
          <w:tcPr>
            <w:tcW w:w="3867" w:type="dxa"/>
            <w:tcBorders>
              <w:top w:val="single" w:sz="4" w:space="0" w:color="000000"/>
              <w:left w:val="single" w:sz="4" w:space="0" w:color="000000"/>
              <w:bottom w:val="single" w:sz="4" w:space="0" w:color="000000"/>
              <w:right w:val="single" w:sz="4" w:space="0" w:color="000000"/>
            </w:tcBorders>
            <w:shd w:val="clear" w:color="auto" w:fill="ABB7C1"/>
          </w:tcPr>
          <w:p w14:paraId="4931EEA8" w14:textId="77777777" w:rsidR="00AB748C" w:rsidRPr="00175D8B" w:rsidRDefault="00AB748C" w:rsidP="00DF417A">
            <w:pPr>
              <w:spacing w:after="160"/>
              <w:jc w:val="left"/>
              <w:rPr>
                <w:rFonts w:cs="Aptos"/>
                <w:sz w:val="18"/>
              </w:rPr>
            </w:pPr>
            <w:r w:rsidRPr="00175D8B">
              <w:rPr>
                <w:rFonts w:cs="Aptos"/>
                <w:sz w:val="18"/>
              </w:rPr>
              <w:t>Key Performance Indicator</w:t>
            </w:r>
          </w:p>
        </w:tc>
        <w:tc>
          <w:tcPr>
            <w:tcW w:w="2003" w:type="dxa"/>
            <w:tcBorders>
              <w:top w:val="single" w:sz="4" w:space="0" w:color="000000"/>
              <w:left w:val="single" w:sz="4" w:space="0" w:color="000000"/>
              <w:bottom w:val="single" w:sz="4" w:space="0" w:color="000000"/>
              <w:right w:val="single" w:sz="4" w:space="0" w:color="000000"/>
            </w:tcBorders>
            <w:shd w:val="clear" w:color="auto" w:fill="ABB7C1"/>
          </w:tcPr>
          <w:p w14:paraId="1B9D7DEC" w14:textId="77777777" w:rsidR="00AB748C" w:rsidRPr="00175D8B" w:rsidRDefault="00AB748C" w:rsidP="00DF417A">
            <w:pPr>
              <w:spacing w:after="160"/>
              <w:jc w:val="left"/>
              <w:rPr>
                <w:rFonts w:cs="Aptos"/>
                <w:sz w:val="18"/>
              </w:rPr>
            </w:pPr>
            <w:r w:rsidRPr="00175D8B">
              <w:rPr>
                <w:rFonts w:cs="Aptos"/>
                <w:sz w:val="18"/>
              </w:rPr>
              <w:t>Target</w:t>
            </w:r>
          </w:p>
        </w:tc>
        <w:tc>
          <w:tcPr>
            <w:tcW w:w="1638" w:type="dxa"/>
            <w:tcBorders>
              <w:top w:val="single" w:sz="4" w:space="0" w:color="000000"/>
              <w:left w:val="single" w:sz="4" w:space="0" w:color="000000"/>
              <w:bottom w:val="single" w:sz="4" w:space="0" w:color="000000"/>
              <w:right w:val="single" w:sz="4" w:space="0" w:color="000000"/>
            </w:tcBorders>
            <w:shd w:val="clear" w:color="auto" w:fill="ABB7C1"/>
          </w:tcPr>
          <w:p w14:paraId="03F486E1" w14:textId="77777777" w:rsidR="00AB748C" w:rsidRPr="00175D8B" w:rsidRDefault="00AB748C" w:rsidP="00DF417A">
            <w:pPr>
              <w:spacing w:after="160"/>
              <w:jc w:val="left"/>
              <w:rPr>
                <w:rFonts w:cs="Aptos"/>
                <w:sz w:val="18"/>
              </w:rPr>
            </w:pPr>
            <w:r w:rsidRPr="00175D8B">
              <w:rPr>
                <w:rFonts w:cs="Aptos"/>
                <w:sz w:val="18"/>
              </w:rPr>
              <w:t>Record</w:t>
            </w:r>
          </w:p>
        </w:tc>
        <w:tc>
          <w:tcPr>
            <w:tcW w:w="1554" w:type="dxa"/>
            <w:tcBorders>
              <w:top w:val="single" w:sz="4" w:space="0" w:color="000000"/>
              <w:left w:val="single" w:sz="4" w:space="0" w:color="000000"/>
              <w:bottom w:val="single" w:sz="4" w:space="0" w:color="000000"/>
              <w:right w:val="single" w:sz="4" w:space="0" w:color="000000"/>
            </w:tcBorders>
            <w:shd w:val="clear" w:color="auto" w:fill="ABB7C1"/>
          </w:tcPr>
          <w:p w14:paraId="56E7056F" w14:textId="77777777" w:rsidR="00AB748C" w:rsidRPr="00175D8B" w:rsidRDefault="00AB748C" w:rsidP="00DF417A">
            <w:pPr>
              <w:spacing w:after="160"/>
              <w:jc w:val="left"/>
              <w:rPr>
                <w:rFonts w:cs="Aptos"/>
                <w:sz w:val="18"/>
              </w:rPr>
            </w:pPr>
            <w:r w:rsidRPr="00175D8B">
              <w:rPr>
                <w:rFonts w:cs="Aptos"/>
                <w:sz w:val="18"/>
              </w:rPr>
              <w:t>Responsibility</w:t>
            </w:r>
          </w:p>
        </w:tc>
      </w:tr>
      <w:tr w:rsidR="00AB748C" w:rsidRPr="00175D8B" w14:paraId="54A3BB96" w14:textId="77777777" w:rsidTr="00DF417A">
        <w:trPr>
          <w:jc w:val="center"/>
        </w:trPr>
        <w:tc>
          <w:tcPr>
            <w:tcW w:w="3867" w:type="dxa"/>
            <w:tcBorders>
              <w:top w:val="single" w:sz="4" w:space="0" w:color="000000"/>
              <w:left w:val="single" w:sz="4" w:space="0" w:color="000000"/>
              <w:bottom w:val="single" w:sz="4" w:space="0" w:color="000000"/>
              <w:right w:val="single" w:sz="4" w:space="0" w:color="000000"/>
            </w:tcBorders>
            <w:shd w:val="clear" w:color="auto" w:fill="F2F2F2"/>
          </w:tcPr>
          <w:p w14:paraId="5950C0EC" w14:textId="77777777" w:rsidR="00AB748C" w:rsidRPr="00175D8B" w:rsidRDefault="00AB748C" w:rsidP="00DF417A">
            <w:pPr>
              <w:spacing w:after="160"/>
              <w:jc w:val="left"/>
              <w:rPr>
                <w:rFonts w:cs="Aptos"/>
                <w:sz w:val="18"/>
              </w:rPr>
            </w:pPr>
            <w:r w:rsidRPr="00175D8B">
              <w:rPr>
                <w:rFonts w:cs="Aptos"/>
                <w:sz w:val="18"/>
              </w:rPr>
              <w:t>Number of fatalities</w:t>
            </w:r>
          </w:p>
        </w:tc>
        <w:tc>
          <w:tcPr>
            <w:tcW w:w="2003" w:type="dxa"/>
            <w:tcBorders>
              <w:top w:val="single" w:sz="4" w:space="0" w:color="000000"/>
              <w:left w:val="single" w:sz="4" w:space="0" w:color="000000"/>
              <w:bottom w:val="single" w:sz="4" w:space="0" w:color="000000"/>
              <w:right w:val="single" w:sz="4" w:space="0" w:color="000000"/>
            </w:tcBorders>
            <w:shd w:val="clear" w:color="auto" w:fill="F2F2F2"/>
          </w:tcPr>
          <w:p w14:paraId="0A05FC39" w14:textId="77777777" w:rsidR="00AB748C" w:rsidRPr="00175D8B" w:rsidRDefault="00AB748C" w:rsidP="00DF417A">
            <w:pPr>
              <w:spacing w:after="160"/>
              <w:jc w:val="left"/>
              <w:rPr>
                <w:rFonts w:cs="Aptos"/>
                <w:sz w:val="18"/>
              </w:rPr>
            </w:pPr>
            <w:r w:rsidRPr="00175D8B">
              <w:rPr>
                <w:rFonts w:cs="Aptos"/>
                <w:sz w:val="18"/>
              </w:rPr>
              <w:t>0 in a year</w:t>
            </w:r>
          </w:p>
        </w:tc>
        <w:tc>
          <w:tcPr>
            <w:tcW w:w="1638" w:type="dxa"/>
            <w:tcBorders>
              <w:top w:val="single" w:sz="4" w:space="0" w:color="000000"/>
              <w:left w:val="single" w:sz="4" w:space="0" w:color="000000"/>
              <w:bottom w:val="single" w:sz="4" w:space="0" w:color="000000"/>
              <w:right w:val="single" w:sz="4" w:space="0" w:color="000000"/>
            </w:tcBorders>
            <w:shd w:val="clear" w:color="auto" w:fill="F2F2F2"/>
          </w:tcPr>
          <w:p w14:paraId="22A9CC0F" w14:textId="77777777" w:rsidR="00AB748C" w:rsidRPr="00175D8B" w:rsidRDefault="00AB748C" w:rsidP="00DF417A">
            <w:pPr>
              <w:spacing w:after="160"/>
              <w:jc w:val="left"/>
              <w:rPr>
                <w:rFonts w:cs="Aptos"/>
                <w:sz w:val="18"/>
              </w:rPr>
            </w:pPr>
            <w:r w:rsidRPr="00175D8B">
              <w:rPr>
                <w:rFonts w:cs="Aptos"/>
                <w:sz w:val="18"/>
              </w:rPr>
              <w:t>H&amp;S Records</w:t>
            </w:r>
          </w:p>
          <w:p w14:paraId="67061B83" w14:textId="77777777" w:rsidR="00AB748C" w:rsidRPr="00175D8B" w:rsidRDefault="00AB748C" w:rsidP="00DF417A">
            <w:pPr>
              <w:spacing w:after="160"/>
              <w:jc w:val="left"/>
              <w:rPr>
                <w:rFonts w:cs="Aptos"/>
                <w:sz w:val="18"/>
              </w:rPr>
            </w:pPr>
            <w:r w:rsidRPr="00175D8B">
              <w:rPr>
                <w:rFonts w:cs="Aptos"/>
                <w:sz w:val="18"/>
              </w:rPr>
              <w:t>Incident Reports</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cPr>
          <w:p w14:paraId="705A560A" w14:textId="77777777" w:rsidR="00AB748C" w:rsidRPr="00175D8B" w:rsidRDefault="00AB748C" w:rsidP="00DF417A">
            <w:pPr>
              <w:spacing w:after="160"/>
              <w:jc w:val="left"/>
              <w:rPr>
                <w:rFonts w:cs="Aptos"/>
                <w:sz w:val="18"/>
              </w:rPr>
            </w:pPr>
            <w:r w:rsidRPr="00175D8B">
              <w:rPr>
                <w:rFonts w:cs="Aptos"/>
                <w:sz w:val="18"/>
              </w:rPr>
              <w:t>Project Manager</w:t>
            </w:r>
          </w:p>
        </w:tc>
      </w:tr>
      <w:tr w:rsidR="00AB748C" w:rsidRPr="00175D8B" w14:paraId="7E39F028" w14:textId="77777777" w:rsidTr="00DF417A">
        <w:trPr>
          <w:jc w:val="center"/>
        </w:trPr>
        <w:tc>
          <w:tcPr>
            <w:tcW w:w="3867" w:type="dxa"/>
            <w:tcBorders>
              <w:top w:val="single" w:sz="4" w:space="0" w:color="000000"/>
              <w:left w:val="single" w:sz="4" w:space="0" w:color="000000"/>
              <w:bottom w:val="single" w:sz="4" w:space="0" w:color="000000"/>
              <w:right w:val="single" w:sz="4" w:space="0" w:color="000000"/>
            </w:tcBorders>
            <w:shd w:val="clear" w:color="auto" w:fill="F2F2F2"/>
          </w:tcPr>
          <w:p w14:paraId="2860505F" w14:textId="77777777" w:rsidR="00AB748C" w:rsidRPr="00175D8B" w:rsidRDefault="00AB748C" w:rsidP="00DF417A">
            <w:pPr>
              <w:spacing w:after="160"/>
              <w:jc w:val="left"/>
              <w:rPr>
                <w:rFonts w:cs="Aptos"/>
                <w:sz w:val="18"/>
              </w:rPr>
            </w:pPr>
            <w:r w:rsidRPr="00175D8B">
              <w:rPr>
                <w:rFonts w:cs="Aptos"/>
                <w:sz w:val="18"/>
              </w:rPr>
              <w:t>Lost Time Incident</w:t>
            </w:r>
          </w:p>
        </w:tc>
        <w:tc>
          <w:tcPr>
            <w:tcW w:w="2003" w:type="dxa"/>
            <w:tcBorders>
              <w:top w:val="single" w:sz="4" w:space="0" w:color="000000"/>
              <w:left w:val="single" w:sz="4" w:space="0" w:color="000000"/>
              <w:bottom w:val="single" w:sz="4" w:space="0" w:color="000000"/>
              <w:right w:val="single" w:sz="4" w:space="0" w:color="000000"/>
            </w:tcBorders>
            <w:shd w:val="clear" w:color="auto" w:fill="F2F2F2"/>
          </w:tcPr>
          <w:p w14:paraId="11F80F0D" w14:textId="77777777" w:rsidR="00AB748C" w:rsidRPr="00175D8B" w:rsidRDefault="00AB748C" w:rsidP="00DF417A">
            <w:pPr>
              <w:spacing w:after="160"/>
              <w:jc w:val="left"/>
              <w:rPr>
                <w:rFonts w:cs="Aptos"/>
                <w:sz w:val="18"/>
              </w:rPr>
            </w:pPr>
            <w:r w:rsidRPr="00175D8B">
              <w:rPr>
                <w:rFonts w:cs="Aptos"/>
                <w:sz w:val="18"/>
              </w:rPr>
              <w:t>0 hours in a year</w:t>
            </w:r>
          </w:p>
        </w:tc>
        <w:tc>
          <w:tcPr>
            <w:tcW w:w="1638" w:type="dxa"/>
            <w:tcBorders>
              <w:top w:val="single" w:sz="4" w:space="0" w:color="000000"/>
              <w:left w:val="single" w:sz="4" w:space="0" w:color="000000"/>
              <w:bottom w:val="single" w:sz="4" w:space="0" w:color="000000"/>
              <w:right w:val="single" w:sz="4" w:space="0" w:color="000000"/>
            </w:tcBorders>
            <w:shd w:val="clear" w:color="auto" w:fill="F2F2F2"/>
          </w:tcPr>
          <w:p w14:paraId="74662496" w14:textId="77777777" w:rsidR="00AB748C" w:rsidRPr="00175D8B" w:rsidRDefault="00AB748C" w:rsidP="00DF417A">
            <w:pPr>
              <w:spacing w:after="160"/>
              <w:jc w:val="left"/>
              <w:rPr>
                <w:rFonts w:cs="Aptos"/>
                <w:sz w:val="18"/>
              </w:rPr>
            </w:pPr>
            <w:r w:rsidRPr="00175D8B">
              <w:rPr>
                <w:rFonts w:cs="Aptos"/>
                <w:sz w:val="18"/>
              </w:rPr>
              <w:t>H&amp;S Records</w:t>
            </w:r>
          </w:p>
          <w:p w14:paraId="0D96778C" w14:textId="77777777" w:rsidR="00AB748C" w:rsidRPr="00175D8B" w:rsidRDefault="00AB748C" w:rsidP="00DF417A">
            <w:pPr>
              <w:spacing w:after="160"/>
              <w:jc w:val="left"/>
              <w:rPr>
                <w:rFonts w:cs="Aptos"/>
                <w:sz w:val="18"/>
              </w:rPr>
            </w:pPr>
            <w:r w:rsidRPr="00175D8B">
              <w:rPr>
                <w:rFonts w:cs="Aptos"/>
                <w:sz w:val="18"/>
              </w:rPr>
              <w:t>Incident Reports</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cPr>
          <w:p w14:paraId="6074DC72" w14:textId="77777777" w:rsidR="00AB748C" w:rsidRPr="00175D8B" w:rsidRDefault="00AB748C" w:rsidP="00DF417A">
            <w:pPr>
              <w:spacing w:after="160"/>
              <w:jc w:val="left"/>
              <w:rPr>
                <w:rFonts w:cs="Aptos"/>
                <w:sz w:val="18"/>
              </w:rPr>
            </w:pPr>
            <w:r w:rsidRPr="00175D8B">
              <w:rPr>
                <w:rFonts w:cs="Aptos"/>
                <w:sz w:val="18"/>
              </w:rPr>
              <w:t>Project Manager</w:t>
            </w:r>
          </w:p>
        </w:tc>
      </w:tr>
      <w:tr w:rsidR="00AB748C" w:rsidRPr="00175D8B" w14:paraId="60A1840E" w14:textId="77777777" w:rsidTr="00DF417A">
        <w:trPr>
          <w:jc w:val="center"/>
        </w:trPr>
        <w:tc>
          <w:tcPr>
            <w:tcW w:w="3867" w:type="dxa"/>
            <w:tcBorders>
              <w:top w:val="single" w:sz="4" w:space="0" w:color="000000"/>
              <w:left w:val="single" w:sz="4" w:space="0" w:color="000000"/>
              <w:bottom w:val="single" w:sz="4" w:space="0" w:color="000000"/>
              <w:right w:val="single" w:sz="4" w:space="0" w:color="000000"/>
            </w:tcBorders>
            <w:shd w:val="clear" w:color="auto" w:fill="F2F2F2"/>
          </w:tcPr>
          <w:p w14:paraId="0FBF1A35" w14:textId="77777777" w:rsidR="00AB748C" w:rsidRPr="00175D8B" w:rsidRDefault="00AB748C" w:rsidP="00DF417A">
            <w:pPr>
              <w:spacing w:after="160"/>
              <w:jc w:val="left"/>
              <w:rPr>
                <w:rFonts w:cs="Aptos"/>
                <w:sz w:val="18"/>
              </w:rPr>
            </w:pPr>
            <w:r w:rsidRPr="00175D8B">
              <w:rPr>
                <w:rFonts w:cs="Aptos"/>
                <w:sz w:val="18"/>
              </w:rPr>
              <w:t>Total Recordable Injury</w:t>
            </w:r>
          </w:p>
        </w:tc>
        <w:tc>
          <w:tcPr>
            <w:tcW w:w="2003" w:type="dxa"/>
            <w:tcBorders>
              <w:top w:val="single" w:sz="4" w:space="0" w:color="000000"/>
              <w:left w:val="single" w:sz="4" w:space="0" w:color="000000"/>
              <w:bottom w:val="single" w:sz="4" w:space="0" w:color="000000"/>
              <w:right w:val="single" w:sz="4" w:space="0" w:color="000000"/>
            </w:tcBorders>
            <w:shd w:val="clear" w:color="auto" w:fill="F2F2F2"/>
          </w:tcPr>
          <w:p w14:paraId="315D177B" w14:textId="77777777" w:rsidR="00AB748C" w:rsidRPr="00175D8B" w:rsidRDefault="00AB748C" w:rsidP="00DF417A">
            <w:pPr>
              <w:spacing w:after="160"/>
              <w:jc w:val="left"/>
              <w:rPr>
                <w:rFonts w:cs="Aptos"/>
                <w:sz w:val="18"/>
              </w:rPr>
            </w:pPr>
            <w:r w:rsidRPr="00175D8B">
              <w:rPr>
                <w:rFonts w:cs="Aptos"/>
                <w:sz w:val="18"/>
              </w:rPr>
              <w:t>0 hours in a year</w:t>
            </w:r>
          </w:p>
        </w:tc>
        <w:tc>
          <w:tcPr>
            <w:tcW w:w="1638" w:type="dxa"/>
            <w:tcBorders>
              <w:top w:val="single" w:sz="4" w:space="0" w:color="000000"/>
              <w:left w:val="single" w:sz="4" w:space="0" w:color="000000"/>
              <w:bottom w:val="single" w:sz="4" w:space="0" w:color="000000"/>
              <w:right w:val="single" w:sz="4" w:space="0" w:color="000000"/>
            </w:tcBorders>
            <w:shd w:val="clear" w:color="auto" w:fill="F2F2F2"/>
          </w:tcPr>
          <w:p w14:paraId="5B5A9450" w14:textId="77777777" w:rsidR="00AB748C" w:rsidRPr="00175D8B" w:rsidRDefault="00AB748C" w:rsidP="00DF417A">
            <w:pPr>
              <w:spacing w:after="160"/>
              <w:jc w:val="left"/>
              <w:rPr>
                <w:rFonts w:cs="Aptos"/>
                <w:sz w:val="18"/>
              </w:rPr>
            </w:pPr>
            <w:r w:rsidRPr="00175D8B">
              <w:rPr>
                <w:rFonts w:cs="Aptos"/>
                <w:sz w:val="18"/>
              </w:rPr>
              <w:t>H&amp;S Records</w:t>
            </w:r>
          </w:p>
          <w:p w14:paraId="3CF8979B" w14:textId="77777777" w:rsidR="00AB748C" w:rsidRPr="00175D8B" w:rsidRDefault="00AB748C" w:rsidP="00DF417A">
            <w:pPr>
              <w:spacing w:after="160"/>
              <w:jc w:val="left"/>
              <w:rPr>
                <w:rFonts w:cs="Aptos"/>
                <w:sz w:val="18"/>
              </w:rPr>
            </w:pPr>
            <w:r w:rsidRPr="00175D8B">
              <w:rPr>
                <w:rFonts w:cs="Aptos"/>
                <w:sz w:val="18"/>
              </w:rPr>
              <w:t>Incident Reports</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cPr>
          <w:p w14:paraId="27DCE748" w14:textId="77777777" w:rsidR="00AB748C" w:rsidRPr="00175D8B" w:rsidRDefault="00AB748C" w:rsidP="00DF417A">
            <w:pPr>
              <w:spacing w:after="160"/>
              <w:jc w:val="left"/>
              <w:rPr>
                <w:rFonts w:cs="Aptos"/>
                <w:sz w:val="18"/>
              </w:rPr>
            </w:pPr>
            <w:r w:rsidRPr="00175D8B">
              <w:rPr>
                <w:rFonts w:cs="Aptos"/>
                <w:sz w:val="18"/>
              </w:rPr>
              <w:t>HS Expert</w:t>
            </w:r>
          </w:p>
        </w:tc>
      </w:tr>
      <w:tr w:rsidR="00AB748C" w:rsidRPr="00175D8B" w14:paraId="2C6E9899" w14:textId="77777777" w:rsidTr="00DF417A">
        <w:trPr>
          <w:jc w:val="center"/>
        </w:trPr>
        <w:tc>
          <w:tcPr>
            <w:tcW w:w="3867" w:type="dxa"/>
            <w:tcBorders>
              <w:top w:val="single" w:sz="4" w:space="0" w:color="000000"/>
              <w:left w:val="single" w:sz="4" w:space="0" w:color="000000"/>
              <w:bottom w:val="single" w:sz="4" w:space="0" w:color="000000"/>
              <w:right w:val="single" w:sz="4" w:space="0" w:color="000000"/>
            </w:tcBorders>
            <w:shd w:val="clear" w:color="auto" w:fill="F2F2F2"/>
          </w:tcPr>
          <w:p w14:paraId="2F53F131" w14:textId="77777777" w:rsidR="00AB748C" w:rsidRPr="00175D8B" w:rsidRDefault="00AB748C" w:rsidP="00DF417A">
            <w:pPr>
              <w:spacing w:after="160"/>
              <w:jc w:val="left"/>
              <w:rPr>
                <w:rFonts w:cs="Aptos"/>
                <w:sz w:val="18"/>
              </w:rPr>
            </w:pPr>
            <w:r w:rsidRPr="00175D8B">
              <w:rPr>
                <w:rFonts w:cs="Aptos"/>
                <w:sz w:val="18"/>
              </w:rPr>
              <w:t>Incidents reported and investigated</w:t>
            </w:r>
          </w:p>
        </w:tc>
        <w:tc>
          <w:tcPr>
            <w:tcW w:w="2003" w:type="dxa"/>
            <w:tcBorders>
              <w:top w:val="single" w:sz="4" w:space="0" w:color="000000"/>
              <w:left w:val="single" w:sz="4" w:space="0" w:color="000000"/>
              <w:bottom w:val="single" w:sz="4" w:space="0" w:color="000000"/>
              <w:right w:val="single" w:sz="4" w:space="0" w:color="000000"/>
            </w:tcBorders>
            <w:shd w:val="clear" w:color="auto" w:fill="F2F2F2"/>
          </w:tcPr>
          <w:p w14:paraId="4258B20D" w14:textId="77777777" w:rsidR="00AB748C" w:rsidRPr="00175D8B" w:rsidRDefault="00AB748C" w:rsidP="00DF417A">
            <w:pPr>
              <w:spacing w:after="160"/>
              <w:jc w:val="left"/>
              <w:rPr>
                <w:rFonts w:cs="Aptos"/>
                <w:sz w:val="18"/>
              </w:rPr>
            </w:pPr>
            <w:r w:rsidRPr="00175D8B">
              <w:rPr>
                <w:rFonts w:cs="Aptos"/>
                <w:sz w:val="18"/>
              </w:rPr>
              <w:t>After each incident</w:t>
            </w:r>
          </w:p>
        </w:tc>
        <w:tc>
          <w:tcPr>
            <w:tcW w:w="1638" w:type="dxa"/>
            <w:tcBorders>
              <w:top w:val="single" w:sz="4" w:space="0" w:color="000000"/>
              <w:left w:val="single" w:sz="4" w:space="0" w:color="000000"/>
              <w:bottom w:val="single" w:sz="4" w:space="0" w:color="000000"/>
              <w:right w:val="single" w:sz="4" w:space="0" w:color="000000"/>
            </w:tcBorders>
            <w:shd w:val="clear" w:color="auto" w:fill="F2F2F2"/>
          </w:tcPr>
          <w:p w14:paraId="5FB380FA" w14:textId="77777777" w:rsidR="00AB748C" w:rsidRPr="00175D8B" w:rsidRDefault="00AB748C" w:rsidP="00DF417A">
            <w:pPr>
              <w:spacing w:after="160"/>
              <w:jc w:val="left"/>
              <w:rPr>
                <w:rFonts w:cs="Aptos"/>
                <w:sz w:val="18"/>
              </w:rPr>
            </w:pPr>
            <w:r w:rsidRPr="00175D8B">
              <w:rPr>
                <w:rFonts w:cs="Aptos"/>
                <w:sz w:val="18"/>
              </w:rPr>
              <w:t>H&amp;S Records</w:t>
            </w:r>
          </w:p>
          <w:p w14:paraId="0467D203" w14:textId="77777777" w:rsidR="00AB748C" w:rsidRPr="00175D8B" w:rsidRDefault="00AB748C" w:rsidP="00DF417A">
            <w:pPr>
              <w:spacing w:after="160"/>
              <w:jc w:val="left"/>
              <w:rPr>
                <w:rFonts w:cs="Aptos"/>
                <w:sz w:val="18"/>
              </w:rPr>
            </w:pPr>
            <w:r w:rsidRPr="00175D8B">
              <w:rPr>
                <w:rFonts w:cs="Aptos"/>
                <w:sz w:val="18"/>
              </w:rPr>
              <w:t>Incident Reports</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cPr>
          <w:p w14:paraId="1DF072BE" w14:textId="77777777" w:rsidR="00AB748C" w:rsidRPr="00175D8B" w:rsidRDefault="00AB748C" w:rsidP="00DF417A">
            <w:pPr>
              <w:spacing w:after="160"/>
              <w:jc w:val="left"/>
              <w:rPr>
                <w:rFonts w:cs="Aptos"/>
                <w:sz w:val="18"/>
              </w:rPr>
            </w:pPr>
            <w:r w:rsidRPr="00175D8B">
              <w:rPr>
                <w:rFonts w:cs="Aptos"/>
                <w:sz w:val="18"/>
              </w:rPr>
              <w:t>HS Expert</w:t>
            </w:r>
          </w:p>
        </w:tc>
      </w:tr>
    </w:tbl>
    <w:p w14:paraId="29E0FA8D" w14:textId="77777777" w:rsidR="00AB748C" w:rsidRPr="00175D8B" w:rsidRDefault="00AB748C" w:rsidP="00AB748C"/>
    <w:p w14:paraId="36F8CC50" w14:textId="77777777" w:rsidR="00AB748C" w:rsidRPr="00175D8B" w:rsidRDefault="00AB748C">
      <w:pPr>
        <w:pStyle w:val="ListeParagraf"/>
        <w:numPr>
          <w:ilvl w:val="0"/>
          <w:numId w:val="36"/>
        </w:numPr>
        <w:rPr>
          <w:b/>
          <w:bCs/>
        </w:rPr>
      </w:pPr>
      <w:r w:rsidRPr="00175D8B">
        <w:rPr>
          <w:b/>
          <w:bCs/>
        </w:rPr>
        <w:t>Review &amp; Update</w:t>
      </w:r>
    </w:p>
    <w:p w14:paraId="01C2F1C8" w14:textId="77777777" w:rsidR="00AB748C" w:rsidRPr="00175D8B" w:rsidRDefault="00AB748C" w:rsidP="00AB748C">
      <w:r w:rsidRPr="00175D8B">
        <w:lastRenderedPageBreak/>
        <w:t>This Plan is a living document and will be updated as responsibilities, procedures and compliance actions are needed (for example, following a change in legislation). It is the responsibility of PMU and contractors to be fully aware of its contents. The Contractors will provide relevant training to staff and ensure that measures/commitments are implemented to ensure compliance with this Plan.</w:t>
      </w:r>
    </w:p>
    <w:p w14:paraId="15F5983F" w14:textId="09DE533A" w:rsidR="00B05B27" w:rsidRPr="00175D8B" w:rsidRDefault="00B05B27">
      <w:pPr>
        <w:spacing w:after="160" w:line="278" w:lineRule="auto"/>
        <w:jc w:val="left"/>
      </w:pPr>
      <w:r w:rsidRPr="00175D8B">
        <w:br w:type="page"/>
      </w:r>
    </w:p>
    <w:p w14:paraId="6C729AE3" w14:textId="71C33BD4" w:rsidR="00AB748C" w:rsidRPr="00175D8B" w:rsidRDefault="00AB748C" w:rsidP="00A00BA9">
      <w:pPr>
        <w:pStyle w:val="Balk1"/>
        <w:rPr>
          <w:b/>
          <w:sz w:val="28"/>
          <w:szCs w:val="28"/>
          <w:lang w:eastAsia="tr-TR"/>
        </w:rPr>
      </w:pPr>
      <w:bookmarkStart w:id="548" w:name="_Toc212541923"/>
      <w:bookmarkStart w:id="549" w:name="_Toc212542434"/>
      <w:bookmarkStart w:id="550" w:name="_Toc220672843"/>
      <w:r w:rsidRPr="00175D8B">
        <w:rPr>
          <w:b/>
          <w:sz w:val="28"/>
          <w:szCs w:val="28"/>
          <w:lang w:eastAsia="tr-TR"/>
        </w:rPr>
        <w:lastRenderedPageBreak/>
        <w:t>ANNEX 1</w:t>
      </w:r>
      <w:r w:rsidR="00A00BA9">
        <w:rPr>
          <w:b/>
          <w:sz w:val="28"/>
          <w:szCs w:val="28"/>
          <w:lang w:eastAsia="tr-TR"/>
        </w:rPr>
        <w:t>4</w:t>
      </w:r>
      <w:r w:rsidRPr="00175D8B">
        <w:rPr>
          <w:b/>
          <w:sz w:val="28"/>
          <w:szCs w:val="28"/>
          <w:lang w:eastAsia="tr-TR"/>
        </w:rPr>
        <w:t>- CONTRACTOR ENVIRONMENTAL AND SOCIAL MANAGEMENT PLAN CHECKLIST TEMPLATE</w:t>
      </w:r>
      <w:bookmarkEnd w:id="548"/>
      <w:bookmarkEnd w:id="549"/>
      <w:bookmarkEnd w:id="550"/>
    </w:p>
    <w:p w14:paraId="03ACD614" w14:textId="199CE768" w:rsidR="00AB748C" w:rsidRPr="00175D8B" w:rsidRDefault="00AB748C" w:rsidP="00AB748C">
      <w:bookmarkStart w:id="551" w:name="_Hlk209448050"/>
      <w:r w:rsidRPr="00175D8B">
        <w:rPr>
          <w:bCs/>
        </w:rPr>
        <w:t>Contractor Environmental and Social Management Plan (C-ESMP) Checklist has been prepared for the purpose of identifying and implementing measures to sustain and/or eliminate</w:t>
      </w:r>
      <w:r w:rsidR="008D7469" w:rsidRPr="00175D8B">
        <w:rPr>
          <w:bCs/>
        </w:rPr>
        <w:t xml:space="preserve"> </w:t>
      </w:r>
      <w:r w:rsidRPr="00175D8B">
        <w:rPr>
          <w:bCs/>
        </w:rPr>
        <w:t xml:space="preserve">potential environmental and social risks and impacts that may arise from the project activities to be carried out in the sub-projects of the </w:t>
      </w:r>
      <w:r w:rsidRPr="00175D8B">
        <w:rPr>
          <w:rFonts w:eastAsia="Aptos" w:cs="Aptos"/>
          <w:bCs/>
          <w:kern w:val="0"/>
          <w:sz w:val="20"/>
          <w:szCs w:val="20"/>
          <w:lang w:eastAsia="tr-TR"/>
          <w14:ligatures w14:val="none"/>
        </w:rPr>
        <w:t>Climate and Disaster Resilient Cities (CDRC) Project.</w:t>
      </w:r>
      <w:r w:rsidRPr="00175D8B">
        <w:rPr>
          <w:rStyle w:val="Kpr"/>
          <w:color w:val="auto"/>
          <w:u w:val="none"/>
          <w:vertAlign w:val="superscript"/>
        </w:rPr>
        <w:t xml:space="preserve"> </w:t>
      </w:r>
      <w:r w:rsidRPr="00175D8B">
        <w:rPr>
          <w:rStyle w:val="Kpr"/>
          <w:color w:val="auto"/>
          <w:u w:val="none"/>
          <w:vertAlign w:val="superscript"/>
        </w:rPr>
        <w:footnoteReference w:id="40"/>
      </w:r>
      <w:bookmarkEnd w:id="551"/>
      <w:r w:rsidRPr="00175D8B">
        <w:t xml:space="preserve"> </w:t>
      </w:r>
    </w:p>
    <w:p w14:paraId="189D680D" w14:textId="77777777" w:rsidR="00AB748C" w:rsidRPr="00175D8B" w:rsidRDefault="00AB748C" w:rsidP="00AB748C">
      <w:r w:rsidRPr="00175D8B">
        <w:t>C-ESMP Checklist clearly states who will take action, when and how, during the construction phase of the project to manage, monitor and keep potential environmental and social risks and impacts at an acceptable level. C-ESMP has been prepared in accordance with the CDRC Project's ESMF, SEP, LMP, which have been prepared primarily in accordance with Turkish laws and regulations, but also in accordance with World Bank policies and the ESF.</w:t>
      </w:r>
    </w:p>
    <w:p w14:paraId="69AD89B2" w14:textId="77777777" w:rsidR="00AB748C" w:rsidRPr="00175D8B" w:rsidRDefault="00AB748C" w:rsidP="00AB748C">
      <w:r w:rsidRPr="00175D8B">
        <w:t>C-ESMP Checklist refers to relevant legal and regulatory framework, assesses the environmental and social risks and impacts that will occur during the subproject, identifies guidelines and procedures to ensure that social and environmental issues are systematically addressed during the subproject phase, and discusses measures and plans to reduce, mitigate and offset adverse risks and impacts.</w:t>
      </w:r>
    </w:p>
    <w:p w14:paraId="41885CBD" w14:textId="77777777" w:rsidR="00AB748C" w:rsidRPr="00175D8B" w:rsidRDefault="00AB748C" w:rsidP="00AB748C">
      <w:r w:rsidRPr="00175D8B">
        <w:t>C-ESMP Checklist provides an environmental and social baseline for the sub-project and project site in question and a detailed list of mitigation measures to encounter the environmental and social risks. The document also clearly explains responsibilities of the parties about environmental and social monitoring.</w:t>
      </w:r>
    </w:p>
    <w:p w14:paraId="275A87CB" w14:textId="77777777" w:rsidR="00AB748C" w:rsidRPr="00175D8B" w:rsidRDefault="00AB748C" w:rsidP="00AB748C">
      <w:r w:rsidRPr="00175D8B">
        <w:t>The C-ESMP Checklist includes also the following annexes and sub-management plans:</w:t>
      </w:r>
    </w:p>
    <w:p w14:paraId="57183503" w14:textId="77777777" w:rsidR="00AB748C" w:rsidRPr="00175D8B" w:rsidRDefault="00AB748C" w:rsidP="00AB748C">
      <w:r w:rsidRPr="00175D8B">
        <w:t>Annex 1 – Sample Grievance Register Form</w:t>
      </w:r>
    </w:p>
    <w:p w14:paraId="56B68BC1" w14:textId="77777777" w:rsidR="00AB748C" w:rsidRPr="00175D8B" w:rsidRDefault="00AB748C" w:rsidP="00AB748C">
      <w:r w:rsidRPr="00175D8B">
        <w:t>Annex 2 – Sample Grievance Closure Form</w:t>
      </w:r>
    </w:p>
    <w:p w14:paraId="3E8AB3EA" w14:textId="4C355A1B" w:rsidR="00AB748C" w:rsidRPr="00175D8B" w:rsidRDefault="00AB748C" w:rsidP="00AB748C">
      <w:r w:rsidRPr="00175D8B">
        <w:t xml:space="preserve">Annex </w:t>
      </w:r>
      <w:r w:rsidR="00365CEA" w:rsidRPr="00175D8B">
        <w:t>3</w:t>
      </w:r>
      <w:r w:rsidRPr="00175D8B">
        <w:t xml:space="preserve"> – General Project and Site Information (Maps, Drawings and Photographs)</w:t>
      </w:r>
    </w:p>
    <w:p w14:paraId="6A24DB5E" w14:textId="35CE9015" w:rsidR="00AB748C" w:rsidRPr="00175D8B" w:rsidRDefault="00AB748C" w:rsidP="00AB748C">
      <w:r w:rsidRPr="00175D8B">
        <w:t xml:space="preserve">Annex </w:t>
      </w:r>
      <w:r w:rsidR="00365CEA" w:rsidRPr="00175D8B">
        <w:t>4</w:t>
      </w:r>
      <w:r w:rsidRPr="00175D8B">
        <w:t xml:space="preserve"> – Resource Efficiency and Pollution Prevention Plan</w:t>
      </w:r>
    </w:p>
    <w:p w14:paraId="23008A4E" w14:textId="507A3A0A" w:rsidR="00AB748C" w:rsidRPr="00175D8B" w:rsidRDefault="00AB748C" w:rsidP="00AB748C">
      <w:r w:rsidRPr="00175D8B">
        <w:t xml:space="preserve">Annex </w:t>
      </w:r>
      <w:r w:rsidR="00365CEA" w:rsidRPr="00175D8B">
        <w:t>5</w:t>
      </w:r>
      <w:r w:rsidRPr="00175D8B">
        <w:t xml:space="preserve"> – Community Safety and Traffic Management Plan</w:t>
      </w:r>
    </w:p>
    <w:p w14:paraId="1B69A07E" w14:textId="7C116540" w:rsidR="008D7469" w:rsidRPr="00175D8B" w:rsidRDefault="00AB748C" w:rsidP="00AB748C">
      <w:r w:rsidRPr="00175D8B">
        <w:t xml:space="preserve">Annex </w:t>
      </w:r>
      <w:r w:rsidR="00365CEA" w:rsidRPr="00175D8B">
        <w:t>6</w:t>
      </w:r>
      <w:r w:rsidRPr="00175D8B">
        <w:t xml:space="preserve"> – Code of Conduct</w:t>
      </w:r>
    </w:p>
    <w:p w14:paraId="21D39DC0" w14:textId="42663D5D" w:rsidR="00E1528E" w:rsidRPr="00175D8B" w:rsidRDefault="00AB748C" w:rsidP="00AB748C">
      <w:r w:rsidRPr="00175D8B">
        <w:lastRenderedPageBreak/>
        <w:t xml:space="preserve">Annex </w:t>
      </w:r>
      <w:r w:rsidR="00365CEA" w:rsidRPr="00175D8B">
        <w:t>7</w:t>
      </w:r>
      <w:r w:rsidRPr="00175D8B">
        <w:t xml:space="preserve"> – Waste Management Plan</w:t>
      </w:r>
    </w:p>
    <w:p w14:paraId="60EFAD28" w14:textId="674CEF07" w:rsidR="00AB748C" w:rsidRPr="00175D8B" w:rsidRDefault="00AB748C" w:rsidP="00AB748C">
      <w:r w:rsidRPr="00175D8B">
        <w:t xml:space="preserve">Annex </w:t>
      </w:r>
      <w:r w:rsidR="00365CEA" w:rsidRPr="00175D8B">
        <w:t>8</w:t>
      </w:r>
      <w:r w:rsidRPr="00175D8B">
        <w:t xml:space="preserve"> – Environmental and Social Screening Checklist</w:t>
      </w:r>
      <w:r w:rsidRPr="00175D8B">
        <w:br w:type="page"/>
      </w:r>
    </w:p>
    <w:p w14:paraId="65D2CEF7" w14:textId="44072404" w:rsidR="00AB748C" w:rsidRPr="00175D8B" w:rsidRDefault="00AB748C">
      <w:pPr>
        <w:pStyle w:val="Balk1"/>
        <w:rPr>
          <w:b/>
          <w:sz w:val="28"/>
          <w:szCs w:val="28"/>
          <w:lang w:eastAsia="tr-TR"/>
        </w:rPr>
      </w:pPr>
      <w:bookmarkStart w:id="553" w:name="_Toc212541924"/>
      <w:bookmarkStart w:id="554" w:name="_Toc212542435"/>
      <w:bookmarkStart w:id="555" w:name="_Toc220672844"/>
      <w:r w:rsidRPr="00175D8B">
        <w:rPr>
          <w:b/>
          <w:sz w:val="28"/>
          <w:szCs w:val="28"/>
          <w:lang w:eastAsia="tr-TR"/>
        </w:rPr>
        <w:lastRenderedPageBreak/>
        <w:t>ANNEX 1</w:t>
      </w:r>
      <w:r w:rsidR="00A00BA9">
        <w:rPr>
          <w:b/>
          <w:sz w:val="28"/>
          <w:szCs w:val="28"/>
          <w:lang w:eastAsia="tr-TR"/>
        </w:rPr>
        <w:t>5</w:t>
      </w:r>
      <w:r w:rsidR="004A48BF">
        <w:rPr>
          <w:b/>
          <w:sz w:val="28"/>
          <w:szCs w:val="28"/>
          <w:lang w:eastAsia="tr-TR"/>
        </w:rPr>
        <w:t xml:space="preserve"> </w:t>
      </w:r>
      <w:r w:rsidRPr="00175D8B">
        <w:rPr>
          <w:b/>
          <w:sz w:val="28"/>
          <w:szCs w:val="28"/>
          <w:lang w:eastAsia="tr-TR"/>
        </w:rPr>
        <w:t>- E&amp;S AUDIT REPORT TEMPLATE</w:t>
      </w:r>
      <w:bookmarkEnd w:id="553"/>
      <w:bookmarkEnd w:id="554"/>
      <w:bookmarkEnd w:id="555"/>
    </w:p>
    <w:p w14:paraId="635AC819" w14:textId="141F4114" w:rsidR="00AB748C" w:rsidRPr="00175D8B" w:rsidRDefault="00AB748C" w:rsidP="00AB748C">
      <w:r w:rsidRPr="00175D8B">
        <w:t xml:space="preserve">The E&amp;S Audit Report for demolition works under the CDRC Project is a key safeguard instrument designed to assess whether demolition activities carried out by beneficiaries (contractors and right holders) align with the Project’s environmental and social standards. </w:t>
      </w:r>
      <w:r w:rsidR="0019183E" w:rsidRPr="00175D8B">
        <w:t>It’s</w:t>
      </w:r>
      <w:r w:rsidRPr="00175D8B">
        <w:t xml:space="preserve"> a crucial part of the Project's E&amp;S management and is required prior to the issuance of financial support for reconstruction works.</w:t>
      </w:r>
      <w:r w:rsidRPr="00175D8B">
        <w:rPr>
          <w:rStyle w:val="Kpr"/>
          <w:color w:val="auto"/>
          <w:u w:val="none"/>
          <w:vertAlign w:val="superscript"/>
        </w:rPr>
        <w:footnoteReference w:id="41"/>
      </w:r>
    </w:p>
    <w:p w14:paraId="219C6B89" w14:textId="52D74D20" w:rsidR="0019183E" w:rsidRPr="00175D8B" w:rsidRDefault="0019183E" w:rsidP="00AB748C">
      <w:pPr>
        <w:rPr>
          <w:b/>
          <w:bCs/>
        </w:rPr>
      </w:pPr>
      <w:r w:rsidRPr="00175D8B">
        <w:rPr>
          <w:b/>
          <w:bCs/>
        </w:rPr>
        <w:t>Purpose of the Audit</w:t>
      </w:r>
    </w:p>
    <w:p w14:paraId="2CBB5647" w14:textId="312A956A" w:rsidR="00AB748C" w:rsidRPr="00175D8B" w:rsidRDefault="00AB748C" w:rsidP="00AB748C">
      <w:r w:rsidRPr="00175D8B">
        <w:t xml:space="preserve">The demolition phase of urban transformation projects presents significant environmental, </w:t>
      </w:r>
      <w:r w:rsidR="0019183E" w:rsidRPr="00175D8B">
        <w:t xml:space="preserve">occupational health and safety, and social risks—including noise, </w:t>
      </w:r>
      <w:r w:rsidRPr="00175D8B">
        <w:t>dust, waste management, traffic congestion, and safety hazards. The E&amp;S Audit serves to:</w:t>
      </w:r>
    </w:p>
    <w:p w14:paraId="29E9AA8D" w14:textId="62C3A9CC" w:rsidR="00AB748C" w:rsidRPr="00175D8B" w:rsidRDefault="00AB748C">
      <w:pPr>
        <w:pStyle w:val="ListeParagraf"/>
        <w:numPr>
          <w:ilvl w:val="0"/>
          <w:numId w:val="48"/>
        </w:numPr>
      </w:pPr>
      <w:r w:rsidRPr="00175D8B">
        <w:t xml:space="preserve">Assess compliance with national laws and </w:t>
      </w:r>
      <w:r w:rsidR="0019183E" w:rsidRPr="00175D8B">
        <w:t>the Project’s ESMF and other relevant E&amp;S instruments.</w:t>
      </w:r>
    </w:p>
    <w:p w14:paraId="0440A503" w14:textId="77777777" w:rsidR="00AB748C" w:rsidRPr="00175D8B" w:rsidRDefault="00AB748C">
      <w:pPr>
        <w:numPr>
          <w:ilvl w:val="0"/>
          <w:numId w:val="48"/>
        </w:numPr>
      </w:pPr>
      <w:r w:rsidRPr="00175D8B">
        <w:t>Identify existing gaps in environmental protection and occupational health and safety (OHS) measures.</w:t>
      </w:r>
    </w:p>
    <w:p w14:paraId="3F072A00" w14:textId="61BBE9B2" w:rsidR="00AB748C" w:rsidRPr="00175D8B" w:rsidRDefault="00AB748C">
      <w:pPr>
        <w:pStyle w:val="ListeParagraf"/>
        <w:numPr>
          <w:ilvl w:val="0"/>
          <w:numId w:val="48"/>
        </w:numPr>
      </w:pPr>
      <w:r w:rsidRPr="00175D8B">
        <w:t>Ensure that no irreversible harm is caused to people or the environment during demolition</w:t>
      </w:r>
      <w:r w:rsidR="0019183E" w:rsidRPr="00175D8B">
        <w:t xml:space="preserve"> activities.</w:t>
      </w:r>
    </w:p>
    <w:p w14:paraId="258CDE6D" w14:textId="3A2E32DB" w:rsidR="0019183E" w:rsidRPr="00175D8B" w:rsidRDefault="0019183E" w:rsidP="0019183E">
      <w:pPr>
        <w:rPr>
          <w:b/>
          <w:bCs/>
        </w:rPr>
      </w:pPr>
      <w:r w:rsidRPr="00175D8B">
        <w:rPr>
          <w:b/>
          <w:bCs/>
        </w:rPr>
        <w:t>Scope of the Audit</w:t>
      </w:r>
    </w:p>
    <w:p w14:paraId="2A5B2FFA" w14:textId="77777777" w:rsidR="0019183E" w:rsidRPr="00175D8B" w:rsidRDefault="0019183E" w:rsidP="0019183E">
      <w:r w:rsidRPr="00175D8B">
        <w:t>The audit evaluates the demolition site with regard to:</w:t>
      </w:r>
    </w:p>
    <w:p w14:paraId="074C514E" w14:textId="428184C2" w:rsidR="0019183E" w:rsidRPr="00175D8B" w:rsidRDefault="0019183E">
      <w:pPr>
        <w:pStyle w:val="ListeParagraf"/>
        <w:numPr>
          <w:ilvl w:val="0"/>
          <w:numId w:val="139"/>
        </w:numPr>
      </w:pPr>
      <w:r w:rsidRPr="00175D8B">
        <w:t xml:space="preserve">waste handling and disposal procedures, </w:t>
      </w:r>
    </w:p>
    <w:p w14:paraId="15D7DBC1" w14:textId="053B2CB2" w:rsidR="0019183E" w:rsidRPr="00175D8B" w:rsidRDefault="0019183E">
      <w:pPr>
        <w:pStyle w:val="ListeParagraf"/>
        <w:numPr>
          <w:ilvl w:val="0"/>
          <w:numId w:val="139"/>
        </w:numPr>
      </w:pPr>
      <w:r w:rsidRPr="00175D8B">
        <w:t xml:space="preserve">dust and noise generation and related mitigation measures, </w:t>
      </w:r>
    </w:p>
    <w:p w14:paraId="15163A5B" w14:textId="6F9D223B" w:rsidR="0019183E" w:rsidRPr="00175D8B" w:rsidRDefault="0019183E">
      <w:pPr>
        <w:pStyle w:val="ListeParagraf"/>
        <w:numPr>
          <w:ilvl w:val="0"/>
          <w:numId w:val="139"/>
        </w:numPr>
      </w:pPr>
      <w:r w:rsidRPr="00175D8B">
        <w:t xml:space="preserve">worker safety protocols and OHS practices, </w:t>
      </w:r>
    </w:p>
    <w:p w14:paraId="10C9743A" w14:textId="2FEE6931" w:rsidR="0019183E" w:rsidRPr="00175D8B" w:rsidRDefault="0019183E">
      <w:pPr>
        <w:pStyle w:val="ListeParagraf"/>
        <w:numPr>
          <w:ilvl w:val="0"/>
          <w:numId w:val="139"/>
        </w:numPr>
      </w:pPr>
      <w:r w:rsidRPr="00175D8B">
        <w:t xml:space="preserve">traffic and pedestrian safety around the site, </w:t>
      </w:r>
    </w:p>
    <w:p w14:paraId="1B7C8D45" w14:textId="6A4C07B8" w:rsidR="0019183E" w:rsidRPr="00175D8B" w:rsidRDefault="0019183E">
      <w:pPr>
        <w:pStyle w:val="ListeParagraf"/>
        <w:numPr>
          <w:ilvl w:val="0"/>
          <w:numId w:val="139"/>
        </w:numPr>
      </w:pPr>
      <w:r w:rsidRPr="00175D8B">
        <w:t xml:space="preserve">community health and safety concerns, </w:t>
      </w:r>
    </w:p>
    <w:p w14:paraId="14444C63" w14:textId="4A58B39F" w:rsidR="0019183E" w:rsidRPr="00175D8B" w:rsidRDefault="0019183E">
      <w:pPr>
        <w:pStyle w:val="ListeParagraf"/>
        <w:numPr>
          <w:ilvl w:val="0"/>
          <w:numId w:val="139"/>
        </w:numPr>
      </w:pPr>
      <w:r w:rsidRPr="00175D8B">
        <w:t>social impacts/risks, such as impacts on neighboring properties or vulnerable groups.</w:t>
      </w:r>
    </w:p>
    <w:p w14:paraId="62CA3172" w14:textId="52782E9C" w:rsidR="0019183E" w:rsidRPr="00175D8B" w:rsidRDefault="0019183E" w:rsidP="0019183E">
      <w:r w:rsidRPr="00175D8B">
        <w:t>The audit process includes visual observations, interviews, review of documentation, and incorporation of site photos and checklists to support findings.</w:t>
      </w:r>
    </w:p>
    <w:p w14:paraId="67A0F348" w14:textId="77777777" w:rsidR="00A22808" w:rsidRPr="00175D8B" w:rsidRDefault="00A22808" w:rsidP="0019183E"/>
    <w:p w14:paraId="349B91F0" w14:textId="56295EC7" w:rsidR="00BD6ADB" w:rsidRPr="00175D8B" w:rsidRDefault="00BD6ADB" w:rsidP="00AB748C">
      <w:pPr>
        <w:rPr>
          <w:b/>
          <w:bCs/>
        </w:rPr>
      </w:pPr>
      <w:r w:rsidRPr="00175D8B">
        <w:rPr>
          <w:b/>
          <w:bCs/>
        </w:rPr>
        <w:lastRenderedPageBreak/>
        <w:t>Requirements for Beneficiaries</w:t>
      </w:r>
    </w:p>
    <w:p w14:paraId="4020B44C" w14:textId="77777777" w:rsidR="00BD6ADB" w:rsidRPr="00175D8B" w:rsidRDefault="00BD6ADB" w:rsidP="00BD6ADB">
      <w:r w:rsidRPr="00175D8B">
        <w:t xml:space="preserve">To successfully pass the E&amp;S Audit and proceed with the next phase of the CDRC Project, potential beneficiaries must </w:t>
      </w:r>
    </w:p>
    <w:p w14:paraId="41B18B92" w14:textId="7C150409" w:rsidR="00BD6ADB" w:rsidRPr="00175D8B" w:rsidRDefault="00BD6ADB">
      <w:pPr>
        <w:pStyle w:val="ListeParagraf"/>
        <w:numPr>
          <w:ilvl w:val="0"/>
          <w:numId w:val="140"/>
        </w:numPr>
      </w:pPr>
      <w:r w:rsidRPr="00175D8B">
        <w:t xml:space="preserve">comply with legal demolition procedures, including permits and proper documentation, </w:t>
      </w:r>
    </w:p>
    <w:p w14:paraId="53443036" w14:textId="7AAC6765" w:rsidR="00BD6ADB" w:rsidRPr="00175D8B" w:rsidRDefault="00BD6ADB">
      <w:pPr>
        <w:pStyle w:val="ListeParagraf"/>
        <w:numPr>
          <w:ilvl w:val="0"/>
          <w:numId w:val="140"/>
        </w:numPr>
      </w:pPr>
      <w:r w:rsidRPr="00175D8B">
        <w:t xml:space="preserve">ensure contractors implement basic OHS measures (e.g., proper fencing, warning signs, use of PPE, and first aid availability), </w:t>
      </w:r>
    </w:p>
    <w:p w14:paraId="79FA6F17" w14:textId="1525ED25" w:rsidR="00BD6ADB" w:rsidRPr="00175D8B" w:rsidRDefault="00BD6ADB">
      <w:pPr>
        <w:pStyle w:val="ListeParagraf"/>
        <w:numPr>
          <w:ilvl w:val="0"/>
          <w:numId w:val="140"/>
        </w:numPr>
      </w:pPr>
      <w:r w:rsidRPr="00175D8B">
        <w:t xml:space="preserve">manage debris and waste in an environmentally sound manner, with records of legal disposal, </w:t>
      </w:r>
    </w:p>
    <w:p w14:paraId="1784BFA4" w14:textId="2287F212" w:rsidR="00BD6ADB" w:rsidRPr="00175D8B" w:rsidRDefault="00BD6ADB">
      <w:pPr>
        <w:pStyle w:val="ListeParagraf"/>
        <w:numPr>
          <w:ilvl w:val="0"/>
          <w:numId w:val="140"/>
        </w:numPr>
      </w:pPr>
      <w:r w:rsidRPr="00175D8B">
        <w:t xml:space="preserve">minimize disturbances to neighbors through dust suppression, noise control, and traffic safety measures, </w:t>
      </w:r>
    </w:p>
    <w:p w14:paraId="209C83CE" w14:textId="46971CEB" w:rsidR="00BD6ADB" w:rsidRPr="00175D8B" w:rsidRDefault="00BD6ADB">
      <w:pPr>
        <w:pStyle w:val="ListeParagraf"/>
        <w:numPr>
          <w:ilvl w:val="0"/>
          <w:numId w:val="140"/>
        </w:numPr>
      </w:pPr>
      <w:r w:rsidRPr="00175D8B">
        <w:t>cooperate fully with E&amp;S specialists conducting the audit by providing site access, records, and relevant personnel.</w:t>
      </w:r>
    </w:p>
    <w:p w14:paraId="23148AE6" w14:textId="3DD0D27B" w:rsidR="00BD6ADB" w:rsidRPr="00175D8B" w:rsidRDefault="00BD6ADB" w:rsidP="00B158BA">
      <w:pPr>
        <w:rPr>
          <w:b/>
          <w:bCs/>
        </w:rPr>
      </w:pPr>
      <w:r w:rsidRPr="00175D8B">
        <w:rPr>
          <w:b/>
          <w:bCs/>
        </w:rPr>
        <w:t>Consequences of Non-Compliance</w:t>
      </w:r>
    </w:p>
    <w:p w14:paraId="37E057A4" w14:textId="0CA8BD51" w:rsidR="00E02AE5" w:rsidRDefault="00BD6ADB" w:rsidP="00BD6ADB">
      <w:r w:rsidRPr="00175D8B">
        <w:t>Failure to meet these requirements may result in delays in the disbursement of project funds or the imposition of mandatory corrective actions.</w:t>
      </w:r>
    </w:p>
    <w:p w14:paraId="40737A82" w14:textId="292F9BE7" w:rsidR="004A48BF" w:rsidRDefault="004A48BF" w:rsidP="00BD6ADB"/>
    <w:p w14:paraId="227CBC1F" w14:textId="2649A484" w:rsidR="004A48BF" w:rsidRDefault="004A48BF" w:rsidP="00BD6ADB"/>
    <w:p w14:paraId="723918B8" w14:textId="13763099" w:rsidR="004A48BF" w:rsidRDefault="004A48BF" w:rsidP="00BD6ADB"/>
    <w:p w14:paraId="38332AD5" w14:textId="1DFF11A3" w:rsidR="004A48BF" w:rsidRDefault="004A48BF" w:rsidP="00BD6ADB"/>
    <w:p w14:paraId="5D544F0A" w14:textId="06690EA6" w:rsidR="004A48BF" w:rsidRDefault="004A48BF" w:rsidP="00BD6ADB"/>
    <w:p w14:paraId="0763ABE2" w14:textId="15C5ABB6" w:rsidR="004A48BF" w:rsidRDefault="004A48BF" w:rsidP="00BD6ADB"/>
    <w:p w14:paraId="5B5917D8" w14:textId="03F49230" w:rsidR="004A48BF" w:rsidRDefault="004A48BF" w:rsidP="00BD6ADB"/>
    <w:p w14:paraId="5898F14F" w14:textId="7E6E548A" w:rsidR="004A48BF" w:rsidRDefault="004A48BF" w:rsidP="00BD6ADB"/>
    <w:p w14:paraId="69AE2119" w14:textId="5838BCBC" w:rsidR="004A48BF" w:rsidRDefault="004A48BF" w:rsidP="00BD6ADB"/>
    <w:p w14:paraId="13AD4D6B" w14:textId="7A7FC288" w:rsidR="004A48BF" w:rsidRDefault="004A48BF" w:rsidP="00BD6ADB"/>
    <w:p w14:paraId="1256D23F" w14:textId="06E16B71" w:rsidR="004A48BF" w:rsidRDefault="004A48BF" w:rsidP="00BD6ADB"/>
    <w:p w14:paraId="10E389C6" w14:textId="04291B7E" w:rsidR="00952F22" w:rsidRDefault="00952F22" w:rsidP="00BD6ADB"/>
    <w:p w14:paraId="38106AD8" w14:textId="68DFB18A" w:rsidR="00952F22" w:rsidRDefault="00952F22" w:rsidP="00BD6ADB"/>
    <w:p w14:paraId="68AAE980" w14:textId="77777777" w:rsidR="00952F22" w:rsidRDefault="00952F22" w:rsidP="00BD6ADB"/>
    <w:p w14:paraId="1866AB1D" w14:textId="7F8EBF1E" w:rsidR="00952F22" w:rsidRPr="00456032" w:rsidRDefault="004A48BF" w:rsidP="00456032">
      <w:pPr>
        <w:pStyle w:val="Balk1"/>
        <w:rPr>
          <w:b/>
          <w:bCs/>
        </w:rPr>
      </w:pPr>
      <w:bookmarkStart w:id="556" w:name="_Toc220672845"/>
      <w:r w:rsidRPr="00456032">
        <w:rPr>
          <w:b/>
          <w:bCs/>
        </w:rPr>
        <w:lastRenderedPageBreak/>
        <w:t>ANNEX</w:t>
      </w:r>
      <w:r w:rsidR="009120F3">
        <w:rPr>
          <w:b/>
          <w:bCs/>
        </w:rPr>
        <w:t xml:space="preserve"> 16</w:t>
      </w:r>
      <w:r w:rsidRPr="00456032">
        <w:rPr>
          <w:b/>
          <w:bCs/>
        </w:rPr>
        <w:t xml:space="preserve"> – MINUTES OF THE MEETING FOR SAKARYA ESMP</w:t>
      </w:r>
      <w:bookmarkEnd w:id="556"/>
    </w:p>
    <w:p w14:paraId="35BF4131" w14:textId="77777777" w:rsidR="00952F22" w:rsidRPr="00952F22" w:rsidRDefault="00952F22" w:rsidP="00952F22">
      <w:r w:rsidRPr="00952F22">
        <w:t xml:space="preserve">A consultation meeting was held to present and discuss the Sakarya draft Province Environmental and Social Management Plan (ESMP) of the Climate and Disaster Resilience (CDRC) Project, which was disclosed on the Project website in Turkish and English. During the meeting, stakeholders were informed about the potential environmental and social risks and impacts of the Project activities to be implemented in Sakarya province. The Grievance Mechanism (GM) was explained, and the roles and responsibilities of different parties involved in Project implementation were outlined, in addition to receiving feedback and responding to questions related to the Project. The meeting was held on 16 January, 2026 at Sakarya Social Development Center of Sakarya Metropolitan Municipality. </w:t>
      </w:r>
    </w:p>
    <w:p w14:paraId="0534BD7C" w14:textId="77777777" w:rsidR="00952F22" w:rsidRPr="00952F22" w:rsidRDefault="00952F22" w:rsidP="00952F22">
      <w:r w:rsidRPr="00952F22">
        <w:t xml:space="preserve">On behalf of Urban Transformation Presidency (UTP), the Head of the Department of External Finance, Environmental and Social (E&amp;S) Team’s coordinator, Environmental Specialist and the Social Specialist (Resettlement) participated in the meeting to convey the required technical and procedural details and to respond to questions and feedback from the participants. </w:t>
      </w:r>
    </w:p>
    <w:p w14:paraId="5355F8DD" w14:textId="77777777" w:rsidR="00952F22" w:rsidRPr="00952F22" w:rsidRDefault="00952F22" w:rsidP="00952F22">
      <w:r w:rsidRPr="00952F22">
        <w:t xml:space="preserve">The detailed list of participants has been recorded by UTP for project implementation purposes; however, in accordance with the requirements of the Law on the Protection of Personal Data (Law No 6698-KVKK), it has not been made publicly available. </w:t>
      </w:r>
    </w:p>
    <w:p w14:paraId="243926AE" w14:textId="77777777" w:rsidR="00952F22" w:rsidRPr="00952F22" w:rsidRDefault="00952F22" w:rsidP="00952F22">
      <w:r w:rsidRPr="00952F22">
        <w:t>Participant groups included rights holders, representatives of contractor firms and the neighborhood muhtars, and representatives of district municipalities.</w:t>
      </w:r>
    </w:p>
    <w:p w14:paraId="3F8DA65F" w14:textId="77777777" w:rsidR="00952F22" w:rsidRPr="00952F22" w:rsidRDefault="00952F22" w:rsidP="00952F22">
      <w:r w:rsidRPr="00952F22">
        <w:t xml:space="preserve">A total of 163 individuals attended the consultation meeting. Of these attendees, 41 were female and 122 were male.  </w:t>
      </w:r>
    </w:p>
    <w:p w14:paraId="38345717" w14:textId="77777777" w:rsidR="00952F22" w:rsidRPr="00952F22" w:rsidRDefault="00952F22" w:rsidP="00952F22">
      <w:r w:rsidRPr="00952F22">
        <w:t>At the beginning of the meeting, attendees were informed that photographs and a video would be taken during the meeting. This information was also included in the attendance sheet signed by participants. No objections were raised regarding the recording or visuals.</w:t>
      </w:r>
    </w:p>
    <w:p w14:paraId="4AFDD942" w14:textId="77777777" w:rsidR="00952F22" w:rsidRPr="00952F22" w:rsidRDefault="00952F22" w:rsidP="00952F22">
      <w:r w:rsidRPr="00952F22">
        <w:t xml:space="preserve">Participants were informed that the main purpose of the meeting was to present the Sakarya Province Draft ESMP, which was accessible on the project website. The participants were briefed on the goals and objectives of the province-level ESMP, its intended use and implications for sub-projects, and the ways in which citizens could provide feedback, submit requests, and express their opinions on the document. </w:t>
      </w:r>
    </w:p>
    <w:p w14:paraId="078492E5" w14:textId="77777777" w:rsidR="00952F22" w:rsidRPr="00952F22" w:rsidRDefault="00952F22" w:rsidP="00952F22">
      <w:r w:rsidRPr="00952F22">
        <w:t>The meeting continued with presentations by the E&amp;S Coordinator and her team. Topics covered included general information about the Environmental and Social Framework, CDRC Project’s Sakarya ESMP and stakeholder engagement, resettlement</w:t>
      </w:r>
      <w:r w:rsidRPr="00952F22">
        <w:rPr>
          <w:lang w:val="tr-TR"/>
        </w:rPr>
        <w:t>,</w:t>
      </w:r>
      <w:r w:rsidRPr="00952F22">
        <w:t xml:space="preserve"> and occupational health and safety. In addition, </w:t>
      </w:r>
      <w:r w:rsidRPr="00952F22">
        <w:lastRenderedPageBreak/>
        <w:t xml:space="preserve">experiences and lessons learned from the pilot implementation of the CDRC Project in Izmir were to help accelerate and facilitate the upcoming implementation in Sakarya. </w:t>
      </w:r>
    </w:p>
    <w:p w14:paraId="04040D79" w14:textId="77777777" w:rsidR="00952F22" w:rsidRPr="00952F22" w:rsidRDefault="00952F22" w:rsidP="00952F22">
      <w:r w:rsidRPr="00952F22">
        <w:t>Following the presentation, written questions from the participants were collected. Approximately, 40 questions were submitted, a selection of which was addressed during the “Questions &amp; Answers” session. Some of the questions were not about the Project and did not fall under the jurisdiction of the UTP PMU. Thus, they were not addressed. Below is the full list of Questions and Answers from the meeting.</w:t>
      </w:r>
    </w:p>
    <w:p w14:paraId="2A8589DD" w14:textId="77777777" w:rsidR="00952F22" w:rsidRPr="00952F22" w:rsidRDefault="00952F22" w:rsidP="00952F22">
      <w:pPr>
        <w:rPr>
          <w:b/>
          <w:bCs/>
        </w:rPr>
      </w:pPr>
      <w:r w:rsidRPr="00952F22">
        <w:rPr>
          <w:b/>
          <w:bCs/>
        </w:rPr>
        <w:t>Q&amp;A</w:t>
      </w:r>
    </w:p>
    <w:p w14:paraId="6006B1E2" w14:textId="77777777" w:rsidR="00952F22" w:rsidRPr="00952F22" w:rsidRDefault="00952F22" w:rsidP="00952F22">
      <w:pPr>
        <w:rPr>
          <w:b/>
          <w:bCs/>
        </w:rPr>
      </w:pPr>
      <w:r w:rsidRPr="00952F22">
        <w:rPr>
          <w:b/>
          <w:bCs/>
        </w:rPr>
        <w:t>1. What safeguards are in place for rights holders once urban transformation starts under the Project (in relation to the contractor or during the construction period)?</w:t>
      </w:r>
    </w:p>
    <w:p w14:paraId="7BE319B1" w14:textId="77777777" w:rsidR="00952F22" w:rsidRPr="00952F22" w:rsidRDefault="00952F22" w:rsidP="00952F22">
      <w:r w:rsidRPr="00952F22">
        <w:t>The contractor acknowledges and undertakes that the construction contract executed with the rights holders may be terminated, following a decision taken by the simple majority of co-owners in proportion to their shares, in the event that: (i) construction of the new building does not commence within two months for reasons attributable to the contractor; (ii) construction activities are suspended at any stage; or (iii) construction activities are not carried out for at least three consecutive months with adequate personnel and equipment sufficient to ensure completion of the Project. The contractor further acknowledges that the contract may be terminated pursuant to Article 13, paragraph eleven of the Implementing Regulation of Law No. 6306 on the Transformation of Areas Under Disaster Risk. In addition, the Contractor acknowledges and undertakes that the contract may also be terminated in the event of non-compliance with the ESMP prepared for Sakarya province, which is the main subject to this meeting, as well as with the Project’s Labor Management Procedures, Stakeholder Engagement Plan, and Resettlement Framework, all of which are mandatory under the Project, and with Law No. 6331 on Occupational Health and Safety and its secondary legislation. Furthermore, the contractor is obliged to complete the works and deliver the building to the property owner in a condition ready for obtaining the occupancy permit. The contractor irrevocably undertakes to compensate any and all material losses incurred by the contracting parties arising from the failure to obtain the occupancy permit.</w:t>
      </w:r>
    </w:p>
    <w:p w14:paraId="525D9F66" w14:textId="77777777" w:rsidR="00952F22" w:rsidRPr="00952F22" w:rsidRDefault="00952F22" w:rsidP="00952F22">
      <w:pPr>
        <w:rPr>
          <w:b/>
          <w:bCs/>
        </w:rPr>
      </w:pPr>
      <w:r w:rsidRPr="00952F22">
        <w:rPr>
          <w:b/>
          <w:bCs/>
        </w:rPr>
        <w:t>2. How can shareholders benefit from the loan if the building has a land title deed?</w:t>
      </w:r>
    </w:p>
    <w:p w14:paraId="6CB8EEE2" w14:textId="77777777" w:rsidR="00952F22" w:rsidRPr="00952F22" w:rsidRDefault="00952F22" w:rsidP="00952F22">
      <w:r w:rsidRPr="00952F22">
        <w:t>In buildings registered under a land title deed, shareholders may benefit from the loan after the independent units of the rights holders in the risky structure have been identified.</w:t>
      </w:r>
    </w:p>
    <w:p w14:paraId="0DB14459" w14:textId="77777777" w:rsidR="00952F22" w:rsidRPr="00952F22" w:rsidRDefault="00952F22" w:rsidP="00952F22">
      <w:pPr>
        <w:rPr>
          <w:b/>
          <w:bCs/>
        </w:rPr>
      </w:pPr>
      <w:r w:rsidRPr="00952F22">
        <w:rPr>
          <w:b/>
          <w:bCs/>
        </w:rPr>
        <w:t>3. Where should applications be submitted?</w:t>
      </w:r>
    </w:p>
    <w:p w14:paraId="6497C1B4" w14:textId="77777777" w:rsidR="00952F22" w:rsidRPr="00952F22" w:rsidRDefault="00952F22" w:rsidP="00952F22">
      <w:pPr>
        <w:rPr>
          <w:b/>
          <w:bCs/>
        </w:rPr>
      </w:pPr>
      <w:r w:rsidRPr="00952F22">
        <w:lastRenderedPageBreak/>
        <w:t>Applications can be submitted through the ARAAD system, interlinked with the e-Government Gateway. Loan and support applications are carried out under the AFDİS module in ARAAD, and the application and evaluation processes are conducted in accordance with the procedures and principles set forth in the relevant legislation and implementation guidelines</w:t>
      </w:r>
      <w:r w:rsidRPr="00952F22">
        <w:rPr>
          <w:b/>
          <w:bCs/>
        </w:rPr>
        <w:t>.</w:t>
      </w:r>
    </w:p>
    <w:p w14:paraId="2CEEF926" w14:textId="77777777" w:rsidR="00952F22" w:rsidRPr="00952F22" w:rsidRDefault="00952F22" w:rsidP="00952F22">
      <w:pPr>
        <w:rPr>
          <w:b/>
          <w:bCs/>
        </w:rPr>
      </w:pPr>
      <w:r w:rsidRPr="00952F22">
        <w:rPr>
          <w:b/>
          <w:bCs/>
        </w:rPr>
        <w:t>4. Sakarya Metropolitan Municipality has suspended parcel-based urban transformation practices. How will the process proceed?</w:t>
      </w:r>
    </w:p>
    <w:p w14:paraId="66D8E9B7" w14:textId="77777777" w:rsidR="00952F22" w:rsidRPr="00952F22" w:rsidRDefault="00952F22" w:rsidP="00952F22">
      <w:r w:rsidRPr="00952F22">
        <w:t xml:space="preserve">As a result of the meeting with the municipality, the municipality stated that all types of on-site transformation would be permitted within the scope of the project. However, it was noted that there were reservations regarding on-site transformation in areas declared as reserve areas. In this context, the process will be carried out in coordination with the municipality. </w:t>
      </w:r>
    </w:p>
    <w:p w14:paraId="2A8AF330" w14:textId="77777777" w:rsidR="00952F22" w:rsidRPr="00952F22" w:rsidRDefault="00952F22" w:rsidP="00952F22">
      <w:pPr>
        <w:rPr>
          <w:b/>
          <w:bCs/>
        </w:rPr>
      </w:pPr>
      <w:r w:rsidRPr="00952F22">
        <w:rPr>
          <w:b/>
          <w:bCs/>
        </w:rPr>
        <w:t>5. Do banks impose restrictions on providing loans for construction activities?</w:t>
      </w:r>
    </w:p>
    <w:p w14:paraId="2FA04CE2" w14:textId="77777777" w:rsidR="00952F22" w:rsidRPr="00952F22" w:rsidRDefault="00952F22" w:rsidP="00952F22">
      <w:r w:rsidRPr="00952F22">
        <w:t>The eligibility for the urban transformation loan under the CDRC is evaluated by the UTP in accordance with the guidelines of the CDRC Project and is ultimately approved and disbursed by the UTP.</w:t>
      </w:r>
    </w:p>
    <w:p w14:paraId="33B248C7" w14:textId="77777777" w:rsidR="00952F22" w:rsidRPr="00952F22" w:rsidRDefault="00952F22" w:rsidP="00952F22">
      <w:pPr>
        <w:rPr>
          <w:b/>
          <w:bCs/>
        </w:rPr>
      </w:pPr>
      <w:r w:rsidRPr="00952F22">
        <w:rPr>
          <w:b/>
          <w:bCs/>
        </w:rPr>
        <w:t>6. The land was inherited from my grandfather. After his death, my father and uncles became heirs, and now my siblings and I are heirs. We have a total of five independent units. How can we benefit from the loan?</w:t>
      </w:r>
    </w:p>
    <w:p w14:paraId="599EC97E" w14:textId="77777777" w:rsidR="00952F22" w:rsidRPr="00952F22" w:rsidRDefault="00952F22" w:rsidP="00952F22">
      <w:r w:rsidRPr="00952F22">
        <w:t>Heirs may benefit from the loan in proportion to their shares in the risky structure, provided that they can prove their legal status as heirs via certificate of inheritance.</w:t>
      </w:r>
    </w:p>
    <w:p w14:paraId="3BA4C063" w14:textId="77777777" w:rsidR="00952F22" w:rsidRPr="00952F22" w:rsidRDefault="00952F22" w:rsidP="00952F22">
      <w:pPr>
        <w:rPr>
          <w:b/>
          <w:bCs/>
        </w:rPr>
      </w:pPr>
      <w:r w:rsidRPr="00952F22">
        <w:t xml:space="preserve">Check out FAQs for more details: </w:t>
      </w:r>
      <w:hyperlink r:id="rId57" w:history="1">
        <w:r w:rsidRPr="00952F22">
          <w:rPr>
            <w:rStyle w:val="Kpr"/>
          </w:rPr>
          <w:t>https://kentseldirenclilik.csb.gov.tr/sikca-sorulan-sorular-i-112335</w:t>
        </w:r>
      </w:hyperlink>
      <w:r w:rsidRPr="00952F22">
        <w:t xml:space="preserve"> </w:t>
      </w:r>
    </w:p>
    <w:p w14:paraId="3A757918" w14:textId="77777777" w:rsidR="00952F22" w:rsidRPr="00952F22" w:rsidRDefault="00952F22" w:rsidP="00952F22">
      <w:pPr>
        <w:rPr>
          <w:b/>
          <w:bCs/>
        </w:rPr>
      </w:pPr>
      <w:r w:rsidRPr="00952F22">
        <w:rPr>
          <w:b/>
          <w:bCs/>
        </w:rPr>
        <w:t>7. I had a risk assessment conducted previously and the building was demolished. Can I benefit from this Project?</w:t>
      </w:r>
    </w:p>
    <w:p w14:paraId="47B37379" w14:textId="77777777" w:rsidR="00952F22" w:rsidRPr="00952F22" w:rsidRDefault="00952F22" w:rsidP="00952F22">
      <w:r w:rsidRPr="00952F22">
        <w:t>Buildings that were demolished after October 2020 and for which a valid risky building determination exists are eligible to benefit from the Project, subject to the fulfillment of the application requirements. For Type III applications to be approved, construction must not have progressed beyond the blinding concrete stage. Please refer to the implementation manuals for further information.</w:t>
      </w:r>
      <w:r w:rsidRPr="00952F22">
        <w:rPr>
          <w:vertAlign w:val="superscript"/>
        </w:rPr>
        <w:footnoteReference w:id="42"/>
      </w:r>
    </w:p>
    <w:p w14:paraId="4A61B60F" w14:textId="77777777" w:rsidR="00952F22" w:rsidRPr="00952F22" w:rsidRDefault="00952F22" w:rsidP="00952F22">
      <w:pPr>
        <w:rPr>
          <w:b/>
          <w:bCs/>
        </w:rPr>
      </w:pPr>
      <w:r w:rsidRPr="00952F22">
        <w:rPr>
          <w:b/>
          <w:bCs/>
        </w:rPr>
        <w:t>8. Do I need to resubmit demolition-related documents for the application?</w:t>
      </w:r>
    </w:p>
    <w:p w14:paraId="219233C5" w14:textId="77777777" w:rsidR="00952F22" w:rsidRPr="00952F22" w:rsidRDefault="00952F22" w:rsidP="00952F22">
      <w:r w:rsidRPr="00952F22">
        <w:lastRenderedPageBreak/>
        <w:t xml:space="preserve">Yes. The list of required documents can be accessed at the following address: </w:t>
      </w:r>
      <w:hyperlink r:id="rId58" w:history="1">
        <w:r w:rsidRPr="00952F22">
          <w:rPr>
            <w:rStyle w:val="Kpr"/>
            <w:b/>
            <w:bCs/>
          </w:rPr>
          <w:t>https://kentseldirenclilik.csb.gov.tr/muteahhit-tarafindan-araad-uygulamasina-yuklenecek-evraklar-i-112282</w:t>
        </w:r>
      </w:hyperlink>
    </w:p>
    <w:p w14:paraId="00D8C9A3" w14:textId="77777777" w:rsidR="00952F22" w:rsidRPr="00952F22" w:rsidRDefault="00952F22" w:rsidP="00952F22">
      <w:pPr>
        <w:rPr>
          <w:b/>
          <w:bCs/>
        </w:rPr>
      </w:pPr>
      <w:r w:rsidRPr="00952F22">
        <w:rPr>
          <w:b/>
          <w:bCs/>
        </w:rPr>
        <w:t>9. My building company is a legal entity registered solely under my name. Can I act as the contractor for my own building?</w:t>
      </w:r>
    </w:p>
    <w:p w14:paraId="17BC271E" w14:textId="77777777" w:rsidR="00952F22" w:rsidRPr="00952F22" w:rsidRDefault="00952F22" w:rsidP="00952F22">
      <w:r w:rsidRPr="00952F22">
        <w:t>If the name of the rights holder appears among the contractor qualification documents submitted for the application, the rights holder may not be designated as the contractor for the construction of the new building.</w:t>
      </w:r>
    </w:p>
    <w:p w14:paraId="28356685" w14:textId="77777777" w:rsidR="00952F22" w:rsidRPr="00952F22" w:rsidRDefault="00952F22" w:rsidP="00952F22">
      <w:r w:rsidRPr="00952F22">
        <w:t xml:space="preserve">The rental subsidy amounts are typically updated annually. You can search for update on </w:t>
      </w:r>
      <w:hyperlink r:id="rId59" w:history="1">
        <w:r w:rsidRPr="00952F22">
          <w:rPr>
            <w:rStyle w:val="Kpr"/>
          </w:rPr>
          <w:t>www.csb.gov.tr</w:t>
        </w:r>
      </w:hyperlink>
      <w:r w:rsidRPr="00952F22">
        <w:t xml:space="preserve">. </w:t>
      </w:r>
    </w:p>
    <w:p w14:paraId="23AAB946" w14:textId="77777777" w:rsidR="00952F22" w:rsidRPr="00952F22" w:rsidRDefault="00952F22" w:rsidP="00952F22"/>
    <w:p w14:paraId="6792700E" w14:textId="77777777" w:rsidR="00952F22" w:rsidRPr="00952F22" w:rsidRDefault="00952F22" w:rsidP="00952F22">
      <w:pPr>
        <w:rPr>
          <w:b/>
          <w:bCs/>
        </w:rPr>
      </w:pPr>
      <w:r w:rsidRPr="00952F22">
        <w:rPr>
          <w:b/>
          <w:bCs/>
        </w:rPr>
        <w:t>10. What type of support is provided for tenants within the scope of the urban transformation process?</w:t>
      </w:r>
    </w:p>
    <w:p w14:paraId="77E1C56D" w14:textId="77777777" w:rsidR="00952F22" w:rsidRPr="00952F22" w:rsidRDefault="00952F22" w:rsidP="00952F22">
      <w:r w:rsidRPr="00952F22">
        <w:t>Within the scope of the Project, rental assistance is provided to rights holders, while tenants are entitled to relocation assistance. For Sakarya Province, rights holders are eligible for rental assistance of TRY 5,500 (2025) per month for a period of 18 months. Tenants proving their eligibility in line with the Rental Assistance Manual of the MoEUCC are also entitled to two-months of rental assistance.</w:t>
      </w:r>
    </w:p>
    <w:p w14:paraId="2B5FE42E" w14:textId="77777777" w:rsidR="00952F22" w:rsidRPr="00952F22" w:rsidRDefault="00952F22" w:rsidP="00952F22">
      <w:pPr>
        <w:rPr>
          <w:b/>
          <w:bCs/>
        </w:rPr>
      </w:pPr>
      <w:r w:rsidRPr="00952F22">
        <w:rPr>
          <w:b/>
          <w:bCs/>
        </w:rPr>
        <w:t>11. If the entire building with multiple independent units is owned by an individual, how is the loan utilized?</w:t>
      </w:r>
    </w:p>
    <w:p w14:paraId="18C17CAC" w14:textId="77777777" w:rsidR="00952F22" w:rsidRPr="00952F22" w:rsidRDefault="00952F22" w:rsidP="00952F22">
      <w:r w:rsidRPr="00952F22">
        <w:t>Each rights holder may benefit from the loan for only one independent unit.</w:t>
      </w:r>
    </w:p>
    <w:p w14:paraId="51D8A2A8" w14:textId="77777777" w:rsidR="00952F22" w:rsidRPr="00952F22" w:rsidRDefault="00952F22" w:rsidP="00952F22">
      <w:pPr>
        <w:rPr>
          <w:b/>
          <w:bCs/>
        </w:rPr>
      </w:pPr>
      <w:r w:rsidRPr="00952F22">
        <w:rPr>
          <w:b/>
          <w:bCs/>
        </w:rPr>
        <w:t>12. Are there differences in implementation between the city center and districts?</w:t>
      </w:r>
    </w:p>
    <w:p w14:paraId="7EE4EE81" w14:textId="77777777" w:rsidR="00952F22" w:rsidRPr="00952F22" w:rsidRDefault="00952F22" w:rsidP="00952F22">
      <w:pPr>
        <w:rPr>
          <w:b/>
          <w:bCs/>
        </w:rPr>
      </w:pPr>
      <w:r w:rsidRPr="00952F22">
        <w:t>Implementation principles are the same for both city centers, districts as well as the rural areas</w:t>
      </w:r>
      <w:r w:rsidRPr="00952F22">
        <w:rPr>
          <w:b/>
          <w:bCs/>
        </w:rPr>
        <w:t>.</w:t>
      </w:r>
    </w:p>
    <w:p w14:paraId="2F9EC526" w14:textId="77777777" w:rsidR="00952F22" w:rsidRPr="00952F22" w:rsidRDefault="00952F22" w:rsidP="00952F22">
      <w:pPr>
        <w:rPr>
          <w:b/>
          <w:bCs/>
        </w:rPr>
      </w:pPr>
      <w:r w:rsidRPr="00952F22">
        <w:rPr>
          <w:b/>
          <w:bCs/>
        </w:rPr>
        <w:t>13. Will there be any loss in terms of square meters for the rights holder?</w:t>
      </w:r>
    </w:p>
    <w:p w14:paraId="78FE0710" w14:textId="77777777" w:rsidR="00952F22" w:rsidRPr="00952F22" w:rsidRDefault="00952F22" w:rsidP="00952F22">
      <w:r w:rsidRPr="00952F22">
        <w:t>The existing land share of the rights holder is preserved. Changes in square meters are determined in accordance with zoning regulations and project specifications.</w:t>
      </w:r>
    </w:p>
    <w:p w14:paraId="4461DCDC" w14:textId="77777777" w:rsidR="00952F22" w:rsidRPr="00952F22" w:rsidRDefault="00952F22" w:rsidP="00952F22">
      <w:pPr>
        <w:rPr>
          <w:b/>
          <w:bCs/>
        </w:rPr>
      </w:pPr>
      <w:r w:rsidRPr="00952F22">
        <w:rPr>
          <w:b/>
          <w:bCs/>
        </w:rPr>
        <w:t>14. Is there a faster solution to reduce the extensive documentation required for loan applications?</w:t>
      </w:r>
    </w:p>
    <w:p w14:paraId="7962BB0F" w14:textId="77777777" w:rsidR="00952F22" w:rsidRPr="00952F22" w:rsidRDefault="00952F22" w:rsidP="00952F22">
      <w:r w:rsidRPr="00952F22">
        <w:t xml:space="preserve">Some of the required documents are obtained through e-Government and integrated systems, thereby accelerating the process. The bank also provides assistance to those who need it. </w:t>
      </w:r>
    </w:p>
    <w:p w14:paraId="5BAF382B" w14:textId="77777777" w:rsidR="00952F22" w:rsidRPr="00952F22" w:rsidRDefault="00952F22" w:rsidP="00952F22">
      <w:pPr>
        <w:rPr>
          <w:b/>
          <w:bCs/>
        </w:rPr>
      </w:pPr>
      <w:r w:rsidRPr="00952F22">
        <w:rPr>
          <w:b/>
          <w:bCs/>
        </w:rPr>
        <w:lastRenderedPageBreak/>
        <w:t>15. In a large, older housing complex with 500 independent units, what percentage of majority is required for collective applications?</w:t>
      </w:r>
    </w:p>
    <w:p w14:paraId="6C0A9E10" w14:textId="77777777" w:rsidR="00952F22" w:rsidRPr="00952F22" w:rsidRDefault="00952F22" w:rsidP="00952F22">
      <w:r w:rsidRPr="00952F22">
        <w:t>Within the scope of Law No. 6306, it is required to obtain the simple majority (%50 + 1) of the owners based on their land share ratios. This requirement is applicable to all types of housing and residential complexes.</w:t>
      </w:r>
    </w:p>
    <w:p w14:paraId="6E5EC0D9" w14:textId="77777777" w:rsidR="00952F22" w:rsidRPr="00952F22" w:rsidRDefault="00952F22" w:rsidP="00952F22">
      <w:pPr>
        <w:rPr>
          <w:b/>
          <w:bCs/>
        </w:rPr>
      </w:pPr>
      <w:r w:rsidRPr="00952F22">
        <w:rPr>
          <w:b/>
          <w:bCs/>
        </w:rPr>
        <w:t>16. Who will pay the fee of the building inspection firm responsible for supervising progress payments after the construction permit is issued?</w:t>
      </w:r>
    </w:p>
    <w:p w14:paraId="44193A8B" w14:textId="77777777" w:rsidR="00952F22" w:rsidRPr="00952F22" w:rsidRDefault="00952F22" w:rsidP="00952F22">
      <w:r w:rsidRPr="00952F22">
        <w:t>Under the Building Inspection Law No. 4708, building inspection companies are responsible for the inspection of the building permit application process and subsequent construction processes. As stated in paragraph 6 of Article 5 of the aforementioned law, the building inspection service fee shall be deposited by the building owner into an escrow account to be opened at the provincial accounting unit for the payment of the service fees of the building inspection organizations.</w:t>
      </w:r>
    </w:p>
    <w:p w14:paraId="16E7CE20" w14:textId="77777777" w:rsidR="00952F22" w:rsidRPr="00952F22" w:rsidRDefault="00952F22" w:rsidP="00952F22">
      <w:r w:rsidRPr="00952F22">
        <w:t>On the other hand, UTP appoints a Legal and Technical Consultant Team to oversee adherence to project standards and validate progress payments of contractors. This service is provided at no additional expense.</w:t>
      </w:r>
    </w:p>
    <w:p w14:paraId="55DB5D1E" w14:textId="77777777" w:rsidR="00952F22" w:rsidRPr="00952F22" w:rsidRDefault="00952F22" w:rsidP="00952F22">
      <w:r w:rsidRPr="00952F22">
        <w:rPr>
          <w:b/>
          <w:bCs/>
        </w:rPr>
        <w:t>17. Are there any criteria for social assistance? Can a rights holder benefit from both the loan and rental assistance stipulated by law?</w:t>
      </w:r>
    </w:p>
    <w:p w14:paraId="5B902A47" w14:textId="77777777" w:rsidR="00952F22" w:rsidRPr="00952F22" w:rsidRDefault="00952F22" w:rsidP="00952F22">
      <w:r w:rsidRPr="00952F22">
        <w:t xml:space="preserve">Rights holders may benefit from both the loan and rental assistance simultaneously. Also the right holders can apply and benefit from programs of other government and municipal bodies that they may be eligible for. The UTP’s project offices can provide guidance and pointers about the programs available. </w:t>
      </w:r>
    </w:p>
    <w:p w14:paraId="44B2D297" w14:textId="77777777" w:rsidR="00952F22" w:rsidRPr="00952F22" w:rsidRDefault="00952F22" w:rsidP="00952F22">
      <w:r w:rsidRPr="00952F22">
        <w:rPr>
          <w:b/>
          <w:bCs/>
        </w:rPr>
        <w:t>18. What are the permitted working hours for construction activities carried out in residential areas?</w:t>
      </w:r>
    </w:p>
    <w:p w14:paraId="1B45BACE" w14:textId="77777777" w:rsidR="00952F22" w:rsidRPr="00952F22" w:rsidRDefault="00952F22" w:rsidP="00952F22">
      <w:r w:rsidRPr="00952F22">
        <w:t>Construction activities are carried out within the working hours determined by the relevant local authorities. However, the citizens living nearby the project sites would be free to use the Grievance Mechanism when they are disturbed by noise or dust.</w:t>
      </w:r>
    </w:p>
    <w:p w14:paraId="5D1C4368" w14:textId="77777777" w:rsidR="00952F22" w:rsidRPr="00952F22" w:rsidRDefault="00952F22" w:rsidP="00952F22">
      <w:r w:rsidRPr="00952F22">
        <w:rPr>
          <w:b/>
          <w:bCs/>
        </w:rPr>
        <w:t>19. Is the Project applicable for the newly constructed buildings or just demolished buildings?</w:t>
      </w:r>
    </w:p>
    <w:p w14:paraId="2052CD11" w14:textId="77777777" w:rsidR="00952F22" w:rsidRPr="00952F22" w:rsidRDefault="00952F22" w:rsidP="00952F22">
      <w:r w:rsidRPr="00952F22">
        <w:t>The Project is implemented within the scope of the transformation of risky buildings.</w:t>
      </w:r>
      <w:r w:rsidRPr="00952F22">
        <w:rPr>
          <w:vertAlign w:val="superscript"/>
        </w:rPr>
        <w:footnoteReference w:id="43"/>
      </w:r>
    </w:p>
    <w:p w14:paraId="2391C850" w14:textId="77777777" w:rsidR="00952F22" w:rsidRPr="00952F22" w:rsidRDefault="00952F22" w:rsidP="00952F22">
      <w:pPr>
        <w:rPr>
          <w:b/>
          <w:bCs/>
        </w:rPr>
      </w:pPr>
      <w:r w:rsidRPr="00952F22">
        <w:rPr>
          <w:b/>
          <w:bCs/>
        </w:rPr>
        <w:t>20. If the building is very old and derelict, is it possible to avoid conducting a risk assessment?</w:t>
      </w:r>
    </w:p>
    <w:p w14:paraId="2ABE7550" w14:textId="77777777" w:rsidR="00952F22" w:rsidRPr="00952F22" w:rsidRDefault="00952F22" w:rsidP="00952F22">
      <w:r w:rsidRPr="00952F22">
        <w:lastRenderedPageBreak/>
        <w:t>The fact that a building is derelict does not eliminate the obligation to carry out a risk assessment.</w:t>
      </w:r>
    </w:p>
    <w:p w14:paraId="67A74624" w14:textId="77777777" w:rsidR="00952F22" w:rsidRPr="00952F22" w:rsidRDefault="00952F22" w:rsidP="00952F22">
      <w:r w:rsidRPr="00952F22">
        <w:rPr>
          <w:b/>
          <w:bCs/>
        </w:rPr>
        <w:t>21. For which types of buildings can a risk assessment be conducted?</w:t>
      </w:r>
    </w:p>
    <w:p w14:paraId="173AC93E" w14:textId="77777777" w:rsidR="00952F22" w:rsidRPr="00952F22" w:rsidRDefault="00952F22" w:rsidP="00952F22">
      <w:r w:rsidRPr="00952F22">
        <w:t>Under the Principles on the Identification of Risky Buildings, except for timber buildings designed in accordance with a national standard or regulation, a reasoned report issued by a licensed entity stating that a timber, adobe, or non-structural-material building is risky is deemed sufficient for the building to be treated as a “risky building” under Law No. 6306. Also as stated in the first paragraph of Article 7 of the implementation regulation of Law No. 6306: Risky structure identification is carried out for structures that can be used independently, are covered, and can be entered by people, and are used for people to sit, work, have fun, or relax or worship, as well as structures used to protect animals and goods. Structures under construction that are not inhabited, as well as structures whose structural integrity has been compromised due to abandonment or other reasons, are not subject to hazardous structure identification. However, eligibility for sub-loan under the project requires that residents own an independent unit within a residential property officially designated as a risky structure. Furthermore, business owners seeking to apply for sub-loan for risky buildings must operate as sole proprietorships.</w:t>
      </w:r>
    </w:p>
    <w:p w14:paraId="45471428" w14:textId="77777777" w:rsidR="00952F22" w:rsidRPr="00952F22" w:rsidRDefault="00952F22" w:rsidP="00952F22">
      <w:r w:rsidRPr="00952F22">
        <w:t xml:space="preserve">. . </w:t>
      </w:r>
    </w:p>
    <w:p w14:paraId="52DD2B0E" w14:textId="77777777" w:rsidR="00952F22" w:rsidRPr="00952F22" w:rsidRDefault="00952F22" w:rsidP="00952F22">
      <w:r w:rsidRPr="00952F22">
        <w:rPr>
          <w:b/>
          <w:bCs/>
        </w:rPr>
        <w:t>22. I live in a 30-year-old, four-storey building with 48 residential units. Both the cost and feasibility of this Project seem unrealistic for us. Will there be alternative solutions for those with limited financial capacity?</w:t>
      </w:r>
    </w:p>
    <w:p w14:paraId="09C9A0D7" w14:textId="77777777" w:rsidR="00952F22" w:rsidRPr="00952F22" w:rsidRDefault="00952F22" w:rsidP="00952F22">
      <w:r w:rsidRPr="00952F22">
        <w:t xml:space="preserve">Additional interest rate discounts have been defined to enable rights holders with limited financial capacity to participate in the process. The households with income below the designated level for Category II are eligible for an additional annual interest rate discount of 0.25. </w:t>
      </w:r>
    </w:p>
    <w:p w14:paraId="172C0909" w14:textId="77777777" w:rsidR="00952F22" w:rsidRPr="00952F22" w:rsidRDefault="00952F22" w:rsidP="00952F22">
      <w:r w:rsidRPr="00952F22">
        <w:t>These benefits are available to rights holders who do not own any other residential unit besides the one in the risky building (Category I), retirees, the families of martyrs, the households with disabled members and female-headed households under Category III. Also, an interest rate discount of 0.5% annually for buildings with a Class A Energy Performance Certificate (EKB), 0.25% annually for buildings with a Class B Energy Performance Certificate will be provided in scope of the CDRC Project. Benefiting from one category of interest rate discount does not affect eligibility for other categories. For instance, a rights holder with Class A energy-efficient sub-project can also be entitled to interest rate discount to all other three categories in which case that person will receive a per annum interest rate discount of 1,25%.</w:t>
      </w:r>
    </w:p>
    <w:p w14:paraId="0F636933" w14:textId="77777777" w:rsidR="00952F22" w:rsidRPr="00952F22" w:rsidRDefault="00952F22" w:rsidP="00952F22">
      <w:r w:rsidRPr="00952F22">
        <w:rPr>
          <w:b/>
          <w:bCs/>
        </w:rPr>
        <w:lastRenderedPageBreak/>
        <w:t>23. Can I benefit from this loan if there is no building on my land?</w:t>
      </w:r>
    </w:p>
    <w:p w14:paraId="73C79594" w14:textId="77777777" w:rsidR="00952F22" w:rsidRPr="00952F22" w:rsidRDefault="00952F22" w:rsidP="00952F22">
      <w:r w:rsidRPr="00952F22">
        <w:t xml:space="preserve">No. Only real property owners with a building identified as a risky structure under Law No. 6306 are eligible for this loan. </w:t>
      </w:r>
    </w:p>
    <w:p w14:paraId="4AC2369E" w14:textId="77777777" w:rsidR="00952F22" w:rsidRPr="00952F22" w:rsidRDefault="00952F22" w:rsidP="00952F22">
      <w:r w:rsidRPr="00952F22">
        <w:rPr>
          <w:b/>
          <w:bCs/>
        </w:rPr>
        <w:t>24. Will an office be opened in Sakarya under this Project?</w:t>
      </w:r>
    </w:p>
    <w:p w14:paraId="17B61BF3" w14:textId="77777777" w:rsidR="00952F22" w:rsidRPr="00952F22" w:rsidRDefault="00952F22" w:rsidP="00952F22">
      <w:r w:rsidRPr="00952F22">
        <w:t>Yes, there will be an office under the CDRC Project in Sakarya. Information regarding the project’s implementation and office locations will be shared with the public through official announcements by the UTP.</w:t>
      </w:r>
    </w:p>
    <w:p w14:paraId="405AF6DE" w14:textId="77777777" w:rsidR="00952F22" w:rsidRPr="00952F22" w:rsidRDefault="00952F22" w:rsidP="00952F22">
      <w:r w:rsidRPr="00952F22">
        <w:rPr>
          <w:b/>
          <w:bCs/>
        </w:rPr>
        <w:t>25. Can only one block of a site consisting of 8 blocks on a single parcel undergo urban transformation?</w:t>
      </w:r>
      <w:r w:rsidRPr="00952F22">
        <w:br/>
        <w:t>This is possible. In a site located on a single parcel, if the blocks are licensed as separate structures and each has its own Building Identification Number (BIN), only the blocks for which risk assessments have been conducted can be included in the Project.</w:t>
      </w:r>
    </w:p>
    <w:p w14:paraId="7CBD8853" w14:textId="77777777" w:rsidR="00952F22" w:rsidRPr="00952F22" w:rsidRDefault="00952F22" w:rsidP="00952F22">
      <w:r w:rsidRPr="00952F22">
        <w:rPr>
          <w:b/>
          <w:bCs/>
        </w:rPr>
        <w:t>26. My land is located within a 2-hectare area and includes one residence and one barn. We are five siblings as shareholders. At what rate can we benefit from the loan?</w:t>
      </w:r>
    </w:p>
    <w:p w14:paraId="0E23C4A7" w14:textId="77777777" w:rsidR="00952F22" w:rsidRPr="00952F22" w:rsidRDefault="00952F22" w:rsidP="00952F22">
      <w:r w:rsidRPr="00952F22">
        <w:t>The loan utilization rate is determined based on the number of independent units belonging to the residential building identified as a risky structure and the land share (ownership share) of the rights holders; structures that do not qualify as independent units are not included in the loan calculation.</w:t>
      </w:r>
    </w:p>
    <w:p w14:paraId="0D3BEEBF" w14:textId="77777777" w:rsidR="00952F22" w:rsidRPr="00952F22" w:rsidRDefault="00952F22" w:rsidP="00952F22">
      <w:r w:rsidRPr="00952F22">
        <w:rPr>
          <w:b/>
          <w:bCs/>
        </w:rPr>
        <w:t>27. How will inspections be carried out during the construction process?</w:t>
      </w:r>
    </w:p>
    <w:p w14:paraId="4F42D214" w14:textId="77777777" w:rsidR="00952F22" w:rsidRPr="00952F22" w:rsidRDefault="00952F22" w:rsidP="00952F22">
      <w:r w:rsidRPr="00952F22">
        <w:t>The construction process is subject to the standard building inspection system as required by legislation. In addition, construction activities are monitored by the UTP PMU and the Legal and Technical Consultant Team is assigned for compliance.</w:t>
      </w:r>
    </w:p>
    <w:p w14:paraId="5182280D" w14:textId="77777777" w:rsidR="00952F22" w:rsidRPr="00952F22" w:rsidRDefault="00952F22" w:rsidP="00952F22">
      <w:r w:rsidRPr="00952F22">
        <w:rPr>
          <w:b/>
          <w:bCs/>
        </w:rPr>
        <w:t>28. Are the mentioned projects applicable in urban neighborhoods, and will there also be activities in rural areas?</w:t>
      </w:r>
    </w:p>
    <w:p w14:paraId="09474BF3" w14:textId="77777777" w:rsidR="00952F22" w:rsidRPr="00952F22" w:rsidRDefault="00952F22" w:rsidP="00952F22">
      <w:r w:rsidRPr="00952F22">
        <w:t>Buildings that meet the conditions specified in the Guidelines and are identified as risky under Law No. 6306 can be considered within the scope of the Project, regardless of the type of settlement.</w:t>
      </w:r>
    </w:p>
    <w:p w14:paraId="0F3958DC" w14:textId="77777777" w:rsidR="00952F22" w:rsidRPr="00952F22" w:rsidRDefault="00952F22" w:rsidP="00952F22">
      <w:r w:rsidRPr="00952F22">
        <w:rPr>
          <w:b/>
          <w:bCs/>
        </w:rPr>
        <w:t>29. Is it mandatory for all rights holders in a building to be transformed under the CDRC Project to use the loan?</w:t>
      </w:r>
    </w:p>
    <w:p w14:paraId="2612B083" w14:textId="77777777" w:rsidR="00952F22" w:rsidRPr="00952F22" w:rsidRDefault="00952F22" w:rsidP="00952F22">
      <w:r w:rsidRPr="00952F22">
        <w:t>It is not mandatory for all rights holders to utilize the loan.</w:t>
      </w:r>
    </w:p>
    <w:p w14:paraId="360A5B18" w14:textId="77777777" w:rsidR="00952F22" w:rsidRPr="00952F22" w:rsidRDefault="00952F22" w:rsidP="00952F22">
      <w:r w:rsidRPr="00952F22">
        <w:rPr>
          <w:b/>
          <w:bCs/>
        </w:rPr>
        <w:t>30. I own more than one independent unit. Can I use a separate loan for each unit?</w:t>
      </w:r>
    </w:p>
    <w:p w14:paraId="465588D3" w14:textId="77777777" w:rsidR="00952F22" w:rsidRPr="00952F22" w:rsidRDefault="00952F22" w:rsidP="00952F22">
      <w:r w:rsidRPr="00952F22">
        <w:lastRenderedPageBreak/>
        <w:t>Each rights holder may benefit from the Project for one risky unit.</w:t>
      </w:r>
    </w:p>
    <w:p w14:paraId="5A6EF013" w14:textId="77777777" w:rsidR="00952F22" w:rsidRPr="00952F22" w:rsidRDefault="00952F22" w:rsidP="00952F22">
      <w:r w:rsidRPr="00952F22">
        <w:rPr>
          <w:b/>
          <w:bCs/>
        </w:rPr>
        <w:t>31. Is the risky building assessment carried out by the rights holders?</w:t>
      </w:r>
    </w:p>
    <w:p w14:paraId="6CFCF88B" w14:textId="77777777" w:rsidR="00952F22" w:rsidRPr="00952F22" w:rsidRDefault="00952F22" w:rsidP="00952F22">
      <w:r w:rsidRPr="00952F22">
        <w:t>Risk assessment is to be carried out by the beneficiaries through institutions licensed by the Ministry, and all procedures related to the assessment and its outcomes should be conducted in accordance with the provisions of Law No. 6306. Risk assessment has to be conducted line with the principles laid out in ‘Principles Regarding the Identification of Risky Structures’ dated 02.07.2013 and numbered 28695.</w:t>
      </w:r>
      <w:r w:rsidRPr="00952F22">
        <w:rPr>
          <w:vertAlign w:val="superscript"/>
        </w:rPr>
        <w:footnoteReference w:id="44"/>
      </w:r>
    </w:p>
    <w:p w14:paraId="3FD7DF10" w14:textId="77777777" w:rsidR="00952F22" w:rsidRPr="00952F22" w:rsidRDefault="00952F22" w:rsidP="00952F22">
      <w:r w:rsidRPr="00952F22">
        <w:rPr>
          <w:b/>
          <w:bCs/>
        </w:rPr>
        <w:t>32. In a building with multiple rights holders, is the consent of all rights holders required for transformation?</w:t>
      </w:r>
    </w:p>
    <w:p w14:paraId="5795384F" w14:textId="77777777" w:rsidR="00952F22" w:rsidRPr="00952F22" w:rsidRDefault="00952F22" w:rsidP="00952F22">
      <w:r w:rsidRPr="00952F22">
        <w:t>As per Law No. 6306, urban transformation decision can be taken by simple majority (50% + 1) of the shares in property. Once the required majority is achieved, the transformation process is carried out in accordance with the procedures stipulated in the Law.</w:t>
      </w:r>
    </w:p>
    <w:p w14:paraId="129E2431" w14:textId="77777777" w:rsidR="00952F22" w:rsidRPr="00952F22" w:rsidRDefault="00952F22" w:rsidP="00952F22">
      <w:r w:rsidRPr="00952F22">
        <w:rPr>
          <w:b/>
          <w:bCs/>
        </w:rPr>
        <w:t>33. Can I obtain detailed information about contractor license classes?</w:t>
      </w:r>
    </w:p>
    <w:p w14:paraId="57DF1815" w14:textId="77777777" w:rsidR="00952F22" w:rsidRPr="00952F22" w:rsidRDefault="00952F22" w:rsidP="00952F22">
      <w:r w:rsidRPr="00952F22">
        <w:t>Contractors holding H or G1 class contractor certificates who have completed works previously may apply for buildings consisting of ground floor + three storeys and one basement. For buildings exceeding three storeys, at least a G class contractor certificate is required.</w:t>
      </w:r>
    </w:p>
    <w:p w14:paraId="24ABC4E2" w14:textId="77777777" w:rsidR="00952F22" w:rsidRPr="00952F22" w:rsidRDefault="00952F22" w:rsidP="00952F22">
      <w:r w:rsidRPr="00952F22">
        <w:t>In cases where the contractor establishes an ordinary partnership, at least a D class contractor certificate for the partnership is required and the partnership cannot include more than two partners. In addition, the contractor shall submit a letter of undertaking confirming acceptance of and compliance with the conditions required under the Project, in addition to the contract to be executed with the property owners.</w:t>
      </w:r>
    </w:p>
    <w:p w14:paraId="6CACD11D" w14:textId="77777777" w:rsidR="00952F22" w:rsidRPr="00952F22" w:rsidRDefault="00952F22" w:rsidP="00952F22">
      <w:r w:rsidRPr="00952F22">
        <w:rPr>
          <w:b/>
          <w:bCs/>
        </w:rPr>
        <w:t>34.</w:t>
      </w:r>
      <w:r w:rsidRPr="00952F22">
        <w:t xml:space="preserve"> </w:t>
      </w:r>
      <w:r w:rsidRPr="00952F22">
        <w:rPr>
          <w:b/>
          <w:bCs/>
        </w:rPr>
        <w:t>Will a contractor be recommended to us?</w:t>
      </w:r>
    </w:p>
    <w:p w14:paraId="3CDF3C86" w14:textId="77777777" w:rsidR="00952F22" w:rsidRPr="00952F22" w:rsidRDefault="00952F22" w:rsidP="00952F22">
      <w:r w:rsidRPr="00952F22">
        <w:t>The UTP cannot recommend a contractor due to the scope of the project, its jurisdiction, and the principles of the free market. However, rights holders can check and make their research about via the platform: https://www.turkiye.gov.tr/csb-muteahhit-bilgileri-sorgulama</w:t>
      </w:r>
    </w:p>
    <w:p w14:paraId="5B21A53D" w14:textId="77777777" w:rsidR="00952F22" w:rsidRPr="00952F22" w:rsidRDefault="00952F22" w:rsidP="00952F22">
      <w:r w:rsidRPr="00952F22">
        <w:rPr>
          <w:b/>
          <w:bCs/>
        </w:rPr>
        <w:t>35.</w:t>
      </w:r>
      <w:r w:rsidRPr="00952F22">
        <w:t xml:space="preserve"> </w:t>
      </w:r>
      <w:r w:rsidRPr="00952F22">
        <w:rPr>
          <w:b/>
          <w:bCs/>
        </w:rPr>
        <w:t>My current apartment is 140 m². We were informed by the municipality that the new apartment would be reduced to 70 m². Will there be a solution regarding this issue?</w:t>
      </w:r>
    </w:p>
    <w:p w14:paraId="34CCF6B8" w14:textId="77777777" w:rsidR="00952F22" w:rsidRPr="00952F22" w:rsidRDefault="00952F22" w:rsidP="00952F22">
      <w:r w:rsidRPr="00952F22">
        <w:lastRenderedPageBreak/>
        <w:t xml:space="preserve">The size of the new independent unit is determined in accordance with the applicable zoning regulations and project principles. </w:t>
      </w:r>
    </w:p>
    <w:p w14:paraId="3621B75A" w14:textId="77777777" w:rsidR="00952F22" w:rsidRPr="00952F22" w:rsidRDefault="00952F22" w:rsidP="00952F22">
      <w:r w:rsidRPr="00952F22">
        <w:rPr>
          <w:b/>
          <w:bCs/>
        </w:rPr>
        <w:t>36. Neighboring parcels outside my own parcel are willing to participate in transformation. Can these parcels be combined to benefit from a joint project?</w:t>
      </w:r>
    </w:p>
    <w:p w14:paraId="4683CE9D" w14:textId="77777777" w:rsidR="00952F22" w:rsidRPr="00952F22" w:rsidRDefault="00952F22" w:rsidP="00952F22">
      <w:r w:rsidRPr="00952F22">
        <w:t>Parcel consolidation is possible within the framework of zoning legislation. However, if the rights holder chooses to unite parcels, they must do so by applying to the municipality and completing this process before applying for the CDRC Project.</w:t>
      </w:r>
    </w:p>
    <w:p w14:paraId="499A2B7C" w14:textId="77777777" w:rsidR="00952F22" w:rsidRPr="00952F22" w:rsidRDefault="00952F22" w:rsidP="00952F22"/>
    <w:p w14:paraId="3A8314B4" w14:textId="77777777" w:rsidR="00952F22" w:rsidRPr="00952F22" w:rsidRDefault="00952F22" w:rsidP="00952F22"/>
    <w:p w14:paraId="51BE235E" w14:textId="77777777" w:rsidR="00952F22" w:rsidRPr="00952F22" w:rsidRDefault="00952F22" w:rsidP="00952F22"/>
    <w:p w14:paraId="065FAF29" w14:textId="77777777" w:rsidR="00952F22" w:rsidRPr="00952F22" w:rsidRDefault="00952F22" w:rsidP="00952F22"/>
    <w:p w14:paraId="1FCF5B7D" w14:textId="77777777" w:rsidR="00952F22" w:rsidRPr="00952F22" w:rsidRDefault="00952F22" w:rsidP="00952F22">
      <w:pPr>
        <w:rPr>
          <w:b/>
          <w:bCs/>
        </w:rPr>
      </w:pPr>
      <w:r w:rsidRPr="00952F22">
        <w:rPr>
          <w:b/>
          <w:bCs/>
        </w:rPr>
        <w:t>Photographs from the Meeting</w:t>
      </w:r>
    </w:p>
    <w:p w14:paraId="70F58899" w14:textId="77777777" w:rsidR="00952F22" w:rsidRPr="00952F22" w:rsidRDefault="00952F22" w:rsidP="00952F22">
      <w:pPr>
        <w:rPr>
          <w:lang w:val="tr-TR"/>
        </w:rPr>
      </w:pPr>
      <w:r w:rsidRPr="00952F22">
        <w:rPr>
          <w:noProof/>
          <w:lang w:val="tr-TR"/>
        </w:rPr>
        <w:drawing>
          <wp:inline distT="0" distB="0" distL="0" distR="0" wp14:anchorId="366521AE" wp14:editId="60C9E3FB">
            <wp:extent cx="5760720" cy="3840480"/>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6864CA5" w14:textId="77777777" w:rsidR="00952F22" w:rsidRPr="00952F22" w:rsidRDefault="00952F22" w:rsidP="00952F22">
      <w:pPr>
        <w:rPr>
          <w:lang w:val="tr-TR"/>
        </w:rPr>
      </w:pPr>
      <w:r w:rsidRPr="00952F22">
        <w:rPr>
          <w:noProof/>
          <w:lang w:val="tr-TR"/>
        </w:rPr>
        <w:lastRenderedPageBreak/>
        <w:drawing>
          <wp:inline distT="0" distB="0" distL="0" distR="0" wp14:anchorId="3C3BF0DF" wp14:editId="629468EF">
            <wp:extent cx="5760720" cy="3840480"/>
            <wp:effectExtent l="0" t="0" r="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3937218B" w14:textId="77777777" w:rsidR="00952F22" w:rsidRPr="00952F22" w:rsidRDefault="00952F22" w:rsidP="00952F22">
      <w:pPr>
        <w:rPr>
          <w:lang w:val="tr-TR"/>
        </w:rPr>
      </w:pPr>
      <w:r w:rsidRPr="00952F22">
        <w:rPr>
          <w:noProof/>
          <w:lang w:val="tr-TR"/>
        </w:rPr>
        <w:drawing>
          <wp:inline distT="0" distB="0" distL="0" distR="0" wp14:anchorId="728A956D" wp14:editId="4993796C">
            <wp:extent cx="5760720" cy="3840480"/>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A23E141" w14:textId="212CE252" w:rsidR="004A48BF" w:rsidRPr="00456032" w:rsidRDefault="004A48BF" w:rsidP="00952F22">
      <w:pPr>
        <w:rPr>
          <w:lang w:val="tr-TR"/>
        </w:rPr>
      </w:pPr>
    </w:p>
    <w:sectPr w:rsidR="004A48BF" w:rsidRPr="004560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53BBA" w14:textId="77777777" w:rsidR="0043424E" w:rsidRPr="006C78CE" w:rsidRDefault="0043424E" w:rsidP="005A424A">
      <w:pPr>
        <w:spacing w:after="0" w:line="240" w:lineRule="auto"/>
      </w:pPr>
      <w:r w:rsidRPr="006C78CE">
        <w:separator/>
      </w:r>
    </w:p>
  </w:endnote>
  <w:endnote w:type="continuationSeparator" w:id="0">
    <w:p w14:paraId="501F448B" w14:textId="77777777" w:rsidR="0043424E" w:rsidRPr="006C78CE" w:rsidRDefault="0043424E" w:rsidP="005A424A">
      <w:pPr>
        <w:spacing w:after="0" w:line="240" w:lineRule="auto"/>
      </w:pPr>
      <w:r w:rsidRPr="006C78C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ppleSystemUIFont">
    <w:altName w:val="Cambria"/>
    <w:panose1 w:val="00000000000000000000"/>
    <w:charset w:val="00"/>
    <w:family w:val="roman"/>
    <w:notTrueType/>
    <w:pitch w:val="default"/>
  </w:font>
  <w:font w:name="Yu Mincho Light">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42FEA" w14:textId="0A3EED27" w:rsidR="00480751" w:rsidRDefault="00480751">
    <w:pPr>
      <w:pStyle w:val="AltBilgi"/>
    </w:pPr>
    <w:r>
      <w:rPr>
        <w:noProof/>
      </w:rPr>
      <mc:AlternateContent>
        <mc:Choice Requires="wps">
          <w:drawing>
            <wp:anchor distT="0" distB="0" distL="0" distR="0" simplePos="0" relativeHeight="251659264" behindDoc="0" locked="0" layoutInCell="1" allowOverlap="1" wp14:anchorId="2B1C9E47" wp14:editId="6C96E3FD">
              <wp:simplePos x="635" y="635"/>
              <wp:positionH relativeFrom="page">
                <wp:align>right</wp:align>
              </wp:positionH>
              <wp:positionV relativeFrom="page">
                <wp:align>bottom</wp:align>
              </wp:positionV>
              <wp:extent cx="1170305" cy="422910"/>
              <wp:effectExtent l="0" t="0" r="0" b="0"/>
              <wp:wrapNone/>
              <wp:docPr id="183456818"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0305" cy="422910"/>
                      </a:xfrm>
                      <a:prstGeom prst="rect">
                        <a:avLst/>
                      </a:prstGeom>
                      <a:noFill/>
                      <a:ln>
                        <a:noFill/>
                      </a:ln>
                    </wps:spPr>
                    <wps:txbx>
                      <w:txbxContent>
                        <w:p w14:paraId="6605B996" w14:textId="04AD9A0B" w:rsidR="00480751" w:rsidRPr="00480751" w:rsidRDefault="00480751" w:rsidP="00480751">
                          <w:pPr>
                            <w:spacing w:after="0"/>
                            <w:rPr>
                              <w:rFonts w:eastAsia="Aptos" w:cs="Aptos"/>
                              <w:noProof/>
                              <w:color w:val="000000"/>
                              <w:sz w:val="20"/>
                              <w:szCs w:val="20"/>
                            </w:rPr>
                          </w:pPr>
                          <w:r w:rsidRPr="00480751">
                            <w:rPr>
                              <w:rFonts w:eastAsia="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2B1C9E47" id="_x0000_t202" coordsize="21600,21600" o:spt="202" path="m,l,21600r21600,l21600,xe">
              <v:stroke joinstyle="miter"/>
              <v:path gradientshapeok="t" o:connecttype="rect"/>
            </v:shapetype>
            <v:shape id="Text Box 2" o:spid="_x0000_s1071" type="#_x0000_t202" alt="Official Use Only" style="position:absolute;left:0;text-align:left;margin-left:40.95pt;margin-top:0;width:92.15pt;height:33.3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TQPgIAAGIEAAAOAAAAZHJzL2Uyb0RvYy54bWysVE1vGjEQvVfqf7B8L/sRSAliiWgiqkoo&#10;RIIoZ+P1wkpe27INu/TX99mwJE17qnrxjmfG8/HezE7vu0aSo7Cu1qqg2SClRCiuy1rtCvqyWXwZ&#10;U+I8UyWTWomCnoSj97PPn6atmYhc77UshSUIotykNQXde28mSeL4XjTMDbQRCsZK24Z5XO0uKS1r&#10;Eb2RSZ6mt0mrbWms5sI5aB/PRjqL8atKcL+qKic8kQVFbT6eNp7bcCazKZvsLDP7ml/KYP9QRcNq&#10;haTXUI/MM3Kw9R+hmppb7XTlB1w3ia6qmovYA7rJ0g/drPfMiNgLwHHmCpP7f2H50/HZkroEd+Ob&#10;4eh2nIEwxRpQtRGdJ990R3JKSuE4UAOWNa+ZJC9OkJWSp4Bfa9wEYdYGgXyHB4jV6x2UAZausk34&#10;omECO5g4XdEPaXh4lH1Nb9IRJRy2YZ7fZZGe5O21sc5/F7ohQSioBbsRdHZcOo9K4Nq7hGRKL2op&#10;I8NS/aaAY9AkofRziUHy3ba79LPV5QntWH0eGGf4okbOJXP+mVlMCDrA1PsVjkrqtqD6IlGy1/bn&#10;3/TBH8TBSkmLiSuowkpQIn8oEBqGsxdsFPLRME2h3sZbdpeOwk0dmgeNYc6wV4ZHEVrrZS9WVjev&#10;WIp5yAYTUxw5C7rtxQd/nn8sFRfzeXTCMBrml2pteAgdwApIbrpXZs0Fbg+innQ/k2zyAfWzb3jp&#10;zPzggX2kJAB7RvOCNwY5MnVZurAp7+/R6+3XMPsFAAD//wMAUEsDBBQABgAIAAAAIQChnB1S2wAA&#10;AAQBAAAPAAAAZHJzL2Rvd25yZXYueG1sTI/BasMwEETvhfyD2EIvpZHbBhEcyyEN9FAogSahucrW&#10;1jaRVkZSHOfvq/TSXBaGGWbeFsvRGjagD50jCc/TDBhS7XRHjYT97v1pDixERVoZRyjhggGW5eSu&#10;ULl2Z/rCYRsblkoo5EpCG2Ofcx7qFq0KU9cjJe/Heatikr7h2qtzKreGv2SZ4FZ1lBZa1eO6xfq4&#10;PVkJb4/hu/o8+svHZubEYVgL02+ElA/342oBLOIY/8NwxU/oUCamyp1IB2YkpEfi371689krsEqC&#10;EAJ4WfBb+PIXAAD//wMAUEsBAi0AFAAGAAgAAAAhALaDOJL+AAAA4QEAABMAAAAAAAAAAAAAAAAA&#10;AAAAAFtDb250ZW50X1R5cGVzXS54bWxQSwECLQAUAAYACAAAACEAOP0h/9YAAACUAQAACwAAAAAA&#10;AAAAAAAAAAAvAQAAX3JlbHMvLnJlbHNQSwECLQAUAAYACAAAACEAubY00D4CAABiBAAADgAAAAAA&#10;AAAAAAAAAAAuAgAAZHJzL2Uyb0RvYy54bWxQSwECLQAUAAYACAAAACEAoZwdUtsAAAAEAQAADwAA&#10;AAAAAAAAAAAAAACYBAAAZHJzL2Rvd25yZXYueG1sUEsFBgAAAAAEAAQA8wAAAKAFAAAAAA==&#10;" filled="f" stroked="f">
              <v:textbox style="mso-fit-shape-to-text:t" inset="0,0,20pt,15pt">
                <w:txbxContent>
                  <w:p w14:paraId="6605B996" w14:textId="04AD9A0B" w:rsidR="00480751" w:rsidRPr="00480751" w:rsidRDefault="00480751" w:rsidP="00480751">
                    <w:pPr>
                      <w:spacing w:after="0"/>
                      <w:rPr>
                        <w:rFonts w:eastAsia="Aptos" w:cs="Aptos"/>
                        <w:noProof/>
                        <w:color w:val="000000"/>
                        <w:sz w:val="20"/>
                        <w:szCs w:val="20"/>
                      </w:rPr>
                    </w:pPr>
                    <w:r w:rsidRPr="00480751">
                      <w:rPr>
                        <w:rFonts w:eastAsia="Aptos" w:cs="Aptos"/>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2"/>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00" w:firstRow="0" w:lastRow="0" w:firstColumn="0" w:lastColumn="0" w:noHBand="0" w:noVBand="1"/>
    </w:tblPr>
    <w:tblGrid>
      <w:gridCol w:w="872"/>
      <w:gridCol w:w="5926"/>
      <w:gridCol w:w="1165"/>
      <w:gridCol w:w="1019"/>
      <w:gridCol w:w="38"/>
    </w:tblGrid>
    <w:tr w:rsidR="001F6155" w14:paraId="1D1DADEE" w14:textId="77777777" w:rsidTr="79FD7082">
      <w:trPr>
        <w:trHeight w:val="300"/>
      </w:trPr>
      <w:tc>
        <w:tcPr>
          <w:tcW w:w="872" w:type="dxa"/>
          <w:tcBorders>
            <w:top w:val="single" w:sz="4" w:space="0" w:color="auto"/>
            <w:left w:val="single" w:sz="4" w:space="0" w:color="auto"/>
            <w:bottom w:val="single" w:sz="4" w:space="0" w:color="auto"/>
            <w:right w:val="single" w:sz="4" w:space="0" w:color="auto"/>
          </w:tcBorders>
        </w:tcPr>
        <w:p w14:paraId="729948DE" w14:textId="7C84A7B9" w:rsidR="001F6155" w:rsidRDefault="001F6155" w:rsidP="79FD7082">
          <w:pPr>
            <w:pBdr>
              <w:top w:val="nil"/>
              <w:left w:val="nil"/>
              <w:bottom w:val="nil"/>
              <w:right w:val="nil"/>
              <w:between w:val="nil"/>
            </w:pBdr>
            <w:tabs>
              <w:tab w:val="center" w:pos="4536"/>
              <w:tab w:val="right" w:pos="9072"/>
            </w:tabs>
            <w:spacing w:after="0" w:line="200" w:lineRule="auto"/>
            <w:rPr>
              <w:color w:val="000000" w:themeColor="text1"/>
              <w:sz w:val="16"/>
              <w:szCs w:val="16"/>
            </w:rPr>
          </w:pPr>
          <w:r w:rsidRPr="79FD7082">
            <w:rPr>
              <w:color w:val="000000" w:themeColor="text1"/>
              <w:sz w:val="16"/>
              <w:szCs w:val="16"/>
            </w:rPr>
            <w:t>Title:</w:t>
          </w:r>
        </w:p>
      </w:tc>
      <w:tc>
        <w:tcPr>
          <w:tcW w:w="5926" w:type="dxa"/>
          <w:tcBorders>
            <w:top w:val="single" w:sz="4" w:space="0" w:color="auto"/>
            <w:left w:val="single" w:sz="4" w:space="0" w:color="auto"/>
            <w:bottom w:val="single" w:sz="4" w:space="0" w:color="auto"/>
            <w:right w:val="single" w:sz="4" w:space="0" w:color="auto"/>
          </w:tcBorders>
        </w:tcPr>
        <w:p w14:paraId="30DCAD32" w14:textId="77777777" w:rsidR="001F6155" w:rsidRDefault="001F6155">
          <w:pPr>
            <w:rPr>
              <w:color w:val="000000" w:themeColor="text1"/>
              <w:sz w:val="16"/>
              <w:szCs w:val="16"/>
            </w:rPr>
          </w:pPr>
          <w:r w:rsidRPr="79FD7082">
            <w:rPr>
              <w:color w:val="000000" w:themeColor="text1"/>
              <w:sz w:val="16"/>
              <w:szCs w:val="16"/>
            </w:rPr>
            <w:t>CLIMATE AND DISASTER RESILIENT CITIES PROJECT</w:t>
          </w:r>
        </w:p>
        <w:p w14:paraId="065BD12A" w14:textId="77777777" w:rsidR="001F6155" w:rsidRDefault="001F6155" w:rsidP="79FD7082">
          <w:pPr>
            <w:pBdr>
              <w:top w:val="nil"/>
              <w:left w:val="nil"/>
              <w:bottom w:val="nil"/>
              <w:right w:val="nil"/>
              <w:between w:val="nil"/>
            </w:pBdr>
            <w:spacing w:after="0" w:line="200" w:lineRule="auto"/>
            <w:ind w:right="101"/>
            <w:rPr>
              <w:rFonts w:eastAsiaTheme="minorHAnsi" w:cstheme="minorBidi"/>
              <w:color w:val="000000" w:themeColor="text1"/>
              <w:kern w:val="2"/>
              <w:sz w:val="16"/>
              <w:szCs w:val="16"/>
              <w:lang w:eastAsia="en-US"/>
              <w14:ligatures w14:val="standardContextual"/>
            </w:rPr>
          </w:pPr>
          <w:r w:rsidRPr="79FD7082">
            <w:rPr>
              <w:rFonts w:eastAsiaTheme="minorHAnsi" w:cstheme="minorBidi"/>
              <w:color w:val="000000" w:themeColor="text1"/>
              <w:kern w:val="2"/>
              <w:sz w:val="16"/>
              <w:szCs w:val="16"/>
              <w:lang w:eastAsia="en-US"/>
              <w14:ligatures w14:val="standardContextual"/>
            </w:rPr>
            <w:t>SAKARYA ENVIRONMENTAL AND SOCIAL MANAGEMENT PLAN</w:t>
          </w:r>
        </w:p>
      </w:tc>
      <w:tc>
        <w:tcPr>
          <w:tcW w:w="1165" w:type="dxa"/>
          <w:tcBorders>
            <w:top w:val="single" w:sz="4" w:space="0" w:color="auto"/>
            <w:left w:val="single" w:sz="4" w:space="0" w:color="auto"/>
            <w:bottom w:val="single" w:sz="4" w:space="0" w:color="auto"/>
            <w:right w:val="single" w:sz="4" w:space="0" w:color="auto"/>
          </w:tcBorders>
        </w:tcPr>
        <w:p w14:paraId="30EAE06F" w14:textId="77777777" w:rsidR="001F6155" w:rsidRDefault="001F6155" w:rsidP="79FD7082">
          <w:pPr>
            <w:pBdr>
              <w:top w:val="nil"/>
              <w:left w:val="nil"/>
              <w:bottom w:val="nil"/>
              <w:right w:val="nil"/>
              <w:between w:val="nil"/>
            </w:pBdr>
            <w:tabs>
              <w:tab w:val="center" w:pos="4536"/>
              <w:tab w:val="right" w:pos="9072"/>
            </w:tabs>
            <w:spacing w:after="0" w:line="200" w:lineRule="auto"/>
            <w:rPr>
              <w:color w:val="000000" w:themeColor="text1"/>
              <w:sz w:val="16"/>
              <w:szCs w:val="16"/>
            </w:rPr>
          </w:pPr>
          <w:r w:rsidRPr="79FD7082">
            <w:rPr>
              <w:color w:val="000000" w:themeColor="text1"/>
              <w:sz w:val="16"/>
              <w:szCs w:val="16"/>
            </w:rPr>
            <w:t>Revision:</w:t>
          </w:r>
        </w:p>
      </w:tc>
      <w:tc>
        <w:tcPr>
          <w:tcW w:w="1019" w:type="dxa"/>
          <w:tcBorders>
            <w:top w:val="single" w:sz="4" w:space="0" w:color="auto"/>
            <w:left w:val="single" w:sz="4" w:space="0" w:color="auto"/>
            <w:bottom w:val="single" w:sz="4" w:space="0" w:color="auto"/>
            <w:right w:val="single" w:sz="4" w:space="0" w:color="auto"/>
          </w:tcBorders>
        </w:tcPr>
        <w:p w14:paraId="2B20771D" w14:textId="77777777" w:rsidR="001F6155" w:rsidRDefault="001F6155" w:rsidP="79FD7082">
          <w:pPr>
            <w:pBdr>
              <w:top w:val="nil"/>
              <w:left w:val="nil"/>
              <w:bottom w:val="nil"/>
              <w:right w:val="nil"/>
              <w:between w:val="nil"/>
            </w:pBdr>
            <w:tabs>
              <w:tab w:val="center" w:pos="4536"/>
              <w:tab w:val="right" w:pos="9072"/>
            </w:tabs>
            <w:spacing w:after="0" w:line="200" w:lineRule="auto"/>
            <w:rPr>
              <w:color w:val="000000" w:themeColor="text1"/>
              <w:sz w:val="16"/>
              <w:szCs w:val="16"/>
            </w:rPr>
          </w:pPr>
          <w:r w:rsidRPr="79FD7082">
            <w:rPr>
              <w:color w:val="000000" w:themeColor="text1"/>
              <w:sz w:val="16"/>
              <w:szCs w:val="16"/>
            </w:rPr>
            <w:t>01</w:t>
          </w:r>
        </w:p>
      </w:tc>
      <w:tc>
        <w:tcPr>
          <w:tcW w:w="38" w:type="dxa"/>
          <w:vMerge w:val="restart"/>
          <w:tcBorders>
            <w:top w:val="single" w:sz="4" w:space="0" w:color="000000" w:themeColor="text1"/>
            <w:left w:val="single" w:sz="4" w:space="0" w:color="auto"/>
            <w:bottom w:val="single" w:sz="4" w:space="0" w:color="000000" w:themeColor="text1"/>
            <w:right w:val="nil"/>
          </w:tcBorders>
          <w:tcMar>
            <w:left w:w="0" w:type="dxa"/>
            <w:right w:w="0" w:type="dxa"/>
          </w:tcMar>
          <w:vAlign w:val="center"/>
        </w:tcPr>
        <w:p w14:paraId="0DCDE3F5" w14:textId="77777777" w:rsidR="001F6155" w:rsidRDefault="001F6155" w:rsidP="79FD7082">
          <w:pPr>
            <w:pBdr>
              <w:top w:val="nil"/>
              <w:left w:val="nil"/>
              <w:bottom w:val="nil"/>
              <w:right w:val="nil"/>
              <w:between w:val="nil"/>
            </w:pBdr>
            <w:tabs>
              <w:tab w:val="center" w:pos="4536"/>
              <w:tab w:val="right" w:pos="9072"/>
            </w:tabs>
            <w:spacing w:after="0" w:line="240" w:lineRule="auto"/>
            <w:jc w:val="center"/>
            <w:rPr>
              <w:b/>
              <w:bCs/>
              <w:color w:val="000000" w:themeColor="text1"/>
            </w:rPr>
          </w:pPr>
        </w:p>
      </w:tc>
    </w:tr>
    <w:tr w:rsidR="001F6155" w14:paraId="01CDEB14" w14:textId="77777777" w:rsidTr="79FD7082">
      <w:trPr>
        <w:trHeight w:val="300"/>
      </w:trPr>
      <w:tc>
        <w:tcPr>
          <w:tcW w:w="872" w:type="dxa"/>
          <w:tcBorders>
            <w:top w:val="single" w:sz="4" w:space="0" w:color="auto"/>
            <w:left w:val="single" w:sz="4" w:space="0" w:color="auto"/>
            <w:bottom w:val="single" w:sz="4" w:space="0" w:color="auto"/>
            <w:right w:val="single" w:sz="4" w:space="0" w:color="auto"/>
          </w:tcBorders>
        </w:tcPr>
        <w:p w14:paraId="1EB2659C" w14:textId="77777777" w:rsidR="001F6155" w:rsidRDefault="001F6155" w:rsidP="79FD7082">
          <w:pPr>
            <w:pBdr>
              <w:top w:val="nil"/>
              <w:left w:val="nil"/>
              <w:bottom w:val="nil"/>
              <w:right w:val="nil"/>
              <w:between w:val="nil"/>
            </w:pBdr>
            <w:tabs>
              <w:tab w:val="center" w:pos="4536"/>
              <w:tab w:val="right" w:pos="9072"/>
            </w:tabs>
            <w:spacing w:after="0" w:line="200" w:lineRule="auto"/>
            <w:rPr>
              <w:color w:val="000000" w:themeColor="text1"/>
              <w:sz w:val="16"/>
              <w:szCs w:val="16"/>
            </w:rPr>
          </w:pPr>
          <w:r w:rsidRPr="79FD7082">
            <w:rPr>
              <w:color w:val="000000" w:themeColor="text1"/>
              <w:sz w:val="16"/>
              <w:szCs w:val="16"/>
            </w:rPr>
            <w:t>DocID:</w:t>
          </w:r>
        </w:p>
      </w:tc>
      <w:tc>
        <w:tcPr>
          <w:tcW w:w="5926" w:type="dxa"/>
          <w:tcBorders>
            <w:top w:val="single" w:sz="4" w:space="0" w:color="auto"/>
            <w:left w:val="single" w:sz="4" w:space="0" w:color="auto"/>
            <w:bottom w:val="single" w:sz="4" w:space="0" w:color="auto"/>
            <w:right w:val="single" w:sz="4" w:space="0" w:color="auto"/>
          </w:tcBorders>
        </w:tcPr>
        <w:p w14:paraId="4BBE5A93" w14:textId="77777777" w:rsidR="001F6155" w:rsidRDefault="001F6155" w:rsidP="79FD7082">
          <w:pPr>
            <w:pBdr>
              <w:top w:val="nil"/>
              <w:left w:val="nil"/>
              <w:bottom w:val="nil"/>
              <w:right w:val="nil"/>
              <w:between w:val="nil"/>
            </w:pBdr>
            <w:tabs>
              <w:tab w:val="center" w:pos="4536"/>
              <w:tab w:val="right" w:pos="9072"/>
            </w:tabs>
            <w:spacing w:after="0" w:line="200" w:lineRule="auto"/>
            <w:rPr>
              <w:color w:val="000000" w:themeColor="text1"/>
              <w:sz w:val="16"/>
              <w:szCs w:val="16"/>
            </w:rPr>
          </w:pPr>
          <w:r w:rsidRPr="79FD7082">
            <w:rPr>
              <w:color w:val="000000" w:themeColor="text1"/>
              <w:sz w:val="16"/>
              <w:szCs w:val="16"/>
            </w:rPr>
            <w:t>REP-URP-1</w:t>
          </w:r>
        </w:p>
      </w:tc>
      <w:tc>
        <w:tcPr>
          <w:tcW w:w="1165" w:type="dxa"/>
          <w:tcBorders>
            <w:top w:val="single" w:sz="4" w:space="0" w:color="auto"/>
            <w:left w:val="single" w:sz="4" w:space="0" w:color="auto"/>
            <w:bottom w:val="single" w:sz="4" w:space="0" w:color="auto"/>
            <w:right w:val="single" w:sz="4" w:space="0" w:color="auto"/>
          </w:tcBorders>
        </w:tcPr>
        <w:p w14:paraId="12E29E83" w14:textId="77777777" w:rsidR="001F6155" w:rsidRDefault="001F6155" w:rsidP="79FD7082">
          <w:pPr>
            <w:pBdr>
              <w:top w:val="nil"/>
              <w:left w:val="nil"/>
              <w:bottom w:val="nil"/>
              <w:right w:val="nil"/>
              <w:between w:val="nil"/>
            </w:pBdr>
            <w:tabs>
              <w:tab w:val="center" w:pos="4536"/>
              <w:tab w:val="right" w:pos="9072"/>
            </w:tabs>
            <w:spacing w:after="0" w:line="200" w:lineRule="auto"/>
            <w:rPr>
              <w:color w:val="000000" w:themeColor="text1"/>
              <w:sz w:val="16"/>
              <w:szCs w:val="16"/>
            </w:rPr>
          </w:pPr>
          <w:r w:rsidRPr="79FD7082">
            <w:rPr>
              <w:color w:val="000000" w:themeColor="text1"/>
              <w:sz w:val="16"/>
              <w:szCs w:val="16"/>
            </w:rPr>
            <w:t>Page:</w:t>
          </w:r>
        </w:p>
      </w:tc>
      <w:tc>
        <w:tcPr>
          <w:tcW w:w="1019" w:type="dxa"/>
          <w:tcBorders>
            <w:top w:val="single" w:sz="4" w:space="0" w:color="auto"/>
            <w:left w:val="single" w:sz="4" w:space="0" w:color="auto"/>
            <w:right w:val="single" w:sz="4" w:space="0" w:color="000000" w:themeColor="text1"/>
          </w:tcBorders>
        </w:tcPr>
        <w:p w14:paraId="242EE98E" w14:textId="69D280AD" w:rsidR="001F6155" w:rsidRDefault="001F6155" w:rsidP="79FD7082">
          <w:pPr>
            <w:pBdr>
              <w:top w:val="nil"/>
              <w:left w:val="nil"/>
              <w:bottom w:val="nil"/>
              <w:right w:val="nil"/>
              <w:between w:val="nil"/>
            </w:pBdr>
            <w:tabs>
              <w:tab w:val="center" w:pos="4536"/>
              <w:tab w:val="right" w:pos="9072"/>
            </w:tabs>
            <w:spacing w:after="0" w:line="200" w:lineRule="auto"/>
            <w:rPr>
              <w:color w:val="000000" w:themeColor="text1"/>
              <w:sz w:val="16"/>
              <w:szCs w:val="16"/>
            </w:rPr>
          </w:pPr>
          <w:r w:rsidRPr="79FD7082">
            <w:rPr>
              <w:noProof/>
              <w:color w:val="000000" w:themeColor="text1"/>
              <w:sz w:val="16"/>
              <w:szCs w:val="16"/>
            </w:rPr>
            <w:fldChar w:fldCharType="begin"/>
          </w:r>
          <w:r w:rsidRPr="79FD7082">
            <w:rPr>
              <w:color w:val="000000" w:themeColor="text1"/>
              <w:sz w:val="16"/>
              <w:szCs w:val="16"/>
            </w:rPr>
            <w:instrText>PAGE</w:instrText>
          </w:r>
          <w:r w:rsidRPr="79FD7082">
            <w:rPr>
              <w:color w:val="000000" w:themeColor="text1"/>
              <w:sz w:val="16"/>
              <w:szCs w:val="16"/>
            </w:rPr>
            <w:fldChar w:fldCharType="separate"/>
          </w:r>
          <w:r w:rsidR="003538E0">
            <w:rPr>
              <w:noProof/>
              <w:color w:val="000000" w:themeColor="text1"/>
              <w:sz w:val="16"/>
              <w:szCs w:val="16"/>
            </w:rPr>
            <w:t>4</w:t>
          </w:r>
          <w:r w:rsidRPr="79FD7082">
            <w:rPr>
              <w:noProof/>
              <w:color w:val="000000" w:themeColor="text1"/>
              <w:sz w:val="16"/>
              <w:szCs w:val="16"/>
            </w:rPr>
            <w:fldChar w:fldCharType="end"/>
          </w:r>
          <w:r w:rsidRPr="79FD7082">
            <w:rPr>
              <w:color w:val="000000" w:themeColor="text1"/>
              <w:sz w:val="16"/>
              <w:szCs w:val="16"/>
            </w:rPr>
            <w:t xml:space="preserve"> / </w:t>
          </w:r>
          <w:r w:rsidRPr="79FD7082">
            <w:rPr>
              <w:noProof/>
              <w:color w:val="000000" w:themeColor="text1"/>
              <w:sz w:val="16"/>
              <w:szCs w:val="16"/>
            </w:rPr>
            <w:fldChar w:fldCharType="begin"/>
          </w:r>
          <w:r w:rsidRPr="79FD7082">
            <w:rPr>
              <w:noProof/>
              <w:color w:val="000000" w:themeColor="text1"/>
              <w:sz w:val="16"/>
              <w:szCs w:val="16"/>
            </w:rPr>
            <w:instrText>NUMPAGES</w:instrText>
          </w:r>
          <w:r w:rsidRPr="79FD7082">
            <w:rPr>
              <w:noProof/>
              <w:color w:val="000000" w:themeColor="text1"/>
              <w:sz w:val="16"/>
              <w:szCs w:val="16"/>
            </w:rPr>
            <w:fldChar w:fldCharType="separate"/>
          </w:r>
          <w:r w:rsidR="003538E0">
            <w:rPr>
              <w:noProof/>
              <w:color w:val="000000" w:themeColor="text1"/>
              <w:sz w:val="16"/>
              <w:szCs w:val="16"/>
            </w:rPr>
            <w:t>266</w:t>
          </w:r>
          <w:r w:rsidRPr="79FD7082">
            <w:rPr>
              <w:noProof/>
              <w:color w:val="000000" w:themeColor="text1"/>
              <w:sz w:val="16"/>
              <w:szCs w:val="16"/>
            </w:rPr>
            <w:fldChar w:fldCharType="end"/>
          </w:r>
        </w:p>
      </w:tc>
      <w:tc>
        <w:tcPr>
          <w:tcW w:w="38" w:type="dxa"/>
          <w:vMerge/>
        </w:tcPr>
        <w:p w14:paraId="0BF3EFB3" w14:textId="77777777" w:rsidR="001F6155" w:rsidRDefault="001F6155"/>
      </w:tc>
    </w:tr>
  </w:tbl>
  <w:p w14:paraId="13D16767" w14:textId="7625B614" w:rsidR="001F6155" w:rsidRDefault="001F61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B6573" w14:textId="6C1C85B8" w:rsidR="00480751" w:rsidRDefault="00480751">
    <w:pPr>
      <w:pStyle w:val="AltBilgi"/>
    </w:pPr>
    <w:r>
      <w:rPr>
        <w:noProof/>
      </w:rPr>
      <mc:AlternateContent>
        <mc:Choice Requires="wps">
          <w:drawing>
            <wp:anchor distT="0" distB="0" distL="0" distR="0" simplePos="0" relativeHeight="251658240" behindDoc="0" locked="0" layoutInCell="1" allowOverlap="1" wp14:anchorId="1D42DD15" wp14:editId="335CB76B">
              <wp:simplePos x="635" y="635"/>
              <wp:positionH relativeFrom="page">
                <wp:align>right</wp:align>
              </wp:positionH>
              <wp:positionV relativeFrom="page">
                <wp:align>bottom</wp:align>
              </wp:positionV>
              <wp:extent cx="1170305" cy="422910"/>
              <wp:effectExtent l="0" t="0" r="0" b="0"/>
              <wp:wrapNone/>
              <wp:docPr id="1476153582"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0305" cy="422910"/>
                      </a:xfrm>
                      <a:prstGeom prst="rect">
                        <a:avLst/>
                      </a:prstGeom>
                      <a:noFill/>
                      <a:ln>
                        <a:noFill/>
                      </a:ln>
                    </wps:spPr>
                    <wps:txbx>
                      <w:txbxContent>
                        <w:p w14:paraId="5A5CC0C2" w14:textId="335BB396" w:rsidR="00480751" w:rsidRPr="00480751" w:rsidRDefault="00480751" w:rsidP="00480751">
                          <w:pPr>
                            <w:spacing w:after="0"/>
                            <w:rPr>
                              <w:rFonts w:eastAsia="Aptos" w:cs="Aptos"/>
                              <w:noProof/>
                              <w:color w:val="000000"/>
                              <w:sz w:val="20"/>
                              <w:szCs w:val="20"/>
                            </w:rPr>
                          </w:pPr>
                          <w:r w:rsidRPr="00480751">
                            <w:rPr>
                              <w:rFonts w:eastAsia="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1D42DD15" id="_x0000_t202" coordsize="21600,21600" o:spt="202" path="m,l,21600r21600,l21600,xe">
              <v:stroke joinstyle="miter"/>
              <v:path gradientshapeok="t" o:connecttype="rect"/>
            </v:shapetype>
            <v:shape id="Text Box 1" o:spid="_x0000_s1072" type="#_x0000_t202" alt="Official Use Only" style="position:absolute;left:0;text-align:left;margin-left:40.95pt;margin-top:0;width:92.15pt;height:33.3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K3QQIAAGoEAAAOAAAAZHJzL2Uyb0RvYy54bWysVMlu2zAQvRfoPxC811piZzEsB24CFwWC&#10;OIAd5ExTlC2AIgmStuR+fR8py2nTnopeqOHMcJb3ZjS77xpJjsK6WquCZqOUEqG4Lmu1K+jrZvnl&#10;lhLnmSqZ1EoU9CQcvZ9//jRrzVTkeq9lKSxBEOWmrSno3nszTRLH96JhbqSNUDBW2jbM42p3SWlZ&#10;i+iNTPI0vU5abUtjNRfOQfvYG+k8xq8qwf2qqpzwRBYUtfl42nhuw5nMZ2y6s8zsa34ug/1DFQ2r&#10;FZJeQj0yz8jB1n+EamputdOVH3HdJLqqai5iD+gmSz90s94zI2IvAMeZC0zu/4Xlz8cXS+oS3I1v&#10;rrPJ1eQ2p0SxBlxtROfJV92RjJJSOA7YAGbNaybJqxNkpeQpANgaN0WctUEk3+EBgg16B2XApats&#10;E77omMAOKk4X+EMaHh5lN+lVOqGEwzbO87ss8pO8vzbW+W9CNyQIBbWgN6LOjk/OoxK4Di4hmdLL&#10;WspIsVS/KeAYNEkovS8xSL7bdj0WQ/lbXZ7QldX94DjDlzVSPzHnX5jFpKARTL9f4aikbguqzxIl&#10;e21//E0f/EEgrJS0mLyCKqwGJfK7ArFhSAfBRiGfjNMU6m28ZXfpJNzUoXnQGGpwg6qiCK31chAr&#10;q5s3LMciZIOJKY6cBd0O4oPv9wDLxcViEZ0wlIb5J7U2PIQOmAVAN90bs+aMugdfz3qYTTb9AH7v&#10;G146szh4UBCZCfj2aJ5hx0BHws7LFzbm13v0ev9FzH8CAAD//wMAUEsDBBQABgAIAAAAIQChnB1S&#10;2wAAAAQBAAAPAAAAZHJzL2Rvd25yZXYueG1sTI/BasMwEETvhfyD2EIvpZHbBhEcyyEN9FAogSah&#10;ucrW1jaRVkZSHOfvq/TSXBaGGWbeFsvRGjagD50jCc/TDBhS7XRHjYT97v1pDixERVoZRyjhggGW&#10;5eSuULl2Z/rCYRsblkoo5EpCG2Ofcx7qFq0KU9cjJe/Heatikr7h2qtzKreGv2SZ4FZ1lBZa1eO6&#10;xfq4PVkJb4/hu/o8+svHZubEYVgL02+ElA/342oBLOIY/8NwxU/oUCamyp1IB2YkpEfi371689kr&#10;sEqCEAJ4WfBb+PIXAAD//wMAUEsBAi0AFAAGAAgAAAAhALaDOJL+AAAA4QEAABMAAAAAAAAAAAAA&#10;AAAAAAAAAFtDb250ZW50X1R5cGVzXS54bWxQSwECLQAUAAYACAAAACEAOP0h/9YAAACUAQAACwAA&#10;AAAAAAAAAAAAAAAvAQAAX3JlbHMvLnJlbHNQSwECLQAUAAYACAAAACEALhdSt0ECAABqBAAADgAA&#10;AAAAAAAAAAAAAAAuAgAAZHJzL2Uyb0RvYy54bWxQSwECLQAUAAYACAAAACEAoZwdUtsAAAAEAQAA&#10;DwAAAAAAAAAAAAAAAACbBAAAZHJzL2Rvd25yZXYueG1sUEsFBgAAAAAEAAQA8wAAAKMFAAAAAA==&#10;" filled="f" stroked="f">
              <v:textbox style="mso-fit-shape-to-text:t" inset="0,0,20pt,15pt">
                <w:txbxContent>
                  <w:p w14:paraId="5A5CC0C2" w14:textId="335BB396" w:rsidR="00480751" w:rsidRPr="00480751" w:rsidRDefault="00480751" w:rsidP="00480751">
                    <w:pPr>
                      <w:spacing w:after="0"/>
                      <w:rPr>
                        <w:rFonts w:eastAsia="Aptos" w:cs="Aptos"/>
                        <w:noProof/>
                        <w:color w:val="000000"/>
                        <w:sz w:val="20"/>
                        <w:szCs w:val="20"/>
                      </w:rPr>
                    </w:pPr>
                    <w:r w:rsidRPr="00480751">
                      <w:rPr>
                        <w:rFonts w:eastAsia="Aptos" w:cs="Aptos"/>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67496" w14:textId="665106F6" w:rsidR="001F6155" w:rsidRDefault="00480751">
    <w:pPr>
      <w:pBdr>
        <w:top w:val="nil"/>
        <w:left w:val="nil"/>
        <w:bottom w:val="nil"/>
        <w:right w:val="nil"/>
        <w:between w:val="nil"/>
      </w:pBdr>
      <w:tabs>
        <w:tab w:val="center" w:pos="4536"/>
        <w:tab w:val="right" w:pos="9072"/>
      </w:tabs>
      <w:spacing w:after="0" w:line="240" w:lineRule="auto"/>
      <w:rPr>
        <w:color w:val="000000"/>
      </w:rPr>
    </w:pPr>
    <w:r>
      <w:rPr>
        <w:noProof/>
        <w:color w:val="000000"/>
      </w:rPr>
      <mc:AlternateContent>
        <mc:Choice Requires="wps">
          <w:drawing>
            <wp:anchor distT="0" distB="0" distL="0" distR="0" simplePos="0" relativeHeight="251661312" behindDoc="0" locked="0" layoutInCell="1" allowOverlap="1" wp14:anchorId="4D8502E1" wp14:editId="03DFCAC9">
              <wp:simplePos x="635" y="635"/>
              <wp:positionH relativeFrom="page">
                <wp:align>right</wp:align>
              </wp:positionH>
              <wp:positionV relativeFrom="page">
                <wp:align>bottom</wp:align>
              </wp:positionV>
              <wp:extent cx="1170305" cy="422910"/>
              <wp:effectExtent l="0" t="0" r="0" b="0"/>
              <wp:wrapNone/>
              <wp:docPr id="2003789125" name="Text Box 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0305" cy="422910"/>
                      </a:xfrm>
                      <a:prstGeom prst="rect">
                        <a:avLst/>
                      </a:prstGeom>
                      <a:noFill/>
                      <a:ln>
                        <a:noFill/>
                      </a:ln>
                    </wps:spPr>
                    <wps:txbx>
                      <w:txbxContent>
                        <w:p w14:paraId="2D922DEF" w14:textId="5BF8FF2B" w:rsidR="00480751" w:rsidRPr="00480751" w:rsidRDefault="00480751" w:rsidP="00480751">
                          <w:pPr>
                            <w:spacing w:after="0"/>
                            <w:rPr>
                              <w:rFonts w:eastAsia="Aptos" w:cs="Aptos"/>
                              <w:noProof/>
                              <w:color w:val="000000"/>
                              <w:sz w:val="20"/>
                              <w:szCs w:val="20"/>
                            </w:rPr>
                          </w:pPr>
                          <w:r w:rsidRPr="00480751">
                            <w:rPr>
                              <w:rFonts w:eastAsia="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4D8502E1" id="_x0000_t202" coordsize="21600,21600" o:spt="202" path="m,l,21600r21600,l21600,xe">
              <v:stroke joinstyle="miter"/>
              <v:path gradientshapeok="t" o:connecttype="rect"/>
            </v:shapetype>
            <v:shape id="Text Box 4" o:spid="_x0000_s1073" type="#_x0000_t202" alt="Official Use Only" style="position:absolute;left:0;text-align:left;margin-left:40.95pt;margin-top:0;width:92.15pt;height:33.3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bwQQIAAGoEAAAOAAAAZHJzL2Uyb0RvYy54bWysVN9v2jAQfp+0/8Hy+0hCYS2IULFWTJNQ&#10;qQRVn43jQCTHtmxDwv76fXYI7bo9TXtxznfn+/F9d5ndt7UkJ2FdpVVOs0FKiVBcF5Xa5/Rlu/xy&#10;R4nzTBVMaiVyehaO3s8/f5o1ZiqG+qBlISxBEOWmjcnpwXszTRLHD6JmbqCNUDCW2tbM42r3SWFZ&#10;g+i1TIZp+jVptC2M1Vw4B+1jZ6TzGL8sBffrsnTCE5lT1ObjaeO5C2cyn7Hp3jJzqPilDPYPVdSs&#10;Ukh6DfXIPCNHW/0Rqq641U6XfsB1neiyrLiIPaCbLP3QzebAjIi9ABxnrjC5/xeWP52eLamKnALN&#10;m9u7STYcU6JYDa62ovXkm27JiJJCOA7YAGbFKybJixNkreQ5ANgYN0WcjUEk3+IBBqHXOygDLm1p&#10;6/BFxwR2UHG+wh/S8PAou01vUqTnsI2Gw0kW+UneXhvr/HehaxKEnFrQG1Fnp5XzqASuvUtIpvSy&#10;kjJSLNVvCjgGTRJK70oMkm93bYdFX/5OF2d0ZXU3OM7wZYXUK+b8M7OYFDSC6fdrHKXUTU71RaLk&#10;oO3Pv+mDPwiElZIGk5dThdWgRP5QIDYMaS/YKAzHozSFehdv2SQdh5s61g8aQ51hvwyPIrTWy14s&#10;ra5fsRyLkA0mpjhy5nTXiw++2wMsFxeLRXTCUBrmV2pjeAgdMAuAbttXZs0FdQ++nnQ/m2z6AfzO&#10;N7x0ZnH0oCAyE/Dt0LzAjoGOhF2WL2zM+3v0evtFzH8BAAD//wMAUEsDBBQABgAIAAAAIQChnB1S&#10;2wAAAAQBAAAPAAAAZHJzL2Rvd25yZXYueG1sTI/BasMwEETvhfyD2EIvpZHbBhEcyyEN9FAogSah&#10;ucrW1jaRVkZSHOfvq/TSXBaGGWbeFsvRGjagD50jCc/TDBhS7XRHjYT97v1pDixERVoZRyjhggGW&#10;5eSuULl2Z/rCYRsblkoo5EpCG2Ofcx7qFq0KU9cjJe/Heatikr7h2qtzKreGv2SZ4FZ1lBZa1eO6&#10;xfq4PVkJb4/hu/o8+svHZubEYVgL02+ElA/342oBLOIY/8NwxU/oUCamyp1IB2YkpEfi371689kr&#10;sEqCEAJ4WfBb+PIXAAD//wMAUEsBAi0AFAAGAAgAAAAhALaDOJL+AAAA4QEAABMAAAAAAAAAAAAA&#10;AAAAAAAAAFtDb250ZW50X1R5cGVzXS54bWxQSwECLQAUAAYACAAAACEAOP0h/9YAAACUAQAACwAA&#10;AAAAAAAAAAAAAAAvAQAAX3JlbHMvLnJlbHNQSwECLQAUAAYACAAAACEA6EAm8EECAABqBAAADgAA&#10;AAAAAAAAAAAAAAAuAgAAZHJzL2Uyb0RvYy54bWxQSwECLQAUAAYACAAAACEAoZwdUtsAAAAEAQAA&#10;DwAAAAAAAAAAAAAAAACbBAAAZHJzL2Rvd25yZXYueG1sUEsFBgAAAAAEAAQA8wAAAKMFAAAAAA==&#10;" filled="f" stroked="f">
              <v:textbox style="mso-fit-shape-to-text:t" inset="0,0,20pt,15pt">
                <w:txbxContent>
                  <w:p w14:paraId="2D922DEF" w14:textId="5BF8FF2B" w:rsidR="00480751" w:rsidRPr="00480751" w:rsidRDefault="00480751" w:rsidP="00480751">
                    <w:pPr>
                      <w:spacing w:after="0"/>
                      <w:rPr>
                        <w:rFonts w:eastAsia="Aptos" w:cs="Aptos"/>
                        <w:noProof/>
                        <w:color w:val="000000"/>
                        <w:sz w:val="20"/>
                        <w:szCs w:val="20"/>
                      </w:rPr>
                    </w:pPr>
                    <w:r w:rsidRPr="00480751">
                      <w:rPr>
                        <w:rFonts w:eastAsia="Aptos" w:cs="Aptos"/>
                        <w:noProof/>
                        <w:color w:val="000000"/>
                        <w:sz w:val="20"/>
                        <w:szCs w:val="20"/>
                      </w:rPr>
                      <w:t>Official Use Only</w:t>
                    </w:r>
                  </w:p>
                </w:txbxContent>
              </v:textbox>
              <w10:wrap anchorx="page" anchory="page"/>
            </v:shape>
          </w:pict>
        </mc:Fallback>
      </mc:AlternateContent>
    </w:r>
  </w:p>
  <w:tbl>
    <w:tblPr>
      <w:tblStyle w:val="2"/>
      <w:tblW w:w="902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872"/>
      <w:gridCol w:w="5926"/>
      <w:gridCol w:w="1165"/>
      <w:gridCol w:w="1019"/>
      <w:gridCol w:w="38"/>
    </w:tblGrid>
    <w:tr w:rsidR="001F6155" w14:paraId="5E4B6181" w14:textId="77777777" w:rsidTr="00DF417A">
      <w:trPr>
        <w:cantSplit/>
        <w:trHeight w:val="301"/>
      </w:trPr>
      <w:tc>
        <w:tcPr>
          <w:tcW w:w="872" w:type="dxa"/>
          <w:tcBorders>
            <w:top w:val="single" w:sz="4" w:space="0" w:color="auto"/>
            <w:left w:val="single" w:sz="4" w:space="0" w:color="auto"/>
            <w:bottom w:val="single" w:sz="4" w:space="0" w:color="auto"/>
            <w:right w:val="single" w:sz="4" w:space="0" w:color="auto"/>
          </w:tcBorders>
        </w:tcPr>
        <w:p w14:paraId="59837CAD" w14:textId="77777777" w:rsidR="001F6155" w:rsidRDefault="001F6155">
          <w:pPr>
            <w:pBdr>
              <w:top w:val="nil"/>
              <w:left w:val="nil"/>
              <w:bottom w:val="nil"/>
              <w:right w:val="nil"/>
              <w:between w:val="nil"/>
            </w:pBdr>
            <w:tabs>
              <w:tab w:val="center" w:pos="4536"/>
              <w:tab w:val="right" w:pos="9072"/>
            </w:tabs>
            <w:spacing w:after="0" w:line="200" w:lineRule="auto"/>
            <w:rPr>
              <w:color w:val="000000"/>
              <w:sz w:val="16"/>
              <w:szCs w:val="16"/>
            </w:rPr>
          </w:pPr>
          <w:r>
            <w:rPr>
              <w:color w:val="000000"/>
              <w:sz w:val="16"/>
              <w:szCs w:val="16"/>
            </w:rPr>
            <w:t>Title:</w:t>
          </w:r>
        </w:p>
      </w:tc>
      <w:tc>
        <w:tcPr>
          <w:tcW w:w="5926" w:type="dxa"/>
          <w:tcBorders>
            <w:top w:val="single" w:sz="4" w:space="0" w:color="auto"/>
            <w:left w:val="single" w:sz="4" w:space="0" w:color="auto"/>
            <w:bottom w:val="single" w:sz="4" w:space="0" w:color="auto"/>
            <w:right w:val="single" w:sz="4" w:space="0" w:color="auto"/>
          </w:tcBorders>
        </w:tcPr>
        <w:p w14:paraId="2452DF0D" w14:textId="77777777" w:rsidR="001F6155" w:rsidRDefault="001F6155">
          <w:pPr>
            <w:rPr>
              <w:color w:val="000000"/>
              <w:sz w:val="16"/>
              <w:szCs w:val="16"/>
            </w:rPr>
          </w:pPr>
          <w:r>
            <w:rPr>
              <w:color w:val="000000"/>
              <w:sz w:val="16"/>
              <w:szCs w:val="16"/>
            </w:rPr>
            <w:t>CLIMATE AND DISASTER RESILIENT CITIES PROJECT</w:t>
          </w:r>
        </w:p>
        <w:p w14:paraId="1A43C646" w14:textId="77777777" w:rsidR="001F6155" w:rsidRDefault="001F6155">
          <w:pPr>
            <w:pBdr>
              <w:top w:val="nil"/>
              <w:left w:val="nil"/>
              <w:bottom w:val="nil"/>
              <w:right w:val="nil"/>
              <w:between w:val="nil"/>
            </w:pBdr>
            <w:spacing w:after="0" w:line="200" w:lineRule="auto"/>
            <w:ind w:right="101"/>
            <w:rPr>
              <w:rFonts w:eastAsiaTheme="minorHAnsi" w:cstheme="minorBidi"/>
              <w:color w:val="000000"/>
              <w:kern w:val="2"/>
              <w:sz w:val="16"/>
              <w:szCs w:val="16"/>
              <w:lang w:eastAsia="en-US"/>
              <w14:ligatures w14:val="standardContextual"/>
            </w:rPr>
          </w:pPr>
          <w:r>
            <w:rPr>
              <w:rFonts w:eastAsiaTheme="minorHAnsi" w:cstheme="minorBidi"/>
              <w:color w:val="000000"/>
              <w:kern w:val="2"/>
              <w:sz w:val="16"/>
              <w:szCs w:val="16"/>
              <w:lang w:eastAsia="en-US"/>
              <w14:ligatures w14:val="standardContextual"/>
            </w:rPr>
            <w:t>SAKARYA ENVIRONMENTAL AND SOCIAL MANAGEMENT PLAN</w:t>
          </w:r>
        </w:p>
      </w:tc>
      <w:tc>
        <w:tcPr>
          <w:tcW w:w="1165" w:type="dxa"/>
          <w:tcBorders>
            <w:top w:val="single" w:sz="4" w:space="0" w:color="auto"/>
            <w:left w:val="single" w:sz="4" w:space="0" w:color="auto"/>
            <w:bottom w:val="single" w:sz="4" w:space="0" w:color="auto"/>
            <w:right w:val="single" w:sz="4" w:space="0" w:color="auto"/>
          </w:tcBorders>
        </w:tcPr>
        <w:p w14:paraId="351A2906" w14:textId="77777777" w:rsidR="001F6155" w:rsidRDefault="001F6155">
          <w:pPr>
            <w:pBdr>
              <w:top w:val="nil"/>
              <w:left w:val="nil"/>
              <w:bottom w:val="nil"/>
              <w:right w:val="nil"/>
              <w:between w:val="nil"/>
            </w:pBdr>
            <w:tabs>
              <w:tab w:val="center" w:pos="4536"/>
              <w:tab w:val="right" w:pos="9072"/>
            </w:tabs>
            <w:spacing w:after="0" w:line="200" w:lineRule="auto"/>
            <w:rPr>
              <w:color w:val="000000"/>
              <w:sz w:val="16"/>
              <w:szCs w:val="16"/>
            </w:rPr>
          </w:pPr>
          <w:r>
            <w:rPr>
              <w:color w:val="000000"/>
              <w:sz w:val="16"/>
              <w:szCs w:val="16"/>
            </w:rPr>
            <w:t>Revision:</w:t>
          </w:r>
        </w:p>
      </w:tc>
      <w:tc>
        <w:tcPr>
          <w:tcW w:w="1019" w:type="dxa"/>
          <w:tcBorders>
            <w:top w:val="single" w:sz="4" w:space="0" w:color="auto"/>
            <w:left w:val="single" w:sz="4" w:space="0" w:color="auto"/>
            <w:bottom w:val="single" w:sz="4" w:space="0" w:color="auto"/>
            <w:right w:val="single" w:sz="4" w:space="0" w:color="auto"/>
          </w:tcBorders>
        </w:tcPr>
        <w:p w14:paraId="47A48A7E" w14:textId="77777777" w:rsidR="001F6155" w:rsidRDefault="001F6155">
          <w:pPr>
            <w:pBdr>
              <w:top w:val="nil"/>
              <w:left w:val="nil"/>
              <w:bottom w:val="nil"/>
              <w:right w:val="nil"/>
              <w:between w:val="nil"/>
            </w:pBdr>
            <w:tabs>
              <w:tab w:val="center" w:pos="4536"/>
              <w:tab w:val="right" w:pos="9072"/>
            </w:tabs>
            <w:spacing w:after="0" w:line="200" w:lineRule="auto"/>
            <w:rPr>
              <w:color w:val="000000"/>
              <w:sz w:val="16"/>
              <w:szCs w:val="16"/>
            </w:rPr>
          </w:pPr>
          <w:r>
            <w:rPr>
              <w:color w:val="000000"/>
              <w:sz w:val="16"/>
              <w:szCs w:val="16"/>
            </w:rPr>
            <w:t>01</w:t>
          </w:r>
        </w:p>
      </w:tc>
      <w:tc>
        <w:tcPr>
          <w:tcW w:w="38" w:type="dxa"/>
          <w:vMerge w:val="restart"/>
          <w:tcBorders>
            <w:top w:val="single" w:sz="4" w:space="0" w:color="000000"/>
            <w:left w:val="single" w:sz="4" w:space="0" w:color="auto"/>
            <w:bottom w:val="single" w:sz="4" w:space="0" w:color="000000"/>
            <w:right w:val="nil"/>
          </w:tcBorders>
          <w:tcMar>
            <w:left w:w="0" w:type="dxa"/>
            <w:right w:w="0" w:type="dxa"/>
          </w:tcMar>
          <w:vAlign w:val="center"/>
        </w:tcPr>
        <w:p w14:paraId="0E61F046" w14:textId="77777777" w:rsidR="001F6155" w:rsidRDefault="001F6155">
          <w:pPr>
            <w:pBdr>
              <w:top w:val="nil"/>
              <w:left w:val="nil"/>
              <w:bottom w:val="nil"/>
              <w:right w:val="nil"/>
              <w:between w:val="nil"/>
            </w:pBdr>
            <w:tabs>
              <w:tab w:val="center" w:pos="4536"/>
              <w:tab w:val="right" w:pos="9072"/>
            </w:tabs>
            <w:spacing w:after="0" w:line="240" w:lineRule="auto"/>
            <w:jc w:val="center"/>
            <w:rPr>
              <w:b/>
              <w:color w:val="000000"/>
            </w:rPr>
          </w:pPr>
        </w:p>
      </w:tc>
    </w:tr>
    <w:tr w:rsidR="001F6155" w14:paraId="311CE016" w14:textId="77777777" w:rsidTr="00DF417A">
      <w:trPr>
        <w:cantSplit/>
        <w:trHeight w:val="301"/>
      </w:trPr>
      <w:tc>
        <w:tcPr>
          <w:tcW w:w="872" w:type="dxa"/>
          <w:tcBorders>
            <w:top w:val="single" w:sz="4" w:space="0" w:color="auto"/>
            <w:left w:val="single" w:sz="4" w:space="0" w:color="auto"/>
            <w:bottom w:val="single" w:sz="4" w:space="0" w:color="auto"/>
            <w:right w:val="single" w:sz="4" w:space="0" w:color="auto"/>
          </w:tcBorders>
        </w:tcPr>
        <w:p w14:paraId="0CE874EC" w14:textId="77777777" w:rsidR="001F6155" w:rsidRDefault="001F6155">
          <w:pPr>
            <w:pBdr>
              <w:top w:val="nil"/>
              <w:left w:val="nil"/>
              <w:bottom w:val="nil"/>
              <w:right w:val="nil"/>
              <w:between w:val="nil"/>
            </w:pBdr>
            <w:tabs>
              <w:tab w:val="center" w:pos="4536"/>
              <w:tab w:val="right" w:pos="9072"/>
            </w:tabs>
            <w:spacing w:after="0" w:line="200" w:lineRule="auto"/>
            <w:rPr>
              <w:color w:val="000000"/>
              <w:sz w:val="16"/>
              <w:szCs w:val="16"/>
            </w:rPr>
          </w:pPr>
          <w:r>
            <w:rPr>
              <w:color w:val="000000"/>
              <w:sz w:val="16"/>
              <w:szCs w:val="16"/>
            </w:rPr>
            <w:t>DocID:</w:t>
          </w:r>
        </w:p>
      </w:tc>
      <w:tc>
        <w:tcPr>
          <w:tcW w:w="5926" w:type="dxa"/>
          <w:tcBorders>
            <w:top w:val="single" w:sz="4" w:space="0" w:color="auto"/>
            <w:left w:val="single" w:sz="4" w:space="0" w:color="auto"/>
            <w:bottom w:val="single" w:sz="4" w:space="0" w:color="auto"/>
            <w:right w:val="single" w:sz="4" w:space="0" w:color="auto"/>
          </w:tcBorders>
        </w:tcPr>
        <w:p w14:paraId="4CDA3A28" w14:textId="77777777" w:rsidR="001F6155" w:rsidRDefault="001F6155">
          <w:pPr>
            <w:pBdr>
              <w:top w:val="nil"/>
              <w:left w:val="nil"/>
              <w:bottom w:val="nil"/>
              <w:right w:val="nil"/>
              <w:between w:val="nil"/>
            </w:pBdr>
            <w:tabs>
              <w:tab w:val="center" w:pos="4536"/>
              <w:tab w:val="right" w:pos="9072"/>
            </w:tabs>
            <w:spacing w:after="0" w:line="200" w:lineRule="auto"/>
            <w:rPr>
              <w:color w:val="000000"/>
              <w:sz w:val="16"/>
              <w:szCs w:val="16"/>
            </w:rPr>
          </w:pPr>
          <w:r>
            <w:rPr>
              <w:color w:val="000000"/>
              <w:sz w:val="16"/>
              <w:szCs w:val="16"/>
            </w:rPr>
            <w:t>REP-URP-1</w:t>
          </w:r>
        </w:p>
      </w:tc>
      <w:tc>
        <w:tcPr>
          <w:tcW w:w="1165" w:type="dxa"/>
          <w:tcBorders>
            <w:top w:val="single" w:sz="4" w:space="0" w:color="auto"/>
            <w:left w:val="single" w:sz="4" w:space="0" w:color="auto"/>
            <w:bottom w:val="single" w:sz="4" w:space="0" w:color="auto"/>
            <w:right w:val="single" w:sz="4" w:space="0" w:color="auto"/>
          </w:tcBorders>
        </w:tcPr>
        <w:p w14:paraId="6AF5E1C0" w14:textId="77777777" w:rsidR="001F6155" w:rsidRDefault="001F6155">
          <w:pPr>
            <w:pBdr>
              <w:top w:val="nil"/>
              <w:left w:val="nil"/>
              <w:bottom w:val="nil"/>
              <w:right w:val="nil"/>
              <w:between w:val="nil"/>
            </w:pBdr>
            <w:tabs>
              <w:tab w:val="center" w:pos="4536"/>
              <w:tab w:val="right" w:pos="9072"/>
            </w:tabs>
            <w:spacing w:after="0" w:line="200" w:lineRule="auto"/>
            <w:rPr>
              <w:color w:val="000000"/>
              <w:sz w:val="16"/>
              <w:szCs w:val="16"/>
            </w:rPr>
          </w:pPr>
          <w:r>
            <w:rPr>
              <w:color w:val="000000"/>
              <w:sz w:val="16"/>
              <w:szCs w:val="16"/>
            </w:rPr>
            <w:t>Page:</w:t>
          </w:r>
        </w:p>
      </w:tc>
      <w:tc>
        <w:tcPr>
          <w:tcW w:w="1019" w:type="dxa"/>
          <w:tcBorders>
            <w:top w:val="single" w:sz="4" w:space="0" w:color="auto"/>
            <w:left w:val="single" w:sz="4" w:space="0" w:color="auto"/>
            <w:right w:val="single" w:sz="4" w:space="0" w:color="000000"/>
          </w:tcBorders>
        </w:tcPr>
        <w:p w14:paraId="75E27F0E" w14:textId="1C313BD3" w:rsidR="001F6155" w:rsidRDefault="001F6155">
          <w:pPr>
            <w:pBdr>
              <w:top w:val="nil"/>
              <w:left w:val="nil"/>
              <w:bottom w:val="nil"/>
              <w:right w:val="nil"/>
              <w:between w:val="nil"/>
            </w:pBdr>
            <w:tabs>
              <w:tab w:val="center" w:pos="4536"/>
              <w:tab w:val="right" w:pos="9072"/>
            </w:tabs>
            <w:spacing w:after="0" w:line="200" w:lineRule="auto"/>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3538E0">
            <w:rPr>
              <w:noProof/>
              <w:color w:val="000000"/>
              <w:sz w:val="16"/>
              <w:szCs w:val="16"/>
            </w:rPr>
            <w:t>137</w:t>
          </w:r>
          <w:r>
            <w:rPr>
              <w:color w:val="000000"/>
              <w:sz w:val="16"/>
              <w:szCs w:val="16"/>
            </w:rPr>
            <w:fldChar w:fldCharType="end"/>
          </w:r>
          <w:r>
            <w:rPr>
              <w:color w:val="000000"/>
              <w:sz w:val="16"/>
              <w:szCs w:val="16"/>
            </w:rPr>
            <w:t xml:space="preserve"> / </w:t>
          </w:r>
          <w:r w:rsidRPr="00B07473">
            <w:rPr>
              <w:noProof/>
              <w:color w:val="000000"/>
              <w:sz w:val="16"/>
              <w:szCs w:val="16"/>
            </w:rPr>
            <w:fldChar w:fldCharType="begin"/>
          </w:r>
          <w:r w:rsidRPr="00B07473">
            <w:rPr>
              <w:noProof/>
              <w:color w:val="000000"/>
              <w:sz w:val="16"/>
              <w:szCs w:val="16"/>
            </w:rPr>
            <w:instrText>NUMPAGES</w:instrText>
          </w:r>
          <w:r w:rsidRPr="00B07473">
            <w:rPr>
              <w:noProof/>
              <w:color w:val="000000"/>
              <w:sz w:val="16"/>
              <w:szCs w:val="16"/>
            </w:rPr>
            <w:fldChar w:fldCharType="separate"/>
          </w:r>
          <w:r w:rsidR="003538E0">
            <w:rPr>
              <w:noProof/>
              <w:color w:val="000000"/>
              <w:sz w:val="16"/>
              <w:szCs w:val="16"/>
            </w:rPr>
            <w:t>266</w:t>
          </w:r>
          <w:r w:rsidRPr="00B07473">
            <w:rPr>
              <w:noProof/>
              <w:color w:val="000000"/>
              <w:sz w:val="16"/>
              <w:szCs w:val="16"/>
            </w:rPr>
            <w:fldChar w:fldCharType="end"/>
          </w:r>
        </w:p>
      </w:tc>
      <w:tc>
        <w:tcPr>
          <w:tcW w:w="38" w:type="dxa"/>
          <w:vMerge/>
          <w:tcBorders>
            <w:top w:val="single" w:sz="4" w:space="0" w:color="000000"/>
            <w:left w:val="single" w:sz="4" w:space="0" w:color="000000"/>
            <w:bottom w:val="single" w:sz="4" w:space="0" w:color="000000"/>
            <w:right w:val="nil"/>
          </w:tcBorders>
          <w:tcMar>
            <w:left w:w="0" w:type="dxa"/>
            <w:right w:w="0" w:type="dxa"/>
          </w:tcMar>
          <w:vAlign w:val="center"/>
        </w:tcPr>
        <w:p w14:paraId="0D31231E" w14:textId="77777777" w:rsidR="001F6155" w:rsidRDefault="001F6155">
          <w:pPr>
            <w:widowControl w:val="0"/>
            <w:pBdr>
              <w:top w:val="nil"/>
              <w:left w:val="nil"/>
              <w:bottom w:val="nil"/>
              <w:right w:val="nil"/>
              <w:between w:val="nil"/>
            </w:pBdr>
            <w:spacing w:after="0" w:line="276" w:lineRule="auto"/>
            <w:rPr>
              <w:color w:val="000000"/>
              <w:sz w:val="16"/>
              <w:szCs w:val="16"/>
            </w:rPr>
          </w:pPr>
        </w:p>
      </w:tc>
    </w:tr>
  </w:tbl>
  <w:p w14:paraId="3BCD6995" w14:textId="77777777" w:rsidR="001F6155" w:rsidRDefault="001F6155">
    <w:pPr>
      <w:pBdr>
        <w:top w:val="nil"/>
        <w:left w:val="nil"/>
        <w:bottom w:val="nil"/>
        <w:right w:val="nil"/>
        <w:between w:val="nil"/>
      </w:pBdr>
      <w:tabs>
        <w:tab w:val="center" w:pos="4536"/>
        <w:tab w:val="right" w:pos="9072"/>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9F156" w14:textId="4F7DA91E" w:rsidR="001F6155" w:rsidRDefault="00480751">
    <w:pPr>
      <w:widowControl w:val="0"/>
      <w:pBdr>
        <w:top w:val="nil"/>
        <w:left w:val="nil"/>
        <w:bottom w:val="nil"/>
        <w:right w:val="nil"/>
        <w:between w:val="nil"/>
      </w:pBdr>
      <w:spacing w:after="0" w:line="276" w:lineRule="auto"/>
      <w:rPr>
        <w:color w:val="000000"/>
      </w:rPr>
    </w:pPr>
    <w:r>
      <w:rPr>
        <w:noProof/>
        <w:color w:val="000000"/>
      </w:rPr>
      <mc:AlternateContent>
        <mc:Choice Requires="wps">
          <w:drawing>
            <wp:anchor distT="0" distB="0" distL="0" distR="0" simplePos="0" relativeHeight="251662336" behindDoc="0" locked="0" layoutInCell="1" allowOverlap="1" wp14:anchorId="22CDB619" wp14:editId="12E5ED9A">
              <wp:simplePos x="635" y="635"/>
              <wp:positionH relativeFrom="page">
                <wp:align>right</wp:align>
              </wp:positionH>
              <wp:positionV relativeFrom="page">
                <wp:align>bottom</wp:align>
              </wp:positionV>
              <wp:extent cx="1170305" cy="422910"/>
              <wp:effectExtent l="0" t="0" r="0" b="0"/>
              <wp:wrapNone/>
              <wp:docPr id="1700000793" name="Text Box 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0305" cy="422910"/>
                      </a:xfrm>
                      <a:prstGeom prst="rect">
                        <a:avLst/>
                      </a:prstGeom>
                      <a:noFill/>
                      <a:ln>
                        <a:noFill/>
                      </a:ln>
                    </wps:spPr>
                    <wps:txbx>
                      <w:txbxContent>
                        <w:p w14:paraId="2ECCA39C" w14:textId="7BAD715C" w:rsidR="00480751" w:rsidRPr="00480751" w:rsidRDefault="00480751" w:rsidP="00480751">
                          <w:pPr>
                            <w:spacing w:after="0"/>
                            <w:rPr>
                              <w:rFonts w:eastAsia="Aptos" w:cs="Aptos"/>
                              <w:noProof/>
                              <w:color w:val="000000"/>
                              <w:sz w:val="20"/>
                              <w:szCs w:val="20"/>
                            </w:rPr>
                          </w:pPr>
                          <w:r w:rsidRPr="00480751">
                            <w:rPr>
                              <w:rFonts w:eastAsia="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22CDB619" id="_x0000_t202" coordsize="21600,21600" o:spt="202" path="m,l,21600r21600,l21600,xe">
              <v:stroke joinstyle="miter"/>
              <v:path gradientshapeok="t" o:connecttype="rect"/>
            </v:shapetype>
            <v:shape id="Text Box 5" o:spid="_x0000_s1074" type="#_x0000_t202" alt="Official Use Only" style="position:absolute;left:0;text-align:left;margin-left:40.95pt;margin-top:0;width:92.15pt;height:33.3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LpPwIAAGoEAAAOAAAAZHJzL2Uyb0RvYy54bWysVN9v2jAQfp+0/8Hy+0iAso6IULFWTJOq&#10;UgmqPhvHIZEc27INCfvr99khdOv2NI0Hc74734/vu8virmskOQnraq1yOh6llAjFdVGrQ05fdutP&#10;XyhxnqmCSa1ETs/C0bvlxw+L1mRioistC2EJgiiXtSanlfcmSxLHK9EwN9JGKBhLbRvmcbWHpLCs&#10;RfRGJpM0/Zy02hbGai6cg/ahN9JljF+WgvtNWTrhicwpavPxtPHchzNZLlh2sMxUNb+Uwf6hiobV&#10;CkmvoR6YZ+Ro6z9CNTW32unSj7huEl2WNRexB3QzTt91s62YEbEXgOPMFSb3/8Lyp9OzJXUB7m7T&#10;8LudTylRrAFXO9F58lV3ZEZJIRwHbACz5jWT5MUJslHyHABsjcsQZ2sQyXd4gGCD3kEZcOlK24R/&#10;dExgBxXnK/whDQ+PUMI0RTIO281kMh9HfpK318Y6/03ohgQhpxb0RtTZ6dF5VALXwSUkU3pdSxkp&#10;luo3BRyDJgml9yUGyXf7LmIxHcrf6+KMrqzuB8cZvq6R+pE5/8wsJgWNYPr9BkcpdZtTfZEoqbT9&#10;8Td98AeBsFLSYvJyqrAalMjvCsSGIR0EG4XJ7Aa8ULKPt/E8nYWbOjb3GkM9xn4ZHkVorZeDWFrd&#10;vGI5ViEbTExx5MzpfhDvfb8HWC4uVqvohKE0zD+qreEhdMAsALrrXpk1F9Q9+HrSw2yy7B34vW94&#10;6czq6EFBZCbg26N5gR0DHQm7LF/YmF/v0evtE7H8CQAA//8DAFBLAwQUAAYACAAAACEAoZwdUtsA&#10;AAAEAQAADwAAAGRycy9kb3ducmV2LnhtbEyPwWrDMBBE74X8g9hCL6WR2wYRHMshDfRQKIEmobnK&#10;1tY2kVZGUhzn76v00lwWhhlm3hbL0Ro2oA+dIwnP0wwYUu10R42E/e79aQ4sREVaGUco4YIBluXk&#10;rlC5dmf6wmEbG5ZKKORKQhtjn3Me6hatClPXIyXvx3mrYpK+4dqrcyq3hr9kmeBWdZQWWtXjusX6&#10;uD1ZCW+P4bv6PPrLx2bmxGFYC9NvhJQP9+NqASziGP/DcMVP6FAmpsqdSAdmJKRH4t+9evPZK7BK&#10;ghACeFnwW/jyFwAA//8DAFBLAQItABQABgAIAAAAIQC2gziS/gAAAOEBAAATAAAAAAAAAAAAAAAA&#10;AAAAAABbQ29udGVudF9UeXBlc10ueG1sUEsBAi0AFAAGAAgAAAAhADj9If/WAAAAlAEAAAsAAAAA&#10;AAAAAAAAAAAALwEAAF9yZWxzLy5yZWxzUEsBAi0AFAAGAAgAAAAhAERVwuk/AgAAagQAAA4AAAAA&#10;AAAAAAAAAAAALgIAAGRycy9lMm9Eb2MueG1sUEsBAi0AFAAGAAgAAAAhAKGcHVLbAAAABAEAAA8A&#10;AAAAAAAAAAAAAAAAmQQAAGRycy9kb3ducmV2LnhtbFBLBQYAAAAABAAEAPMAAAChBQAAAAA=&#10;" filled="f" stroked="f">
              <v:textbox style="mso-fit-shape-to-text:t" inset="0,0,20pt,15pt">
                <w:txbxContent>
                  <w:p w14:paraId="2ECCA39C" w14:textId="7BAD715C" w:rsidR="00480751" w:rsidRPr="00480751" w:rsidRDefault="00480751" w:rsidP="00480751">
                    <w:pPr>
                      <w:spacing w:after="0"/>
                      <w:rPr>
                        <w:rFonts w:eastAsia="Aptos" w:cs="Aptos"/>
                        <w:noProof/>
                        <w:color w:val="000000"/>
                        <w:sz w:val="20"/>
                        <w:szCs w:val="20"/>
                      </w:rPr>
                    </w:pPr>
                    <w:r w:rsidRPr="00480751">
                      <w:rPr>
                        <w:rFonts w:eastAsia="Aptos" w:cs="Aptos"/>
                        <w:noProof/>
                        <w:color w:val="000000"/>
                        <w:sz w:val="20"/>
                        <w:szCs w:val="20"/>
                      </w:rPr>
                      <w:t>Official Use Only</w:t>
                    </w:r>
                  </w:p>
                </w:txbxContent>
              </v:textbox>
              <w10:wrap anchorx="page" anchory="page"/>
            </v:shape>
          </w:pict>
        </mc:Fallback>
      </mc:AlternateContent>
    </w:r>
  </w:p>
  <w:tbl>
    <w:tblPr>
      <w:tblStyle w:val="1"/>
      <w:tblW w:w="9072"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776"/>
      <w:gridCol w:w="6066"/>
      <w:gridCol w:w="1075"/>
      <w:gridCol w:w="1155"/>
    </w:tblGrid>
    <w:tr w:rsidR="001F6155" w14:paraId="29185AA8" w14:textId="77777777" w:rsidTr="00DF417A">
      <w:trPr>
        <w:cantSplit/>
        <w:trHeight w:val="307"/>
        <w:jc w:val="center"/>
      </w:trPr>
      <w:tc>
        <w:tcPr>
          <w:tcW w:w="1149" w:type="dxa"/>
          <w:tcBorders>
            <w:top w:val="single" w:sz="4" w:space="0" w:color="auto"/>
            <w:left w:val="single" w:sz="4" w:space="0" w:color="auto"/>
            <w:bottom w:val="single" w:sz="4" w:space="0" w:color="auto"/>
            <w:right w:val="single" w:sz="4" w:space="0" w:color="auto"/>
          </w:tcBorders>
        </w:tcPr>
        <w:p w14:paraId="00EC2452" w14:textId="77777777" w:rsidR="001F6155" w:rsidRPr="00751DE3" w:rsidRDefault="001F6155">
          <w:pPr>
            <w:pBdr>
              <w:top w:val="nil"/>
              <w:left w:val="nil"/>
              <w:bottom w:val="nil"/>
              <w:right w:val="nil"/>
              <w:between w:val="nil"/>
            </w:pBdr>
            <w:tabs>
              <w:tab w:val="center" w:pos="4536"/>
              <w:tab w:val="right" w:pos="9072"/>
            </w:tabs>
            <w:spacing w:after="0" w:line="200" w:lineRule="auto"/>
            <w:ind w:left="1006" w:hanging="765"/>
            <w:rPr>
              <w:rFonts w:eastAsia="Tahoma" w:cs="Tahoma"/>
              <w:color w:val="000000"/>
              <w:sz w:val="18"/>
              <w:szCs w:val="18"/>
            </w:rPr>
          </w:pPr>
          <w:r w:rsidRPr="00751DE3">
            <w:rPr>
              <w:rFonts w:eastAsia="Tahoma" w:cs="Tahoma"/>
              <w:color w:val="000000"/>
              <w:sz w:val="18"/>
              <w:szCs w:val="18"/>
            </w:rPr>
            <w:t>Title:</w:t>
          </w:r>
        </w:p>
      </w:tc>
      <w:tc>
        <w:tcPr>
          <w:tcW w:w="9259" w:type="dxa"/>
          <w:tcBorders>
            <w:top w:val="single" w:sz="4" w:space="0" w:color="auto"/>
            <w:left w:val="single" w:sz="4" w:space="0" w:color="auto"/>
            <w:bottom w:val="single" w:sz="4" w:space="0" w:color="auto"/>
            <w:right w:val="single" w:sz="4" w:space="0" w:color="auto"/>
          </w:tcBorders>
        </w:tcPr>
        <w:p w14:paraId="7E3A1A7A" w14:textId="77777777" w:rsidR="001F6155" w:rsidRPr="00751DE3" w:rsidRDefault="001F6155">
          <w:pPr>
            <w:rPr>
              <w:rFonts w:eastAsia="Tahoma" w:cs="Tahoma"/>
              <w:color w:val="000000"/>
              <w:sz w:val="18"/>
              <w:szCs w:val="18"/>
            </w:rPr>
          </w:pPr>
          <w:r w:rsidRPr="00751DE3">
            <w:rPr>
              <w:rFonts w:eastAsia="Tahoma" w:cs="Tahoma"/>
              <w:color w:val="000000"/>
              <w:sz w:val="18"/>
              <w:szCs w:val="18"/>
            </w:rPr>
            <w:t xml:space="preserve">CLIMATE AND DISASTER RESILIENT CITIES PROJECT </w:t>
          </w:r>
        </w:p>
        <w:p w14:paraId="1616BF79" w14:textId="77777777" w:rsidR="001F6155" w:rsidRPr="00751DE3" w:rsidRDefault="001F6155" w:rsidP="00DF417A">
          <w:pPr>
            <w:pBdr>
              <w:top w:val="nil"/>
              <w:left w:val="nil"/>
              <w:bottom w:val="nil"/>
              <w:right w:val="nil"/>
              <w:between w:val="nil"/>
            </w:pBdr>
            <w:spacing w:after="0" w:line="200" w:lineRule="auto"/>
            <w:ind w:right="101"/>
            <w:rPr>
              <w:rFonts w:eastAsia="Tahoma" w:cs="Tahoma"/>
              <w:color w:val="000000"/>
              <w:kern w:val="2"/>
              <w:sz w:val="18"/>
              <w:szCs w:val="18"/>
              <w:lang w:eastAsia="en-US"/>
              <w14:ligatures w14:val="standardContextual"/>
            </w:rPr>
          </w:pPr>
          <w:r>
            <w:rPr>
              <w:rFonts w:eastAsia="Tahoma" w:cs="Tahoma"/>
              <w:color w:val="000000"/>
              <w:kern w:val="2"/>
              <w:sz w:val="18"/>
              <w:szCs w:val="18"/>
              <w:lang w:eastAsia="en-US"/>
              <w14:ligatures w14:val="standardContextual"/>
            </w:rPr>
            <w:t>SAKARYA</w:t>
          </w:r>
          <w:r w:rsidRPr="00751DE3">
            <w:rPr>
              <w:rFonts w:eastAsia="Tahoma" w:cs="Tahoma"/>
              <w:color w:val="000000"/>
              <w:kern w:val="2"/>
              <w:sz w:val="18"/>
              <w:szCs w:val="18"/>
              <w:lang w:eastAsia="en-US"/>
              <w14:ligatures w14:val="standardContextual"/>
            </w:rPr>
            <w:t xml:space="preserve"> PROVINCE ENVIRONMENTAL AND SOCIAL MANAGEMENT PLAN</w:t>
          </w:r>
        </w:p>
      </w:tc>
      <w:tc>
        <w:tcPr>
          <w:tcW w:w="1607" w:type="dxa"/>
          <w:tcBorders>
            <w:top w:val="single" w:sz="4" w:space="0" w:color="auto"/>
            <w:left w:val="single" w:sz="4" w:space="0" w:color="auto"/>
            <w:bottom w:val="single" w:sz="4" w:space="0" w:color="auto"/>
            <w:right w:val="single" w:sz="4" w:space="0" w:color="auto"/>
          </w:tcBorders>
        </w:tcPr>
        <w:p w14:paraId="01BC3B6F" w14:textId="77777777" w:rsidR="001F6155" w:rsidRPr="00751DE3" w:rsidRDefault="001F6155">
          <w:pPr>
            <w:pBdr>
              <w:top w:val="nil"/>
              <w:left w:val="nil"/>
              <w:bottom w:val="nil"/>
              <w:right w:val="nil"/>
              <w:between w:val="nil"/>
            </w:pBdr>
            <w:tabs>
              <w:tab w:val="center" w:pos="4536"/>
              <w:tab w:val="right" w:pos="9072"/>
            </w:tabs>
            <w:spacing w:after="0" w:line="200" w:lineRule="auto"/>
            <w:ind w:left="1006" w:hanging="765"/>
            <w:rPr>
              <w:rFonts w:eastAsia="Tahoma" w:cs="Tahoma"/>
              <w:color w:val="000000"/>
              <w:sz w:val="18"/>
              <w:szCs w:val="18"/>
            </w:rPr>
          </w:pPr>
          <w:r w:rsidRPr="00751DE3">
            <w:rPr>
              <w:rFonts w:eastAsia="Tahoma" w:cs="Tahoma"/>
              <w:color w:val="000000"/>
              <w:sz w:val="18"/>
              <w:szCs w:val="18"/>
            </w:rPr>
            <w:t>Revision:</w:t>
          </w:r>
        </w:p>
      </w:tc>
      <w:tc>
        <w:tcPr>
          <w:tcW w:w="1730" w:type="dxa"/>
          <w:tcBorders>
            <w:top w:val="single" w:sz="4" w:space="0" w:color="auto"/>
            <w:left w:val="single" w:sz="4" w:space="0" w:color="auto"/>
            <w:bottom w:val="single" w:sz="4" w:space="0" w:color="auto"/>
            <w:right w:val="single" w:sz="4" w:space="0" w:color="auto"/>
          </w:tcBorders>
        </w:tcPr>
        <w:p w14:paraId="2D40C6D3" w14:textId="77777777" w:rsidR="001F6155" w:rsidRPr="0084299C" w:rsidRDefault="001F6155">
          <w:pPr>
            <w:pBdr>
              <w:top w:val="nil"/>
              <w:left w:val="nil"/>
              <w:bottom w:val="nil"/>
              <w:right w:val="nil"/>
              <w:between w:val="nil"/>
            </w:pBdr>
            <w:tabs>
              <w:tab w:val="center" w:pos="4536"/>
              <w:tab w:val="right" w:pos="9072"/>
            </w:tabs>
            <w:spacing w:after="0" w:line="200" w:lineRule="auto"/>
            <w:ind w:left="1006" w:hanging="765"/>
            <w:rPr>
              <w:rFonts w:eastAsia="Tahoma" w:cs="Tahoma"/>
              <w:color w:val="000000"/>
              <w:sz w:val="16"/>
              <w:szCs w:val="16"/>
            </w:rPr>
          </w:pPr>
          <w:r w:rsidRPr="0084299C">
            <w:rPr>
              <w:rFonts w:eastAsia="Tahoma" w:cs="Tahoma"/>
              <w:color w:val="000000"/>
              <w:sz w:val="16"/>
              <w:szCs w:val="16"/>
            </w:rPr>
            <w:t>0</w:t>
          </w:r>
          <w:r>
            <w:rPr>
              <w:rFonts w:eastAsia="Tahoma" w:cs="Tahoma"/>
              <w:color w:val="000000"/>
              <w:sz w:val="16"/>
              <w:szCs w:val="16"/>
            </w:rPr>
            <w:t>0</w:t>
          </w:r>
        </w:p>
      </w:tc>
    </w:tr>
    <w:tr w:rsidR="001F6155" w14:paraId="3FA33A97" w14:textId="77777777" w:rsidTr="00DF417A">
      <w:trPr>
        <w:cantSplit/>
        <w:trHeight w:val="307"/>
        <w:jc w:val="center"/>
      </w:trPr>
      <w:tc>
        <w:tcPr>
          <w:tcW w:w="1149" w:type="dxa"/>
          <w:tcBorders>
            <w:top w:val="single" w:sz="4" w:space="0" w:color="auto"/>
            <w:left w:val="single" w:sz="4" w:space="0" w:color="auto"/>
            <w:bottom w:val="single" w:sz="4" w:space="0" w:color="auto"/>
            <w:right w:val="single" w:sz="4" w:space="0" w:color="auto"/>
          </w:tcBorders>
        </w:tcPr>
        <w:p w14:paraId="265AACE2" w14:textId="77777777" w:rsidR="001F6155" w:rsidRPr="00751DE3" w:rsidRDefault="001F6155">
          <w:pPr>
            <w:pBdr>
              <w:top w:val="nil"/>
              <w:left w:val="nil"/>
              <w:bottom w:val="nil"/>
              <w:right w:val="nil"/>
              <w:between w:val="nil"/>
            </w:pBdr>
            <w:tabs>
              <w:tab w:val="center" w:pos="4536"/>
              <w:tab w:val="right" w:pos="9072"/>
            </w:tabs>
            <w:spacing w:after="0" w:line="200" w:lineRule="auto"/>
            <w:ind w:left="1006" w:hanging="765"/>
            <w:rPr>
              <w:rFonts w:eastAsia="Tahoma" w:cs="Tahoma"/>
              <w:color w:val="000000"/>
              <w:sz w:val="18"/>
              <w:szCs w:val="18"/>
            </w:rPr>
          </w:pPr>
          <w:r w:rsidRPr="00751DE3">
            <w:rPr>
              <w:rFonts w:eastAsia="Tahoma" w:cs="Tahoma"/>
              <w:color w:val="000000"/>
              <w:sz w:val="18"/>
              <w:szCs w:val="18"/>
            </w:rPr>
            <w:t>DocID:</w:t>
          </w:r>
        </w:p>
      </w:tc>
      <w:tc>
        <w:tcPr>
          <w:tcW w:w="9259" w:type="dxa"/>
          <w:tcBorders>
            <w:top w:val="single" w:sz="4" w:space="0" w:color="auto"/>
            <w:left w:val="single" w:sz="4" w:space="0" w:color="auto"/>
            <w:bottom w:val="single" w:sz="4" w:space="0" w:color="auto"/>
            <w:right w:val="single" w:sz="4" w:space="0" w:color="auto"/>
          </w:tcBorders>
        </w:tcPr>
        <w:p w14:paraId="7FA7295F" w14:textId="77777777" w:rsidR="001F6155" w:rsidRPr="00751DE3" w:rsidRDefault="001F6155" w:rsidP="00DF417A">
          <w:pPr>
            <w:pBdr>
              <w:top w:val="nil"/>
              <w:left w:val="nil"/>
              <w:bottom w:val="nil"/>
              <w:right w:val="nil"/>
              <w:between w:val="nil"/>
            </w:pBdr>
            <w:tabs>
              <w:tab w:val="center" w:pos="4536"/>
              <w:tab w:val="right" w:pos="9072"/>
            </w:tabs>
            <w:spacing w:after="0" w:line="200" w:lineRule="auto"/>
            <w:rPr>
              <w:rFonts w:eastAsia="Tahoma" w:cs="Tahoma"/>
              <w:color w:val="000000"/>
              <w:sz w:val="18"/>
              <w:szCs w:val="18"/>
            </w:rPr>
          </w:pPr>
          <w:r w:rsidRPr="00751DE3">
            <w:rPr>
              <w:rFonts w:eastAsia="Tahoma" w:cs="Tahoma"/>
              <w:color w:val="000000"/>
              <w:sz w:val="18"/>
              <w:szCs w:val="18"/>
            </w:rPr>
            <w:t>REP-URP-1</w:t>
          </w:r>
        </w:p>
      </w:tc>
      <w:tc>
        <w:tcPr>
          <w:tcW w:w="1607" w:type="dxa"/>
          <w:tcBorders>
            <w:top w:val="single" w:sz="4" w:space="0" w:color="auto"/>
            <w:left w:val="single" w:sz="4" w:space="0" w:color="auto"/>
            <w:bottom w:val="single" w:sz="4" w:space="0" w:color="auto"/>
            <w:right w:val="single" w:sz="4" w:space="0" w:color="auto"/>
          </w:tcBorders>
        </w:tcPr>
        <w:p w14:paraId="4AEB2875" w14:textId="77777777" w:rsidR="001F6155" w:rsidRPr="00751DE3" w:rsidRDefault="001F6155">
          <w:pPr>
            <w:pBdr>
              <w:top w:val="nil"/>
              <w:left w:val="nil"/>
              <w:bottom w:val="nil"/>
              <w:right w:val="nil"/>
              <w:between w:val="nil"/>
            </w:pBdr>
            <w:tabs>
              <w:tab w:val="center" w:pos="4536"/>
              <w:tab w:val="right" w:pos="9072"/>
            </w:tabs>
            <w:spacing w:after="0" w:line="200" w:lineRule="auto"/>
            <w:ind w:left="1006" w:hanging="765"/>
            <w:rPr>
              <w:rFonts w:eastAsia="Tahoma" w:cs="Tahoma"/>
              <w:color w:val="000000"/>
              <w:sz w:val="18"/>
              <w:szCs w:val="18"/>
            </w:rPr>
          </w:pPr>
          <w:r w:rsidRPr="00751DE3">
            <w:rPr>
              <w:rFonts w:eastAsia="Tahoma" w:cs="Tahoma"/>
              <w:color w:val="000000"/>
              <w:sz w:val="18"/>
              <w:szCs w:val="18"/>
            </w:rPr>
            <w:t>Page:</w:t>
          </w:r>
        </w:p>
      </w:tc>
      <w:tc>
        <w:tcPr>
          <w:tcW w:w="1730" w:type="dxa"/>
          <w:tcBorders>
            <w:top w:val="single" w:sz="4" w:space="0" w:color="auto"/>
            <w:left w:val="single" w:sz="4" w:space="0" w:color="auto"/>
            <w:bottom w:val="single" w:sz="4" w:space="0" w:color="auto"/>
            <w:right w:val="single" w:sz="4" w:space="0" w:color="auto"/>
          </w:tcBorders>
        </w:tcPr>
        <w:p w14:paraId="3A7BEF97" w14:textId="1D298853" w:rsidR="001F6155" w:rsidRPr="0084299C" w:rsidRDefault="001F6155">
          <w:pPr>
            <w:pBdr>
              <w:top w:val="nil"/>
              <w:left w:val="nil"/>
              <w:bottom w:val="nil"/>
              <w:right w:val="nil"/>
              <w:between w:val="nil"/>
            </w:pBdr>
            <w:tabs>
              <w:tab w:val="center" w:pos="4536"/>
              <w:tab w:val="right" w:pos="9072"/>
            </w:tabs>
            <w:spacing w:after="0" w:line="200" w:lineRule="auto"/>
            <w:ind w:left="1006" w:right="-24" w:hanging="990"/>
            <w:rPr>
              <w:rFonts w:eastAsia="Tahoma" w:cs="Tahoma"/>
              <w:color w:val="000000"/>
              <w:sz w:val="16"/>
              <w:szCs w:val="16"/>
            </w:rPr>
          </w:pPr>
          <w:r w:rsidRPr="0084299C">
            <w:rPr>
              <w:rFonts w:eastAsia="Tahoma" w:cs="Tahoma"/>
              <w:color w:val="000000"/>
              <w:sz w:val="16"/>
              <w:szCs w:val="16"/>
            </w:rPr>
            <w:fldChar w:fldCharType="begin"/>
          </w:r>
          <w:r w:rsidRPr="0084299C">
            <w:rPr>
              <w:rFonts w:eastAsia="Tahoma" w:cs="Tahoma"/>
              <w:color w:val="000000"/>
              <w:sz w:val="16"/>
              <w:szCs w:val="16"/>
            </w:rPr>
            <w:instrText>PAGE</w:instrText>
          </w:r>
          <w:r w:rsidRPr="0084299C">
            <w:rPr>
              <w:rFonts w:eastAsia="Tahoma" w:cs="Tahoma"/>
              <w:color w:val="000000"/>
              <w:sz w:val="16"/>
              <w:szCs w:val="16"/>
            </w:rPr>
            <w:fldChar w:fldCharType="separate"/>
          </w:r>
          <w:r w:rsidR="003538E0">
            <w:rPr>
              <w:rFonts w:eastAsia="Tahoma" w:cs="Tahoma"/>
              <w:noProof/>
              <w:color w:val="000000"/>
              <w:sz w:val="16"/>
              <w:szCs w:val="16"/>
            </w:rPr>
            <w:t>174</w:t>
          </w:r>
          <w:r w:rsidRPr="0084299C">
            <w:rPr>
              <w:rFonts w:eastAsia="Tahoma" w:cs="Tahoma"/>
              <w:color w:val="000000"/>
              <w:sz w:val="16"/>
              <w:szCs w:val="16"/>
            </w:rPr>
            <w:fldChar w:fldCharType="end"/>
          </w:r>
          <w:r w:rsidRPr="0084299C">
            <w:rPr>
              <w:rFonts w:eastAsia="Tahoma" w:cs="Tahoma"/>
              <w:color w:val="000000"/>
              <w:sz w:val="16"/>
              <w:szCs w:val="16"/>
            </w:rPr>
            <w:t xml:space="preserve"> / </w:t>
          </w:r>
          <w:r w:rsidRPr="0084299C">
            <w:rPr>
              <w:rFonts w:eastAsia="Tahoma" w:cs="Tahoma"/>
              <w:color w:val="000000"/>
              <w:sz w:val="16"/>
              <w:szCs w:val="16"/>
            </w:rPr>
            <w:fldChar w:fldCharType="begin"/>
          </w:r>
          <w:r w:rsidRPr="0084299C">
            <w:rPr>
              <w:rFonts w:eastAsia="Tahoma" w:cs="Tahoma"/>
              <w:color w:val="000000"/>
              <w:sz w:val="16"/>
              <w:szCs w:val="16"/>
            </w:rPr>
            <w:instrText>NUMPAGES</w:instrText>
          </w:r>
          <w:r w:rsidRPr="0084299C">
            <w:rPr>
              <w:rFonts w:eastAsia="Tahoma" w:cs="Tahoma"/>
              <w:color w:val="000000"/>
              <w:sz w:val="16"/>
              <w:szCs w:val="16"/>
            </w:rPr>
            <w:fldChar w:fldCharType="separate"/>
          </w:r>
          <w:r w:rsidR="003538E0">
            <w:rPr>
              <w:rFonts w:eastAsia="Tahoma" w:cs="Tahoma"/>
              <w:noProof/>
              <w:color w:val="000000"/>
              <w:sz w:val="16"/>
              <w:szCs w:val="16"/>
            </w:rPr>
            <w:t>266</w:t>
          </w:r>
          <w:r w:rsidRPr="0084299C">
            <w:rPr>
              <w:rFonts w:eastAsia="Tahoma" w:cs="Tahoma"/>
              <w:color w:val="000000"/>
              <w:sz w:val="16"/>
              <w:szCs w:val="16"/>
            </w:rPr>
            <w:fldChar w:fldCharType="end"/>
          </w:r>
        </w:p>
      </w:tc>
    </w:tr>
  </w:tbl>
  <w:p w14:paraId="740B7850" w14:textId="77777777" w:rsidR="001F6155" w:rsidRDefault="001F6155">
    <w:pPr>
      <w:pBdr>
        <w:top w:val="nil"/>
        <w:left w:val="nil"/>
        <w:bottom w:val="nil"/>
        <w:right w:val="nil"/>
        <w:between w:val="nil"/>
      </w:pBdr>
      <w:tabs>
        <w:tab w:val="center" w:pos="4536"/>
        <w:tab w:val="right" w:pos="9072"/>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072" w:type="dxa"/>
      <w:jc w:val="center"/>
      <w:tblLook w:val="04A0" w:firstRow="1" w:lastRow="0" w:firstColumn="1" w:lastColumn="0" w:noHBand="0" w:noVBand="1"/>
    </w:tblPr>
    <w:tblGrid>
      <w:gridCol w:w="1131"/>
      <w:gridCol w:w="5676"/>
      <w:gridCol w:w="1135"/>
      <w:gridCol w:w="1130"/>
    </w:tblGrid>
    <w:tr w:rsidR="001F6155" w14:paraId="7DFF8643" w14:textId="77777777" w:rsidTr="00F77C6B">
      <w:trPr>
        <w:trHeight w:val="284"/>
        <w:jc w:val="center"/>
      </w:trPr>
      <w:tc>
        <w:tcPr>
          <w:tcW w:w="1131" w:type="dxa"/>
          <w:vAlign w:val="center"/>
        </w:tcPr>
        <w:p w14:paraId="473D3C17" w14:textId="7F617033" w:rsidR="001F6155" w:rsidRPr="005A424A" w:rsidRDefault="001F6155" w:rsidP="00F77C6B">
          <w:pPr>
            <w:pStyle w:val="AltBilgi"/>
            <w:spacing w:line="276" w:lineRule="auto"/>
            <w:rPr>
              <w:sz w:val="16"/>
              <w:szCs w:val="16"/>
            </w:rPr>
          </w:pPr>
          <w:r w:rsidRPr="00F77C6B">
            <w:rPr>
              <w:sz w:val="16"/>
              <w:szCs w:val="16"/>
            </w:rPr>
            <w:t>Title</w:t>
          </w:r>
          <w:r w:rsidRPr="005A424A">
            <w:rPr>
              <w:sz w:val="16"/>
              <w:szCs w:val="16"/>
            </w:rPr>
            <w:t>:</w:t>
          </w:r>
        </w:p>
      </w:tc>
      <w:tc>
        <w:tcPr>
          <w:tcW w:w="5676" w:type="dxa"/>
          <w:tcBorders>
            <w:top w:val="single" w:sz="4" w:space="0" w:color="auto"/>
            <w:left w:val="single" w:sz="4" w:space="0" w:color="auto"/>
            <w:bottom w:val="single" w:sz="4" w:space="0" w:color="auto"/>
            <w:right w:val="single" w:sz="4" w:space="0" w:color="auto"/>
          </w:tcBorders>
        </w:tcPr>
        <w:p w14:paraId="13370BC2" w14:textId="77777777" w:rsidR="001F6155" w:rsidRPr="00751DE3" w:rsidRDefault="001F6155">
          <w:pPr>
            <w:rPr>
              <w:rFonts w:eastAsia="Tahoma" w:cs="Tahoma"/>
              <w:color w:val="000000"/>
              <w:sz w:val="18"/>
              <w:szCs w:val="18"/>
            </w:rPr>
          </w:pPr>
          <w:r w:rsidRPr="00751DE3">
            <w:rPr>
              <w:rFonts w:eastAsia="Tahoma" w:cs="Tahoma"/>
              <w:color w:val="000000"/>
              <w:sz w:val="18"/>
              <w:szCs w:val="18"/>
            </w:rPr>
            <w:t xml:space="preserve">CLIMATE AND DISASTER RESILIENT CITIES PROJECT </w:t>
          </w:r>
        </w:p>
        <w:p w14:paraId="41CADD4E" w14:textId="77777777" w:rsidR="001F6155" w:rsidRPr="005A424A" w:rsidRDefault="001F6155" w:rsidP="00F77C6B">
          <w:pPr>
            <w:pStyle w:val="AltBilgi"/>
            <w:spacing w:line="276" w:lineRule="auto"/>
            <w:rPr>
              <w:sz w:val="16"/>
              <w:szCs w:val="16"/>
            </w:rPr>
          </w:pPr>
          <w:r>
            <w:rPr>
              <w:rFonts w:eastAsia="Tahoma" w:cs="Tahoma"/>
              <w:color w:val="000000"/>
              <w:sz w:val="18"/>
              <w:szCs w:val="18"/>
            </w:rPr>
            <w:t xml:space="preserve">SAKARYA </w:t>
          </w:r>
          <w:r w:rsidRPr="00751DE3">
            <w:rPr>
              <w:rFonts w:eastAsia="Tahoma" w:cs="Tahoma"/>
              <w:color w:val="000000"/>
              <w:sz w:val="18"/>
              <w:szCs w:val="18"/>
            </w:rPr>
            <w:t>PROVINCE ENVIRONMENTAL AND SOCIAL MANAGEMENT</w:t>
          </w:r>
          <w:r>
            <w:rPr>
              <w:rFonts w:eastAsia="Tahoma" w:cs="Tahoma"/>
              <w:color w:val="000000"/>
              <w:sz w:val="18"/>
              <w:szCs w:val="18"/>
            </w:rPr>
            <w:t xml:space="preserve"> </w:t>
          </w:r>
          <w:r w:rsidRPr="00751DE3">
            <w:rPr>
              <w:rFonts w:eastAsia="Tahoma" w:cs="Tahoma"/>
              <w:color w:val="000000"/>
              <w:sz w:val="18"/>
              <w:szCs w:val="18"/>
            </w:rPr>
            <w:t>PLAN</w:t>
          </w:r>
        </w:p>
      </w:tc>
      <w:tc>
        <w:tcPr>
          <w:tcW w:w="1135" w:type="dxa"/>
          <w:vAlign w:val="center"/>
        </w:tcPr>
        <w:p w14:paraId="1E98CC49" w14:textId="77777777" w:rsidR="001F6155" w:rsidRPr="005A424A" w:rsidRDefault="001F6155" w:rsidP="00F77C6B">
          <w:pPr>
            <w:pStyle w:val="AltBilgi"/>
            <w:spacing w:line="276" w:lineRule="auto"/>
            <w:rPr>
              <w:sz w:val="16"/>
              <w:szCs w:val="16"/>
            </w:rPr>
          </w:pPr>
          <w:r w:rsidRPr="00F77C6B">
            <w:rPr>
              <w:sz w:val="16"/>
              <w:szCs w:val="16"/>
            </w:rPr>
            <w:t>Revision</w:t>
          </w:r>
          <w:r w:rsidRPr="005A424A">
            <w:rPr>
              <w:sz w:val="16"/>
              <w:szCs w:val="16"/>
            </w:rPr>
            <w:t>:</w:t>
          </w:r>
        </w:p>
      </w:tc>
      <w:tc>
        <w:tcPr>
          <w:tcW w:w="1130" w:type="dxa"/>
          <w:vAlign w:val="center"/>
        </w:tcPr>
        <w:p w14:paraId="66E1C2EA" w14:textId="77777777" w:rsidR="001F6155" w:rsidRPr="005A424A" w:rsidRDefault="001F6155" w:rsidP="00F77C6B">
          <w:pPr>
            <w:pStyle w:val="AltBilgi"/>
            <w:spacing w:line="276" w:lineRule="auto"/>
            <w:rPr>
              <w:sz w:val="16"/>
              <w:szCs w:val="16"/>
            </w:rPr>
          </w:pPr>
          <w:r>
            <w:rPr>
              <w:sz w:val="16"/>
              <w:szCs w:val="16"/>
            </w:rPr>
            <w:t>00</w:t>
          </w:r>
        </w:p>
      </w:tc>
    </w:tr>
    <w:tr w:rsidR="001F6155" w14:paraId="57823E2C" w14:textId="77777777" w:rsidTr="00F77C6B">
      <w:trPr>
        <w:trHeight w:val="284"/>
        <w:jc w:val="center"/>
      </w:trPr>
      <w:tc>
        <w:tcPr>
          <w:tcW w:w="1131" w:type="dxa"/>
          <w:vAlign w:val="center"/>
        </w:tcPr>
        <w:p w14:paraId="4ECEB0D3" w14:textId="77777777" w:rsidR="001F6155" w:rsidRPr="005A424A" w:rsidRDefault="001F6155" w:rsidP="004871E3">
          <w:pPr>
            <w:pStyle w:val="AltBilgi"/>
            <w:spacing w:line="276" w:lineRule="auto"/>
            <w:rPr>
              <w:sz w:val="16"/>
              <w:szCs w:val="16"/>
            </w:rPr>
          </w:pPr>
          <w:r w:rsidRPr="005A424A">
            <w:rPr>
              <w:sz w:val="16"/>
              <w:szCs w:val="16"/>
            </w:rPr>
            <w:t>DocID:</w:t>
          </w:r>
        </w:p>
      </w:tc>
      <w:tc>
        <w:tcPr>
          <w:tcW w:w="5676" w:type="dxa"/>
          <w:vAlign w:val="center"/>
        </w:tcPr>
        <w:p w14:paraId="6A626B7C" w14:textId="77777777" w:rsidR="001F6155" w:rsidRPr="004871E3" w:rsidRDefault="001F6155" w:rsidP="004871E3">
          <w:pPr>
            <w:pStyle w:val="AltBilgi"/>
            <w:spacing w:line="276" w:lineRule="auto"/>
            <w:rPr>
              <w:rFonts w:cs="Tahoma"/>
              <w:sz w:val="16"/>
              <w:szCs w:val="16"/>
            </w:rPr>
          </w:pPr>
          <w:r w:rsidRPr="005A424A">
            <w:rPr>
              <w:rFonts w:cs="Tahoma"/>
              <w:sz w:val="16"/>
              <w:szCs w:val="16"/>
            </w:rPr>
            <w:t>REP-URP-1</w:t>
          </w:r>
        </w:p>
      </w:tc>
      <w:tc>
        <w:tcPr>
          <w:tcW w:w="1135" w:type="dxa"/>
          <w:vAlign w:val="center"/>
        </w:tcPr>
        <w:p w14:paraId="5CC27645" w14:textId="77777777" w:rsidR="001F6155" w:rsidRPr="005A424A" w:rsidRDefault="001F6155" w:rsidP="004871E3">
          <w:pPr>
            <w:pStyle w:val="AltBilgi"/>
            <w:spacing w:line="276" w:lineRule="auto"/>
            <w:rPr>
              <w:sz w:val="16"/>
              <w:szCs w:val="16"/>
            </w:rPr>
          </w:pPr>
          <w:r>
            <w:rPr>
              <w:sz w:val="16"/>
              <w:szCs w:val="16"/>
            </w:rPr>
            <w:t>Page</w:t>
          </w:r>
          <w:r w:rsidRPr="005A424A">
            <w:rPr>
              <w:sz w:val="16"/>
              <w:szCs w:val="16"/>
            </w:rPr>
            <w:t>:</w:t>
          </w:r>
        </w:p>
      </w:tc>
      <w:tc>
        <w:tcPr>
          <w:tcW w:w="1130" w:type="dxa"/>
          <w:vAlign w:val="center"/>
        </w:tcPr>
        <w:p w14:paraId="2B40296E" w14:textId="5F9811E0" w:rsidR="001F6155" w:rsidRPr="005A424A" w:rsidRDefault="001F6155" w:rsidP="004871E3">
          <w:pPr>
            <w:pStyle w:val="AltBilgi"/>
            <w:spacing w:line="276" w:lineRule="auto"/>
            <w:rPr>
              <w:sz w:val="16"/>
              <w:szCs w:val="16"/>
            </w:rPr>
          </w:pPr>
          <w:r w:rsidRPr="005A424A">
            <w:rPr>
              <w:sz w:val="16"/>
              <w:szCs w:val="16"/>
            </w:rPr>
            <w:fldChar w:fldCharType="begin"/>
          </w:r>
          <w:r w:rsidRPr="005A424A">
            <w:rPr>
              <w:sz w:val="16"/>
              <w:szCs w:val="16"/>
            </w:rPr>
            <w:instrText>PAGE  \* Arabic  \* MERGEFORMAT</w:instrText>
          </w:r>
          <w:r w:rsidRPr="005A424A">
            <w:rPr>
              <w:sz w:val="16"/>
              <w:szCs w:val="16"/>
            </w:rPr>
            <w:fldChar w:fldCharType="separate"/>
          </w:r>
          <w:r w:rsidR="003538E0">
            <w:rPr>
              <w:noProof/>
              <w:sz w:val="16"/>
              <w:szCs w:val="16"/>
            </w:rPr>
            <w:t>241</w:t>
          </w:r>
          <w:r w:rsidRPr="005A424A">
            <w:rPr>
              <w:sz w:val="16"/>
              <w:szCs w:val="16"/>
            </w:rPr>
            <w:fldChar w:fldCharType="end"/>
          </w:r>
          <w:r w:rsidRPr="005A424A">
            <w:rPr>
              <w:sz w:val="16"/>
              <w:szCs w:val="16"/>
            </w:rPr>
            <w:t xml:space="preserve"> / </w:t>
          </w:r>
          <w:r w:rsidRPr="005A424A">
            <w:rPr>
              <w:sz w:val="16"/>
              <w:szCs w:val="16"/>
            </w:rPr>
            <w:fldChar w:fldCharType="begin"/>
          </w:r>
          <w:r w:rsidRPr="005A424A">
            <w:rPr>
              <w:sz w:val="16"/>
              <w:szCs w:val="16"/>
            </w:rPr>
            <w:instrText>NUMPAGES  \* Arabic  \* MERGEFORMAT</w:instrText>
          </w:r>
          <w:r w:rsidRPr="005A424A">
            <w:rPr>
              <w:sz w:val="16"/>
              <w:szCs w:val="16"/>
            </w:rPr>
            <w:fldChar w:fldCharType="separate"/>
          </w:r>
          <w:r w:rsidR="003538E0">
            <w:rPr>
              <w:noProof/>
              <w:sz w:val="16"/>
              <w:szCs w:val="16"/>
            </w:rPr>
            <w:t>266</w:t>
          </w:r>
          <w:r w:rsidRPr="005A424A">
            <w:rPr>
              <w:sz w:val="16"/>
              <w:szCs w:val="16"/>
            </w:rPr>
            <w:fldChar w:fldCharType="end"/>
          </w:r>
        </w:p>
      </w:tc>
    </w:tr>
  </w:tbl>
  <w:p w14:paraId="3A97F653" w14:textId="77777777" w:rsidR="001F6155" w:rsidRDefault="001F615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04017" w14:textId="77777777" w:rsidR="0043424E" w:rsidRPr="006C78CE" w:rsidRDefault="0043424E" w:rsidP="005A424A">
      <w:pPr>
        <w:spacing w:after="0" w:line="240" w:lineRule="auto"/>
      </w:pPr>
      <w:r w:rsidRPr="006C78CE">
        <w:separator/>
      </w:r>
    </w:p>
  </w:footnote>
  <w:footnote w:type="continuationSeparator" w:id="0">
    <w:p w14:paraId="2397CC99" w14:textId="77777777" w:rsidR="0043424E" w:rsidRPr="006C78CE" w:rsidRDefault="0043424E" w:rsidP="005A424A">
      <w:pPr>
        <w:spacing w:after="0" w:line="240" w:lineRule="auto"/>
      </w:pPr>
      <w:r w:rsidRPr="006C78CE">
        <w:continuationSeparator/>
      </w:r>
    </w:p>
  </w:footnote>
  <w:footnote w:id="1">
    <w:p w14:paraId="29DA144D" w14:textId="0A18E5AB" w:rsidR="001F6155" w:rsidRPr="00AC5E29" w:rsidRDefault="001F6155" w:rsidP="79FD7082">
      <w:pPr>
        <w:pStyle w:val="DipnotMetni"/>
        <w:rPr>
          <w:rFonts w:eastAsia="Cambria" w:cs="Tahoma"/>
          <w:i/>
          <w:iCs/>
          <w:color w:val="1F3864" w:themeColor="accent1" w:themeShade="80"/>
          <w:kern w:val="16"/>
          <w:sz w:val="16"/>
          <w:szCs w:val="16"/>
          <w14:ligatures w14:val="none"/>
        </w:rPr>
      </w:pPr>
      <w:r w:rsidRPr="00AC5E29">
        <w:rPr>
          <w:rStyle w:val="DipnotBavurusu"/>
          <w:rFonts w:eastAsia="Aptos" w:cs="Aptos"/>
          <w:color w:val="1F3864" w:themeColor="accent1" w:themeShade="80"/>
          <w:sz w:val="16"/>
          <w:szCs w:val="16"/>
        </w:rPr>
        <w:footnoteRef/>
      </w:r>
      <w:r w:rsidRPr="00AC5E29">
        <w:rPr>
          <w:rFonts w:eastAsia="Aptos" w:cs="Aptos"/>
          <w:color w:val="1F3864" w:themeColor="accent1" w:themeShade="80"/>
          <w:sz w:val="16"/>
          <w:szCs w:val="16"/>
        </w:rPr>
        <w:t xml:space="preserve"> </w:t>
      </w:r>
      <w:r w:rsidRPr="00AC5E29">
        <w:rPr>
          <w:rFonts w:eastAsia="Aptos" w:cs="Aptos"/>
          <w:i/>
          <w:iCs/>
          <w:color w:val="1F3864" w:themeColor="accent1" w:themeShade="80"/>
          <w:kern w:val="16"/>
          <w:sz w:val="16"/>
          <w:szCs w:val="16"/>
          <w14:ligatures w14:val="none"/>
        </w:rPr>
        <w:t>For details please see the Project Appraisal Document (PAD):</w:t>
      </w:r>
    </w:p>
    <w:p w14:paraId="0A0D7901" w14:textId="6680D4BB" w:rsidR="001F6155" w:rsidRPr="00AC5E29" w:rsidRDefault="0043424E" w:rsidP="79FD7082">
      <w:pPr>
        <w:pStyle w:val="DipnotMetni"/>
        <w:rPr>
          <w:color w:val="1F3864" w:themeColor="accent1" w:themeShade="80"/>
          <w:sz w:val="16"/>
          <w:szCs w:val="16"/>
        </w:rPr>
      </w:pPr>
      <w:hyperlink r:id="rId1">
        <w:r w:rsidR="001F6155" w:rsidRPr="00AC5E29">
          <w:rPr>
            <w:rStyle w:val="AlntChar"/>
            <w:rFonts w:eastAsia="Aptos" w:cs="Aptos"/>
            <w:color w:val="1F3864" w:themeColor="accent1" w:themeShade="80"/>
            <w:szCs w:val="16"/>
          </w:rPr>
          <w:t>https://documents1.worldbank.org/curated/en/099955009082212553/pdf/BOSIB09755adcf0b60b1370d3698b9987d0.pdf</w:t>
        </w:r>
      </w:hyperlink>
    </w:p>
  </w:footnote>
  <w:footnote w:id="2">
    <w:p w14:paraId="2A3167A7" w14:textId="3E556737" w:rsidR="001F6155" w:rsidRPr="006C78CE" w:rsidRDefault="001F6155">
      <w:pPr>
        <w:pStyle w:val="DipnotMetni"/>
      </w:pPr>
      <w:r w:rsidRPr="00AC5E29">
        <w:rPr>
          <w:rStyle w:val="DipnotBavurusu"/>
          <w:color w:val="1F3864" w:themeColor="accent1" w:themeShade="80"/>
          <w:sz w:val="16"/>
          <w:szCs w:val="16"/>
        </w:rPr>
        <w:footnoteRef/>
      </w:r>
      <w:r w:rsidRPr="00AC5E29">
        <w:rPr>
          <w:color w:val="1F3864" w:themeColor="accent1" w:themeShade="80"/>
          <w:sz w:val="16"/>
          <w:szCs w:val="16"/>
        </w:rPr>
        <w:t xml:space="preserve"> </w:t>
      </w:r>
      <w:r w:rsidRPr="00AC5E29">
        <w:rPr>
          <w:rFonts w:cs="Tahoma"/>
          <w:i/>
          <w:color w:val="1F3864" w:themeColor="accent1" w:themeShade="80"/>
          <w:kern w:val="16"/>
          <w:sz w:val="16"/>
          <w:szCs w:val="16"/>
        </w:rPr>
        <w:t>The Project Management Unit (PMU) is established under a UTP department at the MoEUCC.</w:t>
      </w:r>
    </w:p>
  </w:footnote>
  <w:footnote w:id="3">
    <w:p w14:paraId="56FC71ED" w14:textId="3A052657" w:rsidR="001F6155" w:rsidRPr="00AC5E29" w:rsidRDefault="001F6155">
      <w:pPr>
        <w:pStyle w:val="DipnotMetni"/>
        <w:rPr>
          <w:color w:val="1F3864" w:themeColor="accent1" w:themeShade="80"/>
          <w:sz w:val="16"/>
          <w:szCs w:val="16"/>
        </w:rPr>
      </w:pPr>
      <w:r w:rsidRPr="00AC5E29">
        <w:rPr>
          <w:rStyle w:val="DipnotBavurusu"/>
          <w:color w:val="1F3864" w:themeColor="accent1" w:themeShade="80"/>
          <w:sz w:val="16"/>
          <w:szCs w:val="16"/>
        </w:rPr>
        <w:footnoteRef/>
      </w:r>
      <w:r w:rsidRPr="00AC5E29">
        <w:rPr>
          <w:color w:val="1F3864" w:themeColor="accent1" w:themeShade="80"/>
          <w:sz w:val="16"/>
          <w:szCs w:val="16"/>
        </w:rPr>
        <w:t xml:space="preserve"> </w:t>
      </w:r>
      <w:r w:rsidRPr="00AC5E29">
        <w:rPr>
          <w:rFonts w:cs="Tahoma"/>
          <w:i/>
          <w:color w:val="1F3864" w:themeColor="accent1" w:themeShade="80"/>
          <w:kern w:val="16"/>
          <w:sz w:val="16"/>
          <w:szCs w:val="16"/>
        </w:rPr>
        <w:t>The ESMF is available at:</w:t>
      </w:r>
      <w:r w:rsidRPr="00AC5E29">
        <w:rPr>
          <w:rFonts w:eastAsia="Aptos" w:cs="Aptos"/>
          <w:color w:val="1F3864" w:themeColor="accent1" w:themeShade="80"/>
          <w:kern w:val="0"/>
          <w:sz w:val="16"/>
          <w:szCs w:val="16"/>
          <w:lang w:eastAsia="tr-TR"/>
          <w14:ligatures w14:val="none"/>
        </w:rPr>
        <w:t xml:space="preserve"> </w:t>
      </w:r>
      <w:hyperlink r:id="rId2">
        <w:r w:rsidRPr="00AC5E29">
          <w:rPr>
            <w:rFonts w:eastAsia="Cambria" w:cs="Tahoma"/>
            <w:i/>
            <w:color w:val="1F3864" w:themeColor="accent1" w:themeShade="80"/>
            <w:kern w:val="16"/>
            <w:sz w:val="16"/>
            <w:szCs w:val="16"/>
            <w14:ligatures w14:val="none"/>
          </w:rPr>
          <w:t>https://kentseldirenclilik.csb.gov.tr/ingilizce-dokumanlar-i-108261</w:t>
        </w:r>
      </w:hyperlink>
    </w:p>
  </w:footnote>
  <w:footnote w:id="4">
    <w:p w14:paraId="5783EEFB" w14:textId="478FC60C" w:rsidR="001F6155" w:rsidRPr="00AC5E29" w:rsidRDefault="001F6155">
      <w:pPr>
        <w:pStyle w:val="DipnotMetni"/>
        <w:rPr>
          <w:color w:val="1F3864" w:themeColor="accent1" w:themeShade="80"/>
          <w:sz w:val="16"/>
          <w:szCs w:val="16"/>
        </w:rPr>
      </w:pPr>
      <w:r w:rsidRPr="00AC5E29">
        <w:rPr>
          <w:rStyle w:val="DipnotBavurusu"/>
          <w:color w:val="1F3864" w:themeColor="accent1" w:themeShade="80"/>
          <w:sz w:val="16"/>
          <w:szCs w:val="16"/>
        </w:rPr>
        <w:footnoteRef/>
      </w:r>
      <w:r w:rsidRPr="00AC5E29">
        <w:rPr>
          <w:color w:val="1F3864" w:themeColor="accent1" w:themeShade="80"/>
          <w:sz w:val="16"/>
          <w:szCs w:val="16"/>
        </w:rPr>
        <w:t xml:space="preserve"> </w:t>
      </w:r>
      <w:r w:rsidRPr="00AC5E29">
        <w:rPr>
          <w:rFonts w:cs="Tahoma"/>
          <w:i/>
          <w:color w:val="1F3864" w:themeColor="accent1" w:themeShade="80"/>
          <w:kern w:val="16"/>
          <w:sz w:val="16"/>
          <w:szCs w:val="16"/>
        </w:rPr>
        <w:t xml:space="preserve">SEP is available at: </w:t>
      </w:r>
      <w:hyperlink r:id="rId3">
        <w:r w:rsidRPr="00AC5E29">
          <w:rPr>
            <w:rFonts w:cs="Tahoma"/>
            <w:i/>
            <w:color w:val="1F3864" w:themeColor="accent1" w:themeShade="80"/>
            <w:kern w:val="16"/>
            <w:sz w:val="16"/>
            <w:szCs w:val="16"/>
          </w:rPr>
          <w:t>https://kentseldirenclilik.csb.gov.tr/ingilizce-dokumanlar-i-108261</w:t>
        </w:r>
      </w:hyperlink>
    </w:p>
  </w:footnote>
  <w:footnote w:id="5">
    <w:p w14:paraId="7344B016" w14:textId="58E6F05F" w:rsidR="001F6155" w:rsidRPr="006C78CE" w:rsidRDefault="001F6155">
      <w:pPr>
        <w:pStyle w:val="DipnotMetni"/>
      </w:pPr>
      <w:r w:rsidRPr="00AC5E29">
        <w:rPr>
          <w:rStyle w:val="DipnotBavurusu"/>
          <w:color w:val="1F3864" w:themeColor="accent1" w:themeShade="80"/>
          <w:sz w:val="16"/>
          <w:szCs w:val="16"/>
        </w:rPr>
        <w:footnoteRef/>
      </w:r>
      <w:r w:rsidRPr="00AC5E29">
        <w:rPr>
          <w:color w:val="1F3864" w:themeColor="accent1" w:themeShade="80"/>
          <w:sz w:val="16"/>
          <w:szCs w:val="16"/>
        </w:rPr>
        <w:t xml:space="preserve"> </w:t>
      </w:r>
      <w:r w:rsidRPr="00AC5E29">
        <w:rPr>
          <w:rFonts w:cs="Tahoma"/>
          <w:i/>
          <w:color w:val="1F3864" w:themeColor="accent1" w:themeShade="80"/>
          <w:kern w:val="16"/>
          <w:sz w:val="16"/>
          <w:szCs w:val="16"/>
        </w:rPr>
        <w:t xml:space="preserve">The LMP is available at: </w:t>
      </w:r>
      <w:hyperlink r:id="rId4">
        <w:r w:rsidRPr="00AC5E29">
          <w:rPr>
            <w:rFonts w:cs="Tahoma"/>
            <w:i/>
            <w:color w:val="1F3864" w:themeColor="accent1" w:themeShade="80"/>
            <w:kern w:val="16"/>
            <w:sz w:val="16"/>
            <w:szCs w:val="16"/>
          </w:rPr>
          <w:t>https://kentseldirenclilik.csb.gov.tr/ingilizce-dokumanlar-i-108261</w:t>
        </w:r>
      </w:hyperlink>
    </w:p>
  </w:footnote>
  <w:footnote w:id="6">
    <w:p w14:paraId="48B8C823" w14:textId="3CE26BFA" w:rsidR="001F6155" w:rsidRPr="00AC5E29" w:rsidRDefault="001F6155" w:rsidP="008E433A">
      <w:pPr>
        <w:pBdr>
          <w:top w:val="nil"/>
          <w:left w:val="nil"/>
          <w:bottom w:val="nil"/>
          <w:right w:val="nil"/>
          <w:between w:val="nil"/>
        </w:pBdr>
        <w:spacing w:before="120" w:after="0" w:line="240" w:lineRule="auto"/>
        <w:jc w:val="left"/>
        <w:rPr>
          <w:i/>
          <w:color w:val="0A3041"/>
          <w:sz w:val="16"/>
          <w:szCs w:val="16"/>
        </w:rPr>
      </w:pPr>
      <w:r w:rsidRPr="00AC5E29">
        <w:rPr>
          <w:i/>
          <w:color w:val="1F3864" w:themeColor="accent1" w:themeShade="80"/>
          <w:sz w:val="16"/>
          <w:szCs w:val="16"/>
          <w:vertAlign w:val="superscript"/>
        </w:rPr>
        <w:t>6</w:t>
      </w:r>
      <w:r w:rsidRPr="00AC5E29">
        <w:rPr>
          <w:i/>
          <w:color w:val="1F3864" w:themeColor="accent1" w:themeShade="80"/>
          <w:sz w:val="16"/>
          <w:szCs w:val="16"/>
        </w:rPr>
        <w:t xml:space="preserve"> Republic of Türkiye, Governorship of Sakarya, Provincial Directorate of Environment, Urbanization and Climate Change, Sakarya Province 2023 Environmental Status Report, 2024.</w:t>
      </w:r>
    </w:p>
  </w:footnote>
  <w:footnote w:id="7">
    <w:p w14:paraId="5BA3BA8B" w14:textId="7D69D5A1" w:rsidR="001F6155" w:rsidRPr="00AC5E29" w:rsidRDefault="001F6155" w:rsidP="008E433A">
      <w:pPr>
        <w:spacing w:after="0" w:line="240" w:lineRule="auto"/>
        <w:rPr>
          <w:sz w:val="16"/>
          <w:szCs w:val="16"/>
        </w:rPr>
      </w:pPr>
      <w:r w:rsidRPr="00AC5E29">
        <w:rPr>
          <w:i/>
          <w:color w:val="1F3864" w:themeColor="accent1" w:themeShade="80"/>
          <w:sz w:val="16"/>
          <w:szCs w:val="16"/>
          <w:vertAlign w:val="superscript"/>
        </w:rPr>
        <w:t>7</w:t>
      </w:r>
      <w:r w:rsidRPr="00AC5E29">
        <w:rPr>
          <w:i/>
          <w:color w:val="1F3864" w:themeColor="accent1" w:themeShade="80"/>
          <w:sz w:val="16"/>
          <w:szCs w:val="16"/>
        </w:rPr>
        <w:t xml:space="preserve"> Republic of Türkiye, Governorship of Sakarya, Provincial Directorate of Environment, Urbanization and Climate Change, Sakarya Province 2023 Environmental Status Report, 2024.</w:t>
      </w:r>
    </w:p>
  </w:footnote>
  <w:footnote w:id="8">
    <w:p w14:paraId="48E8327A" w14:textId="7D196F62" w:rsidR="001F6155" w:rsidRPr="00AC5E29" w:rsidRDefault="001F6155">
      <w:pPr>
        <w:pStyle w:val="DipnotMetni"/>
        <w:rPr>
          <w:sz w:val="16"/>
          <w:szCs w:val="16"/>
          <w:lang w:val="tr-TR"/>
        </w:rPr>
      </w:pPr>
      <w:r w:rsidRPr="00AC5E29">
        <w:rPr>
          <w:rStyle w:val="DipnotBavurusu"/>
          <w:color w:val="1F3864" w:themeColor="accent1" w:themeShade="80"/>
          <w:sz w:val="16"/>
          <w:szCs w:val="16"/>
        </w:rPr>
        <w:footnoteRef/>
      </w:r>
      <w:r w:rsidRPr="00AC5E29">
        <w:rPr>
          <w:color w:val="1F3864" w:themeColor="accent1" w:themeShade="80"/>
          <w:sz w:val="16"/>
          <w:szCs w:val="16"/>
        </w:rPr>
        <w:t xml:space="preserve"> </w:t>
      </w:r>
      <w:bookmarkStart w:id="99" w:name="_Hlk209600654"/>
      <w:r w:rsidRPr="00AC5E29">
        <w:rPr>
          <w:i/>
          <w:color w:val="1F3864" w:themeColor="accent1" w:themeShade="80"/>
          <w:sz w:val="16"/>
          <w:szCs w:val="16"/>
        </w:rPr>
        <w:t>Republic of Türkiye, Governorship of Sakarya, Provincial Directorate of Environment, Urbanization and Climate Change, Sakarya Province 2023 Environmental Status Report, 2024.</w:t>
      </w:r>
      <w:bookmarkEnd w:id="99"/>
    </w:p>
  </w:footnote>
  <w:footnote w:id="9">
    <w:p w14:paraId="25415AF1" w14:textId="073AD8DE" w:rsidR="001F6155" w:rsidRPr="00AC5E29" w:rsidRDefault="001F6155">
      <w:pPr>
        <w:pStyle w:val="DipnotMetni"/>
        <w:rPr>
          <w:sz w:val="16"/>
          <w:szCs w:val="16"/>
          <w:lang w:val="tr-TR"/>
        </w:rPr>
      </w:pPr>
      <w:r w:rsidRPr="00AC5E29">
        <w:rPr>
          <w:rStyle w:val="DipnotBavurusu"/>
          <w:color w:val="1F3864" w:themeColor="accent1" w:themeShade="80"/>
          <w:sz w:val="16"/>
          <w:szCs w:val="16"/>
        </w:rPr>
        <w:footnoteRef/>
      </w:r>
      <w:r w:rsidRPr="00AC5E29">
        <w:rPr>
          <w:color w:val="1F3864" w:themeColor="accent1" w:themeShade="80"/>
          <w:sz w:val="16"/>
          <w:szCs w:val="16"/>
        </w:rPr>
        <w:t xml:space="preserve"> </w:t>
      </w:r>
      <w:r w:rsidRPr="00AC5E29">
        <w:rPr>
          <w:i/>
          <w:iCs/>
          <w:color w:val="1F3864" w:themeColor="accent1" w:themeShade="80"/>
          <w:sz w:val="16"/>
          <w:szCs w:val="16"/>
        </w:rPr>
        <w:t>Citing the SASKİ 2024 Report: Republic of Türkiye, Sakarya Governorship, Provincial Directorate of Environment, Urbanization, and Climate Change, 2024. Sakarya Province 2023 Environmental Status Report.</w:t>
      </w:r>
    </w:p>
  </w:footnote>
  <w:footnote w:id="10">
    <w:p w14:paraId="20B75B45" w14:textId="1BDFB89C" w:rsidR="001F6155" w:rsidRPr="00AC5E29" w:rsidRDefault="001F6155">
      <w:pPr>
        <w:pStyle w:val="DipnotMetni"/>
        <w:rPr>
          <w:sz w:val="16"/>
          <w:szCs w:val="16"/>
          <w:lang w:val="tr-TR"/>
        </w:rPr>
      </w:pPr>
      <w:r w:rsidRPr="00AC5E29">
        <w:rPr>
          <w:rStyle w:val="DipnotBavurusu"/>
          <w:color w:val="1F3864" w:themeColor="accent1" w:themeShade="80"/>
          <w:sz w:val="16"/>
          <w:szCs w:val="16"/>
        </w:rPr>
        <w:footnoteRef/>
      </w:r>
      <w:r w:rsidRPr="00AC5E29">
        <w:rPr>
          <w:color w:val="1F3864" w:themeColor="accent1" w:themeShade="80"/>
          <w:sz w:val="16"/>
          <w:szCs w:val="16"/>
        </w:rPr>
        <w:t xml:space="preserve"> </w:t>
      </w:r>
      <w:r w:rsidRPr="00AC5E29">
        <w:rPr>
          <w:i/>
          <w:color w:val="1F3864" w:themeColor="accent1" w:themeShade="80"/>
          <w:sz w:val="16"/>
          <w:szCs w:val="16"/>
        </w:rPr>
        <w:t>Republic of Türkiye, Governorship of Sakarya, Provincial Directorate of Environment, Urbanization and Climate Change, Sakarya Province 2023 Environmental Status Report, 2024.</w:t>
      </w:r>
    </w:p>
  </w:footnote>
  <w:footnote w:id="11">
    <w:p w14:paraId="1728CBCE" w14:textId="4B752A22" w:rsidR="001F6155" w:rsidRPr="00AC5E29" w:rsidRDefault="001F6155">
      <w:pPr>
        <w:pStyle w:val="DipnotMetni"/>
        <w:rPr>
          <w:sz w:val="16"/>
          <w:szCs w:val="16"/>
          <w:lang w:val="tr-TR"/>
        </w:rPr>
      </w:pPr>
      <w:r w:rsidRPr="00AC5E29">
        <w:rPr>
          <w:rStyle w:val="DipnotBavurusu"/>
          <w:color w:val="1F3864" w:themeColor="accent1" w:themeShade="80"/>
          <w:sz w:val="16"/>
          <w:szCs w:val="16"/>
        </w:rPr>
        <w:footnoteRef/>
      </w:r>
      <w:r w:rsidRPr="00AC5E29">
        <w:rPr>
          <w:color w:val="1F3864" w:themeColor="accent1" w:themeShade="80"/>
          <w:sz w:val="16"/>
          <w:szCs w:val="16"/>
        </w:rPr>
        <w:t xml:space="preserve"> </w:t>
      </w:r>
      <w:bookmarkStart w:id="120" w:name="_Hlk209601135"/>
      <w:r w:rsidRPr="00AC5E29">
        <w:rPr>
          <w:i/>
          <w:color w:val="1F3864" w:themeColor="accent1" w:themeShade="80"/>
          <w:sz w:val="16"/>
          <w:szCs w:val="16"/>
        </w:rPr>
        <w:t>Republic of Türkiye, Governorship of Sakarya, Provincial Directorate of Environment, Urbanization and Climate Change, Sakarya Province 2023 Environmental Status Report, 2024.</w:t>
      </w:r>
      <w:bookmarkEnd w:id="120"/>
    </w:p>
  </w:footnote>
  <w:footnote w:id="12">
    <w:p w14:paraId="62713B82" w14:textId="5794B134" w:rsidR="001F6155" w:rsidRPr="00AC5E29" w:rsidRDefault="001F6155" w:rsidP="00087173">
      <w:pPr>
        <w:pBdr>
          <w:top w:val="nil"/>
          <w:left w:val="nil"/>
          <w:bottom w:val="nil"/>
          <w:right w:val="nil"/>
          <w:between w:val="nil"/>
        </w:pBdr>
        <w:spacing w:before="120" w:after="0" w:line="240" w:lineRule="auto"/>
        <w:jc w:val="left"/>
        <w:rPr>
          <w:i/>
          <w:color w:val="0A3041"/>
          <w:sz w:val="16"/>
          <w:szCs w:val="16"/>
        </w:rPr>
      </w:pPr>
      <w:r w:rsidRPr="00AC5E29">
        <w:rPr>
          <w:color w:val="1F3864" w:themeColor="accent1" w:themeShade="80"/>
          <w:sz w:val="16"/>
          <w:szCs w:val="16"/>
          <w:vertAlign w:val="superscript"/>
        </w:rPr>
        <w:footnoteRef/>
      </w:r>
      <w:r w:rsidRPr="00AC5E29">
        <w:rPr>
          <w:i/>
          <w:color w:val="1F3864" w:themeColor="accent1" w:themeShade="80"/>
          <w:sz w:val="16"/>
          <w:szCs w:val="16"/>
        </w:rPr>
        <w:t xml:space="preserve"> Republic of Türkiye, Governorship of Sakarya, Provincial Directorate of Environment, Urbanization and Climate Change, Sakarya Province 2023 Environmental Status Report, 2024.</w:t>
      </w:r>
    </w:p>
  </w:footnote>
  <w:footnote w:id="13">
    <w:p w14:paraId="79B65D2D" w14:textId="41770C5B" w:rsidR="001F6155" w:rsidRPr="00AC5E29" w:rsidRDefault="001F6155" w:rsidP="00087173">
      <w:pPr>
        <w:spacing w:after="0" w:line="240" w:lineRule="auto"/>
        <w:rPr>
          <w:sz w:val="16"/>
          <w:szCs w:val="16"/>
        </w:rPr>
      </w:pPr>
      <w:r w:rsidRPr="00AC5E29">
        <w:rPr>
          <w:color w:val="1F3864" w:themeColor="accent1" w:themeShade="80"/>
          <w:sz w:val="16"/>
          <w:szCs w:val="16"/>
          <w:vertAlign w:val="superscript"/>
        </w:rPr>
        <w:footnoteRef/>
      </w:r>
      <w:r w:rsidRPr="00AC5E29">
        <w:rPr>
          <w:i/>
          <w:color w:val="1F3864" w:themeColor="accent1" w:themeShade="80"/>
          <w:sz w:val="16"/>
          <w:szCs w:val="16"/>
        </w:rPr>
        <w:t xml:space="preserve"> 2021 Sakarya Governorship Provincial Disaster Risk Reduction Plan (PDRRP). Sakarya Governorship Provincial Directorate of Disaster and Emergency Management. AFAD (Disaster and Emergency Management Presidency).</w:t>
      </w:r>
    </w:p>
  </w:footnote>
  <w:footnote w:id="14">
    <w:p w14:paraId="291578E5" w14:textId="2831393E" w:rsidR="001F6155" w:rsidRPr="002550A6" w:rsidRDefault="001F6155">
      <w:pPr>
        <w:pStyle w:val="DipnotMetni"/>
        <w:rPr>
          <w:lang w:val="tr-TR"/>
        </w:rPr>
      </w:pPr>
      <w:r>
        <w:rPr>
          <w:rStyle w:val="DipnotBavurusu"/>
        </w:rPr>
        <w:footnoteRef/>
      </w:r>
      <w:r>
        <w:t xml:space="preserve"> </w:t>
      </w:r>
      <w:r w:rsidR="001A50C2" w:rsidRPr="001A50C2">
        <w:rPr>
          <w:i/>
          <w:color w:val="1F3864" w:themeColor="accent1" w:themeShade="80"/>
          <w:sz w:val="16"/>
          <w:szCs w:val="16"/>
        </w:rPr>
        <w:t>Republic of Türkiye Ministry of Industry and Technology, General Directorate of Development Agencies. SEGE Studies, 20</w:t>
      </w:r>
      <w:r w:rsidR="001A50C2">
        <w:rPr>
          <w:i/>
          <w:color w:val="1F3864" w:themeColor="accent1" w:themeShade="80"/>
          <w:sz w:val="16"/>
          <w:szCs w:val="16"/>
        </w:rPr>
        <w:t>25</w:t>
      </w:r>
      <w:r w:rsidR="001A50C2" w:rsidRPr="001A50C2">
        <w:rPr>
          <w:i/>
          <w:color w:val="1F3864" w:themeColor="accent1" w:themeShade="80"/>
          <w:sz w:val="16"/>
          <w:szCs w:val="16"/>
        </w:rPr>
        <w:t>.</w:t>
      </w:r>
    </w:p>
  </w:footnote>
  <w:footnote w:id="15">
    <w:p w14:paraId="45F193D5" w14:textId="799F20DE" w:rsidR="001F6155" w:rsidRPr="00AC5E29" w:rsidRDefault="001F6155">
      <w:pPr>
        <w:pStyle w:val="DipnotMetni"/>
        <w:rPr>
          <w:color w:val="1F3864" w:themeColor="accent1" w:themeShade="80"/>
          <w:sz w:val="16"/>
          <w:szCs w:val="16"/>
          <w:lang w:val="tr-TR"/>
        </w:rPr>
      </w:pPr>
      <w:r w:rsidRPr="00AC5E29">
        <w:rPr>
          <w:rStyle w:val="DipnotBavurusu"/>
          <w:color w:val="1F3864" w:themeColor="accent1" w:themeShade="80"/>
          <w:sz w:val="16"/>
          <w:szCs w:val="16"/>
        </w:rPr>
        <w:footnoteRef/>
      </w:r>
      <w:r w:rsidRPr="00AC5E29">
        <w:rPr>
          <w:color w:val="1F3864" w:themeColor="accent1" w:themeShade="80"/>
          <w:sz w:val="16"/>
          <w:szCs w:val="16"/>
        </w:rPr>
        <w:t xml:space="preserve"> </w:t>
      </w:r>
      <w:r w:rsidRPr="00AC5E29">
        <w:rPr>
          <w:i/>
          <w:color w:val="1F3864" w:themeColor="accent1" w:themeShade="80"/>
          <w:sz w:val="16"/>
          <w:szCs w:val="16"/>
        </w:rPr>
        <w:t>The Socio-Economic Development Index (SEDI</w:t>
      </w:r>
      <w:r w:rsidR="00695D59">
        <w:rPr>
          <w:i/>
          <w:color w:val="1F3864" w:themeColor="accent1" w:themeShade="80"/>
          <w:sz w:val="16"/>
          <w:szCs w:val="16"/>
        </w:rPr>
        <w:t xml:space="preserve"> or SEGE</w:t>
      </w:r>
      <w:r w:rsidRPr="00AC5E29">
        <w:rPr>
          <w:i/>
          <w:color w:val="1F3864" w:themeColor="accent1" w:themeShade="80"/>
          <w:sz w:val="16"/>
          <w:szCs w:val="16"/>
        </w:rPr>
        <w:t>) is a study carried out periodically by the General Directorate of Development Agencies of the Ministry of Industry and Technology at the regional (NUTS-2), provincial and district levels. Demographics are based on a wide range of variables, including employment, health, education, finance, competitiveness, innovation, and quality of life. SEGEA defines six development levels for provinces and districts, with the first level being the most developed and the sixth level being the least developed.</w:t>
      </w:r>
    </w:p>
  </w:footnote>
  <w:footnote w:id="16">
    <w:p w14:paraId="2C0406CF" w14:textId="2E87C947" w:rsidR="001F6155" w:rsidRPr="002550A6" w:rsidRDefault="001F6155">
      <w:pPr>
        <w:pStyle w:val="DipnotMetni"/>
        <w:rPr>
          <w:lang w:val="tr-TR"/>
        </w:rPr>
      </w:pPr>
      <w:r>
        <w:rPr>
          <w:rStyle w:val="DipnotBavurusu"/>
        </w:rPr>
        <w:footnoteRef/>
      </w:r>
      <w:r w:rsidRPr="00456032">
        <w:rPr>
          <w:lang w:val="tr-TR"/>
        </w:rPr>
        <w:t xml:space="preserve"> </w:t>
      </w:r>
      <w:r w:rsidRPr="00456032">
        <w:rPr>
          <w:i/>
          <w:color w:val="1F3864" w:themeColor="accent1" w:themeShade="80"/>
          <w:sz w:val="16"/>
          <w:szCs w:val="16"/>
          <w:lang w:val="tr-TR"/>
        </w:rPr>
        <w:t>T.C. Sanayi ve Teknoloji Bakanlığı, İlçelerin ve Bölgelerin Sosyo-Ekonomik Gelişmişlik Sıralaması Araştırması, 2022.</w:t>
      </w:r>
    </w:p>
  </w:footnote>
  <w:footnote w:id="17">
    <w:p w14:paraId="2F60C4F0" w14:textId="040A5A9A" w:rsidR="001F6155" w:rsidRPr="00AC5E29" w:rsidRDefault="001F6155" w:rsidP="00F0115E">
      <w:pPr>
        <w:pBdr>
          <w:top w:val="nil"/>
          <w:left w:val="nil"/>
          <w:bottom w:val="nil"/>
          <w:right w:val="nil"/>
          <w:between w:val="nil"/>
        </w:pBdr>
        <w:spacing w:before="60" w:after="60" w:line="240" w:lineRule="auto"/>
        <w:jc w:val="left"/>
        <w:rPr>
          <w:i/>
          <w:color w:val="1F3864" w:themeColor="accent1" w:themeShade="80"/>
          <w:sz w:val="16"/>
          <w:szCs w:val="16"/>
        </w:rPr>
      </w:pPr>
      <w:r w:rsidRPr="00AC5E29">
        <w:rPr>
          <w:color w:val="1F3864" w:themeColor="accent1" w:themeShade="80"/>
          <w:sz w:val="16"/>
          <w:szCs w:val="16"/>
          <w:vertAlign w:val="superscript"/>
        </w:rPr>
        <w:footnoteRef/>
      </w:r>
      <w:r w:rsidRPr="00AC5E29">
        <w:rPr>
          <w:i/>
          <w:color w:val="1F3864" w:themeColor="accent1" w:themeShade="80"/>
          <w:sz w:val="16"/>
          <w:szCs w:val="16"/>
        </w:rPr>
        <w:t xml:space="preserve"> Definitions of migrants and Syrians under temporary protection are given in Section 2.2.4 "Vulnerable Groups".</w:t>
      </w:r>
    </w:p>
  </w:footnote>
  <w:footnote w:id="18">
    <w:p w14:paraId="72860E5E" w14:textId="77777777" w:rsidR="001F6155" w:rsidRPr="00AC5E29" w:rsidRDefault="001F6155" w:rsidP="00A3215F">
      <w:pPr>
        <w:pBdr>
          <w:top w:val="nil"/>
          <w:left w:val="nil"/>
          <w:bottom w:val="nil"/>
          <w:right w:val="nil"/>
          <w:between w:val="nil"/>
        </w:pBdr>
        <w:spacing w:line="240" w:lineRule="auto"/>
        <w:jc w:val="left"/>
        <w:rPr>
          <w:rFonts w:eastAsia="Aptos" w:cs="Aptos"/>
          <w:color w:val="1F3864" w:themeColor="accent1" w:themeShade="80"/>
          <w:sz w:val="16"/>
          <w:szCs w:val="16"/>
        </w:rPr>
      </w:pPr>
      <w:r w:rsidRPr="00AC5E29">
        <w:rPr>
          <w:color w:val="1F3864" w:themeColor="accent1" w:themeShade="80"/>
          <w:sz w:val="16"/>
          <w:szCs w:val="16"/>
          <w:vertAlign w:val="superscript"/>
        </w:rPr>
        <w:footnoteRef/>
      </w:r>
      <w:r w:rsidRPr="00AC5E29">
        <w:rPr>
          <w:i/>
          <w:color w:val="1F3864" w:themeColor="accent1" w:themeShade="80"/>
          <w:sz w:val="16"/>
          <w:szCs w:val="16"/>
        </w:rPr>
        <w:t xml:space="preserve"> </w:t>
      </w:r>
      <w:r w:rsidRPr="00AC5E29">
        <w:rPr>
          <w:rFonts w:eastAsia="Aptos" w:cs="Aptos"/>
          <w:i/>
          <w:color w:val="1F3864" w:themeColor="accent1" w:themeShade="80"/>
          <w:sz w:val="16"/>
          <w:szCs w:val="16"/>
        </w:rPr>
        <w:t xml:space="preserve">Ministry of Family and Social Policies, General Directorate of Family and Community Services. Strategy Paper for Roma Population (2016-2021). April 2016. Ankara </w:t>
      </w:r>
    </w:p>
    <w:p w14:paraId="3A686CBC" w14:textId="1BE229CE" w:rsidR="001F6155" w:rsidRPr="00AC5E29" w:rsidRDefault="001F6155" w:rsidP="00A3215F">
      <w:pPr>
        <w:pBdr>
          <w:top w:val="nil"/>
          <w:left w:val="nil"/>
          <w:bottom w:val="nil"/>
          <w:right w:val="nil"/>
          <w:between w:val="nil"/>
        </w:pBdr>
        <w:spacing w:before="120" w:after="0" w:line="240" w:lineRule="auto"/>
        <w:jc w:val="left"/>
        <w:rPr>
          <w:i/>
          <w:color w:val="1F3864" w:themeColor="accent1" w:themeShade="80"/>
          <w:sz w:val="16"/>
          <w:szCs w:val="16"/>
        </w:rPr>
      </w:pPr>
      <w:r w:rsidRPr="00AC5E29">
        <w:rPr>
          <w:rFonts w:eastAsia="Aptos" w:cs="Aptos"/>
          <w:i/>
          <w:color w:val="1F3864" w:themeColor="accent1" w:themeShade="80"/>
          <w:sz w:val="16"/>
          <w:szCs w:val="16"/>
        </w:rPr>
        <w:t xml:space="preserve">Access Address: http://www.sp.gov.tr/upload/xSPTemelBelge/files/wZYtU+Roman_Vatandaslara_Yonelik_Strateji_Belgesi_2016-2021_.pdf  </w:t>
      </w:r>
    </w:p>
    <w:p w14:paraId="53204223" w14:textId="7E8B04DA" w:rsidR="001F6155" w:rsidRPr="006C78CE" w:rsidRDefault="001F6155" w:rsidP="006714DA">
      <w:pPr>
        <w:pBdr>
          <w:top w:val="nil"/>
          <w:left w:val="nil"/>
          <w:bottom w:val="nil"/>
          <w:right w:val="nil"/>
          <w:between w:val="nil"/>
        </w:pBdr>
        <w:spacing w:before="120" w:after="0" w:line="240" w:lineRule="auto"/>
        <w:jc w:val="left"/>
        <w:rPr>
          <w:i/>
          <w:color w:val="0A3041"/>
          <w:sz w:val="16"/>
          <w:szCs w:val="16"/>
        </w:rPr>
      </w:pPr>
    </w:p>
  </w:footnote>
  <w:footnote w:id="19">
    <w:p w14:paraId="17960A64" w14:textId="72840E65" w:rsidR="001F6155" w:rsidRPr="00AC5E29" w:rsidRDefault="001F6155" w:rsidP="001F7BC7">
      <w:pPr>
        <w:pStyle w:val="DipnotMetni"/>
        <w:rPr>
          <w:color w:val="1F3864" w:themeColor="accent1" w:themeShade="80"/>
          <w:sz w:val="16"/>
          <w:szCs w:val="16"/>
        </w:rPr>
      </w:pPr>
      <w:r w:rsidRPr="00AC5E29">
        <w:rPr>
          <w:color w:val="1F3864" w:themeColor="accent1" w:themeShade="80"/>
          <w:sz w:val="16"/>
          <w:szCs w:val="16"/>
          <w:vertAlign w:val="superscript"/>
        </w:rPr>
        <w:footnoteRef/>
      </w:r>
      <w:r w:rsidRPr="00AC5E29">
        <w:rPr>
          <w:i/>
          <w:color w:val="1F3864" w:themeColor="accent1" w:themeShade="80"/>
          <w:sz w:val="16"/>
          <w:szCs w:val="16"/>
        </w:rPr>
        <w:t xml:space="preserve"> IMM Department of Cultural Heritage and Istanbul Planning Agency. 2020. Istanbul Roma Workshop 2019. Istanbul: Istanbul Metropolitan Municipality.</w:t>
      </w:r>
    </w:p>
  </w:footnote>
  <w:footnote w:id="20">
    <w:p w14:paraId="7219515A" w14:textId="2689BBDD" w:rsidR="001F6155" w:rsidRPr="006C78CE" w:rsidRDefault="001F6155" w:rsidP="006714DA">
      <w:pPr>
        <w:pBdr>
          <w:top w:val="nil"/>
          <w:left w:val="nil"/>
          <w:bottom w:val="nil"/>
          <w:right w:val="nil"/>
          <w:between w:val="nil"/>
        </w:pBdr>
        <w:spacing w:before="60" w:after="60" w:line="240" w:lineRule="auto"/>
        <w:jc w:val="left"/>
        <w:rPr>
          <w:i/>
          <w:color w:val="0A3041"/>
          <w:sz w:val="16"/>
          <w:szCs w:val="16"/>
        </w:rPr>
      </w:pPr>
      <w:r w:rsidRPr="00AC5E29">
        <w:rPr>
          <w:color w:val="1F3864" w:themeColor="accent1" w:themeShade="80"/>
          <w:sz w:val="16"/>
          <w:szCs w:val="16"/>
          <w:vertAlign w:val="superscript"/>
        </w:rPr>
        <w:footnoteRef/>
      </w:r>
      <w:r w:rsidRPr="00AC5E29">
        <w:rPr>
          <w:i/>
          <w:color w:val="1F3864" w:themeColor="accent1" w:themeShade="80"/>
          <w:sz w:val="16"/>
          <w:szCs w:val="16"/>
        </w:rPr>
        <w:t xml:space="preserve"> IMM Department of Cultural Heritage and Istanbul Planning Agency. 2020. Istanbul Roma Workshop 2019. Istanbul: Istanbul Metropolitan Municipality.</w:t>
      </w:r>
    </w:p>
  </w:footnote>
  <w:footnote w:id="21">
    <w:p w14:paraId="6A401B29" w14:textId="02EB8AB5" w:rsidR="001F6155" w:rsidRPr="00AC5E29" w:rsidRDefault="001F6155">
      <w:pPr>
        <w:pStyle w:val="DipnotMetni"/>
        <w:rPr>
          <w:color w:val="1F3864" w:themeColor="accent1" w:themeShade="80"/>
          <w:sz w:val="16"/>
          <w:szCs w:val="16"/>
          <w:lang w:val="tr-TR"/>
        </w:rPr>
      </w:pPr>
      <w:r w:rsidRPr="00AC5E29">
        <w:rPr>
          <w:rStyle w:val="DipnotBavurusu"/>
          <w:color w:val="1F3864" w:themeColor="accent1" w:themeShade="80"/>
          <w:sz w:val="16"/>
          <w:szCs w:val="16"/>
        </w:rPr>
        <w:footnoteRef/>
      </w:r>
      <w:r w:rsidRPr="00AC5E29">
        <w:rPr>
          <w:color w:val="1F3864" w:themeColor="accent1" w:themeShade="80"/>
          <w:sz w:val="16"/>
          <w:szCs w:val="16"/>
        </w:rPr>
        <w:t xml:space="preserve"> </w:t>
      </w:r>
      <w:r w:rsidRPr="005B7929">
        <w:rPr>
          <w:i/>
          <w:color w:val="1F3864" w:themeColor="accent1" w:themeShade="80"/>
          <w:sz w:val="16"/>
          <w:szCs w:val="16"/>
        </w:rPr>
        <w:t>Republic of Türkiye Ministry of Culture and Tourism</w:t>
      </w:r>
    </w:p>
  </w:footnote>
  <w:footnote w:id="22">
    <w:p w14:paraId="309FBF4A" w14:textId="2025698D" w:rsidR="001F6155" w:rsidRPr="006C78CE" w:rsidRDefault="001F6155" w:rsidP="00BB769D">
      <w:pPr>
        <w:pBdr>
          <w:top w:val="nil"/>
          <w:left w:val="nil"/>
          <w:bottom w:val="nil"/>
          <w:right w:val="nil"/>
          <w:between w:val="nil"/>
        </w:pBdr>
        <w:spacing w:before="120" w:after="0" w:line="240" w:lineRule="auto"/>
        <w:jc w:val="left"/>
        <w:rPr>
          <w:i/>
          <w:color w:val="0A3041"/>
          <w:sz w:val="16"/>
          <w:szCs w:val="16"/>
        </w:rPr>
      </w:pPr>
      <w:r w:rsidRPr="00AC5E29">
        <w:rPr>
          <w:color w:val="1F3864" w:themeColor="accent1" w:themeShade="80"/>
          <w:sz w:val="16"/>
          <w:szCs w:val="16"/>
          <w:vertAlign w:val="superscript"/>
        </w:rPr>
        <w:footnoteRef/>
      </w:r>
      <w:r w:rsidRPr="00AC5E29">
        <w:rPr>
          <w:i/>
          <w:color w:val="1F3864" w:themeColor="accent1" w:themeShade="80"/>
          <w:sz w:val="16"/>
          <w:szCs w:val="16"/>
        </w:rPr>
        <w:t xml:space="preserve"> Sakarya University, 2018. Sakarya's Physical and Human Report.</w:t>
      </w:r>
    </w:p>
  </w:footnote>
  <w:footnote w:id="23">
    <w:p w14:paraId="1079BC88" w14:textId="25CE9244" w:rsidR="001F6155" w:rsidRPr="002550A6" w:rsidRDefault="001F6155">
      <w:pPr>
        <w:pStyle w:val="DipnotMetni"/>
        <w:rPr>
          <w:lang w:val="tr-TR"/>
        </w:rPr>
      </w:pPr>
      <w:r>
        <w:rPr>
          <w:rStyle w:val="DipnotBavurusu"/>
        </w:rPr>
        <w:footnoteRef/>
      </w:r>
      <w:r>
        <w:t xml:space="preserve"> </w:t>
      </w:r>
      <w:r w:rsidRPr="002550A6">
        <w:rPr>
          <w:color w:val="1F3864" w:themeColor="accent1" w:themeShade="80"/>
          <w:sz w:val="16"/>
          <w:szCs w:val="16"/>
          <w:lang w:val="tr-TR"/>
        </w:rPr>
        <w:t xml:space="preserve"> </w:t>
      </w:r>
      <w:r w:rsidR="006465C1" w:rsidRPr="002550A6">
        <w:rPr>
          <w:i/>
          <w:iCs/>
          <w:color w:val="1F3864" w:themeColor="accent1" w:themeShade="80"/>
          <w:sz w:val="16"/>
          <w:szCs w:val="16"/>
          <w:lang w:val="tr-TR"/>
        </w:rPr>
        <w:t>Ministry of Health of the Republic of Turkey, 2023, Health Statistics Yearbook.</w:t>
      </w:r>
    </w:p>
  </w:footnote>
  <w:footnote w:id="24">
    <w:p w14:paraId="409CA5DC" w14:textId="4A544001" w:rsidR="001F6155" w:rsidRPr="00AC5E29" w:rsidRDefault="001F6155">
      <w:pPr>
        <w:pStyle w:val="DipnotMetni"/>
        <w:rPr>
          <w:color w:val="1F3864" w:themeColor="accent1" w:themeShade="80"/>
          <w:sz w:val="16"/>
          <w:szCs w:val="16"/>
          <w:lang w:val="tr-TR"/>
        </w:rPr>
      </w:pPr>
      <w:r w:rsidRPr="00AC5E29">
        <w:rPr>
          <w:rStyle w:val="DipnotBavurusu"/>
          <w:color w:val="1F3864" w:themeColor="accent1" w:themeShade="80"/>
          <w:sz w:val="16"/>
          <w:szCs w:val="16"/>
        </w:rPr>
        <w:footnoteRef/>
      </w:r>
      <w:r w:rsidRPr="00AC5E29">
        <w:rPr>
          <w:color w:val="1F3864" w:themeColor="accent1" w:themeShade="80"/>
          <w:sz w:val="16"/>
          <w:szCs w:val="16"/>
        </w:rPr>
        <w:t xml:space="preserve"> </w:t>
      </w:r>
      <w:hyperlink r:id="rId5">
        <w:r w:rsidRPr="00AC5E29">
          <w:rPr>
            <w:i/>
            <w:color w:val="1F3864" w:themeColor="accent1" w:themeShade="80"/>
            <w:sz w:val="16"/>
            <w:szCs w:val="16"/>
          </w:rPr>
          <w:t>S</w:t>
        </w:r>
      </w:hyperlink>
      <w:r w:rsidRPr="00AC5E29">
        <w:rPr>
          <w:i/>
          <w:color w:val="1F3864" w:themeColor="accent1" w:themeShade="80"/>
          <w:sz w:val="16"/>
          <w:szCs w:val="16"/>
        </w:rPr>
        <w:t>akarya Provincial Directorate of Agriculture and Forestry</w:t>
      </w:r>
    </w:p>
  </w:footnote>
  <w:footnote w:id="25">
    <w:p w14:paraId="52AC03E7" w14:textId="0CDF5849" w:rsidR="001F6155" w:rsidRPr="00AC5E29" w:rsidRDefault="001F6155">
      <w:pPr>
        <w:pStyle w:val="DipnotMetni"/>
        <w:rPr>
          <w:sz w:val="16"/>
          <w:szCs w:val="16"/>
          <w:lang w:val="tr-TR"/>
        </w:rPr>
      </w:pPr>
      <w:r w:rsidRPr="00AC5E29">
        <w:rPr>
          <w:rStyle w:val="DipnotBavurusu"/>
          <w:color w:val="1F3864" w:themeColor="accent1" w:themeShade="80"/>
          <w:sz w:val="16"/>
          <w:szCs w:val="16"/>
        </w:rPr>
        <w:footnoteRef/>
      </w:r>
      <w:r w:rsidRPr="00AC5E29">
        <w:rPr>
          <w:color w:val="1F3864" w:themeColor="accent1" w:themeShade="80"/>
          <w:sz w:val="16"/>
          <w:szCs w:val="16"/>
        </w:rPr>
        <w:t xml:space="preserve"> </w:t>
      </w:r>
      <w:r w:rsidRPr="00AC5E29">
        <w:rPr>
          <w:i/>
          <w:color w:val="1F3864" w:themeColor="accent1" w:themeShade="80"/>
          <w:sz w:val="16"/>
          <w:szCs w:val="16"/>
        </w:rPr>
        <w:t>Sakarya Province Environmental Status Report</w:t>
      </w:r>
    </w:p>
  </w:footnote>
  <w:footnote w:id="26">
    <w:p w14:paraId="0ECFDA3C" w14:textId="2F59D20F" w:rsidR="001F6155" w:rsidRPr="00AC5E29" w:rsidRDefault="001F6155">
      <w:pPr>
        <w:pStyle w:val="DipnotMetni"/>
        <w:rPr>
          <w:sz w:val="16"/>
          <w:szCs w:val="16"/>
          <w:lang w:val="tr-TR"/>
        </w:rPr>
      </w:pPr>
      <w:r w:rsidRPr="00AC5E29">
        <w:rPr>
          <w:rStyle w:val="DipnotBavurusu"/>
          <w:color w:val="1F3864" w:themeColor="accent1" w:themeShade="80"/>
          <w:sz w:val="16"/>
          <w:szCs w:val="16"/>
        </w:rPr>
        <w:footnoteRef/>
      </w:r>
      <w:r w:rsidRPr="00AC5E29">
        <w:rPr>
          <w:color w:val="1F3864" w:themeColor="accent1" w:themeShade="80"/>
          <w:sz w:val="16"/>
          <w:szCs w:val="16"/>
        </w:rPr>
        <w:t xml:space="preserve"> </w:t>
      </w:r>
      <w:r w:rsidRPr="00AC5E29">
        <w:rPr>
          <w:i/>
          <w:color w:val="1F3864" w:themeColor="accent1" w:themeShade="80"/>
          <w:sz w:val="16"/>
          <w:szCs w:val="16"/>
        </w:rPr>
        <w:t>TurkStat, 2024</w:t>
      </w:r>
    </w:p>
  </w:footnote>
  <w:footnote w:id="27">
    <w:p w14:paraId="108AF5D7" w14:textId="183B8EEA" w:rsidR="001F6155" w:rsidRPr="00AC5E29" w:rsidRDefault="001F6155">
      <w:pPr>
        <w:pStyle w:val="DipnotMetni"/>
        <w:rPr>
          <w:sz w:val="16"/>
          <w:szCs w:val="16"/>
          <w:lang w:val="tr-TR"/>
        </w:rPr>
      </w:pPr>
      <w:r w:rsidRPr="00AC5E29">
        <w:rPr>
          <w:rStyle w:val="DipnotBavurusu"/>
          <w:color w:val="1F3864" w:themeColor="accent1" w:themeShade="80"/>
          <w:sz w:val="16"/>
          <w:szCs w:val="16"/>
        </w:rPr>
        <w:footnoteRef/>
      </w:r>
      <w:r w:rsidRPr="00AC5E29">
        <w:rPr>
          <w:color w:val="1F3864" w:themeColor="accent1" w:themeShade="80"/>
          <w:sz w:val="16"/>
          <w:szCs w:val="16"/>
        </w:rPr>
        <w:t xml:space="preserve"> </w:t>
      </w:r>
      <w:r w:rsidRPr="00AC5E29">
        <w:rPr>
          <w:i/>
          <w:color w:val="1F3864" w:themeColor="accent1" w:themeShade="80"/>
          <w:sz w:val="16"/>
          <w:szCs w:val="16"/>
        </w:rPr>
        <w:t>Sakarya Governorship. (2015, February 24). Briefing</w:t>
      </w:r>
    </w:p>
  </w:footnote>
  <w:footnote w:id="28">
    <w:p w14:paraId="401D103B" w14:textId="6616E762" w:rsidR="001F6155" w:rsidRPr="00AC5E29" w:rsidRDefault="001F6155">
      <w:pPr>
        <w:pStyle w:val="DipnotMetni"/>
        <w:rPr>
          <w:sz w:val="16"/>
          <w:szCs w:val="16"/>
          <w:lang w:val="tr-TR"/>
        </w:rPr>
      </w:pPr>
      <w:r w:rsidRPr="00AC5E29">
        <w:rPr>
          <w:rStyle w:val="DipnotBavurusu"/>
          <w:color w:val="1F3864" w:themeColor="accent1" w:themeShade="80"/>
          <w:sz w:val="16"/>
          <w:szCs w:val="16"/>
        </w:rPr>
        <w:footnoteRef/>
      </w:r>
      <w:r w:rsidRPr="00AC5E29">
        <w:rPr>
          <w:color w:val="1F3864" w:themeColor="accent1" w:themeShade="80"/>
          <w:sz w:val="16"/>
          <w:szCs w:val="16"/>
        </w:rPr>
        <w:t xml:space="preserve"> </w:t>
      </w:r>
      <w:r w:rsidRPr="00AC5E29">
        <w:rPr>
          <w:i/>
          <w:color w:val="1F3864" w:themeColor="accent1" w:themeShade="80"/>
          <w:sz w:val="16"/>
          <w:szCs w:val="16"/>
        </w:rPr>
        <w:t>Sakarya Metropolitan Municipality, 2024.</w:t>
      </w:r>
    </w:p>
  </w:footnote>
  <w:footnote w:id="29">
    <w:p w14:paraId="0F642B4B" w14:textId="2E643345" w:rsidR="001F6155" w:rsidRPr="00AC5E29" w:rsidRDefault="001F6155">
      <w:pPr>
        <w:pStyle w:val="DipnotMetni"/>
        <w:rPr>
          <w:sz w:val="16"/>
          <w:szCs w:val="16"/>
          <w:lang w:val="tr-TR"/>
        </w:rPr>
      </w:pPr>
      <w:r w:rsidRPr="00AC5E29">
        <w:rPr>
          <w:rStyle w:val="DipnotBavurusu"/>
          <w:color w:val="1F3864" w:themeColor="accent1" w:themeShade="80"/>
          <w:sz w:val="16"/>
          <w:szCs w:val="16"/>
        </w:rPr>
        <w:footnoteRef/>
      </w:r>
      <w:r w:rsidRPr="00AC5E29">
        <w:rPr>
          <w:color w:val="1F3864" w:themeColor="accent1" w:themeShade="80"/>
          <w:sz w:val="16"/>
          <w:szCs w:val="16"/>
        </w:rPr>
        <w:t xml:space="preserve"> </w:t>
      </w:r>
      <w:r w:rsidRPr="00AC5E29">
        <w:rPr>
          <w:i/>
          <w:color w:val="1F3864" w:themeColor="accent1" w:themeShade="80"/>
          <w:sz w:val="16"/>
          <w:szCs w:val="16"/>
        </w:rPr>
        <w:t>Sakarya Environmental Status Report, 2023.</w:t>
      </w:r>
    </w:p>
  </w:footnote>
  <w:footnote w:id="30">
    <w:p w14:paraId="1B2CEB05" w14:textId="3DC3076F" w:rsidR="001F6155" w:rsidRPr="000C58CE" w:rsidRDefault="001F6155">
      <w:pPr>
        <w:pStyle w:val="DipnotMetni"/>
        <w:rPr>
          <w:sz w:val="16"/>
          <w:szCs w:val="16"/>
          <w:lang w:val="tr-TR"/>
        </w:rPr>
      </w:pPr>
      <w:r w:rsidRPr="000C58CE">
        <w:rPr>
          <w:rStyle w:val="DipnotBavurusu"/>
          <w:color w:val="1F3864" w:themeColor="accent1" w:themeShade="80"/>
          <w:sz w:val="16"/>
          <w:szCs w:val="16"/>
        </w:rPr>
        <w:footnoteRef/>
      </w:r>
      <w:r w:rsidRPr="000C58CE">
        <w:rPr>
          <w:color w:val="1F3864" w:themeColor="accent1" w:themeShade="80"/>
          <w:sz w:val="16"/>
          <w:szCs w:val="16"/>
        </w:rPr>
        <w:t xml:space="preserve"> </w:t>
      </w:r>
      <w:r w:rsidRPr="000C58CE">
        <w:rPr>
          <w:rFonts w:eastAsia="Tahoma" w:cs="Tahoma"/>
          <w:i/>
          <w:iCs/>
          <w:color w:val="1F3864" w:themeColor="accent1" w:themeShade="80"/>
          <w:kern w:val="0"/>
          <w:sz w:val="16"/>
          <w:szCs w:val="16"/>
          <w:lang w:eastAsia="tr-TR"/>
          <w14:ligatures w14:val="none"/>
        </w:rPr>
        <w:t>A “High Risk” environmental rating generally would entail the following impacts (a) significantly impact on human populations, including settlements and local communities (b) alteration of environmentally important areas, including wetlands, native forests, grasslands, and other “critical” natural habitats and ecosystem services; (c) direct pollutant discharges that are large enough to cause degradation of air, water or soil, endangered species and “critical” habitats; (d) largescale physical disturbances of the site and/or surroundings; (e) extraction, consumption or conversion of substantial amounts of forest and other important natural habitats, including above and below ground and water-based ecosystems; (f) measurable modification of hydrologic cycle; and (g) hazardous materials in more than incidental quantities. It should be noted here that, as the whole Project is rated as “High Risk” in terms of social risks, subprojects with “high risk” in terms of social risks will not be non-eligible. Therefore, professional judgement will be used to identify “high risk” categorization in terms of environmental aspects during screening phase.</w:t>
      </w:r>
    </w:p>
  </w:footnote>
  <w:footnote w:id="31">
    <w:p w14:paraId="1B75F56C" w14:textId="61F81004" w:rsidR="001F6155" w:rsidRPr="00251F8F" w:rsidRDefault="001F6155">
      <w:pPr>
        <w:pStyle w:val="DipnotMetni"/>
        <w:rPr>
          <w:color w:val="1F3864" w:themeColor="accent1" w:themeShade="80"/>
          <w:sz w:val="16"/>
          <w:szCs w:val="16"/>
          <w:lang w:val="tr-TR"/>
        </w:rPr>
      </w:pPr>
      <w:r w:rsidRPr="00251F8F">
        <w:rPr>
          <w:rStyle w:val="DipnotBavurusu"/>
          <w:color w:val="1F3864" w:themeColor="accent1" w:themeShade="80"/>
          <w:sz w:val="16"/>
          <w:szCs w:val="16"/>
        </w:rPr>
        <w:footnoteRef/>
      </w:r>
      <w:r w:rsidRPr="00251F8F">
        <w:rPr>
          <w:color w:val="1F3864" w:themeColor="accent1" w:themeShade="80"/>
          <w:sz w:val="16"/>
          <w:szCs w:val="16"/>
        </w:rPr>
        <w:t xml:space="preserve"> </w:t>
      </w:r>
      <w:r w:rsidR="00C52F93">
        <w:rPr>
          <w:color w:val="1F3864" w:themeColor="accent1" w:themeShade="80"/>
          <w:sz w:val="16"/>
          <w:szCs w:val="16"/>
        </w:rPr>
        <w:t>SEP</w:t>
      </w:r>
      <w:r w:rsidR="00C52F93" w:rsidRPr="00251F8F">
        <w:rPr>
          <w:color w:val="1F3864" w:themeColor="accent1" w:themeShade="80"/>
          <w:sz w:val="16"/>
          <w:szCs w:val="16"/>
        </w:rPr>
        <w:t xml:space="preserve"> </w:t>
      </w:r>
      <w:r w:rsidRPr="00251F8F">
        <w:rPr>
          <w:color w:val="1F3864" w:themeColor="accent1" w:themeShade="80"/>
          <w:sz w:val="16"/>
          <w:szCs w:val="16"/>
        </w:rPr>
        <w:t>Available at: https://kentseldirenclilik.csb.gov.tr/ingilizce-dokumanlar-i-108261</w:t>
      </w:r>
    </w:p>
  </w:footnote>
  <w:footnote w:id="32">
    <w:p w14:paraId="6911A17F" w14:textId="085F569A" w:rsidR="001F6155" w:rsidRPr="00251F8F" w:rsidRDefault="001F6155">
      <w:pPr>
        <w:pStyle w:val="DipnotMetni"/>
        <w:rPr>
          <w:color w:val="1F3864" w:themeColor="accent1" w:themeShade="80"/>
          <w:sz w:val="16"/>
          <w:szCs w:val="16"/>
          <w:lang w:val="tr-TR"/>
        </w:rPr>
      </w:pPr>
      <w:r w:rsidRPr="00251F8F">
        <w:rPr>
          <w:rStyle w:val="DipnotBavurusu"/>
          <w:color w:val="1F3864" w:themeColor="accent1" w:themeShade="80"/>
          <w:sz w:val="16"/>
          <w:szCs w:val="16"/>
        </w:rPr>
        <w:footnoteRef/>
      </w:r>
      <w:r w:rsidRPr="00251F8F">
        <w:rPr>
          <w:color w:val="1F3864" w:themeColor="accent1" w:themeShade="80"/>
          <w:sz w:val="16"/>
          <w:szCs w:val="16"/>
        </w:rPr>
        <w:t xml:space="preserve"> You can access the web page at the following address: https://kentseldirencligi.csb.gov.tr/</w:t>
      </w:r>
    </w:p>
  </w:footnote>
  <w:footnote w:id="33">
    <w:p w14:paraId="45C38AAB" w14:textId="00CDF168" w:rsidR="001F6155" w:rsidRPr="00D414C4" w:rsidRDefault="001F6155">
      <w:pPr>
        <w:pStyle w:val="DipnotMetni"/>
        <w:rPr>
          <w:sz w:val="16"/>
          <w:szCs w:val="16"/>
          <w:lang w:val="tr-TR"/>
        </w:rPr>
      </w:pPr>
      <w:r w:rsidRPr="00D414C4">
        <w:rPr>
          <w:rStyle w:val="DipnotBavurusu"/>
          <w:color w:val="1F3864" w:themeColor="accent1" w:themeShade="80"/>
          <w:sz w:val="16"/>
          <w:szCs w:val="16"/>
        </w:rPr>
        <w:footnoteRef/>
      </w:r>
      <w:r w:rsidRPr="00456032">
        <w:rPr>
          <w:color w:val="1F3864" w:themeColor="accent1" w:themeShade="80"/>
          <w:sz w:val="16"/>
          <w:szCs w:val="16"/>
          <w:lang w:val="tr-TR"/>
        </w:rPr>
        <w:t xml:space="preserve"> https://kentseldirenclilik.csb.gov.tr/sikca-sorulan-sorular-i-112335</w:t>
      </w:r>
      <w:r w:rsidRPr="00456032" w:rsidDel="00231C1E">
        <w:rPr>
          <w:color w:val="1F3864" w:themeColor="accent1" w:themeShade="80"/>
          <w:sz w:val="16"/>
          <w:szCs w:val="16"/>
          <w:lang w:val="tr-TR"/>
        </w:rPr>
        <w:t xml:space="preserve"> </w:t>
      </w:r>
    </w:p>
  </w:footnote>
  <w:footnote w:id="34">
    <w:p w14:paraId="74DF497C" w14:textId="77777777" w:rsidR="001F6155" w:rsidRPr="00D414C4" w:rsidRDefault="001F6155" w:rsidP="003D2155">
      <w:pPr>
        <w:pBdr>
          <w:top w:val="nil"/>
          <w:left w:val="nil"/>
          <w:bottom w:val="nil"/>
          <w:right w:val="nil"/>
          <w:between w:val="nil"/>
        </w:pBdr>
        <w:spacing w:before="120" w:after="0" w:line="240" w:lineRule="auto"/>
        <w:rPr>
          <w:rFonts w:ascii="Tahoma" w:eastAsia="Tahoma" w:hAnsi="Tahoma" w:cs="Tahoma"/>
          <w:color w:val="000000"/>
          <w:sz w:val="16"/>
          <w:szCs w:val="16"/>
        </w:rPr>
      </w:pPr>
      <w:r w:rsidRPr="00D414C4">
        <w:rPr>
          <w:sz w:val="16"/>
          <w:szCs w:val="16"/>
          <w:vertAlign w:val="superscript"/>
        </w:rPr>
        <w:footnoteRef/>
      </w:r>
      <w:r w:rsidRPr="00D414C4">
        <w:rPr>
          <w:rFonts w:ascii="Tahoma" w:eastAsia="Tahoma" w:hAnsi="Tahoma" w:cs="Tahoma"/>
          <w:color w:val="000000"/>
          <w:sz w:val="16"/>
          <w:szCs w:val="16"/>
        </w:rPr>
        <w:t xml:space="preserve"> </w:t>
      </w:r>
      <w:r w:rsidRPr="00D414C4">
        <w:rPr>
          <w:rFonts w:cs="Tahoma"/>
          <w:i/>
          <w:color w:val="0A2F41"/>
          <w:kern w:val="16"/>
          <w:sz w:val="16"/>
          <w:szCs w:val="16"/>
          <w:lang w:val="tr-TR"/>
        </w:rPr>
        <w:t xml:space="preserve">The Labor Management Procedures (LMP) is available at: </w:t>
      </w:r>
      <w:hyperlink r:id="rId6">
        <w:r w:rsidRPr="00D414C4">
          <w:rPr>
            <w:rFonts w:cs="Tahoma"/>
            <w:i/>
            <w:color w:val="0A2F41"/>
            <w:kern w:val="16"/>
            <w:sz w:val="16"/>
            <w:szCs w:val="16"/>
            <w:lang w:val="tr-TR"/>
          </w:rPr>
          <w:t>https://webdosya.csb.gov.tr/db/altyapi/icerikler/moeucc_lmp-20220705095035.pdf</w:t>
        </w:r>
      </w:hyperlink>
      <w:r w:rsidRPr="00D414C4">
        <w:rPr>
          <w:rFonts w:ascii="Tahoma" w:eastAsia="Tahoma" w:hAnsi="Tahoma" w:cs="Tahoma"/>
          <w:color w:val="000000"/>
          <w:sz w:val="16"/>
          <w:szCs w:val="16"/>
        </w:rPr>
        <w:t xml:space="preserve"> </w:t>
      </w:r>
    </w:p>
  </w:footnote>
  <w:footnote w:id="35">
    <w:p w14:paraId="35130066" w14:textId="77777777" w:rsidR="001F6155" w:rsidRPr="00713CAF" w:rsidRDefault="001F6155" w:rsidP="003D2155">
      <w:pPr>
        <w:pBdr>
          <w:top w:val="nil"/>
          <w:left w:val="nil"/>
          <w:bottom w:val="nil"/>
          <w:right w:val="nil"/>
          <w:between w:val="nil"/>
        </w:pBdr>
        <w:spacing w:after="0" w:line="240" w:lineRule="auto"/>
        <w:rPr>
          <w:rFonts w:eastAsia="Tahoma" w:cs="Tahoma"/>
          <w:i/>
          <w:iCs/>
          <w:color w:val="000000"/>
          <w:sz w:val="16"/>
          <w:szCs w:val="16"/>
        </w:rPr>
      </w:pPr>
      <w:r w:rsidRPr="00DD7A56">
        <w:rPr>
          <w:i/>
          <w:iCs/>
          <w:color w:val="1F3864" w:themeColor="accent1" w:themeShade="80"/>
          <w:sz w:val="16"/>
          <w:szCs w:val="16"/>
          <w:vertAlign w:val="superscript"/>
        </w:rPr>
        <w:footnoteRef/>
      </w:r>
      <w:r w:rsidRPr="00DD7A56">
        <w:rPr>
          <w:rFonts w:eastAsia="Tahoma" w:cs="Tahoma"/>
          <w:i/>
          <w:iCs/>
          <w:color w:val="1F3864" w:themeColor="accent1" w:themeShade="80"/>
          <w:sz w:val="16"/>
          <w:szCs w:val="16"/>
        </w:rPr>
        <w:t xml:space="preserve"> In the Law and the Implementing Regulation, the Administration refers to “Municipalities within the boundaries of municipalities and adjacent areas, special provincial administrations outside these boundaries, metropolitan municipalities in metropolitan provinces and, if authorized by the MoEUCC, district municipalities within the boundaries of metropolitan municipalities”. Since all of the provinces within the scope of the Project are metropolitan cities, the “Administration” will be used as the Municipality within the scope of the Project.</w:t>
      </w:r>
    </w:p>
  </w:footnote>
  <w:footnote w:id="36">
    <w:p w14:paraId="350327B1" w14:textId="77777777" w:rsidR="001F6155" w:rsidRPr="00D14904" w:rsidRDefault="001F6155" w:rsidP="00DD7A56">
      <w:pPr>
        <w:pStyle w:val="Alnt"/>
        <w:jc w:val="both"/>
        <w:rPr>
          <w:color w:val="000000"/>
          <w:sz w:val="20"/>
          <w:szCs w:val="20"/>
        </w:rPr>
      </w:pPr>
      <w:r w:rsidRPr="006A5C3A">
        <w:rPr>
          <w:vertAlign w:val="superscript"/>
        </w:rPr>
        <w:footnoteRef/>
      </w:r>
      <w:r w:rsidRPr="006A5C3A">
        <w:t xml:space="preserve"> The RF is available at: </w:t>
      </w:r>
      <w:hyperlink r:id="rId7">
        <w:r w:rsidRPr="006A5C3A">
          <w:rPr>
            <w:u w:val="single"/>
          </w:rPr>
          <w:t>https://webdosya.csb.gov.tr/db/altyapi/icerikler/moeucc_rf-20220601190650.pdf</w:t>
        </w:r>
      </w:hyperlink>
      <w:r w:rsidRPr="006A5C3A">
        <w:t xml:space="preserve"> </w:t>
      </w:r>
    </w:p>
  </w:footnote>
  <w:footnote w:id="37">
    <w:p w14:paraId="50333CCA" w14:textId="77777777" w:rsidR="001F6155" w:rsidRPr="007D08F7" w:rsidRDefault="001F6155" w:rsidP="00DD7A56">
      <w:pPr>
        <w:pStyle w:val="Alnt"/>
        <w:jc w:val="both"/>
      </w:pPr>
      <w:r w:rsidRPr="007D08F7">
        <w:rPr>
          <w:vertAlign w:val="superscript"/>
        </w:rPr>
        <w:footnoteRef/>
      </w:r>
      <w:r w:rsidRPr="007D08F7">
        <w:rPr>
          <w:rFonts w:ascii="Tahoma" w:hAnsi="Tahoma"/>
          <w:sz w:val="14"/>
          <w:szCs w:val="14"/>
        </w:rPr>
        <w:t xml:space="preserve"> </w:t>
      </w:r>
      <w:r w:rsidRPr="007D08F7">
        <w:t>The term "Pollution" is used to refer to both hazardous and non-hazardous chemical pollutants in solid, liquid, or gaseous form and includes thermal discharge into water, emissions of short and long-lived climate pollutants, offensive odors, noise, vibration, radiation, electromagnetic energy and contains other components, such as the creation of potential visual impacts, including light</w:t>
      </w:r>
    </w:p>
  </w:footnote>
  <w:footnote w:id="38">
    <w:p w14:paraId="58B004B2" w14:textId="77777777" w:rsidR="001F6155" w:rsidRDefault="001F6155" w:rsidP="00DD7A56">
      <w:pPr>
        <w:pStyle w:val="Alnt"/>
        <w:jc w:val="both"/>
        <w:rPr>
          <w:rFonts w:ascii="Tahoma" w:hAnsi="Tahoma"/>
          <w:szCs w:val="16"/>
        </w:rPr>
      </w:pPr>
      <w:r w:rsidRPr="007D08F7">
        <w:rPr>
          <w:vertAlign w:val="superscript"/>
        </w:rPr>
        <w:footnoteRef/>
      </w:r>
      <w:r w:rsidRPr="007D08F7">
        <w:t xml:space="preserve"> Considering that measures to promote reductions in the use of energy and raw materials, as well as local pollutant emissions, also generally promote the reduction of emissions of short- and long-lived climate pollutants, "pollution management" is defined as short- and long-lived climate</w:t>
      </w:r>
      <w:r w:rsidRPr="007D08F7">
        <w:rPr>
          <w:rFonts w:ascii="Tahoma" w:hAnsi="Tahoma"/>
          <w:sz w:val="14"/>
          <w:szCs w:val="14"/>
        </w:rPr>
        <w:t xml:space="preserve"> </w:t>
      </w:r>
      <w:r w:rsidRPr="007D08F7">
        <w:t>pollutant emissions, unless otherwise specified in this ESS. It includes measures designed to prevent or minimize emissions of pollutants, including climate pollutants.</w:t>
      </w:r>
    </w:p>
  </w:footnote>
  <w:footnote w:id="39">
    <w:p w14:paraId="6AC63DB9" w14:textId="6630BF22" w:rsidR="001F6155" w:rsidRPr="005352D3" w:rsidRDefault="001F6155" w:rsidP="00E34C1D">
      <w:pPr>
        <w:pStyle w:val="Alnt"/>
        <w:jc w:val="both"/>
      </w:pPr>
      <w:r w:rsidRPr="005352D3">
        <w:rPr>
          <w:vertAlign w:val="superscript"/>
        </w:rPr>
        <w:footnoteRef/>
      </w:r>
      <w:r w:rsidRPr="005352D3">
        <w:t xml:space="preserve"> A “High Risk” rating generally would entail the following impacts (a) significantly impact on human populations, including settlements and local communities (b) alteration of environmentally important areas, including wetlands, native forests, grasslands, and other “critical” natural habitats and ecosystem services; (c) direct pollutant discharges that are large enough to cause degradation of air, water or soil, endangered species and “critical” habitats; (d) largescale physical disturbances of the site and/or surroundings; (e) extraction, consumption or conversion of substantial amounts of forest and other important natural habitats, including above and below ground and water-based ecosystems; (f) measurable modification of hydrologic cycle; (g) hazardous materials in more than incidental quantities; and (h) involuntary displacement of people and other significant social disturbances. It should be noted here that, as the whole Project is rated as “High Risk” in terms of social risks, sub</w:t>
      </w:r>
      <w:r w:rsidR="003C0EE4">
        <w:t>-pr</w:t>
      </w:r>
      <w:r w:rsidRPr="005352D3">
        <w:t>ojects with “high risk” in terms of social risks will not be non-eligible. Therefore, professional judgement will be used to identify “high risk” categorization in terms of environmental aspects during screening phase.</w:t>
      </w:r>
    </w:p>
  </w:footnote>
  <w:footnote w:id="40">
    <w:p w14:paraId="037F7F0F" w14:textId="77777777" w:rsidR="001F6155" w:rsidRPr="00F26BDA" w:rsidRDefault="001F6155" w:rsidP="00AB748C">
      <w:pPr>
        <w:pStyle w:val="Alnt"/>
        <w:jc w:val="both"/>
        <w:rPr>
          <w:color w:val="1F3864" w:themeColor="accent1" w:themeShade="80"/>
        </w:rPr>
      </w:pPr>
      <w:r w:rsidRPr="00F26BDA">
        <w:rPr>
          <w:rStyle w:val="Kpr"/>
          <w:color w:val="1F3864" w:themeColor="accent1" w:themeShade="80"/>
          <w:u w:val="none"/>
          <w:vertAlign w:val="superscript"/>
        </w:rPr>
        <w:footnoteRef/>
      </w:r>
      <w:r w:rsidRPr="00F26BDA">
        <w:rPr>
          <w:color w:val="1F3864" w:themeColor="accent1" w:themeShade="80"/>
        </w:rPr>
        <w:t xml:space="preserve"> </w:t>
      </w:r>
      <w:bookmarkStart w:id="552" w:name="_Hlk202197180"/>
      <w:r w:rsidRPr="00560CEB">
        <w:rPr>
          <w:color w:val="1F3864" w:themeColor="accent1" w:themeShade="80"/>
        </w:rPr>
        <w:t>To access the C-ESMP Checklist template</w:t>
      </w:r>
      <w:r w:rsidRPr="00F26BDA">
        <w:rPr>
          <w:color w:val="1F3864" w:themeColor="accent1" w:themeShade="80"/>
          <w:lang w:eastAsia="tr-TR"/>
        </w:rPr>
        <w:t>:</w:t>
      </w:r>
    </w:p>
    <w:bookmarkEnd w:id="552"/>
    <w:p w14:paraId="4D3A10AE" w14:textId="77777777" w:rsidR="001F6155" w:rsidRDefault="001F6155" w:rsidP="00AB748C">
      <w:pPr>
        <w:pStyle w:val="Alnt"/>
        <w:jc w:val="both"/>
      </w:pPr>
      <w:r w:rsidRPr="00F26BDA">
        <w:rPr>
          <w:color w:val="1F3864" w:themeColor="accent1" w:themeShade="80"/>
        </w:rPr>
        <w:t xml:space="preserve"> https://webdosya.csb.gov.tr/db/kentseldirenclilik/icerikler/c-esmp-checkl-st-10.06.2025_clean-20250610130041.docx</w:t>
      </w:r>
    </w:p>
  </w:footnote>
  <w:footnote w:id="41">
    <w:p w14:paraId="479EBFD2" w14:textId="77777777" w:rsidR="001F6155" w:rsidRPr="00F26BDA" w:rsidRDefault="001F6155" w:rsidP="00AB748C">
      <w:pPr>
        <w:pStyle w:val="Alnt"/>
        <w:jc w:val="left"/>
        <w:rPr>
          <w:color w:val="1F3864" w:themeColor="accent1" w:themeShade="80"/>
        </w:rPr>
      </w:pPr>
      <w:r w:rsidRPr="00F26BDA">
        <w:rPr>
          <w:rStyle w:val="Kpr"/>
          <w:color w:val="1F3864" w:themeColor="accent1" w:themeShade="80"/>
          <w:u w:val="none"/>
          <w:vertAlign w:val="superscript"/>
        </w:rPr>
        <w:footnoteRef/>
      </w:r>
      <w:r w:rsidRPr="00F26BDA">
        <w:rPr>
          <w:color w:val="1F3864" w:themeColor="accent1" w:themeShade="80"/>
          <w:vertAlign w:val="superscript"/>
        </w:rPr>
        <w:t xml:space="preserve"> </w:t>
      </w:r>
      <w:r w:rsidRPr="004E00C9">
        <w:rPr>
          <w:color w:val="1F3864" w:themeColor="accent1" w:themeShade="80"/>
        </w:rPr>
        <w:t>To access the E&amp;S Audit Report Template</w:t>
      </w:r>
      <w:r w:rsidRPr="00F26BDA">
        <w:rPr>
          <w:color w:val="1F3864" w:themeColor="accent1" w:themeShade="80"/>
        </w:rPr>
        <w:t>:</w:t>
      </w:r>
    </w:p>
    <w:p w14:paraId="3031C89C" w14:textId="77777777" w:rsidR="001F6155" w:rsidRDefault="001F6155" w:rsidP="00AB748C">
      <w:pPr>
        <w:pStyle w:val="Alnt"/>
        <w:jc w:val="left"/>
      </w:pPr>
      <w:r w:rsidRPr="00F26BDA">
        <w:rPr>
          <w:color w:val="1F3864" w:themeColor="accent1" w:themeShade="80"/>
        </w:rPr>
        <w:t>https://webdosya.csb.gov.tr/db/kentseldirenclilik/icerikler/e-s-aud-t-report-1-20250819085458.docx</w:t>
      </w:r>
    </w:p>
  </w:footnote>
  <w:footnote w:id="42">
    <w:p w14:paraId="39A603C5" w14:textId="77777777" w:rsidR="00952F22" w:rsidRDefault="00952F22" w:rsidP="00952F22">
      <w:pPr>
        <w:pStyle w:val="DipnotMetni"/>
      </w:pPr>
      <w:r>
        <w:rPr>
          <w:rStyle w:val="DipnotBavurusu"/>
        </w:rPr>
        <w:footnoteRef/>
      </w:r>
      <w:r>
        <w:t xml:space="preserve"> </w:t>
      </w:r>
      <w:hyperlink r:id="rId8" w:history="1">
        <w:r w:rsidRPr="00EF06C3">
          <w:rPr>
            <w:rStyle w:val="Kpr"/>
          </w:rPr>
          <w:t>https://kentseldirenclilik.csb.gov.tr/uygulama-kilavuzlari-i-112364</w:t>
        </w:r>
      </w:hyperlink>
      <w:r>
        <w:t xml:space="preserve"> </w:t>
      </w:r>
    </w:p>
  </w:footnote>
  <w:footnote w:id="43">
    <w:p w14:paraId="30EB66BF" w14:textId="77777777" w:rsidR="00952F22" w:rsidRDefault="00952F22" w:rsidP="00952F22">
      <w:pPr>
        <w:pStyle w:val="DipnotMetni"/>
      </w:pPr>
      <w:r>
        <w:rPr>
          <w:rStyle w:val="DipnotBavurusu"/>
        </w:rPr>
        <w:footnoteRef/>
      </w:r>
      <w:r>
        <w:t xml:space="preserve"> </w:t>
      </w:r>
      <w:hyperlink r:id="rId9" w:history="1">
        <w:r w:rsidRPr="00EF06C3">
          <w:rPr>
            <w:rStyle w:val="Kpr"/>
          </w:rPr>
          <w:t>https://www.mevzuat.gov.tr/mevzuat?MevzuatNo=6306&amp;MevzuatTur=1&amp;MevzuatTertip=5</w:t>
        </w:r>
      </w:hyperlink>
      <w:r>
        <w:t xml:space="preserve"> </w:t>
      </w:r>
    </w:p>
  </w:footnote>
  <w:footnote w:id="44">
    <w:p w14:paraId="51D1807B" w14:textId="77777777" w:rsidR="00952F22" w:rsidRDefault="00952F22" w:rsidP="00952F22">
      <w:pPr>
        <w:pStyle w:val="DipnotMetni"/>
      </w:pPr>
      <w:r>
        <w:rPr>
          <w:rStyle w:val="DipnotBavurusu"/>
        </w:rPr>
        <w:footnoteRef/>
      </w:r>
      <w:r>
        <w:t xml:space="preserve"> </w:t>
      </w:r>
      <w:hyperlink r:id="rId10" w:history="1">
        <w:r w:rsidRPr="00EF06C3">
          <w:rPr>
            <w:rStyle w:val="Kpr"/>
          </w:rPr>
          <w:t>https://webdosya.csb.gov.tr/db/altyapi/icerikler/r-skl--yapilarin-tesp-t-ed-lmes-ne-il-sk-n-esaslar-20190218134628.pdf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B16E" w14:textId="06B8DD11" w:rsidR="003A791E" w:rsidRDefault="003A791E">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45B2" w14:textId="56DADCD0" w:rsidR="003A791E" w:rsidRDefault="003A791E">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4CC7" w14:textId="25560197" w:rsidR="003A791E" w:rsidRDefault="003A791E">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2259F" w14:textId="6DA7BBC1" w:rsidR="003A791E" w:rsidRDefault="003A791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2E6C" w14:textId="7D057744" w:rsidR="003A791E" w:rsidRDefault="003A791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92FB8" w14:textId="755987BA" w:rsidR="003A791E" w:rsidRDefault="003A791E">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EC49C" w14:textId="5CD92C82" w:rsidR="003A791E" w:rsidRDefault="003A791E">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64D62" w14:textId="128D6F91" w:rsidR="003A791E" w:rsidRDefault="003A791E">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31051" w14:textId="55BD5E58" w:rsidR="003A791E" w:rsidRDefault="003A791E">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46B0" w14:textId="5E4419B8" w:rsidR="003A791E" w:rsidRDefault="003A791E">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5CC5" w14:textId="759B9B75" w:rsidR="003A791E" w:rsidRDefault="003A791E">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62BF1" w14:textId="56FDB636" w:rsidR="003A791E" w:rsidRDefault="003A791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701"/>
    <w:multiLevelType w:val="multilevel"/>
    <w:tmpl w:val="04547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3B61F6"/>
    <w:multiLevelType w:val="multilevel"/>
    <w:tmpl w:val="EFC604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3FC0AEF"/>
    <w:multiLevelType w:val="hybridMultilevel"/>
    <w:tmpl w:val="29A2B1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C64196"/>
    <w:multiLevelType w:val="multilevel"/>
    <w:tmpl w:val="8E7A62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55B2B76"/>
    <w:multiLevelType w:val="hybridMultilevel"/>
    <w:tmpl w:val="F8206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6872651"/>
    <w:multiLevelType w:val="hybridMultilevel"/>
    <w:tmpl w:val="06985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816611B"/>
    <w:multiLevelType w:val="multilevel"/>
    <w:tmpl w:val="11A2E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466F47"/>
    <w:multiLevelType w:val="multilevel"/>
    <w:tmpl w:val="7EA4E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9B05A41"/>
    <w:multiLevelType w:val="multilevel"/>
    <w:tmpl w:val="6FF478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0A2F5C18"/>
    <w:multiLevelType w:val="hybridMultilevel"/>
    <w:tmpl w:val="7D64F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CF00DA1"/>
    <w:multiLevelType w:val="multilevel"/>
    <w:tmpl w:val="FFF01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4E2367"/>
    <w:multiLevelType w:val="multilevel"/>
    <w:tmpl w:val="B860B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D66390E"/>
    <w:multiLevelType w:val="hybridMultilevel"/>
    <w:tmpl w:val="3B78F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FEF07F8"/>
    <w:multiLevelType w:val="hybridMultilevel"/>
    <w:tmpl w:val="D0E6A1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0721B0A"/>
    <w:multiLevelType w:val="hybridMultilevel"/>
    <w:tmpl w:val="EA1E19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1BF12D3"/>
    <w:multiLevelType w:val="multilevel"/>
    <w:tmpl w:val="DBFCE2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20630A8"/>
    <w:multiLevelType w:val="multilevel"/>
    <w:tmpl w:val="ABC0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C95B1F"/>
    <w:multiLevelType w:val="hybridMultilevel"/>
    <w:tmpl w:val="F8046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49C5065"/>
    <w:multiLevelType w:val="multilevel"/>
    <w:tmpl w:val="D1B80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4ED729D"/>
    <w:multiLevelType w:val="hybridMultilevel"/>
    <w:tmpl w:val="8AE4F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573062D"/>
    <w:multiLevelType w:val="multilevel"/>
    <w:tmpl w:val="5E0EAE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159077BA"/>
    <w:multiLevelType w:val="hybridMultilevel"/>
    <w:tmpl w:val="DCDCA6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5A92693"/>
    <w:multiLevelType w:val="hybridMultilevel"/>
    <w:tmpl w:val="1004D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5CE311B"/>
    <w:multiLevelType w:val="multilevel"/>
    <w:tmpl w:val="28EE76B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4" w15:restartNumberingAfterBreak="0">
    <w:nsid w:val="15E224A3"/>
    <w:multiLevelType w:val="hybridMultilevel"/>
    <w:tmpl w:val="743823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6031F76"/>
    <w:multiLevelType w:val="multilevel"/>
    <w:tmpl w:val="78DAC2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16461F31"/>
    <w:multiLevelType w:val="multilevel"/>
    <w:tmpl w:val="809A0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71C4F45"/>
    <w:multiLevelType w:val="multilevel"/>
    <w:tmpl w:val="8E6C2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7681703"/>
    <w:multiLevelType w:val="hybridMultilevel"/>
    <w:tmpl w:val="16503D5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7F30AF9"/>
    <w:multiLevelType w:val="hybridMultilevel"/>
    <w:tmpl w:val="423C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BE6563"/>
    <w:multiLevelType w:val="multilevel"/>
    <w:tmpl w:val="8F727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B425B7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B5121AC"/>
    <w:multiLevelType w:val="multilevel"/>
    <w:tmpl w:val="0FFA3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BAD76CC"/>
    <w:multiLevelType w:val="hybridMultilevel"/>
    <w:tmpl w:val="5E5C735A"/>
    <w:lvl w:ilvl="0" w:tplc="92C8753E">
      <w:start w:val="1"/>
      <w:numFmt w:val="decimal"/>
      <w:pStyle w:val="Balk2"/>
      <w:lvlText w:val="%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1C0053E0"/>
    <w:multiLevelType w:val="multilevel"/>
    <w:tmpl w:val="ED64D81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1C9D6EA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E0A243A"/>
    <w:multiLevelType w:val="multilevel"/>
    <w:tmpl w:val="EBF0D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1F0D6B8D"/>
    <w:multiLevelType w:val="hybridMultilevel"/>
    <w:tmpl w:val="B0EA7D1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BA61DA"/>
    <w:multiLevelType w:val="multilevel"/>
    <w:tmpl w:val="58BC8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FD32961"/>
    <w:multiLevelType w:val="multilevel"/>
    <w:tmpl w:val="6D4EE806"/>
    <w:lvl w:ilvl="0">
      <w:start w:val="3"/>
      <w:numFmt w:val="decimal"/>
      <w:lvlText w:val="%1."/>
      <w:lvlJc w:val="left"/>
      <w:pPr>
        <w:ind w:left="504" w:hanging="504"/>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0" w15:restartNumberingAfterBreak="0">
    <w:nsid w:val="2000565B"/>
    <w:multiLevelType w:val="multilevel"/>
    <w:tmpl w:val="5B367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1DC2523"/>
    <w:multiLevelType w:val="hybridMultilevel"/>
    <w:tmpl w:val="9FAC0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25073EB1"/>
    <w:multiLevelType w:val="hybridMultilevel"/>
    <w:tmpl w:val="AEEAB22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258A54B0"/>
    <w:multiLevelType w:val="multilevel"/>
    <w:tmpl w:val="47C6CF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25B256CB"/>
    <w:multiLevelType w:val="hybridMultilevel"/>
    <w:tmpl w:val="F37EB0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64E33A9"/>
    <w:multiLevelType w:val="hybridMultilevel"/>
    <w:tmpl w:val="468CE29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6225E3"/>
    <w:multiLevelType w:val="hybridMultilevel"/>
    <w:tmpl w:val="80BAE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28C71A81"/>
    <w:multiLevelType w:val="hybridMultilevel"/>
    <w:tmpl w:val="16D67D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2A4B36AC"/>
    <w:multiLevelType w:val="hybridMultilevel"/>
    <w:tmpl w:val="304EA3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2A885D41"/>
    <w:multiLevelType w:val="hybridMultilevel"/>
    <w:tmpl w:val="C1ECFE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AC8030F"/>
    <w:multiLevelType w:val="multilevel"/>
    <w:tmpl w:val="1BF60AD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2AE13167"/>
    <w:multiLevelType w:val="hybridMultilevel"/>
    <w:tmpl w:val="F9F0F9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C5E4AD3"/>
    <w:multiLevelType w:val="multilevel"/>
    <w:tmpl w:val="7E0AC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2CB71117"/>
    <w:multiLevelType w:val="hybridMultilevel"/>
    <w:tmpl w:val="C21E9D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2DB23E9C"/>
    <w:multiLevelType w:val="multilevel"/>
    <w:tmpl w:val="33D62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2E984911"/>
    <w:multiLevelType w:val="multilevel"/>
    <w:tmpl w:val="9DEE3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2F1872E7"/>
    <w:multiLevelType w:val="hybridMultilevel"/>
    <w:tmpl w:val="C1989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2F6039F0"/>
    <w:multiLevelType w:val="multilevel"/>
    <w:tmpl w:val="F7B0D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2105F7E"/>
    <w:multiLevelType w:val="multilevel"/>
    <w:tmpl w:val="45CE4870"/>
    <w:lvl w:ilvl="0">
      <w:start w:val="2"/>
      <w:numFmt w:val="decimal"/>
      <w:lvlText w:val="%1."/>
      <w:lvlJc w:val="left"/>
      <w:pPr>
        <w:ind w:left="576" w:hanging="576"/>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32720A27"/>
    <w:multiLevelType w:val="hybridMultilevel"/>
    <w:tmpl w:val="69928838"/>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2827312"/>
    <w:multiLevelType w:val="hybridMultilevel"/>
    <w:tmpl w:val="741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33562828"/>
    <w:multiLevelType w:val="hybridMultilevel"/>
    <w:tmpl w:val="5CDCE8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34AC64CB"/>
    <w:multiLevelType w:val="hybridMultilevel"/>
    <w:tmpl w:val="F41EC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367A33E6"/>
    <w:multiLevelType w:val="multilevel"/>
    <w:tmpl w:val="B4FE1D5A"/>
    <w:styleLink w:val="GeerliList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36BD3A4F"/>
    <w:multiLevelType w:val="hybridMultilevel"/>
    <w:tmpl w:val="76F2C7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37311866"/>
    <w:multiLevelType w:val="multilevel"/>
    <w:tmpl w:val="7BE20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7A315DF"/>
    <w:multiLevelType w:val="multilevel"/>
    <w:tmpl w:val="5EB82E26"/>
    <w:lvl w:ilvl="0">
      <w:start w:val="1"/>
      <w:numFmt w:val="bullet"/>
      <w:lvlText w:val="o"/>
      <w:lvlJc w:val="left"/>
      <w:pPr>
        <w:ind w:left="780" w:hanging="360"/>
      </w:pPr>
      <w:rPr>
        <w:rFonts w:ascii="Courier New" w:eastAsia="Courier New" w:hAnsi="Courier New" w:cs="Courier New"/>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7" w15:restartNumberingAfterBreak="0">
    <w:nsid w:val="38C93135"/>
    <w:multiLevelType w:val="hybridMultilevel"/>
    <w:tmpl w:val="FCAACEA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8E737EB"/>
    <w:multiLevelType w:val="multilevel"/>
    <w:tmpl w:val="E53A67F8"/>
    <w:lvl w:ilvl="0">
      <w:start w:val="1"/>
      <w:numFmt w:val="decimal"/>
      <w:lvlText w:val="%1."/>
      <w:lvlJc w:val="left"/>
      <w:pPr>
        <w:ind w:left="540" w:hanging="540"/>
      </w:pPr>
      <w:rPr>
        <w:rFonts w:eastAsia="Aptos" w:cs="Aptos" w:hint="default"/>
        <w:b/>
      </w:rPr>
    </w:lvl>
    <w:lvl w:ilvl="1">
      <w:start w:val="1"/>
      <w:numFmt w:val="decimal"/>
      <w:lvlText w:val="%1.%2."/>
      <w:lvlJc w:val="left"/>
      <w:pPr>
        <w:ind w:left="940" w:hanging="720"/>
      </w:pPr>
      <w:rPr>
        <w:rFonts w:eastAsia="Aptos" w:cs="Aptos" w:hint="default"/>
        <w:b/>
      </w:rPr>
    </w:lvl>
    <w:lvl w:ilvl="2">
      <w:start w:val="1"/>
      <w:numFmt w:val="decimal"/>
      <w:lvlText w:val="%1.%2.%3."/>
      <w:lvlJc w:val="left"/>
      <w:pPr>
        <w:ind w:left="1160" w:hanging="720"/>
      </w:pPr>
      <w:rPr>
        <w:rFonts w:eastAsia="Aptos" w:cs="Aptos" w:hint="default"/>
        <w:b/>
      </w:rPr>
    </w:lvl>
    <w:lvl w:ilvl="3">
      <w:start w:val="1"/>
      <w:numFmt w:val="decimal"/>
      <w:lvlText w:val="%1.%2.%3.%4."/>
      <w:lvlJc w:val="left"/>
      <w:pPr>
        <w:ind w:left="1740" w:hanging="1080"/>
      </w:pPr>
      <w:rPr>
        <w:rFonts w:eastAsia="Aptos" w:cs="Aptos" w:hint="default"/>
        <w:b/>
      </w:rPr>
    </w:lvl>
    <w:lvl w:ilvl="4">
      <w:start w:val="1"/>
      <w:numFmt w:val="decimal"/>
      <w:lvlText w:val="%1.%2.%3.%4.%5."/>
      <w:lvlJc w:val="left"/>
      <w:pPr>
        <w:ind w:left="1960" w:hanging="1080"/>
      </w:pPr>
      <w:rPr>
        <w:rFonts w:eastAsia="Aptos" w:cs="Aptos" w:hint="default"/>
        <w:b/>
      </w:rPr>
    </w:lvl>
    <w:lvl w:ilvl="5">
      <w:start w:val="1"/>
      <w:numFmt w:val="decimal"/>
      <w:lvlText w:val="%1.%2.%3.%4.%5.%6."/>
      <w:lvlJc w:val="left"/>
      <w:pPr>
        <w:ind w:left="2540" w:hanging="1440"/>
      </w:pPr>
      <w:rPr>
        <w:rFonts w:eastAsia="Aptos" w:cs="Aptos" w:hint="default"/>
        <w:b/>
      </w:rPr>
    </w:lvl>
    <w:lvl w:ilvl="6">
      <w:start w:val="1"/>
      <w:numFmt w:val="decimal"/>
      <w:lvlText w:val="%1.%2.%3.%4.%5.%6.%7."/>
      <w:lvlJc w:val="left"/>
      <w:pPr>
        <w:ind w:left="2760" w:hanging="1440"/>
      </w:pPr>
      <w:rPr>
        <w:rFonts w:eastAsia="Aptos" w:cs="Aptos" w:hint="default"/>
        <w:b/>
      </w:rPr>
    </w:lvl>
    <w:lvl w:ilvl="7">
      <w:start w:val="1"/>
      <w:numFmt w:val="decimal"/>
      <w:lvlText w:val="%1.%2.%3.%4.%5.%6.%7.%8."/>
      <w:lvlJc w:val="left"/>
      <w:pPr>
        <w:ind w:left="3340" w:hanging="1800"/>
      </w:pPr>
      <w:rPr>
        <w:rFonts w:eastAsia="Aptos" w:cs="Aptos" w:hint="default"/>
        <w:b/>
      </w:rPr>
    </w:lvl>
    <w:lvl w:ilvl="8">
      <w:start w:val="1"/>
      <w:numFmt w:val="decimal"/>
      <w:lvlText w:val="%1.%2.%3.%4.%5.%6.%7.%8.%9."/>
      <w:lvlJc w:val="left"/>
      <w:pPr>
        <w:ind w:left="3560" w:hanging="1800"/>
      </w:pPr>
      <w:rPr>
        <w:rFonts w:eastAsia="Aptos" w:cs="Aptos" w:hint="default"/>
        <w:b/>
      </w:rPr>
    </w:lvl>
  </w:abstractNum>
  <w:abstractNum w:abstractNumId="69" w15:restartNumberingAfterBreak="0">
    <w:nsid w:val="3CA8337E"/>
    <w:multiLevelType w:val="hybridMultilevel"/>
    <w:tmpl w:val="645A3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3CAC5A5C"/>
    <w:multiLevelType w:val="hybridMultilevel"/>
    <w:tmpl w:val="838624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3CB36132"/>
    <w:multiLevelType w:val="multilevel"/>
    <w:tmpl w:val="0BEE0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3DB74B77"/>
    <w:multiLevelType w:val="multilevel"/>
    <w:tmpl w:val="A7585C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73" w15:restartNumberingAfterBreak="0">
    <w:nsid w:val="3DC43F23"/>
    <w:multiLevelType w:val="multilevel"/>
    <w:tmpl w:val="C428B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3E9D4DEE"/>
    <w:multiLevelType w:val="hybridMultilevel"/>
    <w:tmpl w:val="5A527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3EA21C08"/>
    <w:multiLevelType w:val="multilevel"/>
    <w:tmpl w:val="1AF6C85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3EB72ED1"/>
    <w:multiLevelType w:val="hybridMultilevel"/>
    <w:tmpl w:val="85DCD2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3F1F3EB4"/>
    <w:multiLevelType w:val="multilevel"/>
    <w:tmpl w:val="7600680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720"/>
      </w:pPr>
    </w:lvl>
    <w:lvl w:ilvl="2">
      <w:start w:val="1"/>
      <w:numFmt w:val="decimal"/>
      <w:lvlText w:val="●.%2.%3."/>
      <w:lvlJc w:val="left"/>
      <w:pPr>
        <w:ind w:left="1080" w:hanging="720"/>
      </w:pPr>
    </w:lvl>
    <w:lvl w:ilvl="3">
      <w:start w:val="1"/>
      <w:numFmt w:val="decimal"/>
      <w:lvlText w:val="●.%2.%3.%4."/>
      <w:lvlJc w:val="left"/>
      <w:pPr>
        <w:ind w:left="1364" w:hanging="1080"/>
      </w:pPr>
    </w:lvl>
    <w:lvl w:ilvl="4">
      <w:start w:val="1"/>
      <w:numFmt w:val="decimal"/>
      <w:lvlText w:val="●.%2.%3.%4.%5."/>
      <w:lvlJc w:val="left"/>
      <w:pPr>
        <w:ind w:left="1440" w:hanging="1080"/>
      </w:pPr>
    </w:lvl>
    <w:lvl w:ilvl="5">
      <w:start w:val="1"/>
      <w:numFmt w:val="decimal"/>
      <w:lvlText w:val="●.%2.%3.%4.%5.%6."/>
      <w:lvlJc w:val="left"/>
      <w:pPr>
        <w:ind w:left="1800" w:hanging="1440"/>
      </w:pPr>
    </w:lvl>
    <w:lvl w:ilvl="6">
      <w:start w:val="1"/>
      <w:numFmt w:val="decimal"/>
      <w:lvlText w:val="●.%2.%3.%4.%5.%6.%7."/>
      <w:lvlJc w:val="left"/>
      <w:pPr>
        <w:ind w:left="1800" w:hanging="1440"/>
      </w:pPr>
    </w:lvl>
    <w:lvl w:ilvl="7">
      <w:start w:val="1"/>
      <w:numFmt w:val="decimal"/>
      <w:lvlText w:val="●.%2.%3.%4.%5.%6.%7.%8."/>
      <w:lvlJc w:val="left"/>
      <w:pPr>
        <w:ind w:left="2160" w:hanging="1800"/>
      </w:pPr>
    </w:lvl>
    <w:lvl w:ilvl="8">
      <w:start w:val="1"/>
      <w:numFmt w:val="decimal"/>
      <w:lvlText w:val="●.%2.%3.%4.%5.%6.%7.%8.%9."/>
      <w:lvlJc w:val="left"/>
      <w:pPr>
        <w:ind w:left="2160" w:hanging="1800"/>
      </w:pPr>
    </w:lvl>
  </w:abstractNum>
  <w:abstractNum w:abstractNumId="78" w15:restartNumberingAfterBreak="0">
    <w:nsid w:val="3F5E2769"/>
    <w:multiLevelType w:val="hybridMultilevel"/>
    <w:tmpl w:val="2A2ADB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40B46952"/>
    <w:multiLevelType w:val="multilevel"/>
    <w:tmpl w:val="842E3F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2032C8E"/>
    <w:multiLevelType w:val="hybridMultilevel"/>
    <w:tmpl w:val="09681E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43722F2D"/>
    <w:multiLevelType w:val="hybridMultilevel"/>
    <w:tmpl w:val="9ABA7850"/>
    <w:lvl w:ilvl="0" w:tplc="041F0001">
      <w:start w:val="1"/>
      <w:numFmt w:val="bullet"/>
      <w:lvlText w:val=""/>
      <w:lvlJc w:val="left"/>
      <w:pPr>
        <w:ind w:left="720" w:hanging="360"/>
      </w:pPr>
      <w:rPr>
        <w:rFonts w:ascii="Symbol" w:hAnsi="Symbol" w:hint="default"/>
      </w:rPr>
    </w:lvl>
    <w:lvl w:ilvl="1" w:tplc="1228D5DA">
      <w:numFmt w:val="bullet"/>
      <w:lvlText w:val="-"/>
      <w:lvlJc w:val="left"/>
      <w:pPr>
        <w:ind w:left="1440" w:hanging="360"/>
      </w:pPr>
      <w:rPr>
        <w:rFonts w:ascii="Aptos" w:eastAsia="Aptos" w:hAnsi="Aptos" w:cs="Apto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44C73FE3"/>
    <w:multiLevelType w:val="multilevel"/>
    <w:tmpl w:val="6298C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5FB757D"/>
    <w:multiLevelType w:val="hybridMultilevel"/>
    <w:tmpl w:val="3BC41C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47734D01"/>
    <w:multiLevelType w:val="multilevel"/>
    <w:tmpl w:val="C7E4E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7EF5B9E"/>
    <w:multiLevelType w:val="multilevel"/>
    <w:tmpl w:val="ED50B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9155BC9"/>
    <w:multiLevelType w:val="hybridMultilevel"/>
    <w:tmpl w:val="C254A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49DB1EFB"/>
    <w:multiLevelType w:val="hybridMultilevel"/>
    <w:tmpl w:val="87D2F1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4AE20EC0"/>
    <w:multiLevelType w:val="hybridMultilevel"/>
    <w:tmpl w:val="426EF1A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9" w15:restartNumberingAfterBreak="0">
    <w:nsid w:val="4BA35F5D"/>
    <w:multiLevelType w:val="hybridMultilevel"/>
    <w:tmpl w:val="43F09F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4BB809A4"/>
    <w:multiLevelType w:val="hybridMultilevel"/>
    <w:tmpl w:val="15B0649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4C227D64"/>
    <w:multiLevelType w:val="hybridMultilevel"/>
    <w:tmpl w:val="6812F55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4D2953DC"/>
    <w:multiLevelType w:val="multilevel"/>
    <w:tmpl w:val="F19C9156"/>
    <w:lvl w:ilvl="0">
      <w:start w:val="1"/>
      <w:numFmt w:val="decimal"/>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4D70038D"/>
    <w:multiLevelType w:val="hybridMultilevel"/>
    <w:tmpl w:val="F3A4A198"/>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DFC151B"/>
    <w:multiLevelType w:val="multilevel"/>
    <w:tmpl w:val="D0D4C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4E1F3495"/>
    <w:multiLevelType w:val="multilevel"/>
    <w:tmpl w:val="D31EC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4EAE2F3D"/>
    <w:multiLevelType w:val="multilevel"/>
    <w:tmpl w:val="EACE8A5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4F37321C"/>
    <w:multiLevelType w:val="hybridMultilevel"/>
    <w:tmpl w:val="49968A1A"/>
    <w:lvl w:ilvl="0" w:tplc="9294AFBC">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4F56603A"/>
    <w:multiLevelType w:val="multilevel"/>
    <w:tmpl w:val="A830E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50B62BC3"/>
    <w:multiLevelType w:val="hybridMultilevel"/>
    <w:tmpl w:val="2E7A84C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53325B75"/>
    <w:multiLevelType w:val="hybridMultilevel"/>
    <w:tmpl w:val="AA10B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53E11648"/>
    <w:multiLevelType w:val="multilevel"/>
    <w:tmpl w:val="12161F5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54120718"/>
    <w:multiLevelType w:val="hybridMultilevel"/>
    <w:tmpl w:val="C512DD0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3" w15:restartNumberingAfterBreak="0">
    <w:nsid w:val="54533A50"/>
    <w:multiLevelType w:val="multilevel"/>
    <w:tmpl w:val="835CF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54E92BEE"/>
    <w:multiLevelType w:val="hybridMultilevel"/>
    <w:tmpl w:val="26FCEE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55D45ACF"/>
    <w:multiLevelType w:val="multilevel"/>
    <w:tmpl w:val="F718F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55F67EE6"/>
    <w:multiLevelType w:val="multilevel"/>
    <w:tmpl w:val="2BF01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574E1CB0"/>
    <w:multiLevelType w:val="hybridMultilevel"/>
    <w:tmpl w:val="ABD497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57FA529C"/>
    <w:multiLevelType w:val="hybridMultilevel"/>
    <w:tmpl w:val="854665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580510AD"/>
    <w:multiLevelType w:val="multilevel"/>
    <w:tmpl w:val="2EC6E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592E0A07"/>
    <w:multiLevelType w:val="hybridMultilevel"/>
    <w:tmpl w:val="D592C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595264D4"/>
    <w:multiLevelType w:val="hybridMultilevel"/>
    <w:tmpl w:val="E03E34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5BF10394"/>
    <w:multiLevelType w:val="multilevel"/>
    <w:tmpl w:val="E8A0F58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60783170"/>
    <w:multiLevelType w:val="multilevel"/>
    <w:tmpl w:val="9180643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614A11E9"/>
    <w:multiLevelType w:val="hybridMultilevel"/>
    <w:tmpl w:val="BBCC28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619E3908"/>
    <w:multiLevelType w:val="multilevel"/>
    <w:tmpl w:val="48C4E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61BA5C9B"/>
    <w:multiLevelType w:val="hybridMultilevel"/>
    <w:tmpl w:val="C78836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15:restartNumberingAfterBreak="0">
    <w:nsid w:val="62343C76"/>
    <w:multiLevelType w:val="multilevel"/>
    <w:tmpl w:val="6A000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6243700A"/>
    <w:multiLevelType w:val="hybridMultilevel"/>
    <w:tmpl w:val="7898F83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9" w15:restartNumberingAfterBreak="0">
    <w:nsid w:val="63A61B51"/>
    <w:multiLevelType w:val="multilevel"/>
    <w:tmpl w:val="3682A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64BE0E7B"/>
    <w:multiLevelType w:val="multilevel"/>
    <w:tmpl w:val="9AB6AF12"/>
    <w:lvl w:ilvl="0">
      <w:start w:val="1"/>
      <w:numFmt w:val="decimal"/>
      <w:lvlText w:val="%1."/>
      <w:lvlJc w:val="left"/>
      <w:pPr>
        <w:ind w:left="720" w:hanging="360"/>
      </w:pPr>
    </w:lvl>
    <w:lvl w:ilvl="1">
      <w:start w:val="1"/>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21" w15:restartNumberingAfterBreak="0">
    <w:nsid w:val="65387230"/>
    <w:multiLevelType w:val="hybridMultilevel"/>
    <w:tmpl w:val="F1EC939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2" w15:restartNumberingAfterBreak="0">
    <w:nsid w:val="65967077"/>
    <w:multiLevelType w:val="multilevel"/>
    <w:tmpl w:val="A7CE1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65A9634D"/>
    <w:multiLevelType w:val="hybridMultilevel"/>
    <w:tmpl w:val="B3DED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15:restartNumberingAfterBreak="0">
    <w:nsid w:val="66EE06AB"/>
    <w:multiLevelType w:val="multilevel"/>
    <w:tmpl w:val="FAF8A0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67D17F63"/>
    <w:multiLevelType w:val="hybridMultilevel"/>
    <w:tmpl w:val="90269DDA"/>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7DA72FD"/>
    <w:multiLevelType w:val="multilevel"/>
    <w:tmpl w:val="34702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6830435A"/>
    <w:multiLevelType w:val="multilevel"/>
    <w:tmpl w:val="0B6C7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696175E2"/>
    <w:multiLevelType w:val="hybridMultilevel"/>
    <w:tmpl w:val="697A0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69D849BA"/>
    <w:multiLevelType w:val="multilevel"/>
    <w:tmpl w:val="3F7E25B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0" w15:restartNumberingAfterBreak="0">
    <w:nsid w:val="6A354D85"/>
    <w:multiLevelType w:val="hybridMultilevel"/>
    <w:tmpl w:val="743C83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15:restartNumberingAfterBreak="0">
    <w:nsid w:val="6B78174D"/>
    <w:multiLevelType w:val="multilevel"/>
    <w:tmpl w:val="369C9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6B7B1A3D"/>
    <w:multiLevelType w:val="hybridMultilevel"/>
    <w:tmpl w:val="A9969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15:restartNumberingAfterBreak="0">
    <w:nsid w:val="6C024842"/>
    <w:multiLevelType w:val="multilevel"/>
    <w:tmpl w:val="A572B57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34" w15:restartNumberingAfterBreak="0">
    <w:nsid w:val="6D0C41F1"/>
    <w:multiLevelType w:val="multilevel"/>
    <w:tmpl w:val="1D4402F8"/>
    <w:lvl w:ilvl="0">
      <w:start w:val="1"/>
      <w:numFmt w:val="lowerLetter"/>
      <w:lvlText w:val="%1)"/>
      <w:lvlJc w:val="left"/>
      <w:pPr>
        <w:ind w:left="1350" w:hanging="360"/>
      </w:pPr>
    </w:lvl>
    <w:lvl w:ilvl="1">
      <w:start w:val="9"/>
      <w:numFmt w:val="bullet"/>
      <w:lvlText w:val="•"/>
      <w:lvlJc w:val="left"/>
      <w:pPr>
        <w:ind w:left="2070" w:hanging="360"/>
      </w:pPr>
      <w:rPr>
        <w:rFonts w:ascii="Trebuchet MS" w:eastAsia="Trebuchet MS" w:hAnsi="Trebuchet MS" w:cs="Trebuchet MS"/>
      </w:r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35" w15:restartNumberingAfterBreak="0">
    <w:nsid w:val="70D974D3"/>
    <w:multiLevelType w:val="multilevel"/>
    <w:tmpl w:val="330E1444"/>
    <w:lvl w:ilvl="0">
      <w:start w:val="2"/>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6" w15:restartNumberingAfterBreak="0">
    <w:nsid w:val="71010C5C"/>
    <w:multiLevelType w:val="multilevel"/>
    <w:tmpl w:val="B8A4DD3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71E10265"/>
    <w:multiLevelType w:val="hybridMultilevel"/>
    <w:tmpl w:val="0EC4E0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732479E3"/>
    <w:multiLevelType w:val="multilevel"/>
    <w:tmpl w:val="796A5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733D46D0"/>
    <w:multiLevelType w:val="multilevel"/>
    <w:tmpl w:val="C24218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73776D66"/>
    <w:multiLevelType w:val="multilevel"/>
    <w:tmpl w:val="3F9804BA"/>
    <w:lvl w:ilvl="0">
      <w:start w:val="2"/>
      <w:numFmt w:val="decimal"/>
      <w:lvlText w:val="%1."/>
      <w:lvlJc w:val="left"/>
      <w:pPr>
        <w:ind w:left="624" w:hanging="624"/>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b/>
        <w:bCs/>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1" w15:restartNumberingAfterBreak="0">
    <w:nsid w:val="73997F5B"/>
    <w:multiLevelType w:val="hybridMultilevel"/>
    <w:tmpl w:val="4348722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73A435EE"/>
    <w:multiLevelType w:val="hybridMultilevel"/>
    <w:tmpl w:val="3C18E3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746E7FB2"/>
    <w:multiLevelType w:val="hybridMultilevel"/>
    <w:tmpl w:val="DAC094DA"/>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55920EA"/>
    <w:multiLevelType w:val="multilevel"/>
    <w:tmpl w:val="BAAE1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76450F8E"/>
    <w:multiLevelType w:val="multilevel"/>
    <w:tmpl w:val="DF4CF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76A14C8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772A5B07"/>
    <w:multiLevelType w:val="hybridMultilevel"/>
    <w:tmpl w:val="B532D9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77640712"/>
    <w:multiLevelType w:val="multilevel"/>
    <w:tmpl w:val="E77C11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9" w15:restartNumberingAfterBreak="0">
    <w:nsid w:val="77BA60E6"/>
    <w:multiLevelType w:val="multilevel"/>
    <w:tmpl w:val="3F6C97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79126A2E"/>
    <w:multiLevelType w:val="multilevel"/>
    <w:tmpl w:val="49967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79EF0874"/>
    <w:multiLevelType w:val="multilevel"/>
    <w:tmpl w:val="D0C0E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7A4C15DB"/>
    <w:multiLevelType w:val="hybridMultilevel"/>
    <w:tmpl w:val="6DB8C0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15:restartNumberingAfterBreak="0">
    <w:nsid w:val="7B56623F"/>
    <w:multiLevelType w:val="multilevel"/>
    <w:tmpl w:val="9474C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7BE7173B"/>
    <w:multiLevelType w:val="hybridMultilevel"/>
    <w:tmpl w:val="B1C6AE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15:restartNumberingAfterBreak="0">
    <w:nsid w:val="7D3C27C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7DDC24DA"/>
    <w:multiLevelType w:val="hybridMultilevel"/>
    <w:tmpl w:val="552036B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7E95774E"/>
    <w:multiLevelType w:val="multilevel"/>
    <w:tmpl w:val="6820E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7ECD5DAA"/>
    <w:multiLevelType w:val="multilevel"/>
    <w:tmpl w:val="2EC6E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7F890048"/>
    <w:multiLevelType w:val="multilevel"/>
    <w:tmpl w:val="12ACB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0"/>
  </w:num>
  <w:num w:numId="2">
    <w:abstractNumId w:val="35"/>
  </w:num>
  <w:num w:numId="3">
    <w:abstractNumId w:val="86"/>
  </w:num>
  <w:num w:numId="4">
    <w:abstractNumId w:val="152"/>
  </w:num>
  <w:num w:numId="5">
    <w:abstractNumId w:val="4"/>
  </w:num>
  <w:num w:numId="6">
    <w:abstractNumId w:val="2"/>
  </w:num>
  <w:num w:numId="7">
    <w:abstractNumId w:val="70"/>
  </w:num>
  <w:num w:numId="8">
    <w:abstractNumId w:val="41"/>
  </w:num>
  <w:num w:numId="9">
    <w:abstractNumId w:val="100"/>
  </w:num>
  <w:num w:numId="10">
    <w:abstractNumId w:val="132"/>
  </w:num>
  <w:num w:numId="11">
    <w:abstractNumId w:val="89"/>
  </w:num>
  <w:num w:numId="12">
    <w:abstractNumId w:val="48"/>
  </w:num>
  <w:num w:numId="13">
    <w:abstractNumId w:val="64"/>
  </w:num>
  <w:num w:numId="14">
    <w:abstractNumId w:val="104"/>
  </w:num>
  <w:num w:numId="15">
    <w:abstractNumId w:val="114"/>
  </w:num>
  <w:num w:numId="16">
    <w:abstractNumId w:val="137"/>
  </w:num>
  <w:num w:numId="17">
    <w:abstractNumId w:val="12"/>
  </w:num>
  <w:num w:numId="18">
    <w:abstractNumId w:val="87"/>
  </w:num>
  <w:num w:numId="19">
    <w:abstractNumId w:val="123"/>
  </w:num>
  <w:num w:numId="20">
    <w:abstractNumId w:val="142"/>
  </w:num>
  <w:num w:numId="21">
    <w:abstractNumId w:val="83"/>
  </w:num>
  <w:num w:numId="22">
    <w:abstractNumId w:val="74"/>
  </w:num>
  <w:num w:numId="23">
    <w:abstractNumId w:val="17"/>
  </w:num>
  <w:num w:numId="24">
    <w:abstractNumId w:val="42"/>
  </w:num>
  <w:num w:numId="25">
    <w:abstractNumId w:val="5"/>
  </w:num>
  <w:num w:numId="26">
    <w:abstractNumId w:val="56"/>
  </w:num>
  <w:num w:numId="27">
    <w:abstractNumId w:val="69"/>
  </w:num>
  <w:num w:numId="28">
    <w:abstractNumId w:val="111"/>
  </w:num>
  <w:num w:numId="29">
    <w:abstractNumId w:val="62"/>
  </w:num>
  <w:num w:numId="30">
    <w:abstractNumId w:val="13"/>
  </w:num>
  <w:num w:numId="31">
    <w:abstractNumId w:val="107"/>
  </w:num>
  <w:num w:numId="32">
    <w:abstractNumId w:val="155"/>
  </w:num>
  <w:num w:numId="33">
    <w:abstractNumId w:val="14"/>
  </w:num>
  <w:num w:numId="34">
    <w:abstractNumId w:val="31"/>
  </w:num>
  <w:num w:numId="35">
    <w:abstractNumId w:val="24"/>
  </w:num>
  <w:num w:numId="36">
    <w:abstractNumId w:val="146"/>
  </w:num>
  <w:num w:numId="37">
    <w:abstractNumId w:val="60"/>
  </w:num>
  <w:num w:numId="38">
    <w:abstractNumId w:val="19"/>
  </w:num>
  <w:num w:numId="39">
    <w:abstractNumId w:val="110"/>
  </w:num>
  <w:num w:numId="40">
    <w:abstractNumId w:val="128"/>
  </w:num>
  <w:num w:numId="41">
    <w:abstractNumId w:val="116"/>
  </w:num>
  <w:num w:numId="42">
    <w:abstractNumId w:val="9"/>
  </w:num>
  <w:num w:numId="43">
    <w:abstractNumId w:val="46"/>
  </w:num>
  <w:num w:numId="44">
    <w:abstractNumId w:val="82"/>
  </w:num>
  <w:num w:numId="45">
    <w:abstractNumId w:val="159"/>
  </w:num>
  <w:num w:numId="46">
    <w:abstractNumId w:val="105"/>
  </w:num>
  <w:num w:numId="47">
    <w:abstractNumId w:val="26"/>
  </w:num>
  <w:num w:numId="48">
    <w:abstractNumId w:val="51"/>
  </w:num>
  <w:num w:numId="49">
    <w:abstractNumId w:val="134"/>
  </w:num>
  <w:num w:numId="50">
    <w:abstractNumId w:val="151"/>
  </w:num>
  <w:num w:numId="51">
    <w:abstractNumId w:val="119"/>
  </w:num>
  <w:num w:numId="52">
    <w:abstractNumId w:val="10"/>
  </w:num>
  <w:num w:numId="53">
    <w:abstractNumId w:val="54"/>
  </w:num>
  <w:num w:numId="54">
    <w:abstractNumId w:val="96"/>
  </w:num>
  <w:num w:numId="55">
    <w:abstractNumId w:val="149"/>
  </w:num>
  <w:num w:numId="56">
    <w:abstractNumId w:val="92"/>
  </w:num>
  <w:num w:numId="57">
    <w:abstractNumId w:val="124"/>
  </w:num>
  <w:num w:numId="58">
    <w:abstractNumId w:val="106"/>
  </w:num>
  <w:num w:numId="59">
    <w:abstractNumId w:val="85"/>
  </w:num>
  <w:num w:numId="60">
    <w:abstractNumId w:val="84"/>
  </w:num>
  <w:num w:numId="61">
    <w:abstractNumId w:val="72"/>
  </w:num>
  <w:num w:numId="62">
    <w:abstractNumId w:val="7"/>
  </w:num>
  <w:num w:numId="63">
    <w:abstractNumId w:val="36"/>
  </w:num>
  <w:num w:numId="64">
    <w:abstractNumId w:val="15"/>
  </w:num>
  <w:num w:numId="65">
    <w:abstractNumId w:val="8"/>
  </w:num>
  <w:num w:numId="66">
    <w:abstractNumId w:val="57"/>
  </w:num>
  <w:num w:numId="67">
    <w:abstractNumId w:val="144"/>
  </w:num>
  <w:num w:numId="68">
    <w:abstractNumId w:val="16"/>
  </w:num>
  <w:num w:numId="69">
    <w:abstractNumId w:val="29"/>
  </w:num>
  <w:num w:numId="70">
    <w:abstractNumId w:val="67"/>
  </w:num>
  <w:num w:numId="71">
    <w:abstractNumId w:val="143"/>
  </w:num>
  <w:num w:numId="72">
    <w:abstractNumId w:val="45"/>
  </w:num>
  <w:num w:numId="73">
    <w:abstractNumId w:val="125"/>
  </w:num>
  <w:num w:numId="74">
    <w:abstractNumId w:val="59"/>
  </w:num>
  <w:num w:numId="75">
    <w:abstractNumId w:val="93"/>
  </w:num>
  <w:num w:numId="76">
    <w:abstractNumId w:val="37"/>
  </w:num>
  <w:num w:numId="77">
    <w:abstractNumId w:val="133"/>
  </w:num>
  <w:num w:numId="78">
    <w:abstractNumId w:val="103"/>
  </w:num>
  <w:num w:numId="79">
    <w:abstractNumId w:val="6"/>
  </w:num>
  <w:num w:numId="80">
    <w:abstractNumId w:val="115"/>
  </w:num>
  <w:num w:numId="81">
    <w:abstractNumId w:val="32"/>
  </w:num>
  <w:num w:numId="82">
    <w:abstractNumId w:val="131"/>
  </w:num>
  <w:num w:numId="83">
    <w:abstractNumId w:val="98"/>
  </w:num>
  <w:num w:numId="84">
    <w:abstractNumId w:val="11"/>
  </w:num>
  <w:num w:numId="85">
    <w:abstractNumId w:val="71"/>
  </w:num>
  <w:num w:numId="86">
    <w:abstractNumId w:val="66"/>
  </w:num>
  <w:num w:numId="87">
    <w:abstractNumId w:val="157"/>
  </w:num>
  <w:num w:numId="88">
    <w:abstractNumId w:val="138"/>
  </w:num>
  <w:num w:numId="89">
    <w:abstractNumId w:val="65"/>
  </w:num>
  <w:num w:numId="90">
    <w:abstractNumId w:val="52"/>
  </w:num>
  <w:num w:numId="91">
    <w:abstractNumId w:val="94"/>
  </w:num>
  <w:num w:numId="92">
    <w:abstractNumId w:val="30"/>
  </w:num>
  <w:num w:numId="93">
    <w:abstractNumId w:val="0"/>
  </w:num>
  <w:num w:numId="94">
    <w:abstractNumId w:val="77"/>
  </w:num>
  <w:num w:numId="95">
    <w:abstractNumId w:val="95"/>
  </w:num>
  <w:num w:numId="96">
    <w:abstractNumId w:val="127"/>
  </w:num>
  <w:num w:numId="97">
    <w:abstractNumId w:val="27"/>
  </w:num>
  <w:num w:numId="98">
    <w:abstractNumId w:val="126"/>
  </w:num>
  <w:num w:numId="99">
    <w:abstractNumId w:val="122"/>
  </w:num>
  <w:num w:numId="100">
    <w:abstractNumId w:val="75"/>
  </w:num>
  <w:num w:numId="101">
    <w:abstractNumId w:val="18"/>
  </w:num>
  <w:num w:numId="102">
    <w:abstractNumId w:val="43"/>
  </w:num>
  <w:num w:numId="103">
    <w:abstractNumId w:val="113"/>
  </w:num>
  <w:num w:numId="104">
    <w:abstractNumId w:val="148"/>
  </w:num>
  <w:num w:numId="105">
    <w:abstractNumId w:val="1"/>
  </w:num>
  <w:num w:numId="106">
    <w:abstractNumId w:val="3"/>
  </w:num>
  <w:num w:numId="107">
    <w:abstractNumId w:val="25"/>
  </w:num>
  <w:num w:numId="108">
    <w:abstractNumId w:val="20"/>
  </w:num>
  <w:num w:numId="109">
    <w:abstractNumId w:val="136"/>
  </w:num>
  <w:num w:numId="110">
    <w:abstractNumId w:val="117"/>
  </w:num>
  <w:num w:numId="111">
    <w:abstractNumId w:val="153"/>
  </w:num>
  <w:num w:numId="112">
    <w:abstractNumId w:val="129"/>
  </w:num>
  <w:num w:numId="113">
    <w:abstractNumId w:val="139"/>
  </w:num>
  <w:num w:numId="114">
    <w:abstractNumId w:val="73"/>
  </w:num>
  <w:num w:numId="115">
    <w:abstractNumId w:val="38"/>
  </w:num>
  <w:num w:numId="116">
    <w:abstractNumId w:val="101"/>
  </w:num>
  <w:num w:numId="117">
    <w:abstractNumId w:val="145"/>
  </w:num>
  <w:num w:numId="118">
    <w:abstractNumId w:val="44"/>
  </w:num>
  <w:num w:numId="119">
    <w:abstractNumId w:val="147"/>
  </w:num>
  <w:num w:numId="120">
    <w:abstractNumId w:val="28"/>
  </w:num>
  <w:num w:numId="121">
    <w:abstractNumId w:val="141"/>
  </w:num>
  <w:num w:numId="122">
    <w:abstractNumId w:val="90"/>
  </w:num>
  <w:num w:numId="123">
    <w:abstractNumId w:val="99"/>
  </w:num>
  <w:num w:numId="124">
    <w:abstractNumId w:val="156"/>
  </w:num>
  <w:num w:numId="125">
    <w:abstractNumId w:val="91"/>
  </w:num>
  <w:num w:numId="126">
    <w:abstractNumId w:val="22"/>
  </w:num>
  <w:num w:numId="127">
    <w:abstractNumId w:val="81"/>
  </w:num>
  <w:num w:numId="128">
    <w:abstractNumId w:val="154"/>
  </w:num>
  <w:num w:numId="129">
    <w:abstractNumId w:val="21"/>
  </w:num>
  <w:num w:numId="130">
    <w:abstractNumId w:val="76"/>
  </w:num>
  <w:num w:numId="131">
    <w:abstractNumId w:val="53"/>
  </w:num>
  <w:num w:numId="132">
    <w:abstractNumId w:val="130"/>
  </w:num>
  <w:num w:numId="133">
    <w:abstractNumId w:val="118"/>
  </w:num>
  <w:num w:numId="134">
    <w:abstractNumId w:val="108"/>
  </w:num>
  <w:num w:numId="135">
    <w:abstractNumId w:val="63"/>
  </w:num>
  <w:num w:numId="136">
    <w:abstractNumId w:val="97"/>
  </w:num>
  <w:num w:numId="137">
    <w:abstractNumId w:val="33"/>
  </w:num>
  <w:num w:numId="138">
    <w:abstractNumId w:val="121"/>
  </w:num>
  <w:num w:numId="139">
    <w:abstractNumId w:val="61"/>
  </w:num>
  <w:num w:numId="140">
    <w:abstractNumId w:val="78"/>
  </w:num>
  <w:num w:numId="141">
    <w:abstractNumId w:val="49"/>
  </w:num>
  <w:num w:numId="142">
    <w:abstractNumId w:val="40"/>
  </w:num>
  <w:num w:numId="143">
    <w:abstractNumId w:val="158"/>
  </w:num>
  <w:num w:numId="144">
    <w:abstractNumId w:val="23"/>
  </w:num>
  <w:num w:numId="145">
    <w:abstractNumId w:val="79"/>
  </w:num>
  <w:num w:numId="146">
    <w:abstractNumId w:val="112"/>
  </w:num>
  <w:num w:numId="147">
    <w:abstractNumId w:val="150"/>
  </w:num>
  <w:num w:numId="148">
    <w:abstractNumId w:val="109"/>
  </w:num>
  <w:num w:numId="149">
    <w:abstractNumId w:val="80"/>
  </w:num>
  <w:num w:numId="150">
    <w:abstractNumId w:val="68"/>
  </w:num>
  <w:num w:numId="151">
    <w:abstractNumId w:val="50"/>
  </w:num>
  <w:num w:numId="152">
    <w:abstractNumId w:val="140"/>
  </w:num>
  <w:num w:numId="153">
    <w:abstractNumId w:val="58"/>
  </w:num>
  <w:num w:numId="154">
    <w:abstractNumId w:val="39"/>
  </w:num>
  <w:num w:numId="155">
    <w:abstractNumId w:val="135"/>
  </w:num>
  <w:num w:numId="156">
    <w:abstractNumId w:val="55"/>
  </w:num>
  <w:num w:numId="157">
    <w:abstractNumId w:val="102"/>
  </w:num>
  <w:num w:numId="158">
    <w:abstractNumId w:val="88"/>
  </w:num>
  <w:num w:numId="159">
    <w:abstractNumId w:val="47"/>
  </w:num>
  <w:num w:numId="160">
    <w:abstractNumId w:val="34"/>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526"/>
    <w:rsid w:val="00001030"/>
    <w:rsid w:val="00001A90"/>
    <w:rsid w:val="00001B6A"/>
    <w:rsid w:val="00003169"/>
    <w:rsid w:val="00003E92"/>
    <w:rsid w:val="0000781A"/>
    <w:rsid w:val="00011C38"/>
    <w:rsid w:val="0001221D"/>
    <w:rsid w:val="00016058"/>
    <w:rsid w:val="000169C5"/>
    <w:rsid w:val="00020BC3"/>
    <w:rsid w:val="00021E0D"/>
    <w:rsid w:val="00023E42"/>
    <w:rsid w:val="000268AC"/>
    <w:rsid w:val="00030877"/>
    <w:rsid w:val="0003179F"/>
    <w:rsid w:val="00032690"/>
    <w:rsid w:val="00032A05"/>
    <w:rsid w:val="000414C8"/>
    <w:rsid w:val="00043F82"/>
    <w:rsid w:val="00046F8A"/>
    <w:rsid w:val="00050AB9"/>
    <w:rsid w:val="00052025"/>
    <w:rsid w:val="00054A49"/>
    <w:rsid w:val="000554F9"/>
    <w:rsid w:val="00057456"/>
    <w:rsid w:val="00062520"/>
    <w:rsid w:val="00062FA9"/>
    <w:rsid w:val="00065E3C"/>
    <w:rsid w:val="00065FF4"/>
    <w:rsid w:val="00067CC9"/>
    <w:rsid w:val="0007194A"/>
    <w:rsid w:val="00072B6D"/>
    <w:rsid w:val="00083752"/>
    <w:rsid w:val="00084B1F"/>
    <w:rsid w:val="00087173"/>
    <w:rsid w:val="0009071B"/>
    <w:rsid w:val="00093271"/>
    <w:rsid w:val="00094556"/>
    <w:rsid w:val="0009793F"/>
    <w:rsid w:val="000A394F"/>
    <w:rsid w:val="000A5024"/>
    <w:rsid w:val="000B0DEB"/>
    <w:rsid w:val="000B222D"/>
    <w:rsid w:val="000B492B"/>
    <w:rsid w:val="000B6DF4"/>
    <w:rsid w:val="000B75CC"/>
    <w:rsid w:val="000C0A1B"/>
    <w:rsid w:val="000C271A"/>
    <w:rsid w:val="000C40F1"/>
    <w:rsid w:val="000C58CE"/>
    <w:rsid w:val="000C759D"/>
    <w:rsid w:val="000D26D6"/>
    <w:rsid w:val="000D4723"/>
    <w:rsid w:val="000D4DC4"/>
    <w:rsid w:val="000E664B"/>
    <w:rsid w:val="000E6684"/>
    <w:rsid w:val="001062E7"/>
    <w:rsid w:val="0012292A"/>
    <w:rsid w:val="00122B3D"/>
    <w:rsid w:val="0012548E"/>
    <w:rsid w:val="0012644E"/>
    <w:rsid w:val="001277A6"/>
    <w:rsid w:val="00131F44"/>
    <w:rsid w:val="00132075"/>
    <w:rsid w:val="00133188"/>
    <w:rsid w:val="00146A63"/>
    <w:rsid w:val="00150B3B"/>
    <w:rsid w:val="001511D0"/>
    <w:rsid w:val="0015176F"/>
    <w:rsid w:val="00153598"/>
    <w:rsid w:val="00154274"/>
    <w:rsid w:val="001545CA"/>
    <w:rsid w:val="00160B9B"/>
    <w:rsid w:val="00165BD3"/>
    <w:rsid w:val="00172F44"/>
    <w:rsid w:val="00173A4A"/>
    <w:rsid w:val="00173DB2"/>
    <w:rsid w:val="00175D8B"/>
    <w:rsid w:val="00181F61"/>
    <w:rsid w:val="00182ED2"/>
    <w:rsid w:val="001866F2"/>
    <w:rsid w:val="00186EC9"/>
    <w:rsid w:val="0019183E"/>
    <w:rsid w:val="0019590B"/>
    <w:rsid w:val="00196B3A"/>
    <w:rsid w:val="0019717B"/>
    <w:rsid w:val="001A50C2"/>
    <w:rsid w:val="001A5E75"/>
    <w:rsid w:val="001B03C2"/>
    <w:rsid w:val="001B2B85"/>
    <w:rsid w:val="001B6ACB"/>
    <w:rsid w:val="001B701C"/>
    <w:rsid w:val="001B7C82"/>
    <w:rsid w:val="001C27B5"/>
    <w:rsid w:val="001C407F"/>
    <w:rsid w:val="001C61AF"/>
    <w:rsid w:val="001D1026"/>
    <w:rsid w:val="001E17E2"/>
    <w:rsid w:val="001E1A1E"/>
    <w:rsid w:val="001E1FB5"/>
    <w:rsid w:val="001E2DC2"/>
    <w:rsid w:val="001E4C65"/>
    <w:rsid w:val="001E4FFC"/>
    <w:rsid w:val="001E5914"/>
    <w:rsid w:val="001F07CC"/>
    <w:rsid w:val="001F162C"/>
    <w:rsid w:val="001F1F35"/>
    <w:rsid w:val="001F2F09"/>
    <w:rsid w:val="001F6155"/>
    <w:rsid w:val="001F7409"/>
    <w:rsid w:val="001F7BC7"/>
    <w:rsid w:val="00204252"/>
    <w:rsid w:val="00206609"/>
    <w:rsid w:val="0021122F"/>
    <w:rsid w:val="00213E81"/>
    <w:rsid w:val="002155C4"/>
    <w:rsid w:val="00216035"/>
    <w:rsid w:val="00217FDF"/>
    <w:rsid w:val="00224B4E"/>
    <w:rsid w:val="00230674"/>
    <w:rsid w:val="00231C1E"/>
    <w:rsid w:val="002321BC"/>
    <w:rsid w:val="0023549F"/>
    <w:rsid w:val="00241A4A"/>
    <w:rsid w:val="002428EE"/>
    <w:rsid w:val="0024404D"/>
    <w:rsid w:val="00247003"/>
    <w:rsid w:val="002513F2"/>
    <w:rsid w:val="00251F8F"/>
    <w:rsid w:val="00253E5B"/>
    <w:rsid w:val="002550A6"/>
    <w:rsid w:val="002561E6"/>
    <w:rsid w:val="00262D42"/>
    <w:rsid w:val="0026340E"/>
    <w:rsid w:val="002657EF"/>
    <w:rsid w:val="00266C98"/>
    <w:rsid w:val="00267963"/>
    <w:rsid w:val="002703F2"/>
    <w:rsid w:val="00275290"/>
    <w:rsid w:val="002768FE"/>
    <w:rsid w:val="00277269"/>
    <w:rsid w:val="00282DE2"/>
    <w:rsid w:val="00285D5D"/>
    <w:rsid w:val="00286BC7"/>
    <w:rsid w:val="00287AA8"/>
    <w:rsid w:val="00287D53"/>
    <w:rsid w:val="002945C1"/>
    <w:rsid w:val="00297DDC"/>
    <w:rsid w:val="002A1231"/>
    <w:rsid w:val="002A213F"/>
    <w:rsid w:val="002A3EF5"/>
    <w:rsid w:val="002A59B4"/>
    <w:rsid w:val="002A6027"/>
    <w:rsid w:val="002A68C6"/>
    <w:rsid w:val="002A7065"/>
    <w:rsid w:val="002B26EC"/>
    <w:rsid w:val="002B49F3"/>
    <w:rsid w:val="002B791A"/>
    <w:rsid w:val="002C0EC8"/>
    <w:rsid w:val="002C1505"/>
    <w:rsid w:val="002C2682"/>
    <w:rsid w:val="002C4886"/>
    <w:rsid w:val="002C5810"/>
    <w:rsid w:val="002C64F1"/>
    <w:rsid w:val="002C6F52"/>
    <w:rsid w:val="002C77A5"/>
    <w:rsid w:val="002D17B6"/>
    <w:rsid w:val="002D43D3"/>
    <w:rsid w:val="002D46BF"/>
    <w:rsid w:val="002D4756"/>
    <w:rsid w:val="002D6BE2"/>
    <w:rsid w:val="002D6E8C"/>
    <w:rsid w:val="002E43FB"/>
    <w:rsid w:val="002E4F26"/>
    <w:rsid w:val="002E501F"/>
    <w:rsid w:val="002E644B"/>
    <w:rsid w:val="002F048B"/>
    <w:rsid w:val="002F2CC1"/>
    <w:rsid w:val="002F323E"/>
    <w:rsid w:val="00300C3D"/>
    <w:rsid w:val="003013ED"/>
    <w:rsid w:val="00301539"/>
    <w:rsid w:val="003041B4"/>
    <w:rsid w:val="00305A1F"/>
    <w:rsid w:val="00306415"/>
    <w:rsid w:val="0030740E"/>
    <w:rsid w:val="0031121A"/>
    <w:rsid w:val="00315A3F"/>
    <w:rsid w:val="00320C8D"/>
    <w:rsid w:val="00322C35"/>
    <w:rsid w:val="003253B3"/>
    <w:rsid w:val="00327E70"/>
    <w:rsid w:val="003306D3"/>
    <w:rsid w:val="00332590"/>
    <w:rsid w:val="0033438A"/>
    <w:rsid w:val="0033529A"/>
    <w:rsid w:val="00336E41"/>
    <w:rsid w:val="00340456"/>
    <w:rsid w:val="00342D8D"/>
    <w:rsid w:val="003444EE"/>
    <w:rsid w:val="00345E6E"/>
    <w:rsid w:val="00346006"/>
    <w:rsid w:val="0034631B"/>
    <w:rsid w:val="00346759"/>
    <w:rsid w:val="003524FF"/>
    <w:rsid w:val="003538E0"/>
    <w:rsid w:val="00355B23"/>
    <w:rsid w:val="003572CF"/>
    <w:rsid w:val="00357526"/>
    <w:rsid w:val="00357D9D"/>
    <w:rsid w:val="00362DE3"/>
    <w:rsid w:val="00363F14"/>
    <w:rsid w:val="00365CEA"/>
    <w:rsid w:val="00372D1F"/>
    <w:rsid w:val="003806FF"/>
    <w:rsid w:val="00380C29"/>
    <w:rsid w:val="0038211C"/>
    <w:rsid w:val="00392850"/>
    <w:rsid w:val="00392FA6"/>
    <w:rsid w:val="00393996"/>
    <w:rsid w:val="00393C74"/>
    <w:rsid w:val="003954A6"/>
    <w:rsid w:val="00396330"/>
    <w:rsid w:val="0039706F"/>
    <w:rsid w:val="003975A8"/>
    <w:rsid w:val="0039767C"/>
    <w:rsid w:val="003A0E07"/>
    <w:rsid w:val="003A2A77"/>
    <w:rsid w:val="003A3B11"/>
    <w:rsid w:val="003A4BAE"/>
    <w:rsid w:val="003A57C5"/>
    <w:rsid w:val="003A791E"/>
    <w:rsid w:val="003B005D"/>
    <w:rsid w:val="003B4437"/>
    <w:rsid w:val="003C0BD4"/>
    <w:rsid w:val="003C0EE4"/>
    <w:rsid w:val="003C0F81"/>
    <w:rsid w:val="003C2B44"/>
    <w:rsid w:val="003C3ED8"/>
    <w:rsid w:val="003C5151"/>
    <w:rsid w:val="003C5BBF"/>
    <w:rsid w:val="003C5DCA"/>
    <w:rsid w:val="003C5E85"/>
    <w:rsid w:val="003C653A"/>
    <w:rsid w:val="003D063A"/>
    <w:rsid w:val="003D0F4E"/>
    <w:rsid w:val="003D1C2D"/>
    <w:rsid w:val="003D2155"/>
    <w:rsid w:val="003D45FA"/>
    <w:rsid w:val="003D51AD"/>
    <w:rsid w:val="003D588A"/>
    <w:rsid w:val="003D7B6F"/>
    <w:rsid w:val="003E57C4"/>
    <w:rsid w:val="003E7EB1"/>
    <w:rsid w:val="003F3C62"/>
    <w:rsid w:val="003F3E65"/>
    <w:rsid w:val="003F48B2"/>
    <w:rsid w:val="00401CDA"/>
    <w:rsid w:val="004027B4"/>
    <w:rsid w:val="00406291"/>
    <w:rsid w:val="00406789"/>
    <w:rsid w:val="00410054"/>
    <w:rsid w:val="00410F4B"/>
    <w:rsid w:val="00414CDA"/>
    <w:rsid w:val="004160B8"/>
    <w:rsid w:val="00416F54"/>
    <w:rsid w:val="0042159A"/>
    <w:rsid w:val="004301E8"/>
    <w:rsid w:val="00430392"/>
    <w:rsid w:val="00432EF4"/>
    <w:rsid w:val="0043424E"/>
    <w:rsid w:val="004360D4"/>
    <w:rsid w:val="004407DB"/>
    <w:rsid w:val="00440F56"/>
    <w:rsid w:val="0044146E"/>
    <w:rsid w:val="00442486"/>
    <w:rsid w:val="0044492A"/>
    <w:rsid w:val="00447224"/>
    <w:rsid w:val="0045148E"/>
    <w:rsid w:val="00455D26"/>
    <w:rsid w:val="00456032"/>
    <w:rsid w:val="00456835"/>
    <w:rsid w:val="0046369E"/>
    <w:rsid w:val="004641FD"/>
    <w:rsid w:val="004666E6"/>
    <w:rsid w:val="00467B41"/>
    <w:rsid w:val="0047326F"/>
    <w:rsid w:val="00480751"/>
    <w:rsid w:val="00482FC2"/>
    <w:rsid w:val="004842BE"/>
    <w:rsid w:val="004863D1"/>
    <w:rsid w:val="004871E3"/>
    <w:rsid w:val="0049101B"/>
    <w:rsid w:val="00493E5E"/>
    <w:rsid w:val="00497B7A"/>
    <w:rsid w:val="004A1CD2"/>
    <w:rsid w:val="004A2D3B"/>
    <w:rsid w:val="004A48BF"/>
    <w:rsid w:val="004A4A9F"/>
    <w:rsid w:val="004A6F7F"/>
    <w:rsid w:val="004A7D57"/>
    <w:rsid w:val="004B1BCA"/>
    <w:rsid w:val="004B21AE"/>
    <w:rsid w:val="004B249B"/>
    <w:rsid w:val="004B29BF"/>
    <w:rsid w:val="004B35B8"/>
    <w:rsid w:val="004B45A3"/>
    <w:rsid w:val="004C0A93"/>
    <w:rsid w:val="004C3C82"/>
    <w:rsid w:val="004C5B11"/>
    <w:rsid w:val="004D4E4B"/>
    <w:rsid w:val="004D577E"/>
    <w:rsid w:val="004D628A"/>
    <w:rsid w:val="004E00C9"/>
    <w:rsid w:val="004E15CE"/>
    <w:rsid w:val="004E3228"/>
    <w:rsid w:val="004E54B4"/>
    <w:rsid w:val="004E55AE"/>
    <w:rsid w:val="004E68BD"/>
    <w:rsid w:val="004E6F8E"/>
    <w:rsid w:val="004E70F0"/>
    <w:rsid w:val="004E7654"/>
    <w:rsid w:val="004E7BFD"/>
    <w:rsid w:val="004F0CCC"/>
    <w:rsid w:val="004F5C5D"/>
    <w:rsid w:val="004F7AD3"/>
    <w:rsid w:val="004F7F3D"/>
    <w:rsid w:val="00501565"/>
    <w:rsid w:val="005024E5"/>
    <w:rsid w:val="00502DF8"/>
    <w:rsid w:val="00504927"/>
    <w:rsid w:val="005061F2"/>
    <w:rsid w:val="0050638B"/>
    <w:rsid w:val="0050644F"/>
    <w:rsid w:val="005069F1"/>
    <w:rsid w:val="0050720F"/>
    <w:rsid w:val="00510DB2"/>
    <w:rsid w:val="005129C7"/>
    <w:rsid w:val="005159B3"/>
    <w:rsid w:val="005203E2"/>
    <w:rsid w:val="005211F9"/>
    <w:rsid w:val="00521CA0"/>
    <w:rsid w:val="00523481"/>
    <w:rsid w:val="005248C3"/>
    <w:rsid w:val="0052717C"/>
    <w:rsid w:val="005309AC"/>
    <w:rsid w:val="0053163F"/>
    <w:rsid w:val="00533D23"/>
    <w:rsid w:val="005361DF"/>
    <w:rsid w:val="00537936"/>
    <w:rsid w:val="005405E6"/>
    <w:rsid w:val="00543C89"/>
    <w:rsid w:val="005443DD"/>
    <w:rsid w:val="00552AE9"/>
    <w:rsid w:val="00554FD3"/>
    <w:rsid w:val="00560CEB"/>
    <w:rsid w:val="00560E0E"/>
    <w:rsid w:val="005621A5"/>
    <w:rsid w:val="005623B1"/>
    <w:rsid w:val="00563970"/>
    <w:rsid w:val="00565F77"/>
    <w:rsid w:val="00570DA3"/>
    <w:rsid w:val="005740AD"/>
    <w:rsid w:val="00575F7F"/>
    <w:rsid w:val="00576829"/>
    <w:rsid w:val="0058190D"/>
    <w:rsid w:val="00581D6A"/>
    <w:rsid w:val="00584F60"/>
    <w:rsid w:val="00585084"/>
    <w:rsid w:val="0059597E"/>
    <w:rsid w:val="00595E83"/>
    <w:rsid w:val="00596763"/>
    <w:rsid w:val="005A137E"/>
    <w:rsid w:val="005A1494"/>
    <w:rsid w:val="005A2912"/>
    <w:rsid w:val="005A36A1"/>
    <w:rsid w:val="005A424A"/>
    <w:rsid w:val="005A4C56"/>
    <w:rsid w:val="005A5B17"/>
    <w:rsid w:val="005B57FA"/>
    <w:rsid w:val="005B7929"/>
    <w:rsid w:val="005C09CE"/>
    <w:rsid w:val="005C16DD"/>
    <w:rsid w:val="005C38BA"/>
    <w:rsid w:val="005C3A7E"/>
    <w:rsid w:val="005C41E0"/>
    <w:rsid w:val="005C5DEE"/>
    <w:rsid w:val="005D0CA2"/>
    <w:rsid w:val="005D4EBF"/>
    <w:rsid w:val="005E04B1"/>
    <w:rsid w:val="005E255D"/>
    <w:rsid w:val="005E4E92"/>
    <w:rsid w:val="005E6EE5"/>
    <w:rsid w:val="005E7C7E"/>
    <w:rsid w:val="005E7DD8"/>
    <w:rsid w:val="005F0911"/>
    <w:rsid w:val="005F697C"/>
    <w:rsid w:val="005F6E6B"/>
    <w:rsid w:val="005F73E5"/>
    <w:rsid w:val="005F7B57"/>
    <w:rsid w:val="00602475"/>
    <w:rsid w:val="00606611"/>
    <w:rsid w:val="00607A08"/>
    <w:rsid w:val="00611C99"/>
    <w:rsid w:val="00614482"/>
    <w:rsid w:val="00617F28"/>
    <w:rsid w:val="0062019F"/>
    <w:rsid w:val="006220FC"/>
    <w:rsid w:val="00622E1B"/>
    <w:rsid w:val="00623875"/>
    <w:rsid w:val="006260C1"/>
    <w:rsid w:val="00635E35"/>
    <w:rsid w:val="00640670"/>
    <w:rsid w:val="00645AA4"/>
    <w:rsid w:val="006465C1"/>
    <w:rsid w:val="00646A62"/>
    <w:rsid w:val="00646DCD"/>
    <w:rsid w:val="00647129"/>
    <w:rsid w:val="0065019E"/>
    <w:rsid w:val="006524EE"/>
    <w:rsid w:val="006527A3"/>
    <w:rsid w:val="006557FC"/>
    <w:rsid w:val="00657EED"/>
    <w:rsid w:val="00660DBA"/>
    <w:rsid w:val="006611AA"/>
    <w:rsid w:val="0066285B"/>
    <w:rsid w:val="0066509C"/>
    <w:rsid w:val="0066524C"/>
    <w:rsid w:val="00670ACC"/>
    <w:rsid w:val="006714DA"/>
    <w:rsid w:val="006717FF"/>
    <w:rsid w:val="006778AB"/>
    <w:rsid w:val="00681F8D"/>
    <w:rsid w:val="00684C6E"/>
    <w:rsid w:val="00684DE8"/>
    <w:rsid w:val="006856FE"/>
    <w:rsid w:val="00687F6F"/>
    <w:rsid w:val="006908BF"/>
    <w:rsid w:val="00693AFA"/>
    <w:rsid w:val="006953E5"/>
    <w:rsid w:val="00695D59"/>
    <w:rsid w:val="0069768B"/>
    <w:rsid w:val="006A0717"/>
    <w:rsid w:val="006A0FA5"/>
    <w:rsid w:val="006A1C0F"/>
    <w:rsid w:val="006A319E"/>
    <w:rsid w:val="006A3AB9"/>
    <w:rsid w:val="006A5A5E"/>
    <w:rsid w:val="006A5C0C"/>
    <w:rsid w:val="006A5DA8"/>
    <w:rsid w:val="006A6C78"/>
    <w:rsid w:val="006B1602"/>
    <w:rsid w:val="006B3DCB"/>
    <w:rsid w:val="006C05C4"/>
    <w:rsid w:val="006C1599"/>
    <w:rsid w:val="006C49C6"/>
    <w:rsid w:val="006C58C5"/>
    <w:rsid w:val="006C5FB1"/>
    <w:rsid w:val="006C78CE"/>
    <w:rsid w:val="006D01BC"/>
    <w:rsid w:val="006D06FF"/>
    <w:rsid w:val="006D0C34"/>
    <w:rsid w:val="006D41E1"/>
    <w:rsid w:val="006D485C"/>
    <w:rsid w:val="006D639B"/>
    <w:rsid w:val="006D791E"/>
    <w:rsid w:val="006D7E16"/>
    <w:rsid w:val="006E0095"/>
    <w:rsid w:val="006E19AF"/>
    <w:rsid w:val="006E2343"/>
    <w:rsid w:val="006E4042"/>
    <w:rsid w:val="006E6537"/>
    <w:rsid w:val="006F18F2"/>
    <w:rsid w:val="006F4951"/>
    <w:rsid w:val="006F7438"/>
    <w:rsid w:val="006F77F4"/>
    <w:rsid w:val="00705F86"/>
    <w:rsid w:val="00706AEC"/>
    <w:rsid w:val="00712A02"/>
    <w:rsid w:val="00713C34"/>
    <w:rsid w:val="007152C3"/>
    <w:rsid w:val="0072164F"/>
    <w:rsid w:val="007225DF"/>
    <w:rsid w:val="00722F93"/>
    <w:rsid w:val="007250D8"/>
    <w:rsid w:val="00725722"/>
    <w:rsid w:val="007317BA"/>
    <w:rsid w:val="00732648"/>
    <w:rsid w:val="007333E5"/>
    <w:rsid w:val="00734962"/>
    <w:rsid w:val="00734C14"/>
    <w:rsid w:val="00743777"/>
    <w:rsid w:val="007476CE"/>
    <w:rsid w:val="007509C9"/>
    <w:rsid w:val="0075293D"/>
    <w:rsid w:val="0075579D"/>
    <w:rsid w:val="00761B9B"/>
    <w:rsid w:val="00762675"/>
    <w:rsid w:val="00762947"/>
    <w:rsid w:val="007704F9"/>
    <w:rsid w:val="00770927"/>
    <w:rsid w:val="00772E59"/>
    <w:rsid w:val="00775118"/>
    <w:rsid w:val="00776DF6"/>
    <w:rsid w:val="007773FA"/>
    <w:rsid w:val="007819D2"/>
    <w:rsid w:val="00783C88"/>
    <w:rsid w:val="00784A0C"/>
    <w:rsid w:val="00785DE4"/>
    <w:rsid w:val="00790E64"/>
    <w:rsid w:val="00795E7B"/>
    <w:rsid w:val="00797857"/>
    <w:rsid w:val="00797989"/>
    <w:rsid w:val="007A0994"/>
    <w:rsid w:val="007A0A9D"/>
    <w:rsid w:val="007B0C91"/>
    <w:rsid w:val="007B248E"/>
    <w:rsid w:val="007B2E43"/>
    <w:rsid w:val="007C1E93"/>
    <w:rsid w:val="007C6114"/>
    <w:rsid w:val="007C6792"/>
    <w:rsid w:val="007C7DEB"/>
    <w:rsid w:val="007D0884"/>
    <w:rsid w:val="007D4268"/>
    <w:rsid w:val="007D7C3F"/>
    <w:rsid w:val="007E0C0A"/>
    <w:rsid w:val="007E1FEA"/>
    <w:rsid w:val="007E3008"/>
    <w:rsid w:val="007E59C4"/>
    <w:rsid w:val="007E6A9E"/>
    <w:rsid w:val="007F0A49"/>
    <w:rsid w:val="007F1549"/>
    <w:rsid w:val="00800617"/>
    <w:rsid w:val="0080309F"/>
    <w:rsid w:val="00803C2E"/>
    <w:rsid w:val="00807235"/>
    <w:rsid w:val="0081050D"/>
    <w:rsid w:val="00811FB5"/>
    <w:rsid w:val="00814224"/>
    <w:rsid w:val="00814D38"/>
    <w:rsid w:val="008153E8"/>
    <w:rsid w:val="00816296"/>
    <w:rsid w:val="0081789A"/>
    <w:rsid w:val="00817D23"/>
    <w:rsid w:val="00820421"/>
    <w:rsid w:val="00823F90"/>
    <w:rsid w:val="008247FD"/>
    <w:rsid w:val="00830DB7"/>
    <w:rsid w:val="008319BC"/>
    <w:rsid w:val="00831AE5"/>
    <w:rsid w:val="00835DC1"/>
    <w:rsid w:val="00835FA4"/>
    <w:rsid w:val="00836F29"/>
    <w:rsid w:val="00841166"/>
    <w:rsid w:val="00843829"/>
    <w:rsid w:val="00844BC6"/>
    <w:rsid w:val="00850486"/>
    <w:rsid w:val="00851BB3"/>
    <w:rsid w:val="00851C18"/>
    <w:rsid w:val="008543A5"/>
    <w:rsid w:val="0085545C"/>
    <w:rsid w:val="008602C2"/>
    <w:rsid w:val="008605BD"/>
    <w:rsid w:val="00861EE6"/>
    <w:rsid w:val="00863A9F"/>
    <w:rsid w:val="00865A53"/>
    <w:rsid w:val="00866B7D"/>
    <w:rsid w:val="00872C5B"/>
    <w:rsid w:val="00874A40"/>
    <w:rsid w:val="00874B55"/>
    <w:rsid w:val="00877B62"/>
    <w:rsid w:val="00880261"/>
    <w:rsid w:val="00883528"/>
    <w:rsid w:val="00883B81"/>
    <w:rsid w:val="0088415E"/>
    <w:rsid w:val="0088543A"/>
    <w:rsid w:val="00885566"/>
    <w:rsid w:val="0088617A"/>
    <w:rsid w:val="00890057"/>
    <w:rsid w:val="00894AE9"/>
    <w:rsid w:val="00894D6D"/>
    <w:rsid w:val="008A2161"/>
    <w:rsid w:val="008A60B4"/>
    <w:rsid w:val="008B101F"/>
    <w:rsid w:val="008B47F9"/>
    <w:rsid w:val="008C0820"/>
    <w:rsid w:val="008C0F25"/>
    <w:rsid w:val="008C27AC"/>
    <w:rsid w:val="008C3896"/>
    <w:rsid w:val="008C490F"/>
    <w:rsid w:val="008D2518"/>
    <w:rsid w:val="008D3770"/>
    <w:rsid w:val="008D691B"/>
    <w:rsid w:val="008D7469"/>
    <w:rsid w:val="008E3B84"/>
    <w:rsid w:val="008E3FF4"/>
    <w:rsid w:val="008E42FB"/>
    <w:rsid w:val="008E433A"/>
    <w:rsid w:val="008E4B99"/>
    <w:rsid w:val="008E729F"/>
    <w:rsid w:val="008F2721"/>
    <w:rsid w:val="008F454F"/>
    <w:rsid w:val="0090127F"/>
    <w:rsid w:val="00901980"/>
    <w:rsid w:val="00901DB2"/>
    <w:rsid w:val="00910A50"/>
    <w:rsid w:val="009120F3"/>
    <w:rsid w:val="0091281A"/>
    <w:rsid w:val="00917A68"/>
    <w:rsid w:val="00920E2C"/>
    <w:rsid w:val="00921C59"/>
    <w:rsid w:val="00923DF9"/>
    <w:rsid w:val="00924A6E"/>
    <w:rsid w:val="00927BDA"/>
    <w:rsid w:val="00931117"/>
    <w:rsid w:val="009324AA"/>
    <w:rsid w:val="009330E7"/>
    <w:rsid w:val="00936ACD"/>
    <w:rsid w:val="009443A6"/>
    <w:rsid w:val="009443C4"/>
    <w:rsid w:val="00944BF4"/>
    <w:rsid w:val="00945CB4"/>
    <w:rsid w:val="00946449"/>
    <w:rsid w:val="009468AC"/>
    <w:rsid w:val="00951E84"/>
    <w:rsid w:val="00952558"/>
    <w:rsid w:val="00952F22"/>
    <w:rsid w:val="00953460"/>
    <w:rsid w:val="0095368C"/>
    <w:rsid w:val="00954644"/>
    <w:rsid w:val="00955261"/>
    <w:rsid w:val="0095684B"/>
    <w:rsid w:val="0096252D"/>
    <w:rsid w:val="009724C7"/>
    <w:rsid w:val="00972EA5"/>
    <w:rsid w:val="00974ADC"/>
    <w:rsid w:val="009750C5"/>
    <w:rsid w:val="00977C46"/>
    <w:rsid w:val="00980A37"/>
    <w:rsid w:val="00984195"/>
    <w:rsid w:val="00986F40"/>
    <w:rsid w:val="00990E43"/>
    <w:rsid w:val="0099758F"/>
    <w:rsid w:val="009A0157"/>
    <w:rsid w:val="009A0E26"/>
    <w:rsid w:val="009A29A7"/>
    <w:rsid w:val="009A2E29"/>
    <w:rsid w:val="009A5148"/>
    <w:rsid w:val="009A779D"/>
    <w:rsid w:val="009B02CB"/>
    <w:rsid w:val="009B0BC2"/>
    <w:rsid w:val="009B45E8"/>
    <w:rsid w:val="009B5AC3"/>
    <w:rsid w:val="009C61E6"/>
    <w:rsid w:val="009C7131"/>
    <w:rsid w:val="009D0328"/>
    <w:rsid w:val="009D0A16"/>
    <w:rsid w:val="009D1233"/>
    <w:rsid w:val="009D4498"/>
    <w:rsid w:val="009E4AF5"/>
    <w:rsid w:val="009E4C40"/>
    <w:rsid w:val="009E58F5"/>
    <w:rsid w:val="009E5ECD"/>
    <w:rsid w:val="009F0B92"/>
    <w:rsid w:val="00A00BA9"/>
    <w:rsid w:val="00A02CA8"/>
    <w:rsid w:val="00A0367D"/>
    <w:rsid w:val="00A036D0"/>
    <w:rsid w:val="00A06107"/>
    <w:rsid w:val="00A06314"/>
    <w:rsid w:val="00A06C36"/>
    <w:rsid w:val="00A07D4C"/>
    <w:rsid w:val="00A10B3D"/>
    <w:rsid w:val="00A13841"/>
    <w:rsid w:val="00A15AF0"/>
    <w:rsid w:val="00A16884"/>
    <w:rsid w:val="00A20119"/>
    <w:rsid w:val="00A22808"/>
    <w:rsid w:val="00A2300F"/>
    <w:rsid w:val="00A25EB4"/>
    <w:rsid w:val="00A2608F"/>
    <w:rsid w:val="00A26288"/>
    <w:rsid w:val="00A263B2"/>
    <w:rsid w:val="00A272BA"/>
    <w:rsid w:val="00A2791B"/>
    <w:rsid w:val="00A30388"/>
    <w:rsid w:val="00A3215F"/>
    <w:rsid w:val="00A32E9C"/>
    <w:rsid w:val="00A36866"/>
    <w:rsid w:val="00A42BD5"/>
    <w:rsid w:val="00A43DB1"/>
    <w:rsid w:val="00A44251"/>
    <w:rsid w:val="00A4686A"/>
    <w:rsid w:val="00A5132B"/>
    <w:rsid w:val="00A5243D"/>
    <w:rsid w:val="00A537FE"/>
    <w:rsid w:val="00A56C7E"/>
    <w:rsid w:val="00A62E69"/>
    <w:rsid w:val="00A62FF4"/>
    <w:rsid w:val="00A816AD"/>
    <w:rsid w:val="00A83847"/>
    <w:rsid w:val="00A85020"/>
    <w:rsid w:val="00A91B79"/>
    <w:rsid w:val="00A95F3B"/>
    <w:rsid w:val="00AA4EFF"/>
    <w:rsid w:val="00AA51B4"/>
    <w:rsid w:val="00AA67F2"/>
    <w:rsid w:val="00AA7953"/>
    <w:rsid w:val="00AA7CD9"/>
    <w:rsid w:val="00AB4516"/>
    <w:rsid w:val="00AB619C"/>
    <w:rsid w:val="00AB748C"/>
    <w:rsid w:val="00AC2776"/>
    <w:rsid w:val="00AC2D88"/>
    <w:rsid w:val="00AC5E29"/>
    <w:rsid w:val="00AD1E5E"/>
    <w:rsid w:val="00AD1ECB"/>
    <w:rsid w:val="00AD2D3C"/>
    <w:rsid w:val="00AD2F87"/>
    <w:rsid w:val="00AD52C1"/>
    <w:rsid w:val="00AD70A0"/>
    <w:rsid w:val="00AE288A"/>
    <w:rsid w:val="00AE2F04"/>
    <w:rsid w:val="00AE2FDB"/>
    <w:rsid w:val="00AE5C8D"/>
    <w:rsid w:val="00AE6498"/>
    <w:rsid w:val="00AE7B6B"/>
    <w:rsid w:val="00AF3B22"/>
    <w:rsid w:val="00AF41BC"/>
    <w:rsid w:val="00AF595D"/>
    <w:rsid w:val="00B05B27"/>
    <w:rsid w:val="00B10EE1"/>
    <w:rsid w:val="00B117F3"/>
    <w:rsid w:val="00B12011"/>
    <w:rsid w:val="00B131D7"/>
    <w:rsid w:val="00B13EBE"/>
    <w:rsid w:val="00B158BA"/>
    <w:rsid w:val="00B1794C"/>
    <w:rsid w:val="00B22783"/>
    <w:rsid w:val="00B23424"/>
    <w:rsid w:val="00B24A46"/>
    <w:rsid w:val="00B2578D"/>
    <w:rsid w:val="00B30ABC"/>
    <w:rsid w:val="00B34106"/>
    <w:rsid w:val="00B35049"/>
    <w:rsid w:val="00B35AEE"/>
    <w:rsid w:val="00B361E6"/>
    <w:rsid w:val="00B371D8"/>
    <w:rsid w:val="00B4070F"/>
    <w:rsid w:val="00B416A2"/>
    <w:rsid w:val="00B50059"/>
    <w:rsid w:val="00B55618"/>
    <w:rsid w:val="00B55B52"/>
    <w:rsid w:val="00B66ABB"/>
    <w:rsid w:val="00B67629"/>
    <w:rsid w:val="00B70F83"/>
    <w:rsid w:val="00B71ED5"/>
    <w:rsid w:val="00B726D2"/>
    <w:rsid w:val="00B73577"/>
    <w:rsid w:val="00B73BAE"/>
    <w:rsid w:val="00B75F38"/>
    <w:rsid w:val="00B805FA"/>
    <w:rsid w:val="00B817CC"/>
    <w:rsid w:val="00B823FA"/>
    <w:rsid w:val="00B831C2"/>
    <w:rsid w:val="00B87BB2"/>
    <w:rsid w:val="00B9005C"/>
    <w:rsid w:val="00B94E9F"/>
    <w:rsid w:val="00B95A11"/>
    <w:rsid w:val="00BA7096"/>
    <w:rsid w:val="00BB110A"/>
    <w:rsid w:val="00BB1DCB"/>
    <w:rsid w:val="00BB3DC9"/>
    <w:rsid w:val="00BB59E0"/>
    <w:rsid w:val="00BB769D"/>
    <w:rsid w:val="00BC1C57"/>
    <w:rsid w:val="00BC6C02"/>
    <w:rsid w:val="00BD36F6"/>
    <w:rsid w:val="00BD6ADB"/>
    <w:rsid w:val="00BE0496"/>
    <w:rsid w:val="00BE178F"/>
    <w:rsid w:val="00BE1F2A"/>
    <w:rsid w:val="00BE254A"/>
    <w:rsid w:val="00BE2DAA"/>
    <w:rsid w:val="00BE4987"/>
    <w:rsid w:val="00BE6EA4"/>
    <w:rsid w:val="00BF190A"/>
    <w:rsid w:val="00BF468D"/>
    <w:rsid w:val="00C00D47"/>
    <w:rsid w:val="00C01101"/>
    <w:rsid w:val="00C033BE"/>
    <w:rsid w:val="00C05747"/>
    <w:rsid w:val="00C07B04"/>
    <w:rsid w:val="00C07C0F"/>
    <w:rsid w:val="00C20C19"/>
    <w:rsid w:val="00C20E78"/>
    <w:rsid w:val="00C2208F"/>
    <w:rsid w:val="00C239D8"/>
    <w:rsid w:val="00C240F2"/>
    <w:rsid w:val="00C30685"/>
    <w:rsid w:val="00C339FE"/>
    <w:rsid w:val="00C37BE9"/>
    <w:rsid w:val="00C42E13"/>
    <w:rsid w:val="00C4366C"/>
    <w:rsid w:val="00C47CC2"/>
    <w:rsid w:val="00C526AA"/>
    <w:rsid w:val="00C52F93"/>
    <w:rsid w:val="00C57D8A"/>
    <w:rsid w:val="00C61DC4"/>
    <w:rsid w:val="00C630A6"/>
    <w:rsid w:val="00C6443C"/>
    <w:rsid w:val="00C65B01"/>
    <w:rsid w:val="00C661DA"/>
    <w:rsid w:val="00C70A6A"/>
    <w:rsid w:val="00C70FDB"/>
    <w:rsid w:val="00C72186"/>
    <w:rsid w:val="00C72234"/>
    <w:rsid w:val="00C7270C"/>
    <w:rsid w:val="00C742C4"/>
    <w:rsid w:val="00C74CC1"/>
    <w:rsid w:val="00C758B3"/>
    <w:rsid w:val="00C77724"/>
    <w:rsid w:val="00C80256"/>
    <w:rsid w:val="00C80E64"/>
    <w:rsid w:val="00C87B41"/>
    <w:rsid w:val="00C92F65"/>
    <w:rsid w:val="00C93DFF"/>
    <w:rsid w:val="00C9448D"/>
    <w:rsid w:val="00C97D4A"/>
    <w:rsid w:val="00CA661F"/>
    <w:rsid w:val="00CA6BF7"/>
    <w:rsid w:val="00CB2491"/>
    <w:rsid w:val="00CB2FAF"/>
    <w:rsid w:val="00CB538B"/>
    <w:rsid w:val="00CB7BFD"/>
    <w:rsid w:val="00CB7DDF"/>
    <w:rsid w:val="00CC2CF7"/>
    <w:rsid w:val="00CC4EC8"/>
    <w:rsid w:val="00CC7BA3"/>
    <w:rsid w:val="00CD0A13"/>
    <w:rsid w:val="00CD2754"/>
    <w:rsid w:val="00CD3B15"/>
    <w:rsid w:val="00CD54D3"/>
    <w:rsid w:val="00CD5DC7"/>
    <w:rsid w:val="00CD672B"/>
    <w:rsid w:val="00CD6797"/>
    <w:rsid w:val="00CE1622"/>
    <w:rsid w:val="00CE2BA0"/>
    <w:rsid w:val="00CE53E9"/>
    <w:rsid w:val="00CE5923"/>
    <w:rsid w:val="00CE5EEC"/>
    <w:rsid w:val="00CE62A9"/>
    <w:rsid w:val="00CF1550"/>
    <w:rsid w:val="00D02B30"/>
    <w:rsid w:val="00D04762"/>
    <w:rsid w:val="00D04AED"/>
    <w:rsid w:val="00D07E7E"/>
    <w:rsid w:val="00D14B28"/>
    <w:rsid w:val="00D150F1"/>
    <w:rsid w:val="00D21866"/>
    <w:rsid w:val="00D22448"/>
    <w:rsid w:val="00D2329F"/>
    <w:rsid w:val="00D23B37"/>
    <w:rsid w:val="00D25C2A"/>
    <w:rsid w:val="00D26AD1"/>
    <w:rsid w:val="00D34E69"/>
    <w:rsid w:val="00D3525B"/>
    <w:rsid w:val="00D3597A"/>
    <w:rsid w:val="00D414C4"/>
    <w:rsid w:val="00D41D8F"/>
    <w:rsid w:val="00D43673"/>
    <w:rsid w:val="00D509C0"/>
    <w:rsid w:val="00D54B1E"/>
    <w:rsid w:val="00D55279"/>
    <w:rsid w:val="00D605AD"/>
    <w:rsid w:val="00D61717"/>
    <w:rsid w:val="00D61EB7"/>
    <w:rsid w:val="00D62DE4"/>
    <w:rsid w:val="00D649C3"/>
    <w:rsid w:val="00D64CD1"/>
    <w:rsid w:val="00D652C6"/>
    <w:rsid w:val="00D714D6"/>
    <w:rsid w:val="00D75E7D"/>
    <w:rsid w:val="00D77259"/>
    <w:rsid w:val="00D809A1"/>
    <w:rsid w:val="00D80A2F"/>
    <w:rsid w:val="00D80A6A"/>
    <w:rsid w:val="00D8459F"/>
    <w:rsid w:val="00D90503"/>
    <w:rsid w:val="00D97FCF"/>
    <w:rsid w:val="00DA0B09"/>
    <w:rsid w:val="00DA0D98"/>
    <w:rsid w:val="00DA298D"/>
    <w:rsid w:val="00DA314E"/>
    <w:rsid w:val="00DA316F"/>
    <w:rsid w:val="00DA5487"/>
    <w:rsid w:val="00DA578B"/>
    <w:rsid w:val="00DB19D7"/>
    <w:rsid w:val="00DC626B"/>
    <w:rsid w:val="00DC7C24"/>
    <w:rsid w:val="00DD1377"/>
    <w:rsid w:val="00DD273D"/>
    <w:rsid w:val="00DD2C84"/>
    <w:rsid w:val="00DD39F0"/>
    <w:rsid w:val="00DD4FD1"/>
    <w:rsid w:val="00DD57A6"/>
    <w:rsid w:val="00DD5E1D"/>
    <w:rsid w:val="00DD7A56"/>
    <w:rsid w:val="00DE0D31"/>
    <w:rsid w:val="00DE44A1"/>
    <w:rsid w:val="00DE607C"/>
    <w:rsid w:val="00DE7391"/>
    <w:rsid w:val="00DF1963"/>
    <w:rsid w:val="00DF21BC"/>
    <w:rsid w:val="00DF2D36"/>
    <w:rsid w:val="00DF372D"/>
    <w:rsid w:val="00DF417A"/>
    <w:rsid w:val="00DF4801"/>
    <w:rsid w:val="00E01523"/>
    <w:rsid w:val="00E0180B"/>
    <w:rsid w:val="00E01E2E"/>
    <w:rsid w:val="00E02444"/>
    <w:rsid w:val="00E02AE5"/>
    <w:rsid w:val="00E03746"/>
    <w:rsid w:val="00E0683E"/>
    <w:rsid w:val="00E07AA6"/>
    <w:rsid w:val="00E07BE5"/>
    <w:rsid w:val="00E121DB"/>
    <w:rsid w:val="00E1528E"/>
    <w:rsid w:val="00E167DF"/>
    <w:rsid w:val="00E16EB1"/>
    <w:rsid w:val="00E20BA6"/>
    <w:rsid w:val="00E22084"/>
    <w:rsid w:val="00E258B7"/>
    <w:rsid w:val="00E31D51"/>
    <w:rsid w:val="00E34C1D"/>
    <w:rsid w:val="00E34EDC"/>
    <w:rsid w:val="00E401A0"/>
    <w:rsid w:val="00E41EF1"/>
    <w:rsid w:val="00E43D90"/>
    <w:rsid w:val="00E456F8"/>
    <w:rsid w:val="00E4595C"/>
    <w:rsid w:val="00E47114"/>
    <w:rsid w:val="00E50B73"/>
    <w:rsid w:val="00E5220E"/>
    <w:rsid w:val="00E5356F"/>
    <w:rsid w:val="00E53939"/>
    <w:rsid w:val="00E56FB2"/>
    <w:rsid w:val="00E5721B"/>
    <w:rsid w:val="00E60178"/>
    <w:rsid w:val="00E6786A"/>
    <w:rsid w:val="00E70F77"/>
    <w:rsid w:val="00E726BD"/>
    <w:rsid w:val="00E745C1"/>
    <w:rsid w:val="00E7547F"/>
    <w:rsid w:val="00E75E97"/>
    <w:rsid w:val="00E76571"/>
    <w:rsid w:val="00E81FA9"/>
    <w:rsid w:val="00E86144"/>
    <w:rsid w:val="00E905FE"/>
    <w:rsid w:val="00E906B7"/>
    <w:rsid w:val="00E94211"/>
    <w:rsid w:val="00E95933"/>
    <w:rsid w:val="00E969C6"/>
    <w:rsid w:val="00EA0287"/>
    <w:rsid w:val="00EA0532"/>
    <w:rsid w:val="00EA0819"/>
    <w:rsid w:val="00EA1393"/>
    <w:rsid w:val="00EA28FF"/>
    <w:rsid w:val="00EA2FEB"/>
    <w:rsid w:val="00EA38F6"/>
    <w:rsid w:val="00EA5541"/>
    <w:rsid w:val="00EB0DF7"/>
    <w:rsid w:val="00EB1067"/>
    <w:rsid w:val="00EB1393"/>
    <w:rsid w:val="00EB3CC0"/>
    <w:rsid w:val="00EB5E97"/>
    <w:rsid w:val="00EB655A"/>
    <w:rsid w:val="00EC067A"/>
    <w:rsid w:val="00EC0BDF"/>
    <w:rsid w:val="00EC5124"/>
    <w:rsid w:val="00EC5A3D"/>
    <w:rsid w:val="00EC7B10"/>
    <w:rsid w:val="00EC7CA3"/>
    <w:rsid w:val="00ED01AD"/>
    <w:rsid w:val="00ED3E5D"/>
    <w:rsid w:val="00ED3F24"/>
    <w:rsid w:val="00ED62C2"/>
    <w:rsid w:val="00ED6539"/>
    <w:rsid w:val="00ED7888"/>
    <w:rsid w:val="00EE232E"/>
    <w:rsid w:val="00EE54A0"/>
    <w:rsid w:val="00EE5E82"/>
    <w:rsid w:val="00EF75F1"/>
    <w:rsid w:val="00F0115E"/>
    <w:rsid w:val="00F02281"/>
    <w:rsid w:val="00F0299B"/>
    <w:rsid w:val="00F03EDA"/>
    <w:rsid w:val="00F05CB7"/>
    <w:rsid w:val="00F143A7"/>
    <w:rsid w:val="00F14717"/>
    <w:rsid w:val="00F16F6A"/>
    <w:rsid w:val="00F2113F"/>
    <w:rsid w:val="00F24868"/>
    <w:rsid w:val="00F261AD"/>
    <w:rsid w:val="00F26BDA"/>
    <w:rsid w:val="00F27AD4"/>
    <w:rsid w:val="00F336D4"/>
    <w:rsid w:val="00F41FF2"/>
    <w:rsid w:val="00F435C6"/>
    <w:rsid w:val="00F43DB6"/>
    <w:rsid w:val="00F454B7"/>
    <w:rsid w:val="00F45A02"/>
    <w:rsid w:val="00F461D9"/>
    <w:rsid w:val="00F52001"/>
    <w:rsid w:val="00F57783"/>
    <w:rsid w:val="00F61A8D"/>
    <w:rsid w:val="00F634EA"/>
    <w:rsid w:val="00F67691"/>
    <w:rsid w:val="00F74675"/>
    <w:rsid w:val="00F74D52"/>
    <w:rsid w:val="00F77126"/>
    <w:rsid w:val="00F77C6B"/>
    <w:rsid w:val="00F82A57"/>
    <w:rsid w:val="00F82B0C"/>
    <w:rsid w:val="00F83B7D"/>
    <w:rsid w:val="00F84C91"/>
    <w:rsid w:val="00F90FA8"/>
    <w:rsid w:val="00F94756"/>
    <w:rsid w:val="00F967ED"/>
    <w:rsid w:val="00FA2260"/>
    <w:rsid w:val="00FA4BB2"/>
    <w:rsid w:val="00FA4D8D"/>
    <w:rsid w:val="00FA7787"/>
    <w:rsid w:val="00FA7F7F"/>
    <w:rsid w:val="00FB1B6F"/>
    <w:rsid w:val="00FB592F"/>
    <w:rsid w:val="00FB5EDB"/>
    <w:rsid w:val="00FD0D85"/>
    <w:rsid w:val="00FD1A25"/>
    <w:rsid w:val="00FD269E"/>
    <w:rsid w:val="00FD6728"/>
    <w:rsid w:val="00FE0F25"/>
    <w:rsid w:val="00FE1FE0"/>
    <w:rsid w:val="00FE34F1"/>
    <w:rsid w:val="00FE5395"/>
    <w:rsid w:val="00FE5FDE"/>
    <w:rsid w:val="00FE6592"/>
    <w:rsid w:val="00FE737E"/>
    <w:rsid w:val="00FF064E"/>
    <w:rsid w:val="00FF1FFE"/>
    <w:rsid w:val="00FF2C8A"/>
    <w:rsid w:val="00FF5446"/>
    <w:rsid w:val="2442373E"/>
    <w:rsid w:val="44719706"/>
    <w:rsid w:val="45CC08AD"/>
    <w:rsid w:val="4A2D42CB"/>
    <w:rsid w:val="6EAF8899"/>
    <w:rsid w:val="77945B2E"/>
    <w:rsid w:val="79FD70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82B15"/>
  <w15:chartTrackingRefBased/>
  <w15:docId w15:val="{AFD4F9F1-19C6-40C3-B0AA-F99AA1372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24A"/>
    <w:pPr>
      <w:spacing w:after="120" w:line="360" w:lineRule="auto"/>
      <w:jc w:val="both"/>
    </w:pPr>
    <w:rPr>
      <w:rFonts w:ascii="Aptos" w:hAnsi="Aptos"/>
      <w:sz w:val="22"/>
      <w:lang w:val="en-US"/>
    </w:rPr>
  </w:style>
  <w:style w:type="paragraph" w:styleId="Balk1">
    <w:name w:val="heading 1"/>
    <w:basedOn w:val="Normal"/>
    <w:next w:val="Normal"/>
    <w:link w:val="Balk1Char"/>
    <w:qFormat/>
    <w:rsid w:val="00F14717"/>
    <w:pPr>
      <w:widowControl w:val="0"/>
      <w:tabs>
        <w:tab w:val="right" w:leader="dot" w:pos="9056"/>
        <w:tab w:val="right" w:pos="11998"/>
      </w:tabs>
      <w:spacing w:before="60" w:after="0"/>
      <w:jc w:val="left"/>
      <w:outlineLvl w:val="0"/>
    </w:pPr>
  </w:style>
  <w:style w:type="paragraph" w:styleId="Balk2">
    <w:name w:val="heading 2"/>
    <w:basedOn w:val="Normal"/>
    <w:next w:val="Normal"/>
    <w:link w:val="Balk2Char"/>
    <w:uiPriority w:val="9"/>
    <w:unhideWhenUsed/>
    <w:qFormat/>
    <w:rsid w:val="00CF1550"/>
    <w:pPr>
      <w:keepNext/>
      <w:keepLines/>
      <w:numPr>
        <w:numId w:val="137"/>
      </w:numPr>
      <w:spacing w:before="160" w:after="80"/>
      <w:outlineLvl w:val="1"/>
    </w:pPr>
    <w:rPr>
      <w:rFonts w:eastAsiaTheme="majorEastAsia" w:cstheme="majorBidi"/>
      <w:b/>
      <w:color w:val="000000" w:themeColor="text1"/>
      <w:sz w:val="24"/>
      <w:szCs w:val="32"/>
    </w:rPr>
  </w:style>
  <w:style w:type="paragraph" w:styleId="Balk3">
    <w:name w:val="heading 3"/>
    <w:basedOn w:val="Normal"/>
    <w:next w:val="Normal"/>
    <w:link w:val="Balk3Char"/>
    <w:uiPriority w:val="9"/>
    <w:unhideWhenUsed/>
    <w:qFormat/>
    <w:rsid w:val="00CF1550"/>
    <w:pPr>
      <w:keepNext/>
      <w:keepLines/>
      <w:spacing w:before="160" w:after="80"/>
      <w:outlineLvl w:val="2"/>
    </w:pPr>
    <w:rPr>
      <w:rFonts w:eastAsiaTheme="majorEastAsia" w:cstheme="majorBidi"/>
      <w:b/>
      <w:color w:val="000000" w:themeColor="text1"/>
      <w:szCs w:val="28"/>
    </w:rPr>
  </w:style>
  <w:style w:type="paragraph" w:styleId="Balk4">
    <w:name w:val="heading 4"/>
    <w:basedOn w:val="Normal"/>
    <w:next w:val="Normal"/>
    <w:link w:val="Balk4Char"/>
    <w:uiPriority w:val="9"/>
    <w:unhideWhenUsed/>
    <w:qFormat/>
    <w:rsid w:val="00357526"/>
    <w:pPr>
      <w:keepNext/>
      <w:keepLines/>
      <w:spacing w:before="80" w:after="40"/>
      <w:outlineLvl w:val="3"/>
    </w:pPr>
    <w:rPr>
      <w:rFonts w:eastAsiaTheme="majorEastAsia" w:cstheme="majorBidi"/>
      <w:i/>
      <w:iCs/>
      <w:color w:val="2F5496" w:themeColor="accent1" w:themeShade="BF"/>
    </w:rPr>
  </w:style>
  <w:style w:type="paragraph" w:styleId="Balk5">
    <w:name w:val="heading 5"/>
    <w:aliases w:val="Başlık 4-"/>
    <w:basedOn w:val="Balk4"/>
    <w:next w:val="Normal"/>
    <w:link w:val="Balk5Char"/>
    <w:uiPriority w:val="9"/>
    <w:unhideWhenUsed/>
    <w:qFormat/>
    <w:rsid w:val="00890057"/>
    <w:pPr>
      <w:outlineLvl w:val="4"/>
    </w:pPr>
    <w:rPr>
      <w:b/>
      <w:color w:val="000000" w:themeColor="text1"/>
    </w:rPr>
  </w:style>
  <w:style w:type="paragraph" w:styleId="Balk6">
    <w:name w:val="heading 6"/>
    <w:basedOn w:val="Normal"/>
    <w:next w:val="Normal"/>
    <w:link w:val="Balk6Char"/>
    <w:uiPriority w:val="9"/>
    <w:unhideWhenUsed/>
    <w:qFormat/>
    <w:rsid w:val="0035752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unhideWhenUsed/>
    <w:qFormat/>
    <w:rsid w:val="00890057"/>
    <w:pPr>
      <w:keepNext/>
      <w:keepLines/>
      <w:spacing w:before="40" w:after="0"/>
      <w:outlineLvl w:val="6"/>
    </w:pPr>
    <w:rPr>
      <w:rFonts w:eastAsiaTheme="majorEastAsia" w:cstheme="majorBidi"/>
      <w:b/>
      <w:i/>
      <w:color w:val="000000" w:themeColor="text1"/>
    </w:rPr>
  </w:style>
  <w:style w:type="paragraph" w:styleId="Balk8">
    <w:name w:val="heading 8"/>
    <w:basedOn w:val="Normal"/>
    <w:next w:val="Normal"/>
    <w:link w:val="Balk8Char"/>
    <w:uiPriority w:val="9"/>
    <w:semiHidden/>
    <w:unhideWhenUsed/>
    <w:qFormat/>
    <w:rsid w:val="0035752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5752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F14717"/>
    <w:rPr>
      <w:rFonts w:ascii="Aptos" w:hAnsi="Aptos"/>
      <w:sz w:val="22"/>
      <w:lang w:val="en-US"/>
    </w:rPr>
  </w:style>
  <w:style w:type="character" w:customStyle="1" w:styleId="Balk2Char">
    <w:name w:val="Başlık 2 Char"/>
    <w:basedOn w:val="VarsaylanParagrafYazTipi"/>
    <w:link w:val="Balk2"/>
    <w:uiPriority w:val="9"/>
    <w:rsid w:val="00CF1550"/>
    <w:rPr>
      <w:rFonts w:ascii="Aptos" w:eastAsiaTheme="majorEastAsia" w:hAnsi="Aptos" w:cstheme="majorBidi"/>
      <w:b/>
      <w:color w:val="000000" w:themeColor="text1"/>
      <w:szCs w:val="32"/>
      <w:lang w:val="en-US"/>
    </w:rPr>
  </w:style>
  <w:style w:type="character" w:customStyle="1" w:styleId="Balk3Char">
    <w:name w:val="Başlık 3 Char"/>
    <w:basedOn w:val="VarsaylanParagrafYazTipi"/>
    <w:link w:val="Balk3"/>
    <w:uiPriority w:val="9"/>
    <w:rsid w:val="00CF1550"/>
    <w:rPr>
      <w:rFonts w:ascii="Aptos" w:eastAsiaTheme="majorEastAsia" w:hAnsi="Aptos" w:cstheme="majorBidi"/>
      <w:b/>
      <w:color w:val="000000" w:themeColor="text1"/>
      <w:sz w:val="22"/>
      <w:szCs w:val="28"/>
    </w:rPr>
  </w:style>
  <w:style w:type="character" w:customStyle="1" w:styleId="Balk4Char">
    <w:name w:val="Başlık 4 Char"/>
    <w:basedOn w:val="VarsaylanParagrafYazTipi"/>
    <w:link w:val="Balk4"/>
    <w:uiPriority w:val="9"/>
    <w:rsid w:val="00357526"/>
    <w:rPr>
      <w:rFonts w:eastAsiaTheme="majorEastAsia" w:cstheme="majorBidi"/>
      <w:i/>
      <w:iCs/>
      <w:color w:val="2F5496" w:themeColor="accent1" w:themeShade="BF"/>
    </w:rPr>
  </w:style>
  <w:style w:type="character" w:customStyle="1" w:styleId="Balk5Char">
    <w:name w:val="Başlık 5 Char"/>
    <w:aliases w:val="Başlık 4- Char"/>
    <w:basedOn w:val="VarsaylanParagrafYazTipi"/>
    <w:link w:val="Balk5"/>
    <w:uiPriority w:val="9"/>
    <w:rsid w:val="00890057"/>
    <w:rPr>
      <w:rFonts w:ascii="Aptos" w:eastAsiaTheme="majorEastAsia" w:hAnsi="Aptos" w:cstheme="majorBidi"/>
      <w:b/>
      <w:i/>
      <w:iCs/>
      <w:color w:val="000000" w:themeColor="text1"/>
      <w:sz w:val="22"/>
    </w:rPr>
  </w:style>
  <w:style w:type="character" w:customStyle="1" w:styleId="Balk6Char">
    <w:name w:val="Başlık 6 Char"/>
    <w:basedOn w:val="VarsaylanParagrafYazTipi"/>
    <w:link w:val="Balk6"/>
    <w:uiPriority w:val="9"/>
    <w:rsid w:val="0035752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rsid w:val="00890057"/>
    <w:rPr>
      <w:rFonts w:ascii="Aptos" w:eastAsiaTheme="majorEastAsia" w:hAnsi="Aptos" w:cstheme="majorBidi"/>
      <w:b/>
      <w:i/>
      <w:color w:val="000000" w:themeColor="text1"/>
      <w:sz w:val="22"/>
    </w:rPr>
  </w:style>
  <w:style w:type="character" w:customStyle="1" w:styleId="Balk8Char">
    <w:name w:val="Başlık 8 Char"/>
    <w:basedOn w:val="VarsaylanParagrafYazTipi"/>
    <w:link w:val="Balk8"/>
    <w:uiPriority w:val="9"/>
    <w:semiHidden/>
    <w:rsid w:val="0035752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57526"/>
    <w:rPr>
      <w:rFonts w:eastAsiaTheme="majorEastAsia" w:cstheme="majorBidi"/>
      <w:color w:val="272727" w:themeColor="text1" w:themeTint="D8"/>
    </w:rPr>
  </w:style>
  <w:style w:type="paragraph" w:styleId="KonuBal">
    <w:name w:val="Title"/>
    <w:basedOn w:val="Normal"/>
    <w:next w:val="Normal"/>
    <w:link w:val="KonuBalChar"/>
    <w:uiPriority w:val="10"/>
    <w:qFormat/>
    <w:rsid w:val="003575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57526"/>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57526"/>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57526"/>
    <w:rPr>
      <w:rFonts w:eastAsiaTheme="majorEastAsia" w:cstheme="majorBidi"/>
      <w:color w:val="595959" w:themeColor="text1" w:themeTint="A6"/>
      <w:spacing w:val="15"/>
      <w:sz w:val="28"/>
      <w:szCs w:val="28"/>
    </w:rPr>
  </w:style>
  <w:style w:type="paragraph" w:styleId="Alnt">
    <w:name w:val="Quote"/>
    <w:aliases w:val="Alıntı Dip Not"/>
    <w:basedOn w:val="Normal"/>
    <w:next w:val="Normal"/>
    <w:link w:val="AlntChar"/>
    <w:uiPriority w:val="29"/>
    <w:qFormat/>
    <w:rsid w:val="00F634EA"/>
    <w:pPr>
      <w:spacing w:before="160" w:line="240" w:lineRule="auto"/>
      <w:jc w:val="center"/>
    </w:pPr>
    <w:rPr>
      <w:i/>
      <w:iCs/>
      <w:color w:val="1F4E79" w:themeColor="accent5" w:themeShade="80"/>
      <w:sz w:val="16"/>
    </w:rPr>
  </w:style>
  <w:style w:type="character" w:customStyle="1" w:styleId="AlntChar">
    <w:name w:val="Alıntı Char"/>
    <w:aliases w:val="Alıntı Dip Not Char"/>
    <w:basedOn w:val="VarsaylanParagrafYazTipi"/>
    <w:link w:val="Alnt"/>
    <w:uiPriority w:val="29"/>
    <w:rsid w:val="00F634EA"/>
    <w:rPr>
      <w:rFonts w:ascii="Aptos" w:hAnsi="Aptos"/>
      <w:i/>
      <w:iCs/>
      <w:color w:val="1F4E79" w:themeColor="accent5" w:themeShade="80"/>
      <w:sz w:val="16"/>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357526"/>
    <w:pPr>
      <w:ind w:left="720"/>
      <w:contextualSpacing/>
    </w:pPr>
  </w:style>
  <w:style w:type="character" w:styleId="GlVurgulama">
    <w:name w:val="Intense Emphasis"/>
    <w:basedOn w:val="VarsaylanParagrafYazTipi"/>
    <w:uiPriority w:val="21"/>
    <w:qFormat/>
    <w:rsid w:val="00357526"/>
    <w:rPr>
      <w:i/>
      <w:iCs/>
      <w:color w:val="2F5496" w:themeColor="accent1" w:themeShade="BF"/>
    </w:rPr>
  </w:style>
  <w:style w:type="paragraph" w:styleId="GlAlnt">
    <w:name w:val="Intense Quote"/>
    <w:basedOn w:val="Normal"/>
    <w:next w:val="Normal"/>
    <w:link w:val="GlAlntChar"/>
    <w:uiPriority w:val="30"/>
    <w:qFormat/>
    <w:rsid w:val="003575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357526"/>
    <w:rPr>
      <w:i/>
      <w:iCs/>
      <w:color w:val="2F5496" w:themeColor="accent1" w:themeShade="BF"/>
    </w:rPr>
  </w:style>
  <w:style w:type="character" w:styleId="GlBavuru">
    <w:name w:val="Intense Reference"/>
    <w:basedOn w:val="VarsaylanParagrafYazTipi"/>
    <w:uiPriority w:val="32"/>
    <w:qFormat/>
    <w:rsid w:val="00357526"/>
    <w:rPr>
      <w:b/>
      <w:bCs/>
      <w:smallCaps/>
      <w:color w:val="2F5496" w:themeColor="accent1" w:themeShade="BF"/>
      <w:spacing w:val="5"/>
    </w:rPr>
  </w:style>
  <w:style w:type="paragraph" w:styleId="stBilgi">
    <w:name w:val="header"/>
    <w:aliases w:val="h,Header AGT ESIA ,h Char Char,Header AGT ESIA"/>
    <w:basedOn w:val="Normal"/>
    <w:link w:val="stBilgiChar"/>
    <w:uiPriority w:val="99"/>
    <w:unhideWhenUsed/>
    <w:rsid w:val="005A424A"/>
    <w:pPr>
      <w:tabs>
        <w:tab w:val="center" w:pos="4536"/>
        <w:tab w:val="right" w:pos="9072"/>
      </w:tabs>
      <w:spacing w:after="0" w:line="240" w:lineRule="auto"/>
    </w:pPr>
  </w:style>
  <w:style w:type="character" w:customStyle="1" w:styleId="stBilgiChar">
    <w:name w:val="Üst Bilgi Char"/>
    <w:aliases w:val="h Char,Header AGT ESIA  Char,h Char Char Char,Header AGT ESIA Char"/>
    <w:basedOn w:val="VarsaylanParagrafYazTipi"/>
    <w:link w:val="stBilgi"/>
    <w:uiPriority w:val="99"/>
    <w:rsid w:val="005A424A"/>
    <w:rPr>
      <w:rFonts w:ascii="Aptos" w:hAnsi="Aptos"/>
      <w:sz w:val="22"/>
    </w:rPr>
  </w:style>
  <w:style w:type="paragraph" w:styleId="AltBilgi">
    <w:name w:val="footer"/>
    <w:aliases w:val="Page Footer,AGT ESIA ,Char"/>
    <w:basedOn w:val="Normal"/>
    <w:link w:val="AltBilgiChar"/>
    <w:uiPriority w:val="99"/>
    <w:unhideWhenUsed/>
    <w:rsid w:val="005A424A"/>
    <w:pPr>
      <w:tabs>
        <w:tab w:val="center" w:pos="4536"/>
        <w:tab w:val="right" w:pos="9072"/>
      </w:tabs>
      <w:spacing w:after="0" w:line="240" w:lineRule="auto"/>
    </w:pPr>
  </w:style>
  <w:style w:type="character" w:customStyle="1" w:styleId="AltBilgiChar">
    <w:name w:val="Alt Bilgi Char"/>
    <w:aliases w:val="Page Footer Char,AGT ESIA  Char,Char Char"/>
    <w:basedOn w:val="VarsaylanParagrafYazTipi"/>
    <w:link w:val="AltBilgi"/>
    <w:uiPriority w:val="99"/>
    <w:rsid w:val="005A424A"/>
    <w:rPr>
      <w:rFonts w:ascii="Aptos" w:hAnsi="Aptos"/>
      <w:sz w:val="22"/>
    </w:rPr>
  </w:style>
  <w:style w:type="table" w:styleId="TabloKlavuzu">
    <w:name w:val="Table Grid"/>
    <w:basedOn w:val="NormalTablo"/>
    <w:uiPriority w:val="39"/>
    <w:rsid w:val="005A4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illerveTablolar">
    <w:name w:val="Şekiller ve Tablolar"/>
    <w:next w:val="Normal"/>
    <w:link w:val="ekillerveTablolarChar"/>
    <w:qFormat/>
    <w:rsid w:val="004B45A3"/>
    <w:pPr>
      <w:jc w:val="center"/>
    </w:pPr>
    <w:rPr>
      <w:rFonts w:ascii="Aptos" w:eastAsiaTheme="majorEastAsia" w:hAnsi="Aptos" w:cstheme="majorBidi"/>
      <w:b/>
      <w:i/>
      <w:color w:val="000000" w:themeColor="text1"/>
      <w:sz w:val="20"/>
      <w:szCs w:val="28"/>
    </w:rPr>
  </w:style>
  <w:style w:type="character" w:customStyle="1" w:styleId="ekillerveTablolarChar">
    <w:name w:val="Şekiller ve Tablolar Char"/>
    <w:basedOn w:val="Balk3Char"/>
    <w:link w:val="ekillerveTablolar"/>
    <w:rsid w:val="004B45A3"/>
    <w:rPr>
      <w:rFonts w:ascii="Aptos" w:eastAsiaTheme="majorEastAsia" w:hAnsi="Aptos" w:cstheme="majorBidi"/>
      <w:b/>
      <w:i/>
      <w:color w:val="000000" w:themeColor="text1"/>
      <w:sz w:val="20"/>
      <w:szCs w:val="28"/>
    </w:rPr>
  </w:style>
  <w:style w:type="paragraph" w:customStyle="1" w:styleId="Kaynaka">
    <w:name w:val="Kaynakça"/>
    <w:next w:val="Normal"/>
    <w:link w:val="KaynakaChar"/>
    <w:qFormat/>
    <w:rsid w:val="004B45A3"/>
    <w:rPr>
      <w:rFonts w:ascii="Aptos" w:eastAsiaTheme="majorEastAsia" w:hAnsi="Aptos" w:cstheme="majorBidi"/>
      <w:b/>
      <w:i/>
      <w:color w:val="000000" w:themeColor="text1"/>
      <w:sz w:val="18"/>
      <w:szCs w:val="28"/>
    </w:rPr>
  </w:style>
  <w:style w:type="character" w:customStyle="1" w:styleId="KaynakaChar">
    <w:name w:val="Kaynakça Char"/>
    <w:basedOn w:val="ekillerveTablolarChar"/>
    <w:link w:val="Kaynaka"/>
    <w:rsid w:val="004B45A3"/>
    <w:rPr>
      <w:rFonts w:ascii="Aptos" w:eastAsiaTheme="majorEastAsia" w:hAnsi="Aptos" w:cstheme="majorBidi"/>
      <w:b/>
      <w:i/>
      <w:color w:val="000000" w:themeColor="text1"/>
      <w:sz w:val="18"/>
      <w:szCs w:val="28"/>
    </w:rPr>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qFormat/>
    <w:rsid w:val="00F634EA"/>
    <w:pPr>
      <w:spacing w:after="0" w:line="240" w:lineRule="auto"/>
    </w:pPr>
    <w:rPr>
      <w:sz w:val="20"/>
      <w:szCs w:val="20"/>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F634EA"/>
    <w:rPr>
      <w:rFonts w:ascii="Aptos" w:hAnsi="Aptos"/>
      <w:sz w:val="20"/>
      <w:szCs w:val="20"/>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
    <w:basedOn w:val="VarsaylanParagrafYazTipi"/>
    <w:link w:val="CarattereCarattereCharCharCharCharCharCharZchn"/>
    <w:uiPriority w:val="99"/>
    <w:unhideWhenUsed/>
    <w:qFormat/>
    <w:rsid w:val="00F634EA"/>
    <w:rPr>
      <w:vertAlign w:val="superscript"/>
    </w:rPr>
  </w:style>
  <w:style w:type="character" w:styleId="Kpr">
    <w:name w:val="Hyperlink"/>
    <w:aliases w:val="Report Table Heading"/>
    <w:basedOn w:val="VarsaylanParagrafYazTipi"/>
    <w:uiPriority w:val="99"/>
    <w:unhideWhenUsed/>
    <w:rsid w:val="00F634EA"/>
    <w:rPr>
      <w:color w:val="0563C1" w:themeColor="hyperlink"/>
      <w:u w:val="single"/>
    </w:r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iPriority w:val="35"/>
    <w:unhideWhenUsed/>
    <w:qFormat/>
    <w:rsid w:val="0081789A"/>
    <w:pPr>
      <w:spacing w:after="200" w:line="240" w:lineRule="auto"/>
    </w:pPr>
    <w:rPr>
      <w:i/>
      <w:iCs/>
      <w:color w:val="000000" w:themeColor="text1"/>
      <w:sz w:val="20"/>
      <w:szCs w:val="18"/>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4E55AE"/>
    <w:rPr>
      <w:rFonts w:ascii="Aptos" w:hAnsi="Aptos"/>
      <w:sz w:val="22"/>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uiPriority w:val="99"/>
    <w:rsid w:val="004E55AE"/>
    <w:pPr>
      <w:spacing w:line="240" w:lineRule="exact"/>
    </w:pPr>
    <w:rPr>
      <w:rFonts w:asciiTheme="minorHAnsi" w:hAnsiTheme="minorHAnsi"/>
      <w:sz w:val="24"/>
      <w:vertAlign w:val="superscript"/>
    </w:rPr>
  </w:style>
  <w:style w:type="table" w:customStyle="1" w:styleId="TabloKlavuzu1">
    <w:name w:val="Tablo Kılavuzu1"/>
    <w:basedOn w:val="NormalTablo"/>
    <w:next w:val="TabloKlavuzu"/>
    <w:rsid w:val="00C37BE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VarsaylanParagrafYazTipi"/>
    <w:rsid w:val="00980A37"/>
  </w:style>
  <w:style w:type="character" w:customStyle="1" w:styleId="eop">
    <w:name w:val="eop"/>
    <w:basedOn w:val="VarsaylanParagrafYazTipi"/>
    <w:rsid w:val="00980A37"/>
  </w:style>
  <w:style w:type="paragraph" w:customStyle="1" w:styleId="TableParagraph">
    <w:name w:val="Table Paragraph"/>
    <w:basedOn w:val="Normal"/>
    <w:uiPriority w:val="1"/>
    <w:qFormat/>
    <w:rsid w:val="00DF372D"/>
    <w:pPr>
      <w:widowControl w:val="0"/>
      <w:autoSpaceDE w:val="0"/>
      <w:autoSpaceDN w:val="0"/>
      <w:spacing w:after="0" w:line="247" w:lineRule="exact"/>
      <w:jc w:val="center"/>
    </w:pPr>
    <w:rPr>
      <w:rFonts w:asciiTheme="minorHAnsi" w:eastAsia="Arial" w:hAnsiTheme="minorHAnsi" w:cs="Arial"/>
      <w:b/>
      <w:i/>
      <w:kern w:val="0"/>
      <w:sz w:val="20"/>
      <w:szCs w:val="22"/>
      <w14:ligatures w14:val="none"/>
    </w:rPr>
  </w:style>
  <w:style w:type="paragraph" w:styleId="BalonMetni">
    <w:name w:val="Balloon Text"/>
    <w:basedOn w:val="Normal"/>
    <w:link w:val="BalonMetniChar"/>
    <w:uiPriority w:val="99"/>
    <w:semiHidden/>
    <w:unhideWhenUsed/>
    <w:rsid w:val="008E433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433A"/>
    <w:rPr>
      <w:rFonts w:ascii="Segoe UI" w:hAnsi="Segoe UI" w:cs="Segoe UI"/>
      <w:sz w:val="18"/>
      <w:szCs w:val="18"/>
    </w:rPr>
  </w:style>
  <w:style w:type="character" w:styleId="AklamaBavurusu">
    <w:name w:val="annotation reference"/>
    <w:basedOn w:val="VarsaylanParagrafYazTipi"/>
    <w:uiPriority w:val="99"/>
    <w:unhideWhenUsed/>
    <w:rsid w:val="00A30388"/>
    <w:rPr>
      <w:sz w:val="16"/>
      <w:szCs w:val="16"/>
    </w:rPr>
  </w:style>
  <w:style w:type="paragraph" w:styleId="AklamaMetni">
    <w:name w:val="annotation text"/>
    <w:basedOn w:val="Normal"/>
    <w:link w:val="AklamaMetniChar"/>
    <w:uiPriority w:val="99"/>
    <w:unhideWhenUsed/>
    <w:rsid w:val="00A30388"/>
    <w:pPr>
      <w:spacing w:line="240" w:lineRule="auto"/>
    </w:pPr>
    <w:rPr>
      <w:rFonts w:eastAsia="Aptos" w:cs="Aptos"/>
      <w:kern w:val="0"/>
      <w:sz w:val="20"/>
      <w:szCs w:val="20"/>
      <w:lang w:val="tr" w:eastAsia="tr-TR"/>
      <w14:ligatures w14:val="none"/>
    </w:rPr>
  </w:style>
  <w:style w:type="character" w:customStyle="1" w:styleId="AklamaMetniChar">
    <w:name w:val="Açıklama Metni Char"/>
    <w:basedOn w:val="VarsaylanParagrafYazTipi"/>
    <w:link w:val="AklamaMetni"/>
    <w:uiPriority w:val="99"/>
    <w:rsid w:val="00A30388"/>
    <w:rPr>
      <w:rFonts w:ascii="Aptos" w:eastAsia="Aptos" w:hAnsi="Aptos" w:cs="Aptos"/>
      <w:kern w:val="0"/>
      <w:sz w:val="20"/>
      <w:szCs w:val="20"/>
      <w:lang w:val="tr" w:eastAsia="tr-TR"/>
      <w14:ligatures w14:val="none"/>
    </w:rPr>
  </w:style>
  <w:style w:type="table" w:customStyle="1" w:styleId="TableNormal">
    <w:name w:val="TableNormal"/>
    <w:rsid w:val="005A1494"/>
    <w:pPr>
      <w:spacing w:after="120" w:line="360" w:lineRule="auto"/>
      <w:jc w:val="both"/>
    </w:pPr>
    <w:rPr>
      <w:rFonts w:ascii="Aptos" w:eastAsia="Aptos" w:hAnsi="Aptos" w:cs="Aptos"/>
      <w:kern w:val="0"/>
      <w:sz w:val="22"/>
      <w:szCs w:val="22"/>
      <w:lang w:val="tr" w:eastAsia="tr-TR"/>
      <w14:ligatures w14:val="none"/>
    </w:rPr>
    <w:tblPr>
      <w:tblCellMar>
        <w:top w:w="0" w:type="dxa"/>
        <w:left w:w="0" w:type="dxa"/>
        <w:bottom w:w="0" w:type="dxa"/>
        <w:right w:w="0" w:type="dxa"/>
      </w:tblCellMar>
    </w:tblPr>
  </w:style>
  <w:style w:type="table" w:customStyle="1" w:styleId="Stil1">
    <w:name w:val="Stil1"/>
    <w:basedOn w:val="NormalTablo"/>
    <w:rsid w:val="005A1494"/>
    <w:pPr>
      <w:spacing w:after="0" w:line="240" w:lineRule="auto"/>
      <w:jc w:val="both"/>
    </w:pPr>
    <w:rPr>
      <w:rFonts w:ascii="Tahoma" w:eastAsia="Times New Roman" w:hAnsi="Tahoma" w:cs="Times New Roman"/>
      <w:color w:val="000000"/>
      <w:kern w:val="0"/>
      <w:sz w:val="20"/>
      <w:szCs w:val="20"/>
      <w:lang w:val="tr" w:eastAsia="tr-TR"/>
      <w14:ligatures w14:val="none"/>
    </w:rPr>
    <w:tblPr>
      <w:tblBorders>
        <w:top w:val="single" w:sz="4" w:space="0" w:color="auto"/>
        <w:bottom w:val="single" w:sz="4" w:space="0" w:color="auto"/>
        <w:insideH w:val="single" w:sz="4" w:space="0" w:color="auto"/>
      </w:tblBorders>
    </w:tblPr>
    <w:tblStylePr w:type="firstRow">
      <w:rPr>
        <w:color w:val="5B9BD5"/>
      </w:rPr>
    </w:tblStylePr>
  </w:style>
  <w:style w:type="character" w:styleId="Vurgu">
    <w:name w:val="Emphasis"/>
    <w:basedOn w:val="VarsaylanParagrafYazTipi"/>
    <w:uiPriority w:val="20"/>
    <w:qFormat/>
    <w:rsid w:val="005A1494"/>
    <w:rPr>
      <w:i/>
      <w:iCs/>
    </w:rPr>
  </w:style>
  <w:style w:type="paragraph" w:styleId="GvdeMetni">
    <w:name w:val="Body Text"/>
    <w:aliases w:val="Gövde Metni Char Char,Gövde Metni Char Char Char Char Char,Gövde Metni Char Char Char, Char,Gövde Metni Char Char1, Char Char, Char Char1, Char Char Char, Char Char Char Char Char Char Char Char Char Char Char Char"/>
    <w:basedOn w:val="Normal"/>
    <w:link w:val="GvdeMetniChar"/>
    <w:qFormat/>
    <w:rsid w:val="005A1494"/>
    <w:pPr>
      <w:spacing w:before="120" w:line="300" w:lineRule="auto"/>
      <w:ind w:left="720"/>
    </w:pPr>
    <w:rPr>
      <w:rFonts w:ascii="Arial" w:eastAsia="Times New Roman" w:hAnsi="Arial" w:cs="Times New Roman"/>
      <w:kern w:val="0"/>
      <w:sz w:val="20"/>
      <w:szCs w:val="20"/>
      <w:lang w:val="tr" w:eastAsia="tr-TR"/>
      <w14:ligatures w14:val="none"/>
    </w:rPr>
  </w:style>
  <w:style w:type="character" w:customStyle="1" w:styleId="GvdeMetniChar">
    <w:name w:val="Gövde Metni Char"/>
    <w:aliases w:val="Gövde Metni Char Char Char1,Gövde Metni Char Char Char Char Char Char,Gövde Metni Char Char Char Char, Char Char2,Gövde Metni Char Char1 Char, Char Char Char1, Char Char1 Char, Char Char Char Char"/>
    <w:basedOn w:val="VarsaylanParagrafYazTipi"/>
    <w:link w:val="GvdeMetni"/>
    <w:rsid w:val="005A1494"/>
    <w:rPr>
      <w:rFonts w:ascii="Arial" w:eastAsia="Times New Roman" w:hAnsi="Arial" w:cs="Times New Roman"/>
      <w:kern w:val="0"/>
      <w:sz w:val="20"/>
      <w:szCs w:val="20"/>
      <w:lang w:val="tr" w:eastAsia="tr-TR"/>
      <w14:ligatures w14:val="none"/>
    </w:rPr>
  </w:style>
  <w:style w:type="paragraph" w:styleId="AralkYok">
    <w:name w:val="No Spacing"/>
    <w:link w:val="AralkYokChar"/>
    <w:uiPriority w:val="1"/>
    <w:qFormat/>
    <w:rsid w:val="005A1494"/>
    <w:pPr>
      <w:spacing w:after="0" w:line="240" w:lineRule="auto"/>
      <w:jc w:val="both"/>
    </w:pPr>
    <w:rPr>
      <w:rFonts w:ascii="Aptos" w:eastAsiaTheme="minorEastAsia" w:hAnsi="Aptos" w:cs="Aptos"/>
      <w:kern w:val="0"/>
      <w:sz w:val="22"/>
      <w:szCs w:val="22"/>
      <w:lang w:val="tr" w:eastAsia="tr-TR"/>
      <w14:ligatures w14:val="none"/>
    </w:rPr>
  </w:style>
  <w:style w:type="character" w:customStyle="1" w:styleId="AralkYokChar">
    <w:name w:val="Aralık Yok Char"/>
    <w:basedOn w:val="VarsaylanParagrafYazTipi"/>
    <w:link w:val="AralkYok"/>
    <w:uiPriority w:val="1"/>
    <w:rsid w:val="005A1494"/>
    <w:rPr>
      <w:rFonts w:ascii="Aptos" w:eastAsiaTheme="minorEastAsia" w:hAnsi="Aptos" w:cs="Aptos"/>
      <w:kern w:val="0"/>
      <w:sz w:val="22"/>
      <w:szCs w:val="22"/>
      <w:lang w:val="tr" w:eastAsia="tr-TR"/>
      <w14:ligatures w14:val="none"/>
    </w:rPr>
  </w:style>
  <w:style w:type="paragraph" w:customStyle="1" w:styleId="TitelProject">
    <w:name w:val="TitelProject"/>
    <w:basedOn w:val="Normal"/>
    <w:rsid w:val="005A1494"/>
    <w:pPr>
      <w:spacing w:before="120" w:after="0" w:line="240" w:lineRule="atLeast"/>
    </w:pPr>
    <w:rPr>
      <w:rFonts w:ascii="Tahoma" w:eastAsia="Aptos" w:hAnsi="Tahoma" w:cs="Tahoma"/>
      <w:b/>
      <w:color w:val="4472C4" w:themeColor="accent1"/>
      <w:kern w:val="16"/>
      <w:sz w:val="48"/>
      <w:szCs w:val="48"/>
      <w:lang w:val="tr" w:eastAsia="tr-TR"/>
      <w14:ligatures w14:val="none"/>
    </w:rPr>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81789A"/>
    <w:rPr>
      <w:rFonts w:ascii="Aptos" w:hAnsi="Aptos"/>
      <w:i/>
      <w:iCs/>
      <w:color w:val="000000" w:themeColor="text1"/>
      <w:sz w:val="20"/>
      <w:szCs w:val="18"/>
    </w:rPr>
  </w:style>
  <w:style w:type="paragraph" w:styleId="ListeNumaras">
    <w:name w:val="List Number"/>
    <w:basedOn w:val="Normal"/>
    <w:autoRedefine/>
    <w:uiPriority w:val="12"/>
    <w:qFormat/>
    <w:rsid w:val="005A1494"/>
    <w:pPr>
      <w:tabs>
        <w:tab w:val="left" w:pos="169"/>
      </w:tabs>
      <w:spacing w:after="0" w:line="240" w:lineRule="auto"/>
    </w:pPr>
    <w:rPr>
      <w:rFonts w:eastAsia="Aptos" w:cs="Aptos"/>
      <w:kern w:val="18"/>
      <w:sz w:val="18"/>
      <w:szCs w:val="18"/>
      <w:lang w:val="tr" w:eastAsia="tr-TR"/>
      <w14:ligatures w14:val="none"/>
    </w:rPr>
  </w:style>
  <w:style w:type="table" w:customStyle="1" w:styleId="DAPPtablestyle2">
    <w:name w:val="DAPP table style 2"/>
    <w:basedOn w:val="NormalTablo"/>
    <w:uiPriority w:val="99"/>
    <w:rsid w:val="005A1494"/>
    <w:pPr>
      <w:spacing w:after="0" w:line="240" w:lineRule="auto"/>
      <w:jc w:val="center"/>
    </w:pPr>
    <w:rPr>
      <w:rFonts w:ascii="Calibri" w:eastAsia="Times New Roman" w:hAnsi="Calibri" w:cs="Times New Roman"/>
      <w:kern w:val="0"/>
      <w:sz w:val="18"/>
      <w:szCs w:val="20"/>
      <w:lang w:val="it-IT" w:eastAsia="it-IT"/>
      <w14:ligatures w14:val="none"/>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paragraph" w:styleId="AklamaKonusu">
    <w:name w:val="annotation subject"/>
    <w:basedOn w:val="AklamaMetni"/>
    <w:next w:val="AklamaMetni"/>
    <w:link w:val="AklamaKonusuChar"/>
    <w:uiPriority w:val="99"/>
    <w:semiHidden/>
    <w:unhideWhenUsed/>
    <w:rsid w:val="005A1494"/>
    <w:rPr>
      <w:b/>
      <w:bCs/>
    </w:rPr>
  </w:style>
  <w:style w:type="character" w:customStyle="1" w:styleId="AklamaKonusuChar">
    <w:name w:val="Açıklama Konusu Char"/>
    <w:basedOn w:val="AklamaMetniChar"/>
    <w:link w:val="AklamaKonusu"/>
    <w:uiPriority w:val="99"/>
    <w:semiHidden/>
    <w:rsid w:val="005A1494"/>
    <w:rPr>
      <w:rFonts w:ascii="Aptos" w:eastAsia="Aptos" w:hAnsi="Aptos" w:cs="Aptos"/>
      <w:b/>
      <w:bCs/>
      <w:kern w:val="0"/>
      <w:sz w:val="20"/>
      <w:szCs w:val="20"/>
      <w:lang w:val="tr" w:eastAsia="tr-TR"/>
      <w14:ligatures w14:val="none"/>
    </w:rPr>
  </w:style>
  <w:style w:type="paragraph" w:styleId="Dzeltme">
    <w:name w:val="Revision"/>
    <w:hidden/>
    <w:uiPriority w:val="99"/>
    <w:semiHidden/>
    <w:rsid w:val="005A1494"/>
    <w:pPr>
      <w:spacing w:after="0" w:line="240" w:lineRule="auto"/>
      <w:jc w:val="both"/>
    </w:pPr>
    <w:rPr>
      <w:rFonts w:ascii="Aptos" w:eastAsia="Aptos" w:hAnsi="Aptos" w:cs="Aptos"/>
      <w:kern w:val="0"/>
      <w:sz w:val="22"/>
      <w:szCs w:val="22"/>
      <w:lang w:val="tr" w:eastAsia="tr-TR"/>
      <w14:ligatures w14:val="none"/>
    </w:rPr>
  </w:style>
  <w:style w:type="character" w:styleId="zlenenKpr">
    <w:name w:val="FollowedHyperlink"/>
    <w:basedOn w:val="VarsaylanParagrafYazTipi"/>
    <w:uiPriority w:val="99"/>
    <w:semiHidden/>
    <w:unhideWhenUsed/>
    <w:rsid w:val="005A1494"/>
    <w:rPr>
      <w:color w:val="954F72" w:themeColor="followedHyperlink"/>
      <w:u w:val="single"/>
    </w:rPr>
  </w:style>
  <w:style w:type="character" w:customStyle="1" w:styleId="zmlenmeyenBahsetme1">
    <w:name w:val="Çözümlenmeyen Bahsetme1"/>
    <w:basedOn w:val="VarsaylanParagrafYazTipi"/>
    <w:uiPriority w:val="99"/>
    <w:semiHidden/>
    <w:unhideWhenUsed/>
    <w:rsid w:val="005A1494"/>
    <w:rPr>
      <w:color w:val="605E5C"/>
      <w:shd w:val="clear" w:color="auto" w:fill="E1DFDD"/>
    </w:rPr>
  </w:style>
  <w:style w:type="paragraph" w:styleId="TBal">
    <w:name w:val="TOC Heading"/>
    <w:next w:val="Normal"/>
    <w:uiPriority w:val="39"/>
    <w:unhideWhenUsed/>
    <w:qFormat/>
    <w:rsid w:val="005A1494"/>
    <w:pPr>
      <w:spacing w:before="240" w:after="0" w:line="360" w:lineRule="auto"/>
      <w:jc w:val="both"/>
    </w:pPr>
    <w:rPr>
      <w:rFonts w:ascii="Aptos" w:eastAsia="Aptos" w:hAnsi="Aptos" w:cs="Aptos"/>
      <w:kern w:val="0"/>
      <w:sz w:val="32"/>
      <w:szCs w:val="32"/>
      <w:lang w:val="tr" w:eastAsia="tr-TR"/>
      <w14:ligatures w14:val="none"/>
    </w:rPr>
  </w:style>
  <w:style w:type="paragraph" w:styleId="T3">
    <w:name w:val="toc 3"/>
    <w:basedOn w:val="Normal"/>
    <w:next w:val="Normal"/>
    <w:autoRedefine/>
    <w:uiPriority w:val="39"/>
    <w:unhideWhenUsed/>
    <w:rsid w:val="005A1494"/>
    <w:pPr>
      <w:spacing w:after="0"/>
      <w:ind w:left="220"/>
      <w:jc w:val="left"/>
    </w:pPr>
    <w:rPr>
      <w:rFonts w:asciiTheme="minorHAnsi" w:hAnsiTheme="minorHAnsi" w:cstheme="minorHAnsi"/>
      <w:sz w:val="20"/>
      <w:szCs w:val="20"/>
    </w:rPr>
  </w:style>
  <w:style w:type="paragraph" w:styleId="T2">
    <w:name w:val="toc 2"/>
    <w:basedOn w:val="Normal"/>
    <w:next w:val="Normal"/>
    <w:autoRedefine/>
    <w:uiPriority w:val="39"/>
    <w:unhideWhenUsed/>
    <w:rsid w:val="005A1494"/>
    <w:pPr>
      <w:spacing w:before="240" w:after="0"/>
      <w:jc w:val="left"/>
    </w:pPr>
    <w:rPr>
      <w:rFonts w:asciiTheme="minorHAnsi" w:hAnsiTheme="minorHAnsi" w:cstheme="minorHAnsi"/>
      <w:b/>
      <w:bCs/>
      <w:sz w:val="20"/>
      <w:szCs w:val="20"/>
    </w:rPr>
  </w:style>
  <w:style w:type="paragraph" w:styleId="T1">
    <w:name w:val="toc 1"/>
    <w:basedOn w:val="Normal"/>
    <w:next w:val="Normal"/>
    <w:autoRedefine/>
    <w:uiPriority w:val="39"/>
    <w:unhideWhenUsed/>
    <w:rsid w:val="00814D38"/>
    <w:pPr>
      <w:tabs>
        <w:tab w:val="right" w:leader="dot" w:pos="9060"/>
      </w:tabs>
      <w:spacing w:before="360" w:after="0" w:line="240" w:lineRule="auto"/>
      <w:jc w:val="left"/>
    </w:pPr>
    <w:rPr>
      <w:rFonts w:asciiTheme="majorHAnsi" w:hAnsiTheme="majorHAnsi" w:cstheme="majorHAnsi"/>
      <w:b/>
      <w:bCs/>
      <w:caps/>
      <w:sz w:val="24"/>
    </w:rPr>
  </w:style>
  <w:style w:type="paragraph" w:styleId="ekillerTablosu">
    <w:name w:val="table of figures"/>
    <w:basedOn w:val="Normal"/>
    <w:next w:val="Normal"/>
    <w:uiPriority w:val="99"/>
    <w:unhideWhenUsed/>
    <w:rsid w:val="005A1494"/>
    <w:pPr>
      <w:spacing w:after="0"/>
    </w:pPr>
    <w:rPr>
      <w:rFonts w:eastAsia="Aptos" w:cs="Aptos"/>
      <w:kern w:val="0"/>
      <w:szCs w:val="22"/>
      <w:lang w:val="tr" w:eastAsia="tr-TR"/>
      <w14:ligatures w14:val="none"/>
    </w:rPr>
  </w:style>
  <w:style w:type="paragraph" w:customStyle="1" w:styleId="TableTitle">
    <w:name w:val="Table Title"/>
    <w:basedOn w:val="Normal"/>
    <w:rsid w:val="005A1494"/>
    <w:pPr>
      <w:spacing w:before="120" w:after="0" w:line="240" w:lineRule="auto"/>
    </w:pPr>
    <w:rPr>
      <w:rFonts w:ascii="Tahoma" w:eastAsia="Aptos" w:hAnsi="Tahoma" w:cs="Tahoma"/>
      <w:b/>
      <w:color w:val="4472C4" w:themeColor="accent1"/>
      <w:kern w:val="16"/>
      <w:sz w:val="20"/>
      <w:szCs w:val="18"/>
      <w:lang w:val="tr" w:eastAsia="tr-TR"/>
      <w14:ligatures w14:val="none"/>
    </w:rPr>
  </w:style>
  <w:style w:type="paragraph" w:customStyle="1" w:styleId="TableContent">
    <w:name w:val="Table Content"/>
    <w:basedOn w:val="Normal"/>
    <w:rsid w:val="005A1494"/>
    <w:pPr>
      <w:spacing w:before="120" w:after="0" w:line="240" w:lineRule="auto"/>
    </w:pPr>
    <w:rPr>
      <w:rFonts w:ascii="Tahoma" w:eastAsia="Aptos" w:hAnsi="Tahoma" w:cs="Tahoma"/>
      <w:kern w:val="16"/>
      <w:sz w:val="20"/>
      <w:szCs w:val="18"/>
      <w:lang w:val="tr" w:eastAsia="tr-TR"/>
      <w14:ligatures w14:val="none"/>
    </w:rPr>
  </w:style>
  <w:style w:type="character" w:customStyle="1" w:styleId="Bodytext2">
    <w:name w:val="Body text (2)_"/>
    <w:link w:val="Bodytext21"/>
    <w:uiPriority w:val="99"/>
    <w:rsid w:val="005A1494"/>
    <w:rPr>
      <w:sz w:val="19"/>
      <w:szCs w:val="19"/>
      <w:shd w:val="clear" w:color="auto" w:fill="FFFFFF"/>
    </w:rPr>
  </w:style>
  <w:style w:type="paragraph" w:customStyle="1" w:styleId="Bodytext21">
    <w:name w:val="Body text (2)1"/>
    <w:basedOn w:val="Normal"/>
    <w:link w:val="Bodytext2"/>
    <w:uiPriority w:val="99"/>
    <w:rsid w:val="005A1494"/>
    <w:pPr>
      <w:widowControl w:val="0"/>
      <w:shd w:val="clear" w:color="auto" w:fill="FFFFFF"/>
      <w:spacing w:before="420" w:after="0" w:line="278" w:lineRule="exact"/>
    </w:pPr>
    <w:rPr>
      <w:rFonts w:asciiTheme="minorHAnsi" w:hAnsiTheme="minorHAnsi"/>
      <w:sz w:val="19"/>
      <w:szCs w:val="19"/>
    </w:rPr>
  </w:style>
  <w:style w:type="paragraph" w:customStyle="1" w:styleId="xl64">
    <w:name w:val="xl64"/>
    <w:basedOn w:val="Normal"/>
    <w:rsid w:val="005A1494"/>
    <w:pPr>
      <w:spacing w:before="100" w:beforeAutospacing="1" w:after="100" w:afterAutospacing="1" w:line="240" w:lineRule="auto"/>
    </w:pPr>
    <w:rPr>
      <w:rFonts w:ascii="Tahoma" w:eastAsia="Times New Roman" w:hAnsi="Tahoma" w:cs="Tahoma"/>
      <w:kern w:val="0"/>
      <w:sz w:val="16"/>
      <w:szCs w:val="16"/>
      <w:lang w:val="tr" w:eastAsia="tr-TR"/>
      <w14:ligatures w14:val="none"/>
    </w:rPr>
  </w:style>
  <w:style w:type="paragraph" w:customStyle="1" w:styleId="xl65">
    <w:name w:val="xl65"/>
    <w:basedOn w:val="Normal"/>
    <w:rsid w:val="005A1494"/>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val="tr" w:eastAsia="tr-TR"/>
      <w14:ligatures w14:val="none"/>
    </w:rPr>
  </w:style>
  <w:style w:type="paragraph" w:customStyle="1" w:styleId="xl66">
    <w:name w:val="xl66"/>
    <w:basedOn w:val="Normal"/>
    <w:rsid w:val="005A149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val="tr" w:eastAsia="tr-TR"/>
      <w14:ligatures w14:val="none"/>
    </w:rPr>
  </w:style>
  <w:style w:type="character" w:customStyle="1" w:styleId="selectable-text">
    <w:name w:val="selectable-text"/>
    <w:basedOn w:val="VarsaylanParagrafYazTipi"/>
    <w:rsid w:val="005A1494"/>
  </w:style>
  <w:style w:type="paragraph" w:customStyle="1" w:styleId="ToCTitleTablesFigures">
    <w:name w:val="ToC Title (Tables/Figures)"/>
    <w:basedOn w:val="Normal"/>
    <w:uiPriority w:val="69"/>
    <w:qFormat/>
    <w:rsid w:val="005A1494"/>
    <w:pPr>
      <w:keepNext/>
      <w:keepLines/>
      <w:spacing w:after="240" w:line="460" w:lineRule="atLeast"/>
      <w:outlineLvl w:val="0"/>
    </w:pPr>
    <w:rPr>
      <w:rFonts w:ascii="Tahoma" w:eastAsiaTheme="majorEastAsia" w:hAnsi="Tahoma" w:cstheme="majorBidi"/>
      <w:b/>
      <w:bCs/>
      <w:kern w:val="16"/>
      <w:szCs w:val="28"/>
      <w:lang w:val="tr" w:eastAsia="tr-TR"/>
      <w14:ligatures w14:val="none"/>
    </w:rPr>
  </w:style>
  <w:style w:type="paragraph" w:styleId="NormalWeb">
    <w:name w:val="Normal (Web)"/>
    <w:basedOn w:val="Normal"/>
    <w:uiPriority w:val="99"/>
    <w:unhideWhenUsed/>
    <w:rsid w:val="005A1494"/>
    <w:pPr>
      <w:spacing w:before="100" w:beforeAutospacing="1" w:after="100" w:afterAutospacing="1" w:line="240" w:lineRule="auto"/>
    </w:pPr>
    <w:rPr>
      <w:rFonts w:ascii="Times New Roman" w:eastAsia="Times New Roman" w:hAnsi="Times New Roman" w:cs="Times New Roman"/>
      <w:kern w:val="0"/>
      <w:lang w:val="tr" w:eastAsia="tr-TR"/>
      <w14:ligatures w14:val="none"/>
    </w:rPr>
  </w:style>
  <w:style w:type="character" w:styleId="Gl">
    <w:name w:val="Strong"/>
    <w:basedOn w:val="VarsaylanParagrafYazTipi"/>
    <w:uiPriority w:val="22"/>
    <w:qFormat/>
    <w:rsid w:val="005A1494"/>
    <w:rPr>
      <w:b/>
      <w:bCs/>
    </w:rPr>
  </w:style>
  <w:style w:type="character" w:customStyle="1" w:styleId="hgkelc">
    <w:name w:val="hgkelc"/>
    <w:basedOn w:val="VarsaylanParagrafYazTipi"/>
    <w:rsid w:val="005A1494"/>
  </w:style>
  <w:style w:type="paragraph" w:styleId="HTMLncedenBiimlendirilmi">
    <w:name w:val="HTML Preformatted"/>
    <w:basedOn w:val="Normal"/>
    <w:link w:val="HTMLncedenBiimlendirilmiChar"/>
    <w:uiPriority w:val="99"/>
    <w:unhideWhenUsed/>
    <w:rsid w:val="005A1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tr" w:eastAsia="tr-TR"/>
      <w14:ligatures w14:val="none"/>
    </w:rPr>
  </w:style>
  <w:style w:type="character" w:customStyle="1" w:styleId="HTMLncedenBiimlendirilmiChar">
    <w:name w:val="HTML Önceden Biçimlendirilmiş Char"/>
    <w:basedOn w:val="VarsaylanParagrafYazTipi"/>
    <w:link w:val="HTMLncedenBiimlendirilmi"/>
    <w:uiPriority w:val="99"/>
    <w:rsid w:val="005A1494"/>
    <w:rPr>
      <w:rFonts w:ascii="Courier New" w:eastAsia="Times New Roman" w:hAnsi="Courier New" w:cs="Courier New"/>
      <w:kern w:val="0"/>
      <w:sz w:val="20"/>
      <w:szCs w:val="20"/>
      <w:lang w:val="tr" w:eastAsia="tr-TR"/>
      <w14:ligatures w14:val="none"/>
    </w:rPr>
  </w:style>
  <w:style w:type="character" w:customStyle="1" w:styleId="y2iqfc">
    <w:name w:val="y2iqfc"/>
    <w:basedOn w:val="VarsaylanParagrafYazTipi"/>
    <w:rsid w:val="005A1494"/>
  </w:style>
  <w:style w:type="paragraph" w:styleId="Dizin1">
    <w:name w:val="index 1"/>
    <w:basedOn w:val="Normal"/>
    <w:next w:val="Normal"/>
    <w:autoRedefine/>
    <w:uiPriority w:val="99"/>
    <w:semiHidden/>
    <w:unhideWhenUsed/>
    <w:rsid w:val="005A1494"/>
    <w:pPr>
      <w:spacing w:after="0" w:line="240" w:lineRule="auto"/>
      <w:ind w:left="220" w:hanging="220"/>
    </w:pPr>
    <w:rPr>
      <w:rFonts w:eastAsia="Aptos" w:cs="Aptos"/>
      <w:kern w:val="0"/>
      <w:szCs w:val="22"/>
      <w:lang w:val="tr" w:eastAsia="tr-TR"/>
      <w14:ligatures w14:val="none"/>
    </w:rPr>
  </w:style>
  <w:style w:type="character" w:customStyle="1" w:styleId="Bahset1">
    <w:name w:val="Bahset1"/>
    <w:basedOn w:val="VarsaylanParagrafYazTipi"/>
    <w:uiPriority w:val="99"/>
    <w:unhideWhenUsed/>
    <w:rsid w:val="005A1494"/>
    <w:rPr>
      <w:color w:val="2B579A"/>
      <w:shd w:val="clear" w:color="auto" w:fill="E1DFDD"/>
    </w:rPr>
  </w:style>
  <w:style w:type="table" w:customStyle="1" w:styleId="BRC">
    <w:name w:val="BRC"/>
    <w:basedOn w:val="NormalTablo"/>
    <w:uiPriority w:val="99"/>
    <w:rsid w:val="005A1494"/>
    <w:pPr>
      <w:spacing w:after="0" w:line="240" w:lineRule="auto"/>
      <w:jc w:val="both"/>
    </w:pPr>
    <w:rPr>
      <w:rFonts w:ascii="Tahoma" w:eastAsia="Aptos" w:hAnsi="Tahoma" w:cs="Tahoma"/>
      <w:kern w:val="16"/>
      <w:sz w:val="20"/>
      <w:szCs w:val="22"/>
      <w:lang w:val="en-US" w:eastAsia="tr-TR"/>
      <w14:ligatures w14:val="none"/>
    </w:rPr>
    <w:tblPr>
      <w:tblBorders>
        <w:top w:val="single" w:sz="4" w:space="0" w:color="auto"/>
        <w:bottom w:val="single" w:sz="4" w:space="0" w:color="auto"/>
        <w:insideH w:val="single" w:sz="4" w:space="0" w:color="auto"/>
        <w:insideV w:val="single" w:sz="4" w:space="0" w:color="auto"/>
      </w:tblBorders>
    </w:tblPr>
    <w:tblStylePr w:type="firstRow">
      <w:rPr>
        <w:rFonts w:ascii="Cambria" w:hAnsi="Cambria"/>
        <w:b/>
        <w:color w:val="4472C4" w:themeColor="accent1"/>
        <w:sz w:val="20"/>
      </w:rPr>
    </w:tblStylePr>
    <w:tblStylePr w:type="firstCol">
      <w:rPr>
        <w:rFonts w:ascii="Cambria" w:hAnsi="Cambria"/>
        <w:b/>
        <w:color w:val="4472C4" w:themeColor="accent1"/>
        <w:sz w:val="20"/>
      </w:rPr>
    </w:tblStylePr>
  </w:style>
  <w:style w:type="paragraph" w:customStyle="1" w:styleId="Default">
    <w:name w:val="Default"/>
    <w:rsid w:val="005A1494"/>
    <w:pPr>
      <w:autoSpaceDE w:val="0"/>
      <w:autoSpaceDN w:val="0"/>
      <w:adjustRightInd w:val="0"/>
      <w:spacing w:after="0" w:line="240" w:lineRule="auto"/>
      <w:jc w:val="both"/>
    </w:pPr>
    <w:rPr>
      <w:rFonts w:ascii="Times New Roman" w:eastAsia="Aptos" w:hAnsi="Times New Roman" w:cs="Times New Roman"/>
      <w:color w:val="000000"/>
      <w:kern w:val="0"/>
      <w:lang w:val="tr" w:eastAsia="tr-TR"/>
      <w14:ligatures w14:val="none"/>
    </w:rPr>
  </w:style>
  <w:style w:type="character" w:customStyle="1" w:styleId="--l">
    <w:name w:val="--l"/>
    <w:basedOn w:val="VarsaylanParagrafYazTipi"/>
    <w:rsid w:val="005A1494"/>
  </w:style>
  <w:style w:type="paragraph" w:styleId="DzMetin">
    <w:name w:val="Plain Text"/>
    <w:basedOn w:val="Normal"/>
    <w:link w:val="DzMetinChar"/>
    <w:uiPriority w:val="99"/>
    <w:semiHidden/>
    <w:unhideWhenUsed/>
    <w:rsid w:val="005A1494"/>
    <w:pPr>
      <w:spacing w:after="0" w:line="240" w:lineRule="auto"/>
    </w:pPr>
    <w:rPr>
      <w:rFonts w:ascii="Calibri" w:eastAsia="Aptos" w:hAnsi="Calibri" w:cs="Aptos"/>
      <w:kern w:val="0"/>
      <w:szCs w:val="21"/>
      <w:lang w:val="tr" w:eastAsia="tr-TR"/>
      <w14:ligatures w14:val="none"/>
    </w:rPr>
  </w:style>
  <w:style w:type="character" w:customStyle="1" w:styleId="DzMetinChar">
    <w:name w:val="Düz Metin Char"/>
    <w:basedOn w:val="VarsaylanParagrafYazTipi"/>
    <w:link w:val="DzMetin"/>
    <w:uiPriority w:val="99"/>
    <w:semiHidden/>
    <w:rsid w:val="005A1494"/>
    <w:rPr>
      <w:rFonts w:ascii="Calibri" w:eastAsia="Aptos" w:hAnsi="Calibri" w:cs="Aptos"/>
      <w:kern w:val="0"/>
      <w:sz w:val="22"/>
      <w:szCs w:val="21"/>
      <w:lang w:val="tr" w:eastAsia="tr-TR"/>
      <w14:ligatures w14:val="none"/>
    </w:rPr>
  </w:style>
  <w:style w:type="paragraph" w:customStyle="1" w:styleId="p1">
    <w:name w:val="p1"/>
    <w:basedOn w:val="Normal"/>
    <w:rsid w:val="005A1494"/>
    <w:pPr>
      <w:spacing w:after="0" w:line="240" w:lineRule="auto"/>
    </w:pPr>
    <w:rPr>
      <w:rFonts w:ascii=".AppleSystemUIFont" w:eastAsia="Times New Roman" w:hAnsi=".AppleSystemUIFont" w:cs="Times New Roman"/>
      <w:color w:val="0E0E0E"/>
      <w:kern w:val="0"/>
      <w:sz w:val="21"/>
      <w:szCs w:val="21"/>
      <w:lang w:val="tr" w:eastAsia="tr-TR"/>
      <w14:ligatures w14:val="none"/>
    </w:rPr>
  </w:style>
  <w:style w:type="paragraph" w:customStyle="1" w:styleId="p2">
    <w:name w:val="p2"/>
    <w:basedOn w:val="Normal"/>
    <w:rsid w:val="005A1494"/>
    <w:pPr>
      <w:spacing w:after="0" w:line="240" w:lineRule="auto"/>
    </w:pPr>
    <w:rPr>
      <w:rFonts w:ascii=".AppleSystemUIFont" w:eastAsia="Times New Roman" w:hAnsi=".AppleSystemUIFont" w:cs="Times New Roman"/>
      <w:color w:val="0E0E0E"/>
      <w:kern w:val="0"/>
      <w:sz w:val="21"/>
      <w:szCs w:val="21"/>
      <w:lang w:val="tr" w:eastAsia="tr-TR"/>
      <w14:ligatures w14:val="none"/>
    </w:rPr>
  </w:style>
  <w:style w:type="paragraph" w:customStyle="1" w:styleId="ekil">
    <w:name w:val="Şekil"/>
    <w:basedOn w:val="ResimYazs"/>
    <w:link w:val="ekilChar"/>
    <w:qFormat/>
    <w:rsid w:val="005A1494"/>
    <w:pPr>
      <w:keepNext/>
      <w:spacing w:afterLines="120" w:after="288" w:line="360" w:lineRule="auto"/>
      <w:jc w:val="center"/>
    </w:pPr>
    <w:rPr>
      <w:rFonts w:eastAsia="Aptos" w:cs="Aptos"/>
      <w:bCs/>
      <w:kern w:val="0"/>
      <w:szCs w:val="22"/>
      <w:lang w:val="tr" w:eastAsia="tr-TR"/>
      <w14:ligatures w14:val="none"/>
    </w:rPr>
  </w:style>
  <w:style w:type="paragraph" w:styleId="Kaynaka0">
    <w:name w:val="Bibliography"/>
    <w:basedOn w:val="Normal"/>
    <w:next w:val="Normal"/>
    <w:uiPriority w:val="37"/>
    <w:unhideWhenUsed/>
    <w:rsid w:val="005A1494"/>
    <w:rPr>
      <w:rFonts w:eastAsia="Aptos" w:cs="Aptos"/>
      <w:kern w:val="0"/>
      <w:szCs w:val="22"/>
      <w:lang w:val="tr" w:eastAsia="tr-TR"/>
      <w14:ligatures w14:val="none"/>
    </w:rPr>
  </w:style>
  <w:style w:type="character" w:customStyle="1" w:styleId="ekilChar">
    <w:name w:val="Şekil Char"/>
    <w:basedOn w:val="ResimYazsChar1"/>
    <w:link w:val="ekil"/>
    <w:rsid w:val="005A1494"/>
    <w:rPr>
      <w:rFonts w:ascii="Aptos" w:eastAsia="Aptos" w:hAnsi="Aptos" w:cs="Aptos"/>
      <w:bCs/>
      <w:i/>
      <w:iCs/>
      <w:color w:val="44546A" w:themeColor="text2"/>
      <w:kern w:val="0"/>
      <w:sz w:val="20"/>
      <w:szCs w:val="22"/>
      <w:lang w:val="tr" w:eastAsia="tr-TR"/>
      <w14:ligatures w14:val="none"/>
    </w:rPr>
  </w:style>
  <w:style w:type="character" w:customStyle="1" w:styleId="zmlenmeyenBahsetme2">
    <w:name w:val="Çözümlenmeyen Bahsetme2"/>
    <w:basedOn w:val="VarsaylanParagrafYazTipi"/>
    <w:uiPriority w:val="99"/>
    <w:semiHidden/>
    <w:unhideWhenUsed/>
    <w:rsid w:val="005A1494"/>
    <w:rPr>
      <w:color w:val="605E5C"/>
      <w:shd w:val="clear" w:color="auto" w:fill="E1DFDD"/>
    </w:rPr>
  </w:style>
  <w:style w:type="paragraph" w:styleId="T6">
    <w:name w:val="toc 6"/>
    <w:basedOn w:val="Normal"/>
    <w:next w:val="Normal"/>
    <w:autoRedefine/>
    <w:uiPriority w:val="39"/>
    <w:unhideWhenUsed/>
    <w:rsid w:val="005A1494"/>
    <w:pPr>
      <w:spacing w:after="0"/>
      <w:ind w:left="880"/>
      <w:jc w:val="left"/>
    </w:pPr>
    <w:rPr>
      <w:rFonts w:asciiTheme="minorHAnsi" w:hAnsiTheme="minorHAnsi" w:cstheme="minorHAnsi"/>
      <w:sz w:val="20"/>
      <w:szCs w:val="20"/>
    </w:rPr>
  </w:style>
  <w:style w:type="paragraph" w:styleId="T4">
    <w:name w:val="toc 4"/>
    <w:basedOn w:val="Normal"/>
    <w:next w:val="Normal"/>
    <w:autoRedefine/>
    <w:uiPriority w:val="39"/>
    <w:unhideWhenUsed/>
    <w:rsid w:val="005A1494"/>
    <w:pPr>
      <w:spacing w:after="0"/>
      <w:ind w:left="440"/>
      <w:jc w:val="left"/>
    </w:pPr>
    <w:rPr>
      <w:rFonts w:asciiTheme="minorHAnsi" w:hAnsiTheme="minorHAnsi" w:cstheme="minorHAnsi"/>
      <w:sz w:val="20"/>
      <w:szCs w:val="20"/>
    </w:rPr>
  </w:style>
  <w:style w:type="table" w:customStyle="1" w:styleId="50">
    <w:name w:val="50"/>
    <w:basedOn w:val="NormalTablo"/>
    <w:rsid w:val="00F77C6B"/>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paragraph" w:styleId="SonNotMetni">
    <w:name w:val="endnote text"/>
    <w:basedOn w:val="Normal"/>
    <w:link w:val="SonNotMetniChar"/>
    <w:uiPriority w:val="99"/>
    <w:semiHidden/>
    <w:unhideWhenUsed/>
    <w:rsid w:val="0012548E"/>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12548E"/>
    <w:rPr>
      <w:rFonts w:ascii="Aptos" w:hAnsi="Aptos"/>
      <w:sz w:val="20"/>
      <w:szCs w:val="20"/>
    </w:rPr>
  </w:style>
  <w:style w:type="character" w:styleId="SonNotBavurusu">
    <w:name w:val="endnote reference"/>
    <w:basedOn w:val="VarsaylanParagrafYazTipi"/>
    <w:uiPriority w:val="99"/>
    <w:semiHidden/>
    <w:unhideWhenUsed/>
    <w:rsid w:val="0012548E"/>
    <w:rPr>
      <w:vertAlign w:val="superscript"/>
    </w:rPr>
  </w:style>
  <w:style w:type="table" w:customStyle="1" w:styleId="40">
    <w:name w:val="40"/>
    <w:basedOn w:val="NormalTablo"/>
    <w:rsid w:val="0012548E"/>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7">
    <w:name w:val="7"/>
    <w:basedOn w:val="NormalTablo"/>
    <w:rsid w:val="004A6F7F"/>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6">
    <w:name w:val="6"/>
    <w:basedOn w:val="NormalTablo"/>
    <w:rsid w:val="00267963"/>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8">
    <w:name w:val="8"/>
    <w:basedOn w:val="NormalTablo"/>
    <w:rsid w:val="00336E41"/>
    <w:pPr>
      <w:spacing w:line="259" w:lineRule="auto"/>
    </w:pPr>
    <w:rPr>
      <w:rFonts w:ascii="Aptos" w:eastAsia="Aptos" w:hAnsi="Aptos" w:cs="Aptos"/>
      <w:kern w:val="0"/>
      <w:sz w:val="22"/>
      <w:szCs w:val="22"/>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TabloKlavuzu2">
    <w:name w:val="Tablo Kılavuzu2"/>
    <w:basedOn w:val="NormalTablo"/>
    <w:next w:val="TabloKlavuzu"/>
    <w:uiPriority w:val="39"/>
    <w:rsid w:val="00016058"/>
    <w:pPr>
      <w:spacing w:after="0" w:line="240" w:lineRule="auto"/>
    </w:pPr>
    <w:rPr>
      <w:rFonts w:ascii="Aptos" w:eastAsia="Aptos" w:hAnsi="Aptos" w:cs="Aptos"/>
      <w:kern w:val="0"/>
      <w:sz w:val="22"/>
      <w:szCs w:val="22"/>
      <w:lang w:val="en-US" w:eastAsia="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016058"/>
    <w:pPr>
      <w:spacing w:after="0" w:line="240" w:lineRule="auto"/>
    </w:pPr>
    <w:rPr>
      <w:rFonts w:ascii="Aptos" w:eastAsia="Aptos" w:hAnsi="Aptos" w:cs="Aptos"/>
      <w:kern w:val="0"/>
      <w:sz w:val="22"/>
      <w:szCs w:val="22"/>
      <w:lang w:val="en-US" w:eastAsia="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016058"/>
    <w:pPr>
      <w:spacing w:after="0" w:line="240" w:lineRule="auto"/>
    </w:pPr>
    <w:rPr>
      <w:rFonts w:ascii="Aptos" w:eastAsia="Aptos" w:hAnsi="Aptos" w:cs="Aptos"/>
      <w:kern w:val="0"/>
      <w:sz w:val="22"/>
      <w:szCs w:val="22"/>
      <w:lang w:val="en-US" w:eastAsia="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13"/>
    <w:basedOn w:val="NormalTablo"/>
    <w:rsid w:val="002428EE"/>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19">
    <w:name w:val="19"/>
    <w:basedOn w:val="NormalTablo"/>
    <w:rsid w:val="00ED62C2"/>
    <w:pPr>
      <w:spacing w:line="259" w:lineRule="auto"/>
    </w:pPr>
    <w:rPr>
      <w:rFonts w:ascii="Aptos" w:eastAsia="Aptos" w:hAnsi="Aptos" w:cs="Aptos"/>
      <w:kern w:val="0"/>
      <w:sz w:val="22"/>
      <w:szCs w:val="22"/>
      <w:lang w:val="en-US" w:eastAsia="tr-TR"/>
      <w14:ligatures w14:val="none"/>
    </w:rPr>
    <w:tblPr>
      <w:tblStyleRowBandSize w:val="1"/>
      <w:tblStyleColBandSize w:val="1"/>
      <w:tblCellMar>
        <w:left w:w="115" w:type="dxa"/>
        <w:right w:w="115" w:type="dxa"/>
      </w:tblCellMar>
    </w:tblPr>
  </w:style>
  <w:style w:type="table" w:customStyle="1" w:styleId="16">
    <w:name w:val="16"/>
    <w:basedOn w:val="NormalTablo"/>
    <w:rsid w:val="00ED62C2"/>
    <w:pPr>
      <w:spacing w:line="259" w:lineRule="auto"/>
    </w:pPr>
    <w:rPr>
      <w:rFonts w:ascii="Aptos" w:eastAsia="Aptos" w:hAnsi="Aptos" w:cs="Aptos"/>
      <w:kern w:val="0"/>
      <w:sz w:val="22"/>
      <w:szCs w:val="22"/>
      <w:lang w:val="en-US" w:eastAsia="tr-TR"/>
      <w14:ligatures w14:val="none"/>
    </w:rPr>
    <w:tblPr>
      <w:tblStyleRowBandSize w:val="1"/>
      <w:tblStyleColBandSize w:val="1"/>
      <w:tblCellMar>
        <w:left w:w="115" w:type="dxa"/>
        <w:right w:w="115" w:type="dxa"/>
      </w:tblCellMar>
    </w:tblPr>
  </w:style>
  <w:style w:type="table" w:customStyle="1" w:styleId="15">
    <w:name w:val="15"/>
    <w:basedOn w:val="NormalTablo"/>
    <w:rsid w:val="00ED62C2"/>
    <w:pPr>
      <w:spacing w:line="259" w:lineRule="auto"/>
    </w:pPr>
    <w:rPr>
      <w:rFonts w:ascii="Aptos" w:eastAsia="Aptos" w:hAnsi="Aptos" w:cs="Aptos"/>
      <w:kern w:val="0"/>
      <w:sz w:val="22"/>
      <w:szCs w:val="22"/>
      <w:lang w:val="en-US" w:eastAsia="tr-TR"/>
      <w14:ligatures w14:val="none"/>
    </w:rPr>
    <w:tblPr>
      <w:tblStyleRowBandSize w:val="1"/>
      <w:tblStyleColBandSize w:val="1"/>
      <w:tblCellMar>
        <w:left w:w="70" w:type="dxa"/>
        <w:right w:w="70" w:type="dxa"/>
      </w:tblCellMar>
    </w:tblPr>
  </w:style>
  <w:style w:type="table" w:customStyle="1" w:styleId="14">
    <w:name w:val="14"/>
    <w:basedOn w:val="NormalTablo"/>
    <w:rsid w:val="00ED62C2"/>
    <w:pPr>
      <w:spacing w:line="259" w:lineRule="auto"/>
    </w:pPr>
    <w:rPr>
      <w:rFonts w:ascii="Aptos" w:eastAsia="Aptos" w:hAnsi="Aptos" w:cs="Aptos"/>
      <w:kern w:val="0"/>
      <w:sz w:val="22"/>
      <w:szCs w:val="22"/>
      <w:lang w:val="en-US" w:eastAsia="tr-TR"/>
      <w14:ligatures w14:val="none"/>
    </w:rPr>
    <w:tblPr>
      <w:tblStyleRowBandSize w:val="1"/>
      <w:tblStyleColBandSize w:val="1"/>
      <w:tblCellMar>
        <w:left w:w="70" w:type="dxa"/>
        <w:right w:w="70" w:type="dxa"/>
      </w:tblCellMar>
    </w:tblPr>
  </w:style>
  <w:style w:type="table" w:customStyle="1" w:styleId="23">
    <w:name w:val="23"/>
    <w:basedOn w:val="NormalTablo"/>
    <w:rsid w:val="00CB2491"/>
    <w:pPr>
      <w:spacing w:line="259" w:lineRule="auto"/>
    </w:pPr>
    <w:rPr>
      <w:rFonts w:ascii="Aptos" w:eastAsia="Aptos" w:hAnsi="Aptos" w:cs="Aptos"/>
      <w:kern w:val="0"/>
      <w:sz w:val="22"/>
      <w:szCs w:val="22"/>
      <w:lang w:val="en-US" w:eastAsia="tr-TR"/>
      <w14:ligatures w14:val="none"/>
    </w:rPr>
    <w:tblPr>
      <w:tblStyleRowBandSize w:val="1"/>
      <w:tblStyleColBandSize w:val="1"/>
      <w:tblCellMar>
        <w:left w:w="115" w:type="dxa"/>
        <w:right w:w="115" w:type="dxa"/>
      </w:tblCellMar>
    </w:tblPr>
  </w:style>
  <w:style w:type="table" w:customStyle="1" w:styleId="22">
    <w:name w:val="22"/>
    <w:basedOn w:val="NormalTablo"/>
    <w:rsid w:val="00BE178F"/>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70">
    <w:name w:val="70"/>
    <w:basedOn w:val="NormalTablo"/>
    <w:rsid w:val="00C65B01"/>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numbering" w:customStyle="1" w:styleId="ListeYok1">
    <w:name w:val="Liste Yok1"/>
    <w:next w:val="ListeYok"/>
    <w:uiPriority w:val="99"/>
    <w:semiHidden/>
    <w:unhideWhenUsed/>
    <w:rsid w:val="00E47114"/>
  </w:style>
  <w:style w:type="character" w:customStyle="1" w:styleId="ResimYazsCharCharChar2">
    <w:name w:val="Resim Yazısı Char Char Char2"/>
    <w:aliases w:val="Resim Yazısı Char Char Char Char1,Char2 Char1,Table Caption Char1,Char Char Char Char Char Char Char Char Char1,Char2 Char Char Char1,Char2 Char Char Char Char Char Char Char1,Char2 Char C Char,Map Char1"/>
    <w:basedOn w:val="VarsaylanParagrafYazTipi"/>
    <w:uiPriority w:val="35"/>
    <w:qFormat/>
    <w:rsid w:val="00E47114"/>
    <w:rPr>
      <w:rFonts w:ascii="Aptos" w:hAnsi="Aptos"/>
      <w:i/>
      <w:iCs/>
      <w:color w:val="000000" w:themeColor="text1"/>
      <w:sz w:val="20"/>
      <w:szCs w:val="18"/>
    </w:rPr>
  </w:style>
  <w:style w:type="paragraph" w:styleId="T5">
    <w:name w:val="toc 5"/>
    <w:basedOn w:val="Normal"/>
    <w:next w:val="Normal"/>
    <w:autoRedefine/>
    <w:uiPriority w:val="39"/>
    <w:unhideWhenUsed/>
    <w:rsid w:val="00E47114"/>
    <w:pPr>
      <w:spacing w:after="0"/>
      <w:ind w:left="660"/>
      <w:jc w:val="left"/>
    </w:pPr>
    <w:rPr>
      <w:rFonts w:asciiTheme="minorHAnsi" w:hAnsiTheme="minorHAnsi" w:cstheme="minorHAnsi"/>
      <w:sz w:val="20"/>
      <w:szCs w:val="20"/>
    </w:rPr>
  </w:style>
  <w:style w:type="character" w:customStyle="1" w:styleId="zmlenmeyenBahsetme3">
    <w:name w:val="Çözümlenmeyen Bahsetme3"/>
    <w:basedOn w:val="VarsaylanParagrafYazTipi"/>
    <w:uiPriority w:val="99"/>
    <w:semiHidden/>
    <w:unhideWhenUsed/>
    <w:rsid w:val="0066509C"/>
    <w:rPr>
      <w:color w:val="605E5C"/>
      <w:shd w:val="clear" w:color="auto" w:fill="E1DFDD"/>
    </w:rPr>
  </w:style>
  <w:style w:type="numbering" w:customStyle="1" w:styleId="ListeYok2">
    <w:name w:val="Liste Yok2"/>
    <w:next w:val="ListeYok"/>
    <w:uiPriority w:val="99"/>
    <w:semiHidden/>
    <w:unhideWhenUsed/>
    <w:rsid w:val="00990E43"/>
  </w:style>
  <w:style w:type="numbering" w:customStyle="1" w:styleId="ListeYok3">
    <w:name w:val="Liste Yok3"/>
    <w:next w:val="ListeYok"/>
    <w:uiPriority w:val="99"/>
    <w:semiHidden/>
    <w:unhideWhenUsed/>
    <w:rsid w:val="003D2155"/>
  </w:style>
  <w:style w:type="table" w:customStyle="1" w:styleId="69">
    <w:name w:val="69"/>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68">
    <w:name w:val="68"/>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67">
    <w:name w:val="67"/>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66">
    <w:name w:val="66"/>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65">
    <w:name w:val="65"/>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64">
    <w:name w:val="64"/>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63">
    <w:name w:val="63"/>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62">
    <w:name w:val="62"/>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61">
    <w:name w:val="61"/>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60">
    <w:name w:val="60"/>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59">
    <w:name w:val="59"/>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58">
    <w:name w:val="58"/>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57">
    <w:name w:val="57"/>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56">
    <w:name w:val="56"/>
    <w:basedOn w:val="NormalTablo"/>
    <w:rsid w:val="003D2155"/>
    <w:pPr>
      <w:spacing w:line="259" w:lineRule="auto"/>
    </w:pPr>
    <w:rPr>
      <w:rFonts w:ascii="Aptos" w:eastAsia="Aptos" w:hAnsi="Aptos" w:cs="Aptos"/>
      <w:kern w:val="0"/>
      <w:sz w:val="22"/>
      <w:szCs w:val="22"/>
      <w:lang w:val="en-US" w:eastAsia="tr-TR"/>
      <w14:ligatures w14:val="none"/>
    </w:rPr>
    <w:tblPr>
      <w:tblStyleRowBandSize w:val="1"/>
      <w:tblStyleColBandSize w:val="1"/>
      <w:tblCellMar>
        <w:left w:w="70" w:type="dxa"/>
        <w:right w:w="70" w:type="dxa"/>
      </w:tblCellMar>
    </w:tblPr>
  </w:style>
  <w:style w:type="table" w:customStyle="1" w:styleId="55">
    <w:name w:val="55"/>
    <w:basedOn w:val="NormalTablo"/>
    <w:rsid w:val="003D2155"/>
    <w:pPr>
      <w:spacing w:after="0" w:line="240" w:lineRule="auto"/>
    </w:pPr>
    <w:rPr>
      <w:rFonts w:ascii="Tahoma" w:eastAsia="Tahoma" w:hAnsi="Tahoma" w:cs="Tahoma"/>
      <w:kern w:val="0"/>
      <w:sz w:val="20"/>
      <w:szCs w:val="20"/>
      <w:lang w:val="en-US" w:eastAsia="tr-TR"/>
      <w14:ligatures w14:val="none"/>
    </w:rPr>
    <w:tblPr>
      <w:tblStyleRowBandSize w:val="1"/>
      <w:tblStyleColBandSize w:val="1"/>
      <w:tblCellMar>
        <w:top w:w="28" w:type="dxa"/>
        <w:left w:w="85" w:type="dxa"/>
        <w:bottom w:w="28" w:type="dxa"/>
        <w:right w:w="85" w:type="dxa"/>
      </w:tblCellMar>
    </w:tblPr>
    <w:tblStylePr w:type="firstRow">
      <w:rPr>
        <w:rFonts w:ascii="Yu Mincho Light" w:eastAsia="Yu Mincho Light" w:hAnsi="Yu Mincho Light" w:cs="Yu Mincho Light"/>
        <w:b/>
        <w:color w:val="156082"/>
        <w:sz w:val="20"/>
        <w:szCs w:val="20"/>
      </w:rPr>
    </w:tblStylePr>
    <w:tblStylePr w:type="firstCol">
      <w:rPr>
        <w:rFonts w:ascii="Yu Mincho Light" w:eastAsia="Yu Mincho Light" w:hAnsi="Yu Mincho Light" w:cs="Yu Mincho Light"/>
        <w:b/>
        <w:color w:val="156082"/>
        <w:sz w:val="20"/>
        <w:szCs w:val="20"/>
      </w:rPr>
    </w:tblStylePr>
  </w:style>
  <w:style w:type="table" w:customStyle="1" w:styleId="54">
    <w:name w:val="54"/>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53">
    <w:name w:val="53"/>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52">
    <w:name w:val="52"/>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51">
    <w:name w:val="51"/>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49">
    <w:name w:val="49"/>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48">
    <w:name w:val="48"/>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47">
    <w:name w:val="47"/>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46">
    <w:name w:val="46"/>
    <w:basedOn w:val="NormalTablo"/>
    <w:rsid w:val="003D2155"/>
    <w:pPr>
      <w:spacing w:line="259" w:lineRule="auto"/>
    </w:pPr>
    <w:rPr>
      <w:rFonts w:ascii="Aptos" w:eastAsia="Aptos" w:hAnsi="Aptos" w:cs="Aptos"/>
      <w:kern w:val="0"/>
      <w:sz w:val="22"/>
      <w:szCs w:val="22"/>
      <w:lang w:val="en-US" w:eastAsia="tr-TR"/>
      <w14:ligatures w14:val="none"/>
    </w:rPr>
    <w:tblPr>
      <w:tblStyleRowBandSize w:val="1"/>
      <w:tblStyleColBandSize w:val="1"/>
      <w:tblCellMar>
        <w:left w:w="70" w:type="dxa"/>
        <w:right w:w="70" w:type="dxa"/>
      </w:tblCellMar>
    </w:tblPr>
  </w:style>
  <w:style w:type="table" w:customStyle="1" w:styleId="45">
    <w:name w:val="45"/>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44">
    <w:name w:val="44"/>
    <w:basedOn w:val="NormalTablo"/>
    <w:rsid w:val="003D2155"/>
    <w:pPr>
      <w:spacing w:line="259" w:lineRule="auto"/>
    </w:pPr>
    <w:rPr>
      <w:rFonts w:ascii="Aptos" w:eastAsia="Aptos" w:hAnsi="Aptos" w:cs="Aptos"/>
      <w:kern w:val="0"/>
      <w:sz w:val="22"/>
      <w:szCs w:val="22"/>
      <w:lang w:val="en-US" w:eastAsia="tr-TR"/>
      <w14:ligatures w14:val="none"/>
    </w:rPr>
    <w:tblPr>
      <w:tblStyleRowBandSize w:val="1"/>
      <w:tblStyleColBandSize w:val="1"/>
      <w:tblCellMar>
        <w:left w:w="70" w:type="dxa"/>
        <w:right w:w="70" w:type="dxa"/>
      </w:tblCellMar>
    </w:tblPr>
  </w:style>
  <w:style w:type="table" w:customStyle="1" w:styleId="43">
    <w:name w:val="43"/>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42">
    <w:name w:val="42"/>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41">
    <w:name w:val="41"/>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39">
    <w:name w:val="39"/>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38">
    <w:name w:val="38"/>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37">
    <w:name w:val="37"/>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36">
    <w:name w:val="36"/>
    <w:basedOn w:val="NormalTablo"/>
    <w:rsid w:val="003D2155"/>
    <w:pPr>
      <w:spacing w:after="0" w:line="240" w:lineRule="auto"/>
      <w:jc w:val="center"/>
    </w:pPr>
    <w:rPr>
      <w:rFonts w:ascii="Calibri" w:eastAsia="Calibri" w:hAnsi="Calibri" w:cs="Calibri"/>
      <w:kern w:val="0"/>
      <w:sz w:val="18"/>
      <w:szCs w:val="18"/>
      <w:lang w:val="en-US" w:eastAsia="tr-TR"/>
      <w14:ligatures w14:val="none"/>
    </w:rPr>
    <w:tblPr>
      <w:tblStyleRowBandSize w:val="1"/>
      <w:tblStyleColBandSize w:val="1"/>
      <w:tblCellMar>
        <w:top w:w="28" w:type="dxa"/>
        <w:left w:w="85" w:type="dxa"/>
        <w:bottom w:w="28" w:type="dxa"/>
        <w:right w:w="85" w:type="dxa"/>
      </w:tblCellMar>
    </w:tblPr>
    <w:tcPr>
      <w:vAlign w:val="center"/>
    </w:tcPr>
    <w:tblStylePr w:type="firstRow">
      <w:pPr>
        <w:jc w:val="center"/>
      </w:pPr>
      <w:rPr>
        <w:rFonts w:ascii="Calibri" w:eastAsia="Calibri" w:hAnsi="Calibri" w:cs="Calibri"/>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jc w:val="center"/>
      </w:pPr>
      <w:rPr>
        <w:rFonts w:ascii="Calibri" w:eastAsia="Calibri" w:hAnsi="Calibri" w:cs="Calibri"/>
        <w:sz w:val="18"/>
        <w:szCs w:val="18"/>
      </w:rPr>
    </w:tblStylePr>
    <w:tblStylePr w:type="band2Vert">
      <w:pPr>
        <w:jc w:val="center"/>
      </w:pPr>
      <w:rPr>
        <w:rFonts w:ascii="Calibri" w:eastAsia="Calibri" w:hAnsi="Calibri" w:cs="Calibri"/>
        <w:sz w:val="18"/>
        <w:szCs w:val="18"/>
      </w:rPr>
    </w:tblStylePr>
    <w:tblStylePr w:type="band1Horz">
      <w:rPr>
        <w:rFonts w:ascii="Calibri" w:eastAsia="Calibri" w:hAnsi="Calibri" w:cs="Calibri"/>
        <w:sz w:val="18"/>
        <w:szCs w:val="18"/>
      </w:rPr>
    </w:tblStylePr>
    <w:tblStylePr w:type="band2Horz">
      <w:pPr>
        <w:jc w:val="center"/>
      </w:pPr>
      <w:rPr>
        <w:rFonts w:ascii="Calibri" w:eastAsia="Calibri" w:hAnsi="Calibri" w:cs="Calibri"/>
        <w:sz w:val="18"/>
        <w:szCs w:val="18"/>
      </w:rPr>
      <w:tblPr/>
      <w:tcPr>
        <w:shd w:val="clear" w:color="auto" w:fill="DBE5F1"/>
      </w:tcPr>
    </w:tblStylePr>
  </w:style>
  <w:style w:type="table" w:customStyle="1" w:styleId="35">
    <w:name w:val="35"/>
    <w:basedOn w:val="NormalTablo"/>
    <w:rsid w:val="003D2155"/>
    <w:pPr>
      <w:spacing w:line="259" w:lineRule="auto"/>
    </w:pPr>
    <w:rPr>
      <w:rFonts w:ascii="Aptos" w:eastAsia="Aptos" w:hAnsi="Aptos" w:cs="Aptos"/>
      <w:kern w:val="0"/>
      <w:sz w:val="22"/>
      <w:szCs w:val="22"/>
      <w:lang w:val="en-US" w:eastAsia="tr-TR"/>
      <w14:ligatures w14:val="none"/>
    </w:rPr>
    <w:tblPr>
      <w:tblStyleRowBandSize w:val="1"/>
      <w:tblStyleColBandSize w:val="1"/>
      <w:tblCellMar>
        <w:left w:w="115" w:type="dxa"/>
        <w:right w:w="115" w:type="dxa"/>
      </w:tblCellMar>
    </w:tblPr>
  </w:style>
  <w:style w:type="table" w:customStyle="1" w:styleId="34">
    <w:name w:val="34"/>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33">
    <w:name w:val="33"/>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32">
    <w:name w:val="32"/>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31">
    <w:name w:val="31"/>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30">
    <w:name w:val="30"/>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29">
    <w:name w:val="29"/>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28">
    <w:name w:val="28"/>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27">
    <w:name w:val="27"/>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26">
    <w:name w:val="26"/>
    <w:basedOn w:val="NormalTablo"/>
    <w:rsid w:val="003D2155"/>
    <w:pPr>
      <w:spacing w:line="259" w:lineRule="auto"/>
    </w:pPr>
    <w:rPr>
      <w:rFonts w:ascii="Aptos" w:eastAsia="Aptos" w:hAnsi="Aptos" w:cs="Aptos"/>
      <w:kern w:val="0"/>
      <w:sz w:val="22"/>
      <w:szCs w:val="22"/>
      <w:lang w:val="en-US" w:eastAsia="tr-TR"/>
      <w14:ligatures w14:val="none"/>
    </w:rPr>
    <w:tblPr>
      <w:tblStyleRowBandSize w:val="1"/>
      <w:tblStyleColBandSize w:val="1"/>
      <w:tblCellMar>
        <w:left w:w="115" w:type="dxa"/>
        <w:right w:w="115" w:type="dxa"/>
      </w:tblCellMar>
    </w:tblPr>
  </w:style>
  <w:style w:type="table" w:customStyle="1" w:styleId="25">
    <w:name w:val="25"/>
    <w:basedOn w:val="NormalTablo"/>
    <w:rsid w:val="003D2155"/>
    <w:pPr>
      <w:spacing w:line="259" w:lineRule="auto"/>
    </w:pPr>
    <w:rPr>
      <w:rFonts w:ascii="Aptos" w:eastAsia="Aptos" w:hAnsi="Aptos" w:cs="Aptos"/>
      <w:kern w:val="0"/>
      <w:sz w:val="22"/>
      <w:szCs w:val="22"/>
      <w:lang w:val="en-US" w:eastAsia="tr-TR"/>
      <w14:ligatures w14:val="none"/>
    </w:rPr>
    <w:tblPr>
      <w:tblStyleRowBandSize w:val="1"/>
      <w:tblStyleColBandSize w:val="1"/>
      <w:tblCellMar>
        <w:left w:w="115" w:type="dxa"/>
        <w:right w:w="115" w:type="dxa"/>
      </w:tblCellMar>
    </w:tblPr>
  </w:style>
  <w:style w:type="table" w:customStyle="1" w:styleId="24">
    <w:name w:val="24"/>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21">
    <w:name w:val="21"/>
    <w:basedOn w:val="NormalTablo"/>
    <w:rsid w:val="003D2155"/>
    <w:pPr>
      <w:spacing w:line="259" w:lineRule="auto"/>
    </w:pPr>
    <w:rPr>
      <w:rFonts w:ascii="Aptos" w:eastAsia="Aptos" w:hAnsi="Aptos" w:cs="Aptos"/>
      <w:kern w:val="0"/>
      <w:sz w:val="22"/>
      <w:szCs w:val="22"/>
      <w:lang w:val="en-US" w:eastAsia="tr-TR"/>
      <w14:ligatures w14:val="none"/>
    </w:rPr>
    <w:tblPr>
      <w:tblStyleRowBandSize w:val="1"/>
      <w:tblStyleColBandSize w:val="1"/>
      <w:tblCellMar>
        <w:left w:w="115" w:type="dxa"/>
        <w:right w:w="115" w:type="dxa"/>
      </w:tblCellMar>
    </w:tblPr>
  </w:style>
  <w:style w:type="table" w:customStyle="1" w:styleId="20">
    <w:name w:val="20"/>
    <w:basedOn w:val="NormalTablo"/>
    <w:rsid w:val="003D2155"/>
    <w:pPr>
      <w:spacing w:line="259" w:lineRule="auto"/>
    </w:pPr>
    <w:rPr>
      <w:rFonts w:ascii="Aptos" w:eastAsia="Aptos" w:hAnsi="Aptos" w:cs="Aptos"/>
      <w:kern w:val="0"/>
      <w:sz w:val="22"/>
      <w:szCs w:val="22"/>
      <w:lang w:val="en-US" w:eastAsia="tr-TR"/>
      <w14:ligatures w14:val="none"/>
    </w:rPr>
    <w:tblPr>
      <w:tblStyleRowBandSize w:val="1"/>
      <w:tblStyleColBandSize w:val="1"/>
      <w:tblCellMar>
        <w:left w:w="115" w:type="dxa"/>
        <w:right w:w="115" w:type="dxa"/>
      </w:tblCellMar>
    </w:tblPr>
  </w:style>
  <w:style w:type="table" w:customStyle="1" w:styleId="18">
    <w:name w:val="18"/>
    <w:basedOn w:val="NormalTablo"/>
    <w:rsid w:val="003D2155"/>
    <w:pPr>
      <w:spacing w:line="259" w:lineRule="auto"/>
    </w:pPr>
    <w:rPr>
      <w:rFonts w:ascii="Aptos" w:eastAsia="Aptos" w:hAnsi="Aptos" w:cs="Aptos"/>
      <w:kern w:val="0"/>
      <w:sz w:val="22"/>
      <w:szCs w:val="22"/>
      <w:lang w:val="en-US" w:eastAsia="tr-TR"/>
      <w14:ligatures w14:val="none"/>
    </w:rPr>
    <w:tblPr>
      <w:tblStyleRowBandSize w:val="1"/>
      <w:tblStyleColBandSize w:val="1"/>
      <w:tblCellMar>
        <w:left w:w="115" w:type="dxa"/>
        <w:right w:w="115" w:type="dxa"/>
      </w:tblCellMar>
    </w:tblPr>
  </w:style>
  <w:style w:type="table" w:customStyle="1" w:styleId="17">
    <w:name w:val="17"/>
    <w:basedOn w:val="NormalTablo"/>
    <w:rsid w:val="003D2155"/>
    <w:pPr>
      <w:spacing w:line="259" w:lineRule="auto"/>
    </w:pPr>
    <w:rPr>
      <w:rFonts w:ascii="Aptos" w:eastAsia="Aptos" w:hAnsi="Aptos" w:cs="Aptos"/>
      <w:kern w:val="0"/>
      <w:sz w:val="22"/>
      <w:szCs w:val="22"/>
      <w:lang w:val="en-US" w:eastAsia="tr-TR"/>
      <w14:ligatures w14:val="none"/>
    </w:rPr>
    <w:tblPr>
      <w:tblStyleRowBandSize w:val="1"/>
      <w:tblStyleColBandSize w:val="1"/>
      <w:tblCellMar>
        <w:left w:w="115" w:type="dxa"/>
        <w:right w:w="115" w:type="dxa"/>
      </w:tblCellMar>
    </w:tblPr>
  </w:style>
  <w:style w:type="table" w:customStyle="1" w:styleId="12">
    <w:name w:val="12"/>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11">
    <w:name w:val="11"/>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10">
    <w:name w:val="10"/>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9">
    <w:name w:val="9"/>
    <w:basedOn w:val="NormalTablo"/>
    <w:rsid w:val="003D2155"/>
    <w:pPr>
      <w:spacing w:after="0" w:line="240" w:lineRule="auto"/>
      <w:jc w:val="both"/>
    </w:pPr>
    <w:rPr>
      <w:rFonts w:ascii="Tahoma" w:eastAsia="Tahoma" w:hAnsi="Tahoma" w:cs="Tahoma"/>
      <w:kern w:val="0"/>
      <w:sz w:val="22"/>
      <w:szCs w:val="22"/>
      <w:lang w:val="en-US" w:eastAsia="tr-TR"/>
      <w14:ligatures w14:val="none"/>
    </w:rPr>
    <w:tblPr>
      <w:tblStyleRowBandSize w:val="1"/>
      <w:tblStyleColBandSize w:val="1"/>
    </w:tblPr>
  </w:style>
  <w:style w:type="table" w:customStyle="1" w:styleId="5">
    <w:name w:val="5"/>
    <w:basedOn w:val="NormalTablo"/>
    <w:rsid w:val="003D2155"/>
    <w:pPr>
      <w:spacing w:line="259" w:lineRule="auto"/>
    </w:pPr>
    <w:rPr>
      <w:rFonts w:ascii="Aptos" w:eastAsia="Aptos" w:hAnsi="Aptos" w:cs="Aptos"/>
      <w:kern w:val="0"/>
      <w:sz w:val="22"/>
      <w:szCs w:val="22"/>
      <w:lang w:val="en-US" w:eastAsia="tr-TR"/>
      <w14:ligatures w14:val="none"/>
    </w:rPr>
    <w:tblPr>
      <w:tblStyleRowBandSize w:val="1"/>
      <w:tblStyleColBandSize w:val="1"/>
      <w:tblCellMar>
        <w:left w:w="57" w:type="dxa"/>
        <w:right w:w="0" w:type="dxa"/>
      </w:tblCellMar>
    </w:tblPr>
  </w:style>
  <w:style w:type="table" w:customStyle="1" w:styleId="4">
    <w:name w:val="4"/>
    <w:basedOn w:val="NormalTablo"/>
    <w:rsid w:val="003D2155"/>
    <w:pPr>
      <w:spacing w:line="259" w:lineRule="auto"/>
    </w:pPr>
    <w:rPr>
      <w:rFonts w:ascii="Aptos" w:eastAsia="Aptos" w:hAnsi="Aptos" w:cs="Aptos"/>
      <w:kern w:val="0"/>
      <w:sz w:val="22"/>
      <w:szCs w:val="22"/>
      <w:lang w:val="en-US" w:eastAsia="tr-TR"/>
      <w14:ligatures w14:val="none"/>
    </w:rPr>
    <w:tblPr>
      <w:tblStyleRowBandSize w:val="1"/>
      <w:tblStyleColBandSize w:val="1"/>
      <w:tblCellMar>
        <w:left w:w="57" w:type="dxa"/>
        <w:right w:w="0" w:type="dxa"/>
      </w:tblCellMar>
    </w:tblPr>
  </w:style>
  <w:style w:type="table" w:customStyle="1" w:styleId="3">
    <w:name w:val="3"/>
    <w:basedOn w:val="NormalTablo"/>
    <w:rsid w:val="003D2155"/>
    <w:pPr>
      <w:spacing w:line="259" w:lineRule="auto"/>
    </w:pPr>
    <w:rPr>
      <w:rFonts w:ascii="Aptos" w:eastAsia="Aptos" w:hAnsi="Aptos" w:cs="Aptos"/>
      <w:kern w:val="0"/>
      <w:sz w:val="22"/>
      <w:szCs w:val="22"/>
      <w:lang w:val="en-US" w:eastAsia="tr-TR"/>
      <w14:ligatures w14:val="none"/>
    </w:rPr>
    <w:tblPr>
      <w:tblStyleRowBandSize w:val="1"/>
      <w:tblStyleColBandSize w:val="1"/>
      <w:tblCellMar>
        <w:left w:w="57" w:type="dxa"/>
        <w:right w:w="0" w:type="dxa"/>
      </w:tblCellMar>
    </w:tblPr>
  </w:style>
  <w:style w:type="table" w:customStyle="1" w:styleId="2">
    <w:name w:val="2"/>
    <w:basedOn w:val="NormalTablo"/>
    <w:rsid w:val="003D2155"/>
    <w:pPr>
      <w:spacing w:line="259" w:lineRule="auto"/>
    </w:pPr>
    <w:rPr>
      <w:rFonts w:ascii="Aptos" w:eastAsia="Aptos" w:hAnsi="Aptos" w:cs="Aptos"/>
      <w:kern w:val="0"/>
      <w:sz w:val="22"/>
      <w:szCs w:val="22"/>
      <w:lang w:val="en-US" w:eastAsia="tr-TR"/>
      <w14:ligatures w14:val="none"/>
    </w:rPr>
    <w:tblPr>
      <w:tblStyleRowBandSize w:val="1"/>
      <w:tblStyleColBandSize w:val="1"/>
      <w:tblCellMar>
        <w:left w:w="57" w:type="dxa"/>
        <w:right w:w="0" w:type="dxa"/>
      </w:tblCellMar>
    </w:tblPr>
  </w:style>
  <w:style w:type="table" w:customStyle="1" w:styleId="1">
    <w:name w:val="1"/>
    <w:basedOn w:val="NormalTablo"/>
    <w:rsid w:val="003D2155"/>
    <w:pPr>
      <w:spacing w:line="259" w:lineRule="auto"/>
    </w:pPr>
    <w:rPr>
      <w:rFonts w:ascii="Aptos" w:eastAsia="Aptos" w:hAnsi="Aptos" w:cs="Aptos"/>
      <w:kern w:val="0"/>
      <w:sz w:val="22"/>
      <w:szCs w:val="22"/>
      <w:lang w:val="en-US" w:eastAsia="tr-TR"/>
      <w14:ligatures w14:val="none"/>
    </w:rPr>
    <w:tblPr>
      <w:tblStyleRowBandSize w:val="1"/>
      <w:tblStyleColBandSize w:val="1"/>
      <w:tblCellMar>
        <w:left w:w="57" w:type="dxa"/>
        <w:right w:w="0" w:type="dxa"/>
      </w:tblCellMar>
    </w:tblPr>
  </w:style>
  <w:style w:type="table" w:customStyle="1" w:styleId="TableGrid1">
    <w:name w:val="Table Grid1"/>
    <w:basedOn w:val="NormalTablo"/>
    <w:next w:val="TabloKlavuzu"/>
    <w:rsid w:val="003D2155"/>
    <w:pPr>
      <w:spacing w:after="0" w:line="240" w:lineRule="auto"/>
      <w:jc w:val="both"/>
    </w:pPr>
    <w:rPr>
      <w:rFonts w:ascii="Tahoma" w:eastAsia="Aptos" w:hAnsi="Tahoma" w:cs="Tahoma"/>
      <w:kern w:val="16"/>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3D2155"/>
    <w:pPr>
      <w:spacing w:after="0" w:line="240" w:lineRule="auto"/>
    </w:pPr>
    <w:rPr>
      <w:rFonts w:ascii="Aptos" w:eastAsia="Aptos" w:hAnsi="Aptos" w:cs="Aptos"/>
      <w:kern w:val="0"/>
      <w:sz w:val="22"/>
      <w:szCs w:val="22"/>
      <w:lang w:val="en-US" w:eastAsia="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rsid w:val="003D2155"/>
    <w:pPr>
      <w:spacing w:after="0" w:line="240" w:lineRule="auto"/>
      <w:jc w:val="both"/>
    </w:pPr>
    <w:rPr>
      <w:rFonts w:ascii="Tahoma" w:eastAsia="Aptos" w:hAnsi="Tahoma" w:cs="Tahoma"/>
      <w:kern w:val="16"/>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Tablo"/>
    <w:next w:val="TabloKlavuzu"/>
    <w:rsid w:val="003D2155"/>
    <w:pPr>
      <w:spacing w:after="0" w:line="240" w:lineRule="auto"/>
      <w:jc w:val="both"/>
    </w:pPr>
    <w:rPr>
      <w:rFonts w:ascii="Tahoma" w:eastAsia="Aptos" w:hAnsi="Tahoma" w:cs="Tahoma"/>
      <w:kern w:val="16"/>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Tablo"/>
    <w:next w:val="TabloKlavuzu"/>
    <w:rsid w:val="003D2155"/>
    <w:pPr>
      <w:spacing w:after="0" w:line="240" w:lineRule="auto"/>
      <w:jc w:val="both"/>
    </w:pPr>
    <w:rPr>
      <w:rFonts w:ascii="Tahoma" w:eastAsia="Aptos" w:hAnsi="Tahoma" w:cs="Tahoma"/>
      <w:kern w:val="16"/>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NormalTablo"/>
    <w:next w:val="TabloKlavuzu"/>
    <w:rsid w:val="003D2155"/>
    <w:pPr>
      <w:spacing w:after="0" w:line="240" w:lineRule="auto"/>
      <w:jc w:val="both"/>
    </w:pPr>
    <w:rPr>
      <w:rFonts w:ascii="Tahoma" w:eastAsia="Aptos" w:hAnsi="Tahoma" w:cs="Tahoma"/>
      <w:kern w:val="16"/>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NormalTablo"/>
    <w:next w:val="TabloKlavuzu"/>
    <w:rsid w:val="003D2155"/>
    <w:pPr>
      <w:spacing w:after="0" w:line="240" w:lineRule="auto"/>
      <w:jc w:val="both"/>
    </w:pPr>
    <w:rPr>
      <w:rFonts w:ascii="Tahoma" w:eastAsia="Aptos" w:hAnsi="Tahoma" w:cs="Tahoma"/>
      <w:kern w:val="16"/>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NormalTablo"/>
    <w:next w:val="TabloKlavuzu"/>
    <w:rsid w:val="003D2155"/>
    <w:pPr>
      <w:spacing w:after="0" w:line="240" w:lineRule="auto"/>
      <w:jc w:val="both"/>
    </w:pPr>
    <w:rPr>
      <w:rFonts w:ascii="Tahoma" w:eastAsia="Aptos" w:hAnsi="Tahoma" w:cs="Tahoma"/>
      <w:kern w:val="16"/>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Tablo"/>
    <w:next w:val="TabloKlavuzu"/>
    <w:rsid w:val="003D2155"/>
    <w:pPr>
      <w:spacing w:after="0" w:line="240" w:lineRule="auto"/>
      <w:jc w:val="both"/>
    </w:pPr>
    <w:rPr>
      <w:rFonts w:ascii="Tahoma" w:eastAsia="Aptos" w:hAnsi="Tahoma" w:cs="Tahoma"/>
      <w:kern w:val="16"/>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Tablo"/>
    <w:next w:val="TabloKlavuzu"/>
    <w:rsid w:val="003D2155"/>
    <w:pPr>
      <w:spacing w:after="0" w:line="240" w:lineRule="auto"/>
      <w:jc w:val="both"/>
    </w:pPr>
    <w:rPr>
      <w:rFonts w:ascii="Tahoma" w:hAnsi="Tahoma" w:cs="Tahoma"/>
      <w:kern w:val="16"/>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Tablo"/>
    <w:next w:val="TabloKlavuzu"/>
    <w:rsid w:val="003D2155"/>
    <w:pPr>
      <w:spacing w:after="0" w:line="240" w:lineRule="auto"/>
      <w:jc w:val="both"/>
    </w:pPr>
    <w:rPr>
      <w:rFonts w:ascii="Tahoma" w:eastAsia="Aptos" w:hAnsi="Tahoma" w:cs="Tahoma"/>
      <w:kern w:val="16"/>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Tablo"/>
    <w:next w:val="TabloKlavuzu"/>
    <w:uiPriority w:val="39"/>
    <w:rsid w:val="003D2155"/>
    <w:pPr>
      <w:spacing w:after="0" w:line="240" w:lineRule="auto"/>
      <w:jc w:val="both"/>
    </w:pPr>
    <w:rPr>
      <w:rFonts w:ascii="Tahoma" w:eastAsia="Aptos" w:hAnsi="Tahoma" w:cs="Tahoma"/>
      <w:kern w:val="16"/>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Tablo"/>
    <w:next w:val="TabloKlavuzu"/>
    <w:uiPriority w:val="39"/>
    <w:rsid w:val="003D2155"/>
    <w:pPr>
      <w:spacing w:after="0" w:line="240" w:lineRule="auto"/>
      <w:jc w:val="both"/>
    </w:pPr>
    <w:rPr>
      <w:rFonts w:ascii="Tahoma" w:eastAsia="Aptos" w:hAnsi="Tahoma" w:cs="Tahoma"/>
      <w:kern w:val="16"/>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Tablo"/>
    <w:next w:val="TabloKlavuzu"/>
    <w:uiPriority w:val="39"/>
    <w:rsid w:val="003D2155"/>
    <w:pPr>
      <w:spacing w:after="0" w:line="240" w:lineRule="auto"/>
      <w:jc w:val="both"/>
    </w:pPr>
    <w:rPr>
      <w:rFonts w:ascii="Tahoma" w:hAnsi="Tahoma" w:cs="Tahoma"/>
      <w:kern w:val="16"/>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Tablo"/>
    <w:next w:val="TabloKlavuzu"/>
    <w:uiPriority w:val="39"/>
    <w:rsid w:val="003D2155"/>
    <w:pPr>
      <w:spacing w:after="0" w:line="240" w:lineRule="auto"/>
      <w:jc w:val="both"/>
    </w:pPr>
    <w:rPr>
      <w:rFonts w:ascii="Tahoma" w:hAnsi="Tahoma" w:cs="Tahoma"/>
      <w:kern w:val="16"/>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NormalTablo"/>
    <w:next w:val="TabloKlavuzu"/>
    <w:uiPriority w:val="39"/>
    <w:rsid w:val="003D2155"/>
    <w:pPr>
      <w:spacing w:after="0" w:line="240" w:lineRule="auto"/>
      <w:jc w:val="both"/>
    </w:pPr>
    <w:rPr>
      <w:rFonts w:ascii="Tahoma" w:hAnsi="Tahoma" w:cs="Tahoma"/>
      <w:kern w:val="16"/>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NormalTablo"/>
    <w:next w:val="TabloKlavuzu"/>
    <w:uiPriority w:val="39"/>
    <w:rsid w:val="003D2155"/>
    <w:pPr>
      <w:spacing w:after="0" w:line="240" w:lineRule="auto"/>
      <w:jc w:val="both"/>
    </w:pPr>
    <w:rPr>
      <w:rFonts w:ascii="Tahoma" w:eastAsia="Aptos" w:hAnsi="Tahoma" w:cs="Tahoma"/>
      <w:kern w:val="16"/>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3D21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11">
    <w:name w:val="Stil11"/>
    <w:basedOn w:val="NormalTablo"/>
    <w:rsid w:val="003D2155"/>
    <w:pPr>
      <w:spacing w:after="0" w:line="240" w:lineRule="auto"/>
    </w:pPr>
    <w:rPr>
      <w:rFonts w:ascii="Tahoma" w:eastAsia="Times New Roman" w:hAnsi="Tahoma" w:cs="Times New Roman"/>
      <w:color w:val="000000"/>
      <w:kern w:val="0"/>
      <w:sz w:val="20"/>
      <w:szCs w:val="20"/>
      <w:lang w:eastAsia="tr-TR"/>
      <w14:ligatures w14:val="none"/>
    </w:rPr>
    <w:tblPr>
      <w:tblBorders>
        <w:top w:val="single" w:sz="4" w:space="0" w:color="auto"/>
        <w:bottom w:val="single" w:sz="4" w:space="0" w:color="auto"/>
        <w:insideH w:val="single" w:sz="4" w:space="0" w:color="auto"/>
      </w:tblBorders>
    </w:tblPr>
    <w:tblStylePr w:type="firstRow">
      <w:rPr>
        <w:color w:val="5B9BD5"/>
      </w:rPr>
    </w:tblStylePr>
  </w:style>
  <w:style w:type="numbering" w:customStyle="1" w:styleId="GeerliListe1">
    <w:name w:val="Geçerli Liste1"/>
    <w:uiPriority w:val="99"/>
    <w:rsid w:val="003D2155"/>
    <w:pPr>
      <w:numPr>
        <w:numId w:val="135"/>
      </w:numPr>
    </w:pPr>
  </w:style>
  <w:style w:type="numbering" w:customStyle="1" w:styleId="ListeYok4">
    <w:name w:val="Liste Yok4"/>
    <w:next w:val="ListeYok"/>
    <w:uiPriority w:val="99"/>
    <w:semiHidden/>
    <w:unhideWhenUsed/>
    <w:rsid w:val="00921C59"/>
  </w:style>
  <w:style w:type="table" w:customStyle="1" w:styleId="TabloKlavuzu6">
    <w:name w:val="Tablo Kılavuzu6"/>
    <w:basedOn w:val="NormalTablo"/>
    <w:next w:val="TabloKlavuzu"/>
    <w:uiPriority w:val="39"/>
    <w:rsid w:val="00921C59"/>
    <w:pPr>
      <w:spacing w:after="0" w:line="240" w:lineRule="auto"/>
    </w:pPr>
    <w:rPr>
      <w:rFonts w:ascii="Aptos" w:eastAsia="Aptos" w:hAnsi="Aptos" w:cs="Aptos"/>
      <w:kern w:val="0"/>
      <w:sz w:val="22"/>
      <w:szCs w:val="22"/>
      <w:lang w:val="en-US" w:eastAsia="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921C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12">
    <w:name w:val="Stil12"/>
    <w:basedOn w:val="NormalTablo"/>
    <w:rsid w:val="00921C59"/>
    <w:pPr>
      <w:spacing w:after="0" w:line="240" w:lineRule="auto"/>
    </w:pPr>
    <w:rPr>
      <w:rFonts w:ascii="Tahoma" w:eastAsia="Times New Roman" w:hAnsi="Tahoma" w:cs="Times New Roman"/>
      <w:color w:val="000000"/>
      <w:kern w:val="0"/>
      <w:sz w:val="20"/>
      <w:szCs w:val="20"/>
      <w:lang w:eastAsia="tr-TR"/>
      <w14:ligatures w14:val="none"/>
    </w:rPr>
    <w:tblPr>
      <w:tblBorders>
        <w:top w:val="single" w:sz="4" w:space="0" w:color="auto"/>
        <w:bottom w:val="single" w:sz="4" w:space="0" w:color="auto"/>
        <w:insideH w:val="single" w:sz="4" w:space="0" w:color="auto"/>
      </w:tblBorders>
    </w:tblPr>
    <w:tblStylePr w:type="firstRow">
      <w:rPr>
        <w:color w:val="5B9BD5"/>
      </w:rPr>
    </w:tblStylePr>
  </w:style>
  <w:style w:type="numbering" w:customStyle="1" w:styleId="GeerliListe11">
    <w:name w:val="Geçerli Liste11"/>
    <w:uiPriority w:val="99"/>
    <w:rsid w:val="00921C59"/>
  </w:style>
  <w:style w:type="paragraph" w:styleId="T7">
    <w:name w:val="toc 7"/>
    <w:basedOn w:val="Normal"/>
    <w:next w:val="Normal"/>
    <w:autoRedefine/>
    <w:uiPriority w:val="39"/>
    <w:unhideWhenUsed/>
    <w:rsid w:val="006E6537"/>
    <w:pPr>
      <w:spacing w:after="0"/>
      <w:ind w:left="1100"/>
      <w:jc w:val="left"/>
    </w:pPr>
    <w:rPr>
      <w:rFonts w:asciiTheme="minorHAnsi" w:hAnsiTheme="minorHAnsi" w:cstheme="minorHAnsi"/>
      <w:sz w:val="20"/>
      <w:szCs w:val="20"/>
    </w:rPr>
  </w:style>
  <w:style w:type="paragraph" w:styleId="T8">
    <w:name w:val="toc 8"/>
    <w:basedOn w:val="Normal"/>
    <w:next w:val="Normal"/>
    <w:autoRedefine/>
    <w:uiPriority w:val="39"/>
    <w:unhideWhenUsed/>
    <w:rsid w:val="006E6537"/>
    <w:pPr>
      <w:spacing w:after="0"/>
      <w:ind w:left="1320"/>
      <w:jc w:val="left"/>
    </w:pPr>
    <w:rPr>
      <w:rFonts w:asciiTheme="minorHAnsi" w:hAnsiTheme="minorHAnsi" w:cstheme="minorHAnsi"/>
      <w:sz w:val="20"/>
      <w:szCs w:val="20"/>
    </w:rPr>
  </w:style>
  <w:style w:type="paragraph" w:styleId="T9">
    <w:name w:val="toc 9"/>
    <w:basedOn w:val="Normal"/>
    <w:next w:val="Normal"/>
    <w:autoRedefine/>
    <w:uiPriority w:val="39"/>
    <w:unhideWhenUsed/>
    <w:rsid w:val="006E6537"/>
    <w:pPr>
      <w:spacing w:after="0"/>
      <w:ind w:left="1540"/>
      <w:jc w:val="left"/>
    </w:pPr>
    <w:rPr>
      <w:rFonts w:asciiTheme="minorHAnsi" w:hAnsiTheme="minorHAnsi" w:cstheme="minorHAnsi"/>
      <w:sz w:val="20"/>
      <w:szCs w:val="20"/>
    </w:rPr>
  </w:style>
  <w:style w:type="character" w:styleId="zmlenmeyenBahsetme">
    <w:name w:val="Unresolved Mention"/>
    <w:basedOn w:val="VarsaylanParagrafYazTipi"/>
    <w:uiPriority w:val="99"/>
    <w:semiHidden/>
    <w:unhideWhenUsed/>
    <w:rsid w:val="00F33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717568">
      <w:bodyDiv w:val="1"/>
      <w:marLeft w:val="0"/>
      <w:marRight w:val="0"/>
      <w:marTop w:val="0"/>
      <w:marBottom w:val="0"/>
      <w:divBdr>
        <w:top w:val="none" w:sz="0" w:space="0" w:color="auto"/>
        <w:left w:val="none" w:sz="0" w:space="0" w:color="auto"/>
        <w:bottom w:val="none" w:sz="0" w:space="0" w:color="auto"/>
        <w:right w:val="none" w:sz="0" w:space="0" w:color="auto"/>
      </w:divBdr>
    </w:div>
    <w:div w:id="1580942657">
      <w:bodyDiv w:val="1"/>
      <w:marLeft w:val="0"/>
      <w:marRight w:val="0"/>
      <w:marTop w:val="0"/>
      <w:marBottom w:val="0"/>
      <w:divBdr>
        <w:top w:val="none" w:sz="0" w:space="0" w:color="auto"/>
        <w:left w:val="none" w:sz="0" w:space="0" w:color="auto"/>
        <w:bottom w:val="none" w:sz="0" w:space="0" w:color="auto"/>
        <w:right w:val="none" w:sz="0" w:space="0" w:color="auto"/>
      </w:divBdr>
    </w:div>
    <w:div w:id="169491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s://hangiuniversite.com/sakarya-uygulamali-bilimler-universitesi" TargetMode="External"/><Relationship Id="rId39" Type="http://schemas.openxmlformats.org/officeDocument/2006/relationships/header" Target="header6.xml"/><Relationship Id="rId21" Type="http://schemas.openxmlformats.org/officeDocument/2006/relationships/chart" Target="charts/chart2.xml"/><Relationship Id="rId34" Type="http://schemas.openxmlformats.org/officeDocument/2006/relationships/chart" Target="charts/chart9.xml"/><Relationship Id="rId42" Type="http://schemas.openxmlformats.org/officeDocument/2006/relationships/header" Target="header7.xml"/><Relationship Id="rId47" Type="http://schemas.openxmlformats.org/officeDocument/2006/relationships/image" Target="media/image13.png"/><Relationship Id="rId50" Type="http://schemas.openxmlformats.org/officeDocument/2006/relationships/footer" Target="footer6.xml"/><Relationship Id="rId55" Type="http://schemas.openxmlformats.org/officeDocument/2006/relationships/image" Target="media/image1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8.jpg"/><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image" Target="media/image11.jpeg"/><Relationship Id="rId37" Type="http://schemas.openxmlformats.org/officeDocument/2006/relationships/header" Target="header5.xml"/><Relationship Id="rId40" Type="http://schemas.openxmlformats.org/officeDocument/2006/relationships/hyperlink" Target="http://www.worldbank.org/en/projects-operations/products-and-services/grievance-redress-service" TargetMode="External"/><Relationship Id="rId45" Type="http://schemas.openxmlformats.org/officeDocument/2006/relationships/header" Target="header9.xml"/><Relationship Id="rId53" Type="http://schemas.openxmlformats.org/officeDocument/2006/relationships/image" Target="media/image15.png"/><Relationship Id="rId58" Type="http://schemas.openxmlformats.org/officeDocument/2006/relationships/hyperlink" Target="https://kentseldirenclilik.csb.gov.tr/muteahhit-tarafindan-araad-uygulamasina-yuklenecek-evraklar-i-112282" TargetMode="External"/><Relationship Id="rId5" Type="http://schemas.openxmlformats.org/officeDocument/2006/relationships/webSettings" Target="webSettings.xml"/><Relationship Id="rId61" Type="http://schemas.openxmlformats.org/officeDocument/2006/relationships/image" Target="media/image19.jpeg"/><Relationship Id="rId19" Type="http://schemas.openxmlformats.org/officeDocument/2006/relationships/image" Target="media/image6.jpeg"/><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image" Target="media/image9.jpeg"/><Relationship Id="rId35" Type="http://schemas.openxmlformats.org/officeDocument/2006/relationships/hyperlink" Target="mailto:dayanikli@kdb.gov.tr" TargetMode="External"/><Relationship Id="rId43" Type="http://schemas.openxmlformats.org/officeDocument/2006/relationships/header" Target="header8.xml"/><Relationship Id="rId48" Type="http://schemas.openxmlformats.org/officeDocument/2006/relationships/header" Target="header10.xml"/><Relationship Id="rId56" Type="http://schemas.openxmlformats.org/officeDocument/2006/relationships/hyperlink" Target="https://kentseldirenclilik.csb.gov.tr/proje-kapsaminda-verilecek-kredilerin-yillik-faiz-oranina-baskanligimizca-belirlenmis-olan-4-kategoriden-her-bir-kategori-icin-yillik-bazda-faiz-indirimi-uygulanacaktir-haber-286788"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chart" Target="charts/chart6.xml"/><Relationship Id="rId33" Type="http://schemas.openxmlformats.org/officeDocument/2006/relationships/chart" Target="charts/chart8.xml"/><Relationship Id="rId38" Type="http://schemas.openxmlformats.org/officeDocument/2006/relationships/footer" Target="footer4.xml"/><Relationship Id="rId46" Type="http://schemas.openxmlformats.org/officeDocument/2006/relationships/image" Target="media/image12.png"/><Relationship Id="rId59" Type="http://schemas.openxmlformats.org/officeDocument/2006/relationships/hyperlink" Target="http://www.csb.gov.tr" TargetMode="External"/><Relationship Id="rId20" Type="http://schemas.openxmlformats.org/officeDocument/2006/relationships/chart" Target="charts/chart1.xml"/><Relationship Id="rId41" Type="http://schemas.openxmlformats.org/officeDocument/2006/relationships/hyperlink" Target="http://www.inspectionpanel.org/" TargetMode="External"/><Relationship Id="rId54" Type="http://schemas.openxmlformats.org/officeDocument/2006/relationships/image" Target="media/image16.png"/><Relationship Id="rId62"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chart" Target="charts/chart4.xml"/><Relationship Id="rId28" Type="http://schemas.openxmlformats.org/officeDocument/2006/relationships/image" Target="media/image7.png"/><Relationship Id="rId36" Type="http://schemas.openxmlformats.org/officeDocument/2006/relationships/header" Target="header4.xml"/><Relationship Id="rId49" Type="http://schemas.openxmlformats.org/officeDocument/2006/relationships/header" Target="header11.xml"/><Relationship Id="rId57" Type="http://schemas.openxmlformats.org/officeDocument/2006/relationships/hyperlink" Target="https://kentseldirenclilik.csb.gov.tr/sikca-sorulan-sorular-i-112335" TargetMode="External"/><Relationship Id="rId10" Type="http://schemas.openxmlformats.org/officeDocument/2006/relationships/header" Target="header2.xml"/><Relationship Id="rId31" Type="http://schemas.openxmlformats.org/officeDocument/2006/relationships/image" Target="media/image10.jpeg"/><Relationship Id="rId44" Type="http://schemas.openxmlformats.org/officeDocument/2006/relationships/footer" Target="footer5.xml"/><Relationship Id="rId52" Type="http://schemas.openxmlformats.org/officeDocument/2006/relationships/image" Target="media/image14.png"/><Relationship Id="rId60"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kentseldirenclilik.csb.gov.tr/uygulama-kilavuzlari-i-112364" TargetMode="External"/><Relationship Id="rId3" Type="http://schemas.openxmlformats.org/officeDocument/2006/relationships/hyperlink" Target="https://kentseldirenclilik.csb.gov.tr/ingilizce-dokumanlar-i-108261" TargetMode="External"/><Relationship Id="rId7" Type="http://schemas.openxmlformats.org/officeDocument/2006/relationships/hyperlink" Target="https://webdosya.csb.gov.tr/db/altyapi/icerikler/moeucc_rf-20220601190650.pdf" TargetMode="External"/><Relationship Id="rId2" Type="http://schemas.openxmlformats.org/officeDocument/2006/relationships/hyperlink" Target="https://kentseldirenclilik.csb.gov.tr/ingilizce-dokumanlar-i-108261" TargetMode="External"/><Relationship Id="rId1" Type="http://schemas.openxmlformats.org/officeDocument/2006/relationships/hyperlink" Target="https://documents1.worldbank.org/curated/en/099955009082212553/pdf/BOSIB09755adcf0b60b1370d3698b9987d0.pdf" TargetMode="External"/><Relationship Id="rId6" Type="http://schemas.openxmlformats.org/officeDocument/2006/relationships/hyperlink" Target="https://webdosya.csb.gov.tr/db/altyapi/icerikler/moeucc_lmp-20220705095035.pdf" TargetMode="External"/><Relationship Id="rId5" Type="http://schemas.openxmlformats.org/officeDocument/2006/relationships/hyperlink" Target="https://sakarya.tarimorman.gov.tr/" TargetMode="External"/><Relationship Id="rId10" Type="http://schemas.openxmlformats.org/officeDocument/2006/relationships/hyperlink" Target="https://webdosya.csb.gov.tr/db/altyapi/icerikler/r-skl--yapilarin-tesp-t-ed-lmes-ne-il-sk-n-esaslar-20190218134628.pdf" TargetMode="External"/><Relationship Id="rId4" Type="http://schemas.openxmlformats.org/officeDocument/2006/relationships/hyperlink" Target="https://kentseldirenclilik.csb.gov.tr/ingilizce-dokumanlar-i-108261" TargetMode="External"/><Relationship Id="rId9" Type="http://schemas.openxmlformats.org/officeDocument/2006/relationships/hyperlink" Target="https://www.mevzuat.gov.tr/mevzuat?MevzuatNo=6306&amp;MevzuatTur=1&amp;MevzuatTertip=5"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muad.egunescakmakci\Downloads\pivot.xl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muad.egunescakmakci\Downloads\pivot%20(5).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muad.egunescakmakci\Downloads\pivot%20(5).xls"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C:\Users\muad.egunescakmakci\Downloads\pivot%20(8).xls"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muad.egunescakmakci\Downloads\pivot%20(8).xls"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5.xml"/><Relationship Id="rId4" Type="http://schemas.openxmlformats.org/officeDocument/2006/relationships/oleObject" Target="file:///C:\Users\muad.egunescakmakci\Downloads\pivot%20(12).xls"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6.xml"/><Relationship Id="rId4" Type="http://schemas.openxmlformats.org/officeDocument/2006/relationships/oleObject" Target="file:///C:\Users\muad.egunescakmakci\Downloads\pivot%20(13).xls"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muad.egunescakmakci\Downloads\pivot%20(16).xls"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muad.egunescakmakci\Downloads\pivot%20(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Sheet0!$B$1</c:f>
              <c:strCache>
                <c:ptCount val="1"/>
                <c:pt idx="0">
                  <c:v>Sakarya'nın Nüfusu (kişi)</c:v>
                </c:pt>
              </c:strCache>
            </c:strRef>
          </c:tx>
          <c:spPr>
            <a:solidFill>
              <a:schemeClr val="tx2">
                <a:lumMod val="40000"/>
                <a:lumOff val="60000"/>
              </a:schemeClr>
            </a:solidFill>
            <a:ln>
              <a:noFill/>
            </a:ln>
            <a:effectLst/>
          </c:spPr>
          <c:invertIfNegative val="0"/>
          <c:cat>
            <c:strRef>
              <c:f>Sheet0!$A$2:$A$19</c:f>
              <c:strCach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strCache>
            </c:strRef>
          </c:cat>
          <c:val>
            <c:numRef>
              <c:f>Sheet0!$B$2:$B$19</c:f>
              <c:numCache>
                <c:formatCode>General</c:formatCode>
                <c:ptCount val="18"/>
                <c:pt idx="0">
                  <c:v>835222</c:v>
                </c:pt>
                <c:pt idx="1">
                  <c:v>851292</c:v>
                </c:pt>
                <c:pt idx="2">
                  <c:v>861570</c:v>
                </c:pt>
                <c:pt idx="3">
                  <c:v>872872</c:v>
                </c:pt>
                <c:pt idx="4">
                  <c:v>888556</c:v>
                </c:pt>
                <c:pt idx="5">
                  <c:v>902267</c:v>
                </c:pt>
                <c:pt idx="6">
                  <c:v>917373</c:v>
                </c:pt>
                <c:pt idx="7">
                  <c:v>932706</c:v>
                </c:pt>
                <c:pt idx="8">
                  <c:v>953181</c:v>
                </c:pt>
                <c:pt idx="9">
                  <c:v>976948</c:v>
                </c:pt>
                <c:pt idx="10">
                  <c:v>990214</c:v>
                </c:pt>
                <c:pt idx="11">
                  <c:v>1010700</c:v>
                </c:pt>
                <c:pt idx="12">
                  <c:v>1029650</c:v>
                </c:pt>
                <c:pt idx="13">
                  <c:v>1042649</c:v>
                </c:pt>
                <c:pt idx="14">
                  <c:v>1060876</c:v>
                </c:pt>
                <c:pt idx="15">
                  <c:v>1080080</c:v>
                </c:pt>
                <c:pt idx="16">
                  <c:v>1098115</c:v>
                </c:pt>
                <c:pt idx="17">
                  <c:v>1110735</c:v>
                </c:pt>
              </c:numCache>
            </c:numRef>
          </c:val>
          <c:extLst>
            <c:ext xmlns:c16="http://schemas.microsoft.com/office/drawing/2014/chart" uri="{C3380CC4-5D6E-409C-BE32-E72D297353CC}">
              <c16:uniqueId val="{00000000-CFB7-4AE0-84D0-DAF220BC3410}"/>
            </c:ext>
          </c:extLst>
        </c:ser>
        <c:dLbls>
          <c:showLegendKey val="0"/>
          <c:showVal val="0"/>
          <c:showCatName val="0"/>
          <c:showSerName val="0"/>
          <c:showPercent val="0"/>
          <c:showBubbleSize val="0"/>
        </c:dLbls>
        <c:gapWidth val="219"/>
        <c:overlap val="-27"/>
        <c:axId val="548595823"/>
        <c:axId val="548594863"/>
      </c:barChart>
      <c:lineChart>
        <c:grouping val="standard"/>
        <c:varyColors val="0"/>
        <c:ser>
          <c:idx val="1"/>
          <c:order val="1"/>
          <c:tx>
            <c:strRef>
              <c:f>Sheet0!$C$1</c:f>
              <c:strCache>
                <c:ptCount val="1"/>
                <c:pt idx="0">
                  <c:v>Sakarya'nın Yıllık Nüfus Artış Hızı (%o)</c:v>
                </c:pt>
              </c:strCache>
            </c:strRef>
          </c:tx>
          <c:spPr>
            <a:ln w="19050" cap="rnd">
              <a:solidFill>
                <a:schemeClr val="accent1">
                  <a:lumMod val="75000"/>
                </a:schemeClr>
              </a:solidFill>
              <a:round/>
            </a:ln>
            <a:effectLst/>
          </c:spPr>
          <c:marker>
            <c:symbol val="none"/>
          </c:marker>
          <c:cat>
            <c:strRef>
              <c:f>Sheet0!$A$2:$A$19</c:f>
              <c:strCach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strCache>
            </c:strRef>
          </c:cat>
          <c:val>
            <c:numRef>
              <c:f>Sheet0!$C$2:$C$19</c:f>
              <c:numCache>
                <c:formatCode>General</c:formatCode>
                <c:ptCount val="18"/>
                <c:pt idx="1">
                  <c:v>19.059999999999999</c:v>
                </c:pt>
                <c:pt idx="2">
                  <c:v>12</c:v>
                </c:pt>
                <c:pt idx="3">
                  <c:v>13.03</c:v>
                </c:pt>
                <c:pt idx="4">
                  <c:v>17.809999999999999</c:v>
                </c:pt>
                <c:pt idx="5">
                  <c:v>15.31</c:v>
                </c:pt>
                <c:pt idx="6">
                  <c:v>16.600000000000001</c:v>
                </c:pt>
                <c:pt idx="7">
                  <c:v>16.579999999999998</c:v>
                </c:pt>
                <c:pt idx="8">
                  <c:v>21.71</c:v>
                </c:pt>
                <c:pt idx="9">
                  <c:v>24.63</c:v>
                </c:pt>
                <c:pt idx="10">
                  <c:v>13.49</c:v>
                </c:pt>
                <c:pt idx="11">
                  <c:v>20.48</c:v>
                </c:pt>
                <c:pt idx="12">
                  <c:v>18.579999999999998</c:v>
                </c:pt>
                <c:pt idx="13">
                  <c:v>12.55</c:v>
                </c:pt>
                <c:pt idx="14">
                  <c:v>17.329999999999998</c:v>
                </c:pt>
                <c:pt idx="15">
                  <c:v>17.940000000000001</c:v>
                </c:pt>
                <c:pt idx="16">
                  <c:v>16.559999999999999</c:v>
                </c:pt>
                <c:pt idx="17">
                  <c:v>11.43</c:v>
                </c:pt>
              </c:numCache>
            </c:numRef>
          </c:val>
          <c:smooth val="0"/>
          <c:extLst>
            <c:ext xmlns:c16="http://schemas.microsoft.com/office/drawing/2014/chart" uri="{C3380CC4-5D6E-409C-BE32-E72D297353CC}">
              <c16:uniqueId val="{00000001-CFB7-4AE0-84D0-DAF220BC3410}"/>
            </c:ext>
          </c:extLst>
        </c:ser>
        <c:ser>
          <c:idx val="2"/>
          <c:order val="2"/>
          <c:tx>
            <c:strRef>
              <c:f>Sheet0!$D$1</c:f>
              <c:strCache>
                <c:ptCount val="1"/>
                <c:pt idx="0">
                  <c:v>Türkiye'nin Yıllık Nüfus Artış Hızı (%o)</c:v>
                </c:pt>
              </c:strCache>
            </c:strRef>
          </c:tx>
          <c:spPr>
            <a:ln w="19050" cap="rnd">
              <a:solidFill>
                <a:schemeClr val="tx1">
                  <a:lumMod val="75000"/>
                  <a:lumOff val="25000"/>
                </a:schemeClr>
              </a:solidFill>
              <a:round/>
            </a:ln>
            <a:effectLst/>
          </c:spPr>
          <c:marker>
            <c:symbol val="none"/>
          </c:marker>
          <c:cat>
            <c:strRef>
              <c:f>Sheet0!$A$2:$A$19</c:f>
              <c:strCach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strCache>
            </c:strRef>
          </c:cat>
          <c:val>
            <c:numRef>
              <c:f>Sheet0!$D$2:$D$19</c:f>
              <c:numCache>
                <c:formatCode>General</c:formatCode>
                <c:ptCount val="18"/>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pt idx="15">
                  <c:v>7.05</c:v>
                </c:pt>
                <c:pt idx="16">
                  <c:v>1.0900000000000001</c:v>
                </c:pt>
                <c:pt idx="17">
                  <c:v>3.42</c:v>
                </c:pt>
              </c:numCache>
            </c:numRef>
          </c:val>
          <c:smooth val="0"/>
          <c:extLst>
            <c:ext xmlns:c16="http://schemas.microsoft.com/office/drawing/2014/chart" uri="{C3380CC4-5D6E-409C-BE32-E72D297353CC}">
              <c16:uniqueId val="{00000002-CFB7-4AE0-84D0-DAF220BC3410}"/>
            </c:ext>
          </c:extLst>
        </c:ser>
        <c:dLbls>
          <c:showLegendKey val="0"/>
          <c:showVal val="0"/>
          <c:showCatName val="0"/>
          <c:showSerName val="0"/>
          <c:showPercent val="0"/>
          <c:showBubbleSize val="0"/>
        </c:dLbls>
        <c:marker val="1"/>
        <c:smooth val="0"/>
        <c:axId val="575044383"/>
        <c:axId val="575045823"/>
      </c:lineChart>
      <c:catAx>
        <c:axId val="548595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8594863"/>
        <c:crosses val="autoZero"/>
        <c:auto val="1"/>
        <c:lblAlgn val="ctr"/>
        <c:lblOffset val="100"/>
        <c:noMultiLvlLbl val="0"/>
      </c:catAx>
      <c:valAx>
        <c:axId val="548594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8595823"/>
        <c:crosses val="autoZero"/>
        <c:crossBetween val="between"/>
      </c:valAx>
      <c:valAx>
        <c:axId val="57504582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75044383"/>
        <c:crosses val="max"/>
        <c:crossBetween val="between"/>
      </c:valAx>
      <c:catAx>
        <c:axId val="575044383"/>
        <c:scaling>
          <c:orientation val="minMax"/>
        </c:scaling>
        <c:delete val="1"/>
        <c:axPos val="b"/>
        <c:numFmt formatCode="General" sourceLinked="1"/>
        <c:majorTickMark val="out"/>
        <c:minorTickMark val="none"/>
        <c:tickLblPos val="nextTo"/>
        <c:crossAx val="575045823"/>
        <c:crosses val="autoZero"/>
        <c:auto val="1"/>
        <c:lblAlgn val="ctr"/>
        <c:lblOffset val="100"/>
        <c:noMultiLvlLbl val="0"/>
      </c:catAx>
      <c:spPr>
        <a:noFill/>
        <a:ln>
          <a:solidFill>
            <a:schemeClr val="tx2">
              <a:lumMod val="40000"/>
              <a:lumOff val="60000"/>
            </a:schemeClr>
          </a:solidFill>
        </a:ln>
        <a:effectLst/>
      </c:spPr>
    </c:plotArea>
    <c:legend>
      <c:legendPos val="b"/>
      <c:layout>
        <c:manualLayout>
          <c:xMode val="edge"/>
          <c:yMode val="edge"/>
          <c:x val="0"/>
          <c:y val="0.79891910272349564"/>
          <c:w val="1"/>
          <c:h val="0.17409034397016163"/>
        </c:manualLayout>
      </c:layout>
      <c:overlay val="0"/>
      <c:spPr>
        <a:noFill/>
        <a:ln>
          <a:noFill/>
        </a:ln>
        <a:effectLst/>
      </c:spPr>
      <c:txPr>
        <a:bodyPr rot="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tr-TR" sz="1200" b="1">
                <a:solidFill>
                  <a:schemeClr val="tx1"/>
                </a:solidFill>
              </a:rPr>
              <a:t>Nüfus 2007</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tr-TR"/>
        </a:p>
      </c:txPr>
    </c:title>
    <c:autoTitleDeleted val="0"/>
    <c:plotArea>
      <c:layout/>
      <c:barChart>
        <c:barDir val="bar"/>
        <c:grouping val="stacked"/>
        <c:varyColors val="0"/>
        <c:ser>
          <c:idx val="0"/>
          <c:order val="0"/>
          <c:tx>
            <c:strRef>
              <c:f>Sheet0!$B$13</c:f>
              <c:strCache>
                <c:ptCount val="1"/>
                <c:pt idx="0">
                  <c:v>Erkek</c:v>
                </c:pt>
              </c:strCache>
            </c:strRef>
          </c:tx>
          <c:spPr>
            <a:solidFill>
              <a:schemeClr val="accent5">
                <a:lumMod val="50000"/>
              </a:schemeClr>
            </a:solidFill>
            <a:ln>
              <a:noFill/>
            </a:ln>
            <a:effectLst/>
          </c:spPr>
          <c:invertIfNegative val="0"/>
          <c:cat>
            <c:strRef>
              <c:f>Sheet0!$C$12:$U$12</c:f>
              <c:strCache>
                <c:ptCount val="19"/>
                <c:pt idx="0">
                  <c:v> 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Sheet0!$C$13:$U$13</c:f>
              <c:numCache>
                <c:formatCode>General</c:formatCode>
                <c:ptCount val="19"/>
                <c:pt idx="0">
                  <c:v>-32465</c:v>
                </c:pt>
                <c:pt idx="1">
                  <c:v>-37062</c:v>
                </c:pt>
                <c:pt idx="2">
                  <c:v>-36985</c:v>
                </c:pt>
                <c:pt idx="3">
                  <c:v>-35363</c:v>
                </c:pt>
                <c:pt idx="4">
                  <c:v>-32643</c:v>
                </c:pt>
                <c:pt idx="5">
                  <c:v>-38405</c:v>
                </c:pt>
                <c:pt idx="6">
                  <c:v>-34426</c:v>
                </c:pt>
                <c:pt idx="7">
                  <c:v>-31475</c:v>
                </c:pt>
                <c:pt idx="8">
                  <c:v>-28729</c:v>
                </c:pt>
                <c:pt idx="9">
                  <c:v>-26558</c:v>
                </c:pt>
                <c:pt idx="10">
                  <c:v>-23421</c:v>
                </c:pt>
                <c:pt idx="11">
                  <c:v>-18432</c:v>
                </c:pt>
                <c:pt idx="12">
                  <c:v>-12762</c:v>
                </c:pt>
                <c:pt idx="13">
                  <c:v>-10297</c:v>
                </c:pt>
                <c:pt idx="14">
                  <c:v>-7935</c:v>
                </c:pt>
                <c:pt idx="15">
                  <c:v>-5795</c:v>
                </c:pt>
                <c:pt idx="16">
                  <c:v>-2780</c:v>
                </c:pt>
                <c:pt idx="17">
                  <c:v>-647</c:v>
                </c:pt>
                <c:pt idx="18">
                  <c:v>-328</c:v>
                </c:pt>
              </c:numCache>
            </c:numRef>
          </c:val>
          <c:extLst>
            <c:ext xmlns:c16="http://schemas.microsoft.com/office/drawing/2014/chart" uri="{C3380CC4-5D6E-409C-BE32-E72D297353CC}">
              <c16:uniqueId val="{00000000-922F-4D61-B5D6-995DE9305350}"/>
            </c:ext>
          </c:extLst>
        </c:ser>
        <c:ser>
          <c:idx val="1"/>
          <c:order val="1"/>
          <c:tx>
            <c:strRef>
              <c:f>Sheet0!$B$14</c:f>
              <c:strCache>
                <c:ptCount val="1"/>
                <c:pt idx="0">
                  <c:v>Kadın</c:v>
                </c:pt>
              </c:strCache>
            </c:strRef>
          </c:tx>
          <c:spPr>
            <a:solidFill>
              <a:schemeClr val="tx2">
                <a:lumMod val="60000"/>
                <a:lumOff val="40000"/>
              </a:schemeClr>
            </a:solidFill>
            <a:ln>
              <a:noFill/>
            </a:ln>
            <a:effectLst/>
          </c:spPr>
          <c:invertIfNegative val="0"/>
          <c:cat>
            <c:strRef>
              <c:f>Sheet0!$C$12:$U$12</c:f>
              <c:strCache>
                <c:ptCount val="19"/>
                <c:pt idx="0">
                  <c:v> 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Sheet0!$C$14:$U$14</c:f>
              <c:numCache>
                <c:formatCode>General</c:formatCode>
                <c:ptCount val="19"/>
                <c:pt idx="0">
                  <c:v>30678</c:v>
                </c:pt>
                <c:pt idx="1">
                  <c:v>35081</c:v>
                </c:pt>
                <c:pt idx="2">
                  <c:v>34910</c:v>
                </c:pt>
                <c:pt idx="3">
                  <c:v>34380</c:v>
                </c:pt>
                <c:pt idx="4">
                  <c:v>35918</c:v>
                </c:pt>
                <c:pt idx="5">
                  <c:v>37592</c:v>
                </c:pt>
                <c:pt idx="6">
                  <c:v>33921</c:v>
                </c:pt>
                <c:pt idx="7">
                  <c:v>30583</c:v>
                </c:pt>
                <c:pt idx="8">
                  <c:v>28546</c:v>
                </c:pt>
                <c:pt idx="9">
                  <c:v>25917</c:v>
                </c:pt>
                <c:pt idx="10">
                  <c:v>22819</c:v>
                </c:pt>
                <c:pt idx="11">
                  <c:v>17861</c:v>
                </c:pt>
                <c:pt idx="12">
                  <c:v>13809</c:v>
                </c:pt>
                <c:pt idx="13">
                  <c:v>11980</c:v>
                </c:pt>
                <c:pt idx="14">
                  <c:v>9557</c:v>
                </c:pt>
                <c:pt idx="15">
                  <c:v>8161</c:v>
                </c:pt>
                <c:pt idx="16">
                  <c:v>4794</c:v>
                </c:pt>
                <c:pt idx="17">
                  <c:v>1440</c:v>
                </c:pt>
                <c:pt idx="18">
                  <c:v>767</c:v>
                </c:pt>
              </c:numCache>
            </c:numRef>
          </c:val>
          <c:extLst>
            <c:ext xmlns:c16="http://schemas.microsoft.com/office/drawing/2014/chart" uri="{C3380CC4-5D6E-409C-BE32-E72D297353CC}">
              <c16:uniqueId val="{00000001-922F-4D61-B5D6-995DE9305350}"/>
            </c:ext>
          </c:extLst>
        </c:ser>
        <c:dLbls>
          <c:showLegendKey val="0"/>
          <c:showVal val="0"/>
          <c:showCatName val="0"/>
          <c:showSerName val="0"/>
          <c:showPercent val="0"/>
          <c:showBubbleSize val="0"/>
        </c:dLbls>
        <c:gapWidth val="75"/>
        <c:overlap val="100"/>
        <c:axId val="1447322287"/>
        <c:axId val="1447315567"/>
      </c:barChart>
      <c:catAx>
        <c:axId val="1447322287"/>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7315567"/>
        <c:crosses val="autoZero"/>
        <c:auto val="1"/>
        <c:lblAlgn val="ctr"/>
        <c:lblOffset val="100"/>
        <c:noMultiLvlLbl val="0"/>
      </c:catAx>
      <c:valAx>
        <c:axId val="14473155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7322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tr-TR" sz="1200" b="1">
                <a:solidFill>
                  <a:schemeClr val="tx1"/>
                </a:solidFill>
              </a:rPr>
              <a:t>Nüfus 2024</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tr-TR"/>
        </a:p>
      </c:txPr>
    </c:title>
    <c:autoTitleDeleted val="0"/>
    <c:plotArea>
      <c:layout/>
      <c:barChart>
        <c:barDir val="bar"/>
        <c:grouping val="stacked"/>
        <c:varyColors val="0"/>
        <c:ser>
          <c:idx val="0"/>
          <c:order val="0"/>
          <c:tx>
            <c:strRef>
              <c:f>Sheet0!$B$18</c:f>
              <c:strCache>
                <c:ptCount val="1"/>
                <c:pt idx="0">
                  <c:v>Erkek</c:v>
                </c:pt>
              </c:strCache>
            </c:strRef>
          </c:tx>
          <c:spPr>
            <a:solidFill>
              <a:schemeClr val="accent5">
                <a:lumMod val="50000"/>
              </a:schemeClr>
            </a:solidFill>
            <a:ln w="0">
              <a:solidFill>
                <a:schemeClr val="tx1">
                  <a:lumMod val="15000"/>
                  <a:lumOff val="85000"/>
                </a:schemeClr>
              </a:solidFill>
            </a:ln>
            <a:effectLst/>
          </c:spPr>
          <c:invertIfNegative val="0"/>
          <c:cat>
            <c:strRef>
              <c:f>Sheet0!$C$17:$U$17</c:f>
              <c:strCache>
                <c:ptCount val="19"/>
                <c:pt idx="0">
                  <c:v> 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Sheet0!$C$18:$U$18</c:f>
              <c:numCache>
                <c:formatCode>General</c:formatCode>
                <c:ptCount val="19"/>
                <c:pt idx="0">
                  <c:v>-32920</c:v>
                </c:pt>
                <c:pt idx="1">
                  <c:v>-40404</c:v>
                </c:pt>
                <c:pt idx="2">
                  <c:v>-39113</c:v>
                </c:pt>
                <c:pt idx="3">
                  <c:v>-40942</c:v>
                </c:pt>
                <c:pt idx="4">
                  <c:v>-42972</c:v>
                </c:pt>
                <c:pt idx="5">
                  <c:v>-42360</c:v>
                </c:pt>
                <c:pt idx="6">
                  <c:v>-40843</c:v>
                </c:pt>
                <c:pt idx="7">
                  <c:v>-40124</c:v>
                </c:pt>
                <c:pt idx="8">
                  <c:v>-42457</c:v>
                </c:pt>
                <c:pt idx="9">
                  <c:v>-40304</c:v>
                </c:pt>
                <c:pt idx="10">
                  <c:v>-36231</c:v>
                </c:pt>
                <c:pt idx="11">
                  <c:v>-31799</c:v>
                </c:pt>
                <c:pt idx="12">
                  <c:v>-28774</c:v>
                </c:pt>
                <c:pt idx="13">
                  <c:v>-23651</c:v>
                </c:pt>
                <c:pt idx="14">
                  <c:v>-16095</c:v>
                </c:pt>
                <c:pt idx="15">
                  <c:v>-10117</c:v>
                </c:pt>
                <c:pt idx="16">
                  <c:v>-4861</c:v>
                </c:pt>
                <c:pt idx="17">
                  <c:v>-2060</c:v>
                </c:pt>
                <c:pt idx="18">
                  <c:v>-901</c:v>
                </c:pt>
              </c:numCache>
            </c:numRef>
          </c:val>
          <c:extLst>
            <c:ext xmlns:c16="http://schemas.microsoft.com/office/drawing/2014/chart" uri="{C3380CC4-5D6E-409C-BE32-E72D297353CC}">
              <c16:uniqueId val="{00000000-AA7D-4DCF-B4B2-9A8780FE8D54}"/>
            </c:ext>
          </c:extLst>
        </c:ser>
        <c:ser>
          <c:idx val="1"/>
          <c:order val="1"/>
          <c:tx>
            <c:strRef>
              <c:f>Sheet0!$B$19</c:f>
              <c:strCache>
                <c:ptCount val="1"/>
                <c:pt idx="0">
                  <c:v>Kadın</c:v>
                </c:pt>
              </c:strCache>
            </c:strRef>
          </c:tx>
          <c:spPr>
            <a:solidFill>
              <a:schemeClr val="tx2">
                <a:lumMod val="60000"/>
                <a:lumOff val="40000"/>
              </a:schemeClr>
            </a:solidFill>
            <a:ln>
              <a:noFill/>
            </a:ln>
            <a:effectLst/>
          </c:spPr>
          <c:invertIfNegative val="0"/>
          <c:cat>
            <c:strRef>
              <c:f>Sheet0!$C$17:$U$17</c:f>
              <c:strCache>
                <c:ptCount val="19"/>
                <c:pt idx="0">
                  <c:v> 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Sheet0!$C$19:$U$19</c:f>
              <c:numCache>
                <c:formatCode>General</c:formatCode>
                <c:ptCount val="19"/>
                <c:pt idx="0">
                  <c:v>31037</c:v>
                </c:pt>
                <c:pt idx="1">
                  <c:v>38314</c:v>
                </c:pt>
                <c:pt idx="2">
                  <c:v>37036</c:v>
                </c:pt>
                <c:pt idx="3">
                  <c:v>38616</c:v>
                </c:pt>
                <c:pt idx="4">
                  <c:v>41842</c:v>
                </c:pt>
                <c:pt idx="5">
                  <c:v>40455</c:v>
                </c:pt>
                <c:pt idx="6">
                  <c:v>39916</c:v>
                </c:pt>
                <c:pt idx="7">
                  <c:v>39401</c:v>
                </c:pt>
                <c:pt idx="8">
                  <c:v>41809</c:v>
                </c:pt>
                <c:pt idx="9">
                  <c:v>39072</c:v>
                </c:pt>
                <c:pt idx="10">
                  <c:v>36525</c:v>
                </c:pt>
                <c:pt idx="11">
                  <c:v>31411</c:v>
                </c:pt>
                <c:pt idx="12">
                  <c:v>30071</c:v>
                </c:pt>
                <c:pt idx="13">
                  <c:v>24758</c:v>
                </c:pt>
                <c:pt idx="14">
                  <c:v>17776</c:v>
                </c:pt>
                <c:pt idx="15">
                  <c:v>12791</c:v>
                </c:pt>
                <c:pt idx="16">
                  <c:v>7351</c:v>
                </c:pt>
                <c:pt idx="17">
                  <c:v>3668</c:v>
                </c:pt>
                <c:pt idx="18">
                  <c:v>1958</c:v>
                </c:pt>
              </c:numCache>
            </c:numRef>
          </c:val>
          <c:extLst>
            <c:ext xmlns:c16="http://schemas.microsoft.com/office/drawing/2014/chart" uri="{C3380CC4-5D6E-409C-BE32-E72D297353CC}">
              <c16:uniqueId val="{00000001-AA7D-4DCF-B4B2-9A8780FE8D54}"/>
            </c:ext>
          </c:extLst>
        </c:ser>
        <c:dLbls>
          <c:showLegendKey val="0"/>
          <c:showVal val="0"/>
          <c:showCatName val="0"/>
          <c:showSerName val="0"/>
          <c:showPercent val="0"/>
          <c:showBubbleSize val="0"/>
        </c:dLbls>
        <c:gapWidth val="75"/>
        <c:overlap val="100"/>
        <c:axId val="1728232895"/>
        <c:axId val="1728230015"/>
      </c:barChart>
      <c:catAx>
        <c:axId val="1728232895"/>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28230015"/>
        <c:crosses val="autoZero"/>
        <c:auto val="1"/>
        <c:lblAlgn val="ctr"/>
        <c:lblOffset val="100"/>
        <c:noMultiLvlLbl val="0"/>
      </c:catAx>
      <c:valAx>
        <c:axId val="17282300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28232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Sheet0!$H$5</c:f>
              <c:strCache>
                <c:ptCount val="1"/>
                <c:pt idx="0">
                  <c:v>Erkek</c:v>
                </c:pt>
              </c:strCache>
            </c:strRef>
          </c:tx>
          <c:spPr>
            <a:solidFill>
              <a:schemeClr val="accent5">
                <a:lumMod val="50000"/>
              </a:schemeClr>
            </a:solidFill>
            <a:ln>
              <a:solidFill>
                <a:srgbClr val="135979"/>
              </a:solidFill>
            </a:ln>
            <a:effectLst/>
          </c:spPr>
          <c:invertIfNegative val="0"/>
          <c:cat>
            <c:strRef>
              <c:f>Sheet0!$G$6:$G$15</c:f>
              <c:strCache>
                <c:ptCount val="10"/>
                <c:pt idx="0">
                  <c:v>Bilinmeyen</c:v>
                </c:pt>
                <c:pt idx="1">
                  <c:v>Doktora</c:v>
                </c:pt>
                <c:pt idx="2">
                  <c:v>Lise Ve Dengi Meslek Okulu</c:v>
                </c:pt>
                <c:pt idx="3">
                  <c:v>Okuma Yazma Bilen Fakat Bir Okul Bitirmeyen</c:v>
                </c:pt>
                <c:pt idx="4">
                  <c:v>Okuma Yazma Bilmeyen</c:v>
                </c:pt>
                <c:pt idx="5">
                  <c:v>Ortaokul Veya Dengi Meslek Ortaokul</c:v>
                </c:pt>
                <c:pt idx="6">
                  <c:v>Yüksek Lisans (5 Veya 6 Yıllık Fakülteler Dahil)</c:v>
                </c:pt>
                <c:pt idx="7">
                  <c:v>Yüksekokul Veya Fakülte</c:v>
                </c:pt>
                <c:pt idx="8">
                  <c:v>İlkokul</c:v>
                </c:pt>
                <c:pt idx="9">
                  <c:v>İlköğretim</c:v>
                </c:pt>
              </c:strCache>
            </c:strRef>
          </c:cat>
          <c:val>
            <c:numRef>
              <c:f>Sheet0!$H$6:$H$15</c:f>
              <c:numCache>
                <c:formatCode>General</c:formatCode>
                <c:ptCount val="10"/>
                <c:pt idx="0">
                  <c:v>2640</c:v>
                </c:pt>
                <c:pt idx="1">
                  <c:v>1897</c:v>
                </c:pt>
                <c:pt idx="2">
                  <c:v>150424</c:v>
                </c:pt>
                <c:pt idx="3">
                  <c:v>36438</c:v>
                </c:pt>
                <c:pt idx="4">
                  <c:v>3194</c:v>
                </c:pt>
                <c:pt idx="5">
                  <c:v>91411</c:v>
                </c:pt>
                <c:pt idx="6">
                  <c:v>9690</c:v>
                </c:pt>
                <c:pt idx="7">
                  <c:v>78176</c:v>
                </c:pt>
                <c:pt idx="8">
                  <c:v>93007</c:v>
                </c:pt>
                <c:pt idx="9">
                  <c:v>36958</c:v>
                </c:pt>
              </c:numCache>
            </c:numRef>
          </c:val>
          <c:extLst>
            <c:ext xmlns:c16="http://schemas.microsoft.com/office/drawing/2014/chart" uri="{C3380CC4-5D6E-409C-BE32-E72D297353CC}">
              <c16:uniqueId val="{00000000-C333-4012-BBDD-79EAE45AB562}"/>
            </c:ext>
          </c:extLst>
        </c:ser>
        <c:ser>
          <c:idx val="1"/>
          <c:order val="1"/>
          <c:tx>
            <c:strRef>
              <c:f>Sheet0!$I$5</c:f>
              <c:strCache>
                <c:ptCount val="1"/>
                <c:pt idx="0">
                  <c:v>Kadın</c:v>
                </c:pt>
              </c:strCache>
            </c:strRef>
          </c:tx>
          <c:spPr>
            <a:solidFill>
              <a:schemeClr val="tx2">
                <a:lumMod val="60000"/>
                <a:lumOff val="40000"/>
              </a:schemeClr>
            </a:solidFill>
            <a:ln>
              <a:noFill/>
            </a:ln>
            <a:effectLst/>
          </c:spPr>
          <c:invertIfNegative val="0"/>
          <c:cat>
            <c:strRef>
              <c:f>Sheet0!$G$6:$G$15</c:f>
              <c:strCache>
                <c:ptCount val="10"/>
                <c:pt idx="0">
                  <c:v>Bilinmeyen</c:v>
                </c:pt>
                <c:pt idx="1">
                  <c:v>Doktora</c:v>
                </c:pt>
                <c:pt idx="2">
                  <c:v>Lise Ve Dengi Meslek Okulu</c:v>
                </c:pt>
                <c:pt idx="3">
                  <c:v>Okuma Yazma Bilen Fakat Bir Okul Bitirmeyen</c:v>
                </c:pt>
                <c:pt idx="4">
                  <c:v>Okuma Yazma Bilmeyen</c:v>
                </c:pt>
                <c:pt idx="5">
                  <c:v>Ortaokul Veya Dengi Meslek Ortaokul</c:v>
                </c:pt>
                <c:pt idx="6">
                  <c:v>Yüksek Lisans (5 Veya 6 Yıllık Fakülteler Dahil)</c:v>
                </c:pt>
                <c:pt idx="7">
                  <c:v>Yüksekokul Veya Fakülte</c:v>
                </c:pt>
                <c:pt idx="8">
                  <c:v>İlkokul</c:v>
                </c:pt>
                <c:pt idx="9">
                  <c:v>İlköğretim</c:v>
                </c:pt>
              </c:strCache>
            </c:strRef>
          </c:cat>
          <c:val>
            <c:numRef>
              <c:f>Sheet0!$I$6:$I$15</c:f>
              <c:numCache>
                <c:formatCode>General</c:formatCode>
                <c:ptCount val="10"/>
                <c:pt idx="0">
                  <c:v>2867</c:v>
                </c:pt>
                <c:pt idx="1">
                  <c:v>1088</c:v>
                </c:pt>
                <c:pt idx="2">
                  <c:v>115305</c:v>
                </c:pt>
                <c:pt idx="3">
                  <c:v>44948</c:v>
                </c:pt>
                <c:pt idx="4">
                  <c:v>15086</c:v>
                </c:pt>
                <c:pt idx="5">
                  <c:v>74557</c:v>
                </c:pt>
                <c:pt idx="6">
                  <c:v>8239</c:v>
                </c:pt>
                <c:pt idx="7">
                  <c:v>76252</c:v>
                </c:pt>
                <c:pt idx="8">
                  <c:v>134622</c:v>
                </c:pt>
                <c:pt idx="9">
                  <c:v>30822</c:v>
                </c:pt>
              </c:numCache>
            </c:numRef>
          </c:val>
          <c:extLst>
            <c:ext xmlns:c16="http://schemas.microsoft.com/office/drawing/2014/chart" uri="{C3380CC4-5D6E-409C-BE32-E72D297353CC}">
              <c16:uniqueId val="{00000001-C333-4012-BBDD-79EAE45AB562}"/>
            </c:ext>
          </c:extLst>
        </c:ser>
        <c:dLbls>
          <c:showLegendKey val="0"/>
          <c:showVal val="0"/>
          <c:showCatName val="0"/>
          <c:showSerName val="0"/>
          <c:showPercent val="0"/>
          <c:showBubbleSize val="0"/>
        </c:dLbls>
        <c:gapWidth val="62"/>
        <c:overlap val="-27"/>
        <c:axId val="1456830959"/>
        <c:axId val="1456831439"/>
      </c:barChart>
      <c:catAx>
        <c:axId val="1456830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56831439"/>
        <c:crosses val="autoZero"/>
        <c:auto val="1"/>
        <c:lblAlgn val="ctr"/>
        <c:lblOffset val="100"/>
        <c:noMultiLvlLbl val="0"/>
      </c:catAx>
      <c:valAx>
        <c:axId val="1456831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56830959"/>
        <c:crosses val="autoZero"/>
        <c:crossBetween val="between"/>
      </c:valAx>
      <c:spPr>
        <a:noFill/>
        <a:ln>
          <a:noFill/>
        </a:ln>
        <a:effectLst/>
      </c:spPr>
    </c:plotArea>
    <c:legend>
      <c:legendPos val="b"/>
      <c:layout>
        <c:manualLayout>
          <c:xMode val="edge"/>
          <c:yMode val="edge"/>
          <c:x val="0.40065740436550412"/>
          <c:y val="0.88048527633105422"/>
          <c:w val="0.19419869790838729"/>
          <c:h val="8.81667612865006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i="0" baseline="0">
                <a:solidFill>
                  <a:sysClr val="windowText" lastClr="000000"/>
                </a:solidFill>
              </a:rPr>
              <a:t>Sakarya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Sheet0!$H$18</c:f>
              <c:strCache>
                <c:ptCount val="1"/>
              </c:strCache>
            </c:strRef>
          </c:tx>
          <c:dPt>
            <c:idx val="0"/>
            <c:bubble3D val="0"/>
            <c:spPr>
              <a:solidFill>
                <a:srgbClr val="0F4E6A"/>
              </a:solidFill>
              <a:ln w="19050">
                <a:solidFill>
                  <a:schemeClr val="lt1"/>
                </a:solidFill>
              </a:ln>
              <a:effectLst/>
            </c:spPr>
            <c:extLst>
              <c:ext xmlns:c16="http://schemas.microsoft.com/office/drawing/2014/chart" uri="{C3380CC4-5D6E-409C-BE32-E72D297353CC}">
                <c16:uniqueId val="{00000001-07A5-414B-B6F0-B6B77C5CD3B2}"/>
              </c:ext>
            </c:extLst>
          </c:dPt>
          <c:dPt>
            <c:idx val="1"/>
            <c:bubble3D val="0"/>
            <c:spPr>
              <a:solidFill>
                <a:srgbClr val="156082"/>
              </a:solidFill>
              <a:ln w="19050">
                <a:solidFill>
                  <a:schemeClr val="lt1"/>
                </a:solidFill>
              </a:ln>
              <a:effectLst/>
            </c:spPr>
            <c:extLst>
              <c:ext xmlns:c16="http://schemas.microsoft.com/office/drawing/2014/chart" uri="{C3380CC4-5D6E-409C-BE32-E72D297353CC}">
                <c16:uniqueId val="{00000003-07A5-414B-B6F0-B6B77C5CD3B2}"/>
              </c:ext>
            </c:extLst>
          </c:dPt>
          <c:dPt>
            <c:idx val="2"/>
            <c:bubble3D val="0"/>
            <c:spPr>
              <a:solidFill>
                <a:srgbClr val="A1AFBB"/>
              </a:solidFill>
              <a:ln w="19050">
                <a:solidFill>
                  <a:schemeClr val="lt1"/>
                </a:solidFill>
              </a:ln>
              <a:effectLst/>
            </c:spPr>
            <c:extLst>
              <c:ext xmlns:c16="http://schemas.microsoft.com/office/drawing/2014/chart" uri="{C3380CC4-5D6E-409C-BE32-E72D297353CC}">
                <c16:uniqueId val="{00000005-07A5-414B-B6F0-B6B77C5CD3B2}"/>
              </c:ext>
            </c:extLst>
          </c:dPt>
          <c:dLbls>
            <c:dLbl>
              <c:idx val="0"/>
              <c:layout>
                <c:manualLayout>
                  <c:x val="-0.14253897550111366"/>
                  <c:y val="0.10185185185185185"/>
                </c:manualLayout>
              </c:layout>
              <c:tx>
                <c:rich>
                  <a:bodyPr/>
                  <a:lstStyle/>
                  <a:p>
                    <a:fld id="{9141FE9C-8214-43A1-BDF4-E9FB6CD58873}" type="PERCENTAGE">
                      <a:rPr lang="en-US" b="1">
                        <a:solidFill>
                          <a:sysClr val="windowText" lastClr="000000"/>
                        </a:solidFill>
                      </a:rPr>
                      <a:pPr/>
                      <a:t>[YÜZDE]</a:t>
                    </a:fld>
                    <a:endParaRPr lang="tr-T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7A5-414B-B6F0-B6B77C5CD3B2}"/>
                </c:ext>
              </c:extLst>
            </c:dLbl>
            <c:dLbl>
              <c:idx val="1"/>
              <c:layout>
                <c:manualLayout>
                  <c:x val="0.12917594654788411"/>
                  <c:y val="-0.12037037037037036"/>
                </c:manualLayout>
              </c:layout>
              <c:tx>
                <c:rich>
                  <a:bodyPr/>
                  <a:lstStyle/>
                  <a:p>
                    <a:fld id="{CB833E9D-0424-4585-8101-600341E4E197}" type="PERCENTAGE">
                      <a:rPr lang="en-US" b="1">
                        <a:solidFill>
                          <a:sysClr val="windowText" lastClr="000000"/>
                        </a:solidFill>
                      </a:rPr>
                      <a:pPr/>
                      <a:t>[YÜZDE]</a:t>
                    </a:fld>
                    <a:endParaRPr lang="tr-T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7A5-414B-B6F0-B6B77C5CD3B2}"/>
                </c:ext>
              </c:extLst>
            </c:dLbl>
            <c:dLbl>
              <c:idx val="2"/>
              <c:layout>
                <c:manualLayout>
                  <c:x val="6.6815144766146917E-2"/>
                  <c:y val="0.10648148148148148"/>
                </c:manualLayout>
              </c:layout>
              <c:tx>
                <c:rich>
                  <a:bodyPr/>
                  <a:lstStyle/>
                  <a:p>
                    <a:fld id="{2E113837-5786-4A87-805B-39D1C80D2D81}" type="PERCENTAGE">
                      <a:rPr lang="en-US" b="1">
                        <a:solidFill>
                          <a:sysClr val="windowText" lastClr="000000"/>
                        </a:solidFill>
                      </a:rPr>
                      <a:pPr/>
                      <a:t>[YÜZDE]</a:t>
                    </a:fld>
                    <a:endParaRPr lang="tr-T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7A5-414B-B6F0-B6B77C5CD3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Sheet0!$G$19:$G$21</c:f>
              <c:strCache>
                <c:ptCount val="3"/>
                <c:pt idx="0">
                  <c:v>Üst Orta Eğitim Altı</c:v>
                </c:pt>
                <c:pt idx="1">
                  <c:v>Üst Orta Eğitim</c:v>
                </c:pt>
                <c:pt idx="2">
                  <c:v>Diğer</c:v>
                </c:pt>
              </c:strCache>
            </c:strRef>
          </c:cat>
          <c:val>
            <c:numRef>
              <c:f>Sheet0!$H$19:$H$21</c:f>
              <c:numCache>
                <c:formatCode>General</c:formatCode>
                <c:ptCount val="3"/>
                <c:pt idx="0">
                  <c:v>295409</c:v>
                </c:pt>
                <c:pt idx="1">
                  <c:v>607039</c:v>
                </c:pt>
                <c:pt idx="2">
                  <c:v>105173</c:v>
                </c:pt>
              </c:numCache>
            </c:numRef>
          </c:val>
          <c:extLst>
            <c:ext xmlns:c16="http://schemas.microsoft.com/office/drawing/2014/chart" uri="{C3380CC4-5D6E-409C-BE32-E72D297353CC}">
              <c16:uniqueId val="{00000006-07A5-414B-B6F0-B6B77C5CD3B2}"/>
            </c:ext>
          </c:extLst>
        </c:ser>
        <c:dLbls>
          <c:showLegendKey val="0"/>
          <c:showVal val="0"/>
          <c:showCatName val="0"/>
          <c:showSerName val="0"/>
          <c:showPercent val="0"/>
          <c:showBubbleSize val="0"/>
          <c:showLeaderLines val="1"/>
        </c:dLbls>
        <c:firstSliceAng val="0"/>
      </c:pieChart>
      <c:spPr>
        <a:noFill/>
        <a:ln>
          <a:noFill/>
        </a:ln>
        <a:effectLst/>
      </c:spPr>
    </c:plotArea>
    <c:legend>
      <c:legendPos val="t"/>
      <c:layout>
        <c:manualLayout>
          <c:xMode val="edge"/>
          <c:yMode val="edge"/>
          <c:x val="0.26458025708924471"/>
          <c:y val="0.10648148148148148"/>
          <c:w val="0.52874629535450612"/>
          <c:h val="0.26331073199183441"/>
        </c:manualLayout>
      </c:layout>
      <c:overlay val="0"/>
      <c:spPr>
        <a:noFill/>
        <a:ln>
          <a:noFill/>
        </a:ln>
        <a:effectLst/>
      </c:spPr>
      <c:txPr>
        <a:bodyPr rot="0" spcFirstLastPara="1" vertOverflow="ellipsis" vert="horz" wrap="square" anchor="ctr" anchorCtr="1"/>
        <a:lstStyle/>
        <a:p>
          <a:pPr>
            <a:defRPr sz="1100" b="0" i="0" u="none" strike="noStrike" kern="1100" baseline="0">
              <a:ln>
                <a:noFill/>
              </a:ln>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tr-TR" sz="1200" b="1" i="0" baseline="0">
                <a:solidFill>
                  <a:sysClr val="windowText" lastClr="000000"/>
                </a:solidFill>
              </a:rPr>
              <a:t>Türkiye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tr-TR"/>
        </a:p>
      </c:txPr>
    </c:title>
    <c:autoTitleDeleted val="0"/>
    <c:plotArea>
      <c:layout/>
      <c:pieChart>
        <c:varyColors val="1"/>
        <c:ser>
          <c:idx val="0"/>
          <c:order val="0"/>
          <c:tx>
            <c:strRef>
              <c:f>Sheet0!$L$9</c:f>
              <c:strCache>
                <c:ptCount val="1"/>
              </c:strCache>
            </c:strRef>
          </c:tx>
          <c:dPt>
            <c:idx val="0"/>
            <c:bubble3D val="0"/>
            <c:spPr>
              <a:solidFill>
                <a:srgbClr val="0F4E6A"/>
              </a:solidFill>
              <a:ln w="19050">
                <a:solidFill>
                  <a:schemeClr val="lt1"/>
                </a:solidFill>
              </a:ln>
              <a:effectLst/>
            </c:spPr>
            <c:extLst>
              <c:ext xmlns:c16="http://schemas.microsoft.com/office/drawing/2014/chart" uri="{C3380CC4-5D6E-409C-BE32-E72D297353CC}">
                <c16:uniqueId val="{00000001-C225-4BD0-AD35-523BCBC7128A}"/>
              </c:ext>
            </c:extLst>
          </c:dPt>
          <c:dPt>
            <c:idx val="1"/>
            <c:bubble3D val="0"/>
            <c:spPr>
              <a:solidFill>
                <a:srgbClr val="156082"/>
              </a:solidFill>
              <a:ln w="19050">
                <a:solidFill>
                  <a:schemeClr val="lt1"/>
                </a:solidFill>
              </a:ln>
              <a:effectLst/>
            </c:spPr>
            <c:extLst>
              <c:ext xmlns:c16="http://schemas.microsoft.com/office/drawing/2014/chart" uri="{C3380CC4-5D6E-409C-BE32-E72D297353CC}">
                <c16:uniqueId val="{00000003-C225-4BD0-AD35-523BCBC7128A}"/>
              </c:ext>
            </c:extLst>
          </c:dPt>
          <c:dPt>
            <c:idx val="2"/>
            <c:bubble3D val="0"/>
            <c:spPr>
              <a:solidFill>
                <a:srgbClr val="A1AFBB"/>
              </a:solidFill>
              <a:ln w="19050">
                <a:solidFill>
                  <a:schemeClr val="lt1"/>
                </a:solidFill>
              </a:ln>
              <a:effectLst/>
            </c:spPr>
            <c:extLst>
              <c:ext xmlns:c16="http://schemas.microsoft.com/office/drawing/2014/chart" uri="{C3380CC4-5D6E-409C-BE32-E72D297353CC}">
                <c16:uniqueId val="{00000005-C225-4BD0-AD35-523BCBC7128A}"/>
              </c:ext>
            </c:extLst>
          </c:dPt>
          <c:dLbls>
            <c:dLbl>
              <c:idx val="0"/>
              <c:layout>
                <c:manualLayout>
                  <c:x val="-6.6815144766147069E-2"/>
                  <c:y val="0.10185185185185185"/>
                </c:manualLayout>
              </c:layout>
              <c:tx>
                <c:rich>
                  <a:bodyPr/>
                  <a:lstStyle/>
                  <a:p>
                    <a:fld id="{A5CF94F8-367D-448C-9DAD-57AB1DFA937C}" type="PERCENTAGE">
                      <a:rPr lang="en-US" b="1">
                        <a:solidFill>
                          <a:sysClr val="windowText" lastClr="000000"/>
                        </a:solidFill>
                      </a:rPr>
                      <a:pPr/>
                      <a:t>[YÜZDE]</a:t>
                    </a:fld>
                    <a:endParaRPr lang="tr-T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225-4BD0-AD35-523BCBC7128A}"/>
                </c:ext>
              </c:extLst>
            </c:dLbl>
            <c:dLbl>
              <c:idx val="1"/>
              <c:layout>
                <c:manualLayout>
                  <c:x val="8.9086859688195907E-2"/>
                  <c:y val="-0.18981481481481499"/>
                </c:manualLayout>
              </c:layout>
              <c:tx>
                <c:rich>
                  <a:bodyPr/>
                  <a:lstStyle/>
                  <a:p>
                    <a:fld id="{128D3E9B-D185-455F-87A0-9B6E172A1867}" type="PERCENTAGE">
                      <a:rPr lang="en-US" b="1">
                        <a:solidFill>
                          <a:sysClr val="windowText" lastClr="000000"/>
                        </a:solidFill>
                      </a:rPr>
                      <a:pPr/>
                      <a:t>[YÜZDE]</a:t>
                    </a:fld>
                    <a:endParaRPr lang="tr-T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225-4BD0-AD35-523BCBC7128A}"/>
                </c:ext>
              </c:extLst>
            </c:dLbl>
            <c:dLbl>
              <c:idx val="2"/>
              <c:layout>
                <c:manualLayout>
                  <c:x val="4.8997772828507792E-2"/>
                  <c:y val="8.7962962962962965E-2"/>
                </c:manualLayout>
              </c:layout>
              <c:tx>
                <c:rich>
                  <a:bodyPr/>
                  <a:lstStyle/>
                  <a:p>
                    <a:fld id="{D9AB1E9B-6177-47A7-9BCC-34A07FC2091C}" type="PERCENTAGE">
                      <a:rPr lang="en-US" b="1">
                        <a:solidFill>
                          <a:sysClr val="windowText" lastClr="000000"/>
                        </a:solidFill>
                      </a:rPr>
                      <a:pPr/>
                      <a:t>[YÜZDE]</a:t>
                    </a:fld>
                    <a:endParaRPr lang="tr-T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225-4BD0-AD35-523BCBC712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Sheet0!$K$10:$K$12</c:f>
              <c:strCache>
                <c:ptCount val="3"/>
                <c:pt idx="0">
                  <c:v>Üst Orta Eğitim Altı</c:v>
                </c:pt>
                <c:pt idx="1">
                  <c:v>Üst Orta Eğitim</c:v>
                </c:pt>
                <c:pt idx="2">
                  <c:v>Diğer</c:v>
                </c:pt>
              </c:strCache>
            </c:strRef>
          </c:cat>
          <c:val>
            <c:numRef>
              <c:f>Sheet0!$L$10:$L$12</c:f>
              <c:numCache>
                <c:formatCode>General</c:formatCode>
                <c:ptCount val="3"/>
                <c:pt idx="0">
                  <c:v>7216077</c:v>
                </c:pt>
                <c:pt idx="1">
                  <c:v>33728561</c:v>
                </c:pt>
                <c:pt idx="2">
                  <c:v>3896573</c:v>
                </c:pt>
              </c:numCache>
            </c:numRef>
          </c:val>
          <c:extLst>
            <c:ext xmlns:c16="http://schemas.microsoft.com/office/drawing/2014/chart" uri="{C3380CC4-5D6E-409C-BE32-E72D297353CC}">
              <c16:uniqueId val="{00000006-C225-4BD0-AD35-523BCBC7128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28576398996895991"/>
          <c:y val="0.12078703703703704"/>
          <c:w val="0.49181270690332357"/>
          <c:h val="0.2586811023622047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tr-TR" sz="1200" b="1">
                <a:solidFill>
                  <a:schemeClr val="tx1"/>
                </a:solidFill>
              </a:rPr>
              <a:t>Eğitim Durumu</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4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CF09-45E0-B0F0-3E06AFC31F7A}"/>
              </c:ext>
            </c:extLst>
          </c:dPt>
          <c:dPt>
            <c:idx val="1"/>
            <c:bubble3D val="0"/>
            <c:spPr>
              <a:solidFill>
                <a:schemeClr val="accent1">
                  <a:shade val="5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CF09-45E0-B0F0-3E06AFC31F7A}"/>
              </c:ext>
            </c:extLst>
          </c:dPt>
          <c:dPt>
            <c:idx val="2"/>
            <c:bubble3D val="0"/>
            <c:spPr>
              <a:solidFill>
                <a:srgbClr val="6B879C"/>
              </a:solidFill>
              <a:ln w="25400">
                <a:solidFill>
                  <a:schemeClr val="lt1"/>
                </a:solidFill>
              </a:ln>
              <a:effectLst/>
              <a:sp3d contourW="25400">
                <a:contourClr>
                  <a:schemeClr val="lt1"/>
                </a:contourClr>
              </a:sp3d>
            </c:spPr>
            <c:extLst>
              <c:ext xmlns:c16="http://schemas.microsoft.com/office/drawing/2014/chart" uri="{C3380CC4-5D6E-409C-BE32-E72D297353CC}">
                <c16:uniqueId val="{00000005-CF09-45E0-B0F0-3E06AFC31F7A}"/>
              </c:ext>
            </c:extLst>
          </c:dPt>
          <c:dPt>
            <c:idx val="3"/>
            <c:bubble3D val="0"/>
            <c:spPr>
              <a:solidFill>
                <a:srgbClr val="0B4058"/>
              </a:solidFill>
              <a:ln w="25400">
                <a:solidFill>
                  <a:schemeClr val="lt1"/>
                </a:solidFill>
              </a:ln>
              <a:effectLst/>
              <a:sp3d contourW="25400">
                <a:contourClr>
                  <a:schemeClr val="lt1"/>
                </a:contourClr>
              </a:sp3d>
            </c:spPr>
            <c:extLst>
              <c:ext xmlns:c16="http://schemas.microsoft.com/office/drawing/2014/chart" uri="{C3380CC4-5D6E-409C-BE32-E72D297353CC}">
                <c16:uniqueId val="{00000007-CF09-45E0-B0F0-3E06AFC31F7A}"/>
              </c:ext>
            </c:extLst>
          </c:dPt>
          <c:dPt>
            <c:idx val="4"/>
            <c:bubble3D val="0"/>
            <c:spPr>
              <a:solidFill>
                <a:srgbClr val="0E4A6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F09-45E0-B0F0-3E06AFC31F7A}"/>
              </c:ext>
            </c:extLst>
          </c:dPt>
          <c:dPt>
            <c:idx val="5"/>
            <c:bubble3D val="0"/>
            <c:spPr>
              <a:solidFill>
                <a:srgbClr val="135979"/>
              </a:solidFill>
              <a:ln w="25400">
                <a:solidFill>
                  <a:schemeClr val="lt1"/>
                </a:solidFill>
              </a:ln>
              <a:effectLst/>
              <a:sp3d contourW="25400">
                <a:contourClr>
                  <a:schemeClr val="lt1"/>
                </a:contourClr>
              </a:sp3d>
            </c:spPr>
            <c:extLst>
              <c:ext xmlns:c16="http://schemas.microsoft.com/office/drawing/2014/chart" uri="{C3380CC4-5D6E-409C-BE32-E72D297353CC}">
                <c16:uniqueId val="{0000000B-CF09-45E0-B0F0-3E06AFC31F7A}"/>
              </c:ext>
            </c:extLst>
          </c:dPt>
          <c:dPt>
            <c:idx val="6"/>
            <c:bubble3D val="0"/>
            <c:spPr>
              <a:solidFill>
                <a:srgbClr val="AEB9C4"/>
              </a:solidFill>
              <a:ln w="25400">
                <a:solidFill>
                  <a:schemeClr val="lt1"/>
                </a:solidFill>
              </a:ln>
              <a:effectLst/>
              <a:sp3d contourW="25400">
                <a:contourClr>
                  <a:schemeClr val="lt1"/>
                </a:contourClr>
              </a:sp3d>
            </c:spPr>
            <c:extLst>
              <c:ext xmlns:c16="http://schemas.microsoft.com/office/drawing/2014/chart" uri="{C3380CC4-5D6E-409C-BE32-E72D297353CC}">
                <c16:uniqueId val="{0000000D-CF09-45E0-B0F0-3E06AFC31F7A}"/>
              </c:ext>
            </c:extLst>
          </c:dPt>
          <c:dPt>
            <c:idx val="7"/>
            <c:bubble3D val="0"/>
            <c:spPr>
              <a:solidFill>
                <a:srgbClr val="92A3B1"/>
              </a:solidFill>
              <a:ln w="25400">
                <a:solidFill>
                  <a:schemeClr val="lt1"/>
                </a:solidFill>
              </a:ln>
              <a:effectLst/>
              <a:sp3d contourW="25400">
                <a:contourClr>
                  <a:schemeClr val="lt1"/>
                </a:contourClr>
              </a:sp3d>
            </c:spPr>
            <c:extLst>
              <c:ext xmlns:c16="http://schemas.microsoft.com/office/drawing/2014/chart" uri="{C3380CC4-5D6E-409C-BE32-E72D297353CC}">
                <c16:uniqueId val="{0000000F-CF09-45E0-B0F0-3E06AFC31F7A}"/>
              </c:ext>
            </c:extLst>
          </c:dPt>
          <c:dPt>
            <c:idx val="8"/>
            <c:bubble3D val="0"/>
            <c:spPr>
              <a:solidFill>
                <a:srgbClr val="115270"/>
              </a:solidFill>
              <a:ln w="25400">
                <a:solidFill>
                  <a:schemeClr val="lt1"/>
                </a:solidFill>
              </a:ln>
              <a:effectLst/>
              <a:sp3d contourW="25400">
                <a:contourClr>
                  <a:schemeClr val="lt1"/>
                </a:contourClr>
              </a:sp3d>
            </c:spPr>
            <c:extLst>
              <c:ext xmlns:c16="http://schemas.microsoft.com/office/drawing/2014/chart" uri="{C3380CC4-5D6E-409C-BE32-E72D297353CC}">
                <c16:uniqueId val="{00000011-CF09-45E0-B0F0-3E06AFC31F7A}"/>
              </c:ext>
            </c:extLst>
          </c:dPt>
          <c:dPt>
            <c:idx val="9"/>
            <c:bubble3D val="0"/>
            <c:spPr>
              <a:solidFill>
                <a:srgbClr val="156082"/>
              </a:solidFill>
              <a:ln w="25400">
                <a:solidFill>
                  <a:schemeClr val="lt1"/>
                </a:solidFill>
              </a:ln>
              <a:effectLst/>
              <a:sp3d contourW="25400">
                <a:contourClr>
                  <a:schemeClr val="lt1"/>
                </a:contourClr>
              </a:sp3d>
            </c:spPr>
            <c:extLst>
              <c:ext xmlns:c16="http://schemas.microsoft.com/office/drawing/2014/chart" uri="{C3380CC4-5D6E-409C-BE32-E72D297353CC}">
                <c16:uniqueId val="{00000013-CF09-45E0-B0F0-3E06AFC31F7A}"/>
              </c:ext>
            </c:extLst>
          </c:dPt>
          <c:dLbls>
            <c:dLbl>
              <c:idx val="0"/>
              <c:layout>
                <c:manualLayout>
                  <c:x val="-1.3227513227513227E-2"/>
                  <c:y val="-4.0182648401826504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09-45E0-B0F0-3E06AFC31F7A}"/>
                </c:ext>
              </c:extLst>
            </c:dLbl>
            <c:dLbl>
              <c:idx val="1"/>
              <c:layout>
                <c:manualLayout>
                  <c:x val="0.15348324514991174"/>
                  <c:y val="-3.3095033912840105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09-45E0-B0F0-3E06AFC31F7A}"/>
                </c:ext>
              </c:extLst>
            </c:dLbl>
            <c:dLbl>
              <c:idx val="2"/>
              <c:layout>
                <c:manualLayout>
                  <c:x val="7.8395061728394902E-2"/>
                  <c:y val="-7.3599879591199027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09-45E0-B0F0-3E06AFC31F7A}"/>
                </c:ext>
              </c:extLst>
            </c:dLbl>
            <c:dLbl>
              <c:idx val="3"/>
              <c:layout>
                <c:manualLayout>
                  <c:x val="1.7636684303350969E-2"/>
                  <c:y val="-2.6134272172970013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15882927828465887"/>
                      <c:h val="0.27372846833788411"/>
                    </c:manualLayout>
                  </c15:layout>
                </c:ext>
                <c:ext xmlns:c16="http://schemas.microsoft.com/office/drawing/2014/chart" uri="{C3380CC4-5D6E-409C-BE32-E72D297353CC}">
                  <c16:uniqueId val="{00000007-CF09-45E0-B0F0-3E06AFC31F7A}"/>
                </c:ext>
              </c:extLst>
            </c:dLbl>
            <c:dLbl>
              <c:idx val="4"/>
              <c:layout>
                <c:manualLayout>
                  <c:x val="3.5537918871252204E-2"/>
                  <c:y val="0.13704386577690655"/>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09-45E0-B0F0-3E06AFC31F7A}"/>
                </c:ext>
              </c:extLst>
            </c:dLbl>
            <c:dLbl>
              <c:idx val="5"/>
              <c:layout>
                <c:manualLayout>
                  <c:x val="-0.23699294532627871"/>
                  <c:y val="2.0991867497967297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40076049521587581"/>
                      <c:h val="0.10011893641073798"/>
                    </c:manualLayout>
                  </c15:layout>
                </c:ext>
                <c:ext xmlns:c16="http://schemas.microsoft.com/office/drawing/2014/chart" uri="{C3380CC4-5D6E-409C-BE32-E72D297353CC}">
                  <c16:uniqueId val="{0000000B-CF09-45E0-B0F0-3E06AFC31F7A}"/>
                </c:ext>
              </c:extLst>
            </c:dLbl>
            <c:dLbl>
              <c:idx val="6"/>
              <c:layout>
                <c:manualLayout>
                  <c:x val="-0.13888880209418267"/>
                  <c:y val="-1.3201320132013323E-2"/>
                </c:manualLayout>
              </c:layout>
              <c:tx>
                <c:rich>
                  <a:bodyPr/>
                  <a:lstStyle/>
                  <a:p>
                    <a:r>
                      <a:rPr lang="en-US"/>
                      <a:t>Yüksek</a:t>
                    </a:r>
                    <a:r>
                      <a:rPr lang="en-US" baseline="0"/>
                      <a:t> Lisans ve Üzeri</a:t>
                    </a:r>
                    <a:endParaRPr lang="en-US"/>
                  </a:p>
                </c:rich>
              </c:tx>
              <c:dLblPos val="bestFit"/>
              <c:showLegendKey val="0"/>
              <c:showVal val="0"/>
              <c:showCatName val="1"/>
              <c:showSerName val="0"/>
              <c:showPercent val="0"/>
              <c:showBubbleSize val="0"/>
              <c:extLst>
                <c:ext xmlns:c15="http://schemas.microsoft.com/office/drawing/2012/chart" uri="{CE6537A1-D6FC-4f65-9D91-7224C49458BB}">
                  <c15:layout>
                    <c:manualLayout>
                      <c:w val="0.24496260884056159"/>
                      <c:h val="0.13074270419167902"/>
                    </c:manualLayout>
                  </c15:layout>
                  <c15:showDataLabelsRange val="0"/>
                </c:ext>
                <c:ext xmlns:c16="http://schemas.microsoft.com/office/drawing/2014/chart" uri="{C3380CC4-5D6E-409C-BE32-E72D297353CC}">
                  <c16:uniqueId val="{0000000D-CF09-45E0-B0F0-3E06AFC31F7A}"/>
                </c:ext>
              </c:extLst>
            </c:dLbl>
            <c:dLbl>
              <c:idx val="7"/>
              <c:layout>
                <c:manualLayout>
                  <c:x val="-4.6296296296296308E-2"/>
                  <c:y val="-7.5429897047203265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F09-45E0-B0F0-3E06AFC31F7A}"/>
                </c:ext>
              </c:extLst>
            </c:dLbl>
            <c:dLbl>
              <c:idx val="8"/>
              <c:layout>
                <c:manualLayout>
                  <c:x val="-8.3774250440917103E-2"/>
                  <c:y val="-7.1918737147260298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F09-45E0-B0F0-3E06AFC31F7A}"/>
                </c:ext>
              </c:extLst>
            </c:dLbl>
            <c:dLbl>
              <c:idx val="9"/>
              <c:layout>
                <c:manualLayout>
                  <c:x val="-0.13007054673721341"/>
                  <c:y val="-3.3881662361288568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F09-45E0-B0F0-3E06AFC31F7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tr-TR"/>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Sheet0!$B$18:$B$27</c:f>
              <c:strCache>
                <c:ptCount val="10"/>
                <c:pt idx="0">
                  <c:v>Bilinmeyen</c:v>
                </c:pt>
                <c:pt idx="1">
                  <c:v>Doktora</c:v>
                </c:pt>
                <c:pt idx="2">
                  <c:v>Lise Ve Dengi Meslek Okulu</c:v>
                </c:pt>
                <c:pt idx="3">
                  <c:v>Okuma Yazma Bilen Fakat Bir Okul Bitirmeyen</c:v>
                </c:pt>
                <c:pt idx="4">
                  <c:v>Okuma Yazma Bilmeyen</c:v>
                </c:pt>
                <c:pt idx="5">
                  <c:v>Ortaokul Veya Dengi Meslek Ortaokul</c:v>
                </c:pt>
                <c:pt idx="6">
                  <c:v>Yüksek Lisans (5 Veya 6 Yıllık Fakülteler Dahil)</c:v>
                </c:pt>
                <c:pt idx="7">
                  <c:v>Yüksekokul Veya Fakülte</c:v>
                </c:pt>
                <c:pt idx="8">
                  <c:v>İlkokul</c:v>
                </c:pt>
                <c:pt idx="9">
                  <c:v>İlköğretim</c:v>
                </c:pt>
              </c:strCache>
            </c:strRef>
          </c:cat>
          <c:val>
            <c:numRef>
              <c:f>Sheet0!$C$18:$C$27</c:f>
              <c:numCache>
                <c:formatCode>General</c:formatCode>
                <c:ptCount val="10"/>
                <c:pt idx="0">
                  <c:v>5507</c:v>
                </c:pt>
                <c:pt idx="1">
                  <c:v>2985</c:v>
                </c:pt>
                <c:pt idx="2">
                  <c:v>265729</c:v>
                </c:pt>
                <c:pt idx="3">
                  <c:v>81386</c:v>
                </c:pt>
                <c:pt idx="4">
                  <c:v>18280</c:v>
                </c:pt>
                <c:pt idx="5">
                  <c:v>165968</c:v>
                </c:pt>
                <c:pt idx="6">
                  <c:v>17929</c:v>
                </c:pt>
                <c:pt idx="7">
                  <c:v>154428</c:v>
                </c:pt>
                <c:pt idx="8">
                  <c:v>227629</c:v>
                </c:pt>
                <c:pt idx="9">
                  <c:v>67780</c:v>
                </c:pt>
              </c:numCache>
            </c:numRef>
          </c:val>
          <c:extLst>
            <c:ext xmlns:c16="http://schemas.microsoft.com/office/drawing/2014/chart" uri="{C3380CC4-5D6E-409C-BE32-E72D297353CC}">
              <c16:uniqueId val="{00000014-CF09-45E0-B0F0-3E06AFC31F7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sz="1100" baseline="0"/>
      </a:pPr>
      <a:endParaRPr lang="tr-TR"/>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Sheet0!$F$12</c:f>
              <c:strCache>
                <c:ptCount val="1"/>
                <c:pt idx="0">
                  <c:v>Türkiye</c:v>
                </c:pt>
              </c:strCache>
            </c:strRef>
          </c:tx>
          <c:spPr>
            <a:ln w="28575" cap="rnd">
              <a:solidFill>
                <a:srgbClr val="8599AA"/>
              </a:solidFill>
              <a:round/>
            </a:ln>
            <a:effectLst/>
          </c:spPr>
          <c:marker>
            <c:symbol val="none"/>
          </c:marker>
          <c:cat>
            <c:strRef>
              <c:f>Sheet0!$G$11:$I$11</c:f>
              <c:strCache>
                <c:ptCount val="3"/>
                <c:pt idx="0">
                  <c:v>2022</c:v>
                </c:pt>
                <c:pt idx="1">
                  <c:v>2023</c:v>
                </c:pt>
                <c:pt idx="2">
                  <c:v>2024</c:v>
                </c:pt>
              </c:strCache>
            </c:strRef>
          </c:cat>
          <c:val>
            <c:numRef>
              <c:f>Sheet0!$G$12:$I$12</c:f>
              <c:numCache>
                <c:formatCode>General</c:formatCode>
                <c:ptCount val="3"/>
                <c:pt idx="0">
                  <c:v>47.5</c:v>
                </c:pt>
                <c:pt idx="1">
                  <c:v>48.3</c:v>
                </c:pt>
                <c:pt idx="2">
                  <c:v>49.5</c:v>
                </c:pt>
              </c:numCache>
            </c:numRef>
          </c:val>
          <c:smooth val="0"/>
          <c:extLst>
            <c:ext xmlns:c16="http://schemas.microsoft.com/office/drawing/2014/chart" uri="{C3380CC4-5D6E-409C-BE32-E72D297353CC}">
              <c16:uniqueId val="{00000000-CE9D-4C34-8119-B4F7649AA8CF}"/>
            </c:ext>
          </c:extLst>
        </c:ser>
        <c:ser>
          <c:idx val="1"/>
          <c:order val="1"/>
          <c:tx>
            <c:strRef>
              <c:f>Sheet0!$F$13</c:f>
              <c:strCache>
                <c:ptCount val="1"/>
                <c:pt idx="0">
                  <c:v>Sakarya</c:v>
                </c:pt>
              </c:strCache>
            </c:strRef>
          </c:tx>
          <c:spPr>
            <a:ln w="28575" cap="rnd">
              <a:solidFill>
                <a:srgbClr val="115472"/>
              </a:solidFill>
              <a:prstDash val="solid"/>
              <a:round/>
            </a:ln>
            <a:effectLst/>
          </c:spPr>
          <c:marker>
            <c:symbol val="none"/>
          </c:marker>
          <c:cat>
            <c:strRef>
              <c:f>Sheet0!$G$11:$I$11</c:f>
              <c:strCache>
                <c:ptCount val="3"/>
                <c:pt idx="0">
                  <c:v>2022</c:v>
                </c:pt>
                <c:pt idx="1">
                  <c:v>2023</c:v>
                </c:pt>
                <c:pt idx="2">
                  <c:v>2024</c:v>
                </c:pt>
              </c:strCache>
            </c:strRef>
          </c:cat>
          <c:val>
            <c:numRef>
              <c:f>Sheet0!$G$13:$I$13</c:f>
              <c:numCache>
                <c:formatCode>General</c:formatCode>
                <c:ptCount val="3"/>
                <c:pt idx="0">
                  <c:v>50.9</c:v>
                </c:pt>
                <c:pt idx="1">
                  <c:v>53</c:v>
                </c:pt>
                <c:pt idx="2">
                  <c:v>53.5</c:v>
                </c:pt>
              </c:numCache>
            </c:numRef>
          </c:val>
          <c:smooth val="0"/>
          <c:extLst>
            <c:ext xmlns:c16="http://schemas.microsoft.com/office/drawing/2014/chart" uri="{C3380CC4-5D6E-409C-BE32-E72D297353CC}">
              <c16:uniqueId val="{00000001-CE9D-4C34-8119-B4F7649AA8CF}"/>
            </c:ext>
          </c:extLst>
        </c:ser>
        <c:dLbls>
          <c:showLegendKey val="0"/>
          <c:showVal val="0"/>
          <c:showCatName val="0"/>
          <c:showSerName val="0"/>
          <c:showPercent val="0"/>
          <c:showBubbleSize val="0"/>
        </c:dLbls>
        <c:smooth val="0"/>
        <c:axId val="2098063087"/>
        <c:axId val="2098069327"/>
      </c:lineChart>
      <c:catAx>
        <c:axId val="209806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tr-TR"/>
          </a:p>
        </c:txPr>
        <c:crossAx val="2098069327"/>
        <c:crosses val="autoZero"/>
        <c:auto val="1"/>
        <c:lblAlgn val="ctr"/>
        <c:lblOffset val="100"/>
        <c:noMultiLvlLbl val="0"/>
      </c:catAx>
      <c:valAx>
        <c:axId val="2098069327"/>
        <c:scaling>
          <c:orientation val="minMax"/>
          <c:max val="5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crossAx val="2098063087"/>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mn-lt"/>
                <a:ea typeface="+mn-ea"/>
                <a:cs typeface="+mn-cs"/>
              </a:defRPr>
            </a:pPr>
            <a:endParaRPr lang="tr-T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i="0" baseline="0"/>
      </a:pPr>
      <a:endParaRPr lang="tr-T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tr-TR" sz="1200" b="1" i="0" baseline="0">
                <a:solidFill>
                  <a:sysClr val="windowText" lastClr="000000"/>
                </a:solidFill>
              </a:rPr>
              <a:t>Sakarya İli Sektörel Dağılım</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strCache>
            </c:strRef>
          </c:tx>
          <c:dPt>
            <c:idx val="0"/>
            <c:bubble3D val="0"/>
            <c:spPr>
              <a:solidFill>
                <a:srgbClr val="135979"/>
              </a:solidFill>
              <a:ln w="25400">
                <a:solidFill>
                  <a:schemeClr val="lt1"/>
                </a:solidFill>
              </a:ln>
              <a:effectLst/>
              <a:sp3d contourW="25400">
                <a:contourClr>
                  <a:schemeClr val="lt1"/>
                </a:contourClr>
              </a:sp3d>
            </c:spPr>
            <c:extLst>
              <c:ext xmlns:c16="http://schemas.microsoft.com/office/drawing/2014/chart" uri="{C3380CC4-5D6E-409C-BE32-E72D297353CC}">
                <c16:uniqueId val="{00000001-9F51-4A97-9334-DB9C6FA228B0}"/>
              </c:ext>
            </c:extLst>
          </c:dPt>
          <c:dPt>
            <c:idx val="1"/>
            <c:bubble3D val="0"/>
            <c:spPr>
              <a:solidFill>
                <a:srgbClr val="6B879C"/>
              </a:solidFill>
              <a:ln w="25400">
                <a:solidFill>
                  <a:schemeClr val="lt1"/>
                </a:solidFill>
              </a:ln>
              <a:effectLst/>
              <a:sp3d contourW="25400">
                <a:contourClr>
                  <a:schemeClr val="lt1"/>
                </a:contourClr>
              </a:sp3d>
            </c:spPr>
            <c:extLst>
              <c:ext xmlns:c16="http://schemas.microsoft.com/office/drawing/2014/chart" uri="{C3380CC4-5D6E-409C-BE32-E72D297353CC}">
                <c16:uniqueId val="{00000003-9F51-4A97-9334-DB9C6FA228B0}"/>
              </c:ext>
            </c:extLst>
          </c:dPt>
          <c:dPt>
            <c:idx val="2"/>
            <c:bubble3D val="0"/>
            <c:spPr>
              <a:solidFill>
                <a:srgbClr val="AEB9C4"/>
              </a:solidFill>
              <a:ln w="25400">
                <a:solidFill>
                  <a:schemeClr val="lt1"/>
                </a:solidFill>
              </a:ln>
              <a:effectLst/>
              <a:sp3d contourW="25400">
                <a:contourClr>
                  <a:schemeClr val="lt1"/>
                </a:contourClr>
              </a:sp3d>
            </c:spPr>
            <c:extLst>
              <c:ext xmlns:c16="http://schemas.microsoft.com/office/drawing/2014/chart" uri="{C3380CC4-5D6E-409C-BE32-E72D297353CC}">
                <c16:uniqueId val="{00000005-9F51-4A97-9334-DB9C6FA228B0}"/>
              </c:ext>
            </c:extLst>
          </c:dPt>
          <c:dLbls>
            <c:dLbl>
              <c:idx val="0"/>
              <c:layout>
                <c:manualLayout>
                  <c:x val="-7.0562293274531507E-2"/>
                  <c:y val="9.03686087990487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F51-4A97-9334-DB9C6FA228B0}"/>
                </c:ext>
              </c:extLst>
            </c:dLbl>
            <c:dLbl>
              <c:idx val="1"/>
              <c:layout>
                <c:manualLayout>
                  <c:x val="-0.13009922822491723"/>
                  <c:y val="-0.1236623067776457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F51-4A97-9334-DB9C6FA228B0}"/>
                </c:ext>
              </c:extLst>
            </c:dLbl>
            <c:dLbl>
              <c:idx val="2"/>
              <c:layout>
                <c:manualLayout>
                  <c:x val="0.1631753031973539"/>
                  <c:y val="-8.085612366230678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F51-4A97-9334-DB9C6FA228B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tr-TR"/>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Sayfa1!$A$2:$A$4</c:f>
              <c:strCache>
                <c:ptCount val="3"/>
                <c:pt idx="0">
                  <c:v>Tarım</c:v>
                </c:pt>
                <c:pt idx="1">
                  <c:v>Sanayi</c:v>
                </c:pt>
                <c:pt idx="2">
                  <c:v>Diğer Hizmetler</c:v>
                </c:pt>
              </c:strCache>
            </c:strRef>
          </c:cat>
          <c:val>
            <c:numRef>
              <c:f>Sayfa1!$B$2:$B$4</c:f>
              <c:numCache>
                <c:formatCode>0%</c:formatCode>
                <c:ptCount val="3"/>
                <c:pt idx="0">
                  <c:v>0.17</c:v>
                </c:pt>
                <c:pt idx="1">
                  <c:v>0.24</c:v>
                </c:pt>
                <c:pt idx="2">
                  <c:v>0.59</c:v>
                </c:pt>
              </c:numCache>
            </c:numRef>
          </c:val>
          <c:extLst>
            <c:ext xmlns:c16="http://schemas.microsoft.com/office/drawing/2014/chart" uri="{C3380CC4-5D6E-409C-BE32-E72D297353CC}">
              <c16:uniqueId val="{00000006-9F51-4A97-9334-DB9C6FA228B0}"/>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3.1019475466512774E-2"/>
          <c:y val="0.88850503062117236"/>
          <c:w val="0.94707993656269995"/>
          <c:h val="8.3717191601049873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0.05526</cdr:x>
      <cdr:y>0.85232</cdr:y>
    </cdr:from>
    <cdr:to>
      <cdr:x>0.26616</cdr:x>
      <cdr:y>0.91334</cdr:y>
    </cdr:to>
    <cdr:sp macro="" textlink="">
      <cdr:nvSpPr>
        <cdr:cNvPr id="2" name="Metin Kutusu 1"/>
        <cdr:cNvSpPr txBox="1"/>
      </cdr:nvSpPr>
      <cdr:spPr>
        <a:xfrm xmlns:a="http://schemas.openxmlformats.org/drawingml/2006/main">
          <a:off x="318246" y="2003612"/>
          <a:ext cx="1214718" cy="14343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tr-TR" sz="600" kern="1200">
              <a:latin typeface="Aptos" panose="020B0004020202020204" pitchFamily="34" charset="0"/>
            </a:rPr>
            <a:t>Sakarya's Population (Person)</a:t>
          </a:r>
        </a:p>
      </cdr:txBody>
    </cdr:sp>
  </cdr:relSizeAnchor>
  <cdr:relSizeAnchor xmlns:cdr="http://schemas.openxmlformats.org/drawingml/2006/chartDrawing">
    <cdr:from>
      <cdr:x>0.32376</cdr:x>
      <cdr:y>0.84152</cdr:y>
    </cdr:from>
    <cdr:to>
      <cdr:x>0.63195</cdr:x>
      <cdr:y>0.94575</cdr:y>
    </cdr:to>
    <cdr:sp macro="" textlink="">
      <cdr:nvSpPr>
        <cdr:cNvPr id="3" name="Metin Kutusu 1"/>
        <cdr:cNvSpPr txBox="1"/>
      </cdr:nvSpPr>
      <cdr:spPr>
        <a:xfrm xmlns:a="http://schemas.openxmlformats.org/drawingml/2006/main">
          <a:off x="1864659" y="1978212"/>
          <a:ext cx="1775012" cy="24503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tr-TR" sz="600" kern="1200">
              <a:latin typeface="Aptos" panose="020B0004020202020204" pitchFamily="34" charset="0"/>
            </a:rPr>
            <a:t>Sakarya's Annual Population Growth Rate (%0)</a:t>
          </a:r>
        </a:p>
      </cdr:txBody>
    </cdr:sp>
  </cdr:relSizeAnchor>
  <cdr:relSizeAnchor xmlns:cdr="http://schemas.openxmlformats.org/drawingml/2006/chartDrawing">
    <cdr:from>
      <cdr:x>0.69058</cdr:x>
      <cdr:y>0.83834</cdr:y>
    </cdr:from>
    <cdr:to>
      <cdr:x>0.99306</cdr:x>
      <cdr:y>0.94257</cdr:y>
    </cdr:to>
    <cdr:sp macro="" textlink="">
      <cdr:nvSpPr>
        <cdr:cNvPr id="4" name="Metin Kutusu 1"/>
        <cdr:cNvSpPr txBox="1"/>
      </cdr:nvSpPr>
      <cdr:spPr>
        <a:xfrm xmlns:a="http://schemas.openxmlformats.org/drawingml/2006/main">
          <a:off x="3977342" y="1970740"/>
          <a:ext cx="1742140" cy="24503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tr-TR" sz="600" kern="1200">
              <a:latin typeface="Aptos" panose="020B0004020202020204" pitchFamily="34" charset="0"/>
            </a:rPr>
            <a:t>Türkiye's Annual Population Growth Rate (%0)</a:t>
          </a:r>
        </a:p>
      </cdr:txBody>
    </cdr:sp>
  </cdr:relSizeAnchor>
</c:userShapes>
</file>

<file path=word/drawings/drawing2.xml><?xml version="1.0" encoding="utf-8"?>
<c:userShapes xmlns:c="http://schemas.openxmlformats.org/drawingml/2006/chart">
  <cdr:relSizeAnchor xmlns:cdr="http://schemas.openxmlformats.org/drawingml/2006/chartDrawing">
    <cdr:from>
      <cdr:x>0.27186</cdr:x>
      <cdr:y>0.01976</cdr:y>
    </cdr:from>
    <cdr:to>
      <cdr:x>0.76816</cdr:x>
      <cdr:y>0.12157</cdr:y>
    </cdr:to>
    <cdr:sp macro="" textlink="">
      <cdr:nvSpPr>
        <cdr:cNvPr id="2" name="Metin Kutusu 1"/>
        <cdr:cNvSpPr txBox="1"/>
      </cdr:nvSpPr>
      <cdr:spPr>
        <a:xfrm xmlns:a="http://schemas.openxmlformats.org/drawingml/2006/main">
          <a:off x="770964" y="58271"/>
          <a:ext cx="1407459" cy="300318"/>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tr-TR" sz="1100" b="1" kern="1200">
              <a:latin typeface="Aptos" panose="020B0004020202020204" pitchFamily="34" charset="0"/>
            </a:rPr>
            <a:t>POPULATION 2007</a:t>
          </a:r>
        </a:p>
      </cdr:txBody>
    </cdr:sp>
  </cdr:relSizeAnchor>
  <cdr:relSizeAnchor xmlns:cdr="http://schemas.openxmlformats.org/drawingml/2006/chartDrawing">
    <cdr:from>
      <cdr:x>0.39198</cdr:x>
      <cdr:y>0.90724</cdr:y>
    </cdr:from>
    <cdr:to>
      <cdr:x>0.50736</cdr:x>
      <cdr:y>0.95131</cdr:y>
    </cdr:to>
    <cdr:sp macro="" textlink="">
      <cdr:nvSpPr>
        <cdr:cNvPr id="3" name="Metin Kutusu 1"/>
        <cdr:cNvSpPr txBox="1"/>
      </cdr:nvSpPr>
      <cdr:spPr>
        <a:xfrm xmlns:a="http://schemas.openxmlformats.org/drawingml/2006/main">
          <a:off x="1111623" y="2675965"/>
          <a:ext cx="327212" cy="129988"/>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tr-TR" sz="500" b="1" kern="1200">
              <a:latin typeface="Aptos" panose="020B0004020202020204" pitchFamily="34" charset="0"/>
            </a:rPr>
            <a:t>MAN</a:t>
          </a:r>
          <a:endParaRPr lang="tr-TR" sz="1100" b="1" kern="1200">
            <a:latin typeface="Aptos" panose="020B0004020202020204" pitchFamily="34" charset="0"/>
          </a:endParaRPr>
        </a:p>
      </cdr:txBody>
    </cdr:sp>
  </cdr:relSizeAnchor>
  <cdr:relSizeAnchor xmlns:cdr="http://schemas.openxmlformats.org/drawingml/2006/chartDrawing">
    <cdr:from>
      <cdr:x>0.55847</cdr:x>
      <cdr:y>0.90926</cdr:y>
    </cdr:from>
    <cdr:to>
      <cdr:x>0.71916</cdr:x>
      <cdr:y>0.95333</cdr:y>
    </cdr:to>
    <cdr:sp macro="" textlink="">
      <cdr:nvSpPr>
        <cdr:cNvPr id="4" name="Metin Kutusu 1"/>
        <cdr:cNvSpPr txBox="1"/>
      </cdr:nvSpPr>
      <cdr:spPr>
        <a:xfrm xmlns:a="http://schemas.openxmlformats.org/drawingml/2006/main">
          <a:off x="1583763" y="2681942"/>
          <a:ext cx="455707" cy="129988"/>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tr-TR" sz="500" b="1" kern="1200">
              <a:latin typeface="Aptos" panose="020B0004020202020204" pitchFamily="34" charset="0"/>
            </a:rPr>
            <a:t>WOMAN</a:t>
          </a:r>
          <a:endParaRPr lang="tr-TR" sz="1100" b="1" kern="1200">
            <a:latin typeface="Aptos" panose="020B00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0.38876</cdr:x>
      <cdr:y>0.90712</cdr:y>
    </cdr:from>
    <cdr:to>
      <cdr:x>0.50412</cdr:x>
      <cdr:y>0.95121</cdr:y>
    </cdr:to>
    <cdr:sp macro="" textlink="">
      <cdr:nvSpPr>
        <cdr:cNvPr id="2" name="Metin Kutusu 1"/>
        <cdr:cNvSpPr txBox="1"/>
      </cdr:nvSpPr>
      <cdr:spPr>
        <a:xfrm xmlns:a="http://schemas.openxmlformats.org/drawingml/2006/main">
          <a:off x="1102735" y="2674466"/>
          <a:ext cx="327224" cy="12999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tr-TR" sz="500" b="1" kern="1200">
              <a:latin typeface="Aptos" panose="020B0004020202020204" pitchFamily="34" charset="0"/>
            </a:rPr>
            <a:t>MAN</a:t>
          </a:r>
          <a:endParaRPr lang="tr-TR" sz="1100" b="1" kern="1200">
            <a:latin typeface="Aptos" panose="020B0004020202020204" pitchFamily="34" charset="0"/>
          </a:endParaRPr>
        </a:p>
      </cdr:txBody>
    </cdr:sp>
  </cdr:relSizeAnchor>
  <cdr:relSizeAnchor xmlns:cdr="http://schemas.openxmlformats.org/drawingml/2006/chartDrawing">
    <cdr:from>
      <cdr:x>0.55521</cdr:x>
      <cdr:y>0.90915</cdr:y>
    </cdr:from>
    <cdr:to>
      <cdr:x>0.71586</cdr:x>
      <cdr:y>0.95324</cdr:y>
    </cdr:to>
    <cdr:sp macro="" textlink="">
      <cdr:nvSpPr>
        <cdr:cNvPr id="3" name="Metin Kutusu 1"/>
        <cdr:cNvSpPr txBox="1"/>
      </cdr:nvSpPr>
      <cdr:spPr>
        <a:xfrm xmlns:a="http://schemas.openxmlformats.org/drawingml/2006/main">
          <a:off x="1574874" y="2680447"/>
          <a:ext cx="455707" cy="129988"/>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tr-TR" sz="500" b="1" kern="1200">
              <a:latin typeface="Aptos" panose="020B0004020202020204" pitchFamily="34" charset="0"/>
            </a:rPr>
            <a:t>WOMAN</a:t>
          </a:r>
          <a:endParaRPr lang="tr-TR" sz="1100" b="1" kern="1200">
            <a:latin typeface="Aptos" panose="020B00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0.44108</cdr:x>
      <cdr:y>0.89082</cdr:y>
    </cdr:from>
    <cdr:to>
      <cdr:x>0.50223</cdr:x>
      <cdr:y>0.94635</cdr:y>
    </cdr:to>
    <cdr:sp macro="" textlink="">
      <cdr:nvSpPr>
        <cdr:cNvPr id="2" name="Metin Kutusu 1"/>
        <cdr:cNvSpPr txBox="1"/>
      </cdr:nvSpPr>
      <cdr:spPr>
        <a:xfrm xmlns:a="http://schemas.openxmlformats.org/drawingml/2006/main">
          <a:off x="2497221" y="2165387"/>
          <a:ext cx="346242" cy="134984"/>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tr-TR" sz="500" b="1" kern="1200">
              <a:latin typeface="Aptos" panose="020B0004020202020204" pitchFamily="34" charset="0"/>
            </a:rPr>
            <a:t>MALE</a:t>
          </a:r>
          <a:endParaRPr lang="tr-TR" sz="1100" b="1" kern="1200">
            <a:latin typeface="Aptos" panose="020B0004020202020204" pitchFamily="34" charset="0"/>
          </a:endParaRPr>
        </a:p>
      </cdr:txBody>
    </cdr:sp>
  </cdr:relSizeAnchor>
  <cdr:relSizeAnchor xmlns:cdr="http://schemas.openxmlformats.org/drawingml/2006/chartDrawing">
    <cdr:from>
      <cdr:x>0.52935</cdr:x>
      <cdr:y>0.88936</cdr:y>
    </cdr:from>
    <cdr:to>
      <cdr:x>0.60984</cdr:x>
      <cdr:y>0.94284</cdr:y>
    </cdr:to>
    <cdr:sp macro="" textlink="">
      <cdr:nvSpPr>
        <cdr:cNvPr id="3" name="Metin Kutusu 1"/>
        <cdr:cNvSpPr txBox="1"/>
      </cdr:nvSpPr>
      <cdr:spPr>
        <a:xfrm xmlns:a="http://schemas.openxmlformats.org/drawingml/2006/main">
          <a:off x="2997020" y="2161839"/>
          <a:ext cx="455707" cy="129998"/>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tr-TR" sz="500" b="1" kern="1200">
              <a:latin typeface="Aptos" panose="020B0004020202020204" pitchFamily="34" charset="0"/>
            </a:rPr>
            <a:t>FEMALE</a:t>
          </a:r>
          <a:endParaRPr lang="tr-TR" sz="1100" b="1" kern="1200">
            <a:latin typeface="Aptos" panose="020B0004020202020204" pitchFamily="34" charset="0"/>
          </a:endParaRPr>
        </a:p>
      </cdr:txBody>
    </cdr:sp>
  </cdr:relSizeAnchor>
  <cdr:relSizeAnchor xmlns:cdr="http://schemas.openxmlformats.org/drawingml/2006/chartDrawing">
    <cdr:from>
      <cdr:x>0.12721</cdr:x>
      <cdr:y>0.46708</cdr:y>
    </cdr:from>
    <cdr:to>
      <cdr:x>0.15017</cdr:x>
      <cdr:y>0.71547</cdr:y>
    </cdr:to>
    <cdr:sp macro="" textlink="">
      <cdr:nvSpPr>
        <cdr:cNvPr id="5" name="Metin Kutusu 1"/>
        <cdr:cNvSpPr txBox="1"/>
      </cdr:nvSpPr>
      <cdr:spPr>
        <a:xfrm xmlns:a="http://schemas.openxmlformats.org/drawingml/2006/main" rot="16200000">
          <a:off x="483347" y="1372272"/>
          <a:ext cx="603773" cy="129988"/>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US" sz="700">
              <a:solidFill>
                <a:schemeClr val="dk1"/>
              </a:solidFill>
              <a:effectLst/>
              <a:latin typeface="Aptos" panose="020B0004020202020204" pitchFamily="34" charset="0"/>
              <a:ea typeface="+mn-ea"/>
              <a:cs typeface="+mn-cs"/>
            </a:rPr>
            <a:t>Unknown</a:t>
          </a:r>
          <a:endParaRPr lang="tr-TR" sz="700" b="1" kern="1200">
            <a:latin typeface="Aptos" panose="020B0004020202020204" pitchFamily="34" charset="0"/>
          </a:endParaRPr>
        </a:p>
      </cdr:txBody>
    </cdr:sp>
  </cdr:relSizeAnchor>
  <cdr:relSizeAnchor xmlns:cdr="http://schemas.openxmlformats.org/drawingml/2006/chartDrawing">
    <cdr:from>
      <cdr:x>0.21536</cdr:x>
      <cdr:y>0.46401</cdr:y>
    </cdr:from>
    <cdr:to>
      <cdr:x>0.23832</cdr:x>
      <cdr:y>0.7124</cdr:y>
    </cdr:to>
    <cdr:sp macro="" textlink="">
      <cdr:nvSpPr>
        <cdr:cNvPr id="6" name="Metin Kutusu 1"/>
        <cdr:cNvSpPr txBox="1"/>
      </cdr:nvSpPr>
      <cdr:spPr>
        <a:xfrm xmlns:a="http://schemas.openxmlformats.org/drawingml/2006/main" rot="16200000">
          <a:off x="982383" y="1364802"/>
          <a:ext cx="603773" cy="129988"/>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US" sz="700">
              <a:solidFill>
                <a:schemeClr val="dk1"/>
              </a:solidFill>
              <a:effectLst/>
              <a:latin typeface="Aptos" panose="020B0004020202020204" pitchFamily="34" charset="0"/>
              <a:ea typeface="+mn-ea"/>
              <a:cs typeface="+mn-cs"/>
            </a:rPr>
            <a:t>Doctorate</a:t>
          </a:r>
          <a:endParaRPr lang="tr-TR" sz="700" b="1" kern="1200">
            <a:latin typeface="Aptos" panose="020B0004020202020204" pitchFamily="34" charset="0"/>
          </a:endParaRPr>
        </a:p>
      </cdr:txBody>
    </cdr:sp>
  </cdr:relSizeAnchor>
  <cdr:relSizeAnchor xmlns:cdr="http://schemas.openxmlformats.org/drawingml/2006/chartDrawing">
    <cdr:from>
      <cdr:x>0.37052</cdr:x>
      <cdr:y>0.44557</cdr:y>
    </cdr:from>
    <cdr:to>
      <cdr:x>0.44415</cdr:x>
      <cdr:y>0.86668</cdr:y>
    </cdr:to>
    <cdr:sp macro="" textlink="">
      <cdr:nvSpPr>
        <cdr:cNvPr id="7" name="Metin Kutusu 1"/>
        <cdr:cNvSpPr txBox="1"/>
      </cdr:nvSpPr>
      <cdr:spPr>
        <a:xfrm xmlns:a="http://schemas.openxmlformats.org/drawingml/2006/main" rot="16200000">
          <a:off x="1794363" y="1386462"/>
          <a:ext cx="1023621" cy="41686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r" defTabSz="914400" eaLnBrk="1" fontAlgn="auto" latinLnBrk="0" hangingPunct="1">
            <a:lnSpc>
              <a:spcPct val="100000"/>
            </a:lnSpc>
            <a:spcBef>
              <a:spcPts val="0"/>
            </a:spcBef>
            <a:spcAft>
              <a:spcPts val="0"/>
            </a:spcAft>
            <a:buClrTx/>
            <a:buSzTx/>
            <a:buFontTx/>
            <a:buNone/>
            <a:tabLst/>
            <a:defRPr/>
          </a:pPr>
          <a:r>
            <a:rPr lang="en-US" sz="700">
              <a:solidFill>
                <a:schemeClr val="dk1"/>
              </a:solidFill>
              <a:effectLst/>
              <a:latin typeface="Aptos" panose="020B0004020202020204" pitchFamily="34" charset="0"/>
              <a:ea typeface="+mn-ea"/>
              <a:cs typeface="+mn-cs"/>
            </a:rPr>
            <a:t>Literate, No Formal Education Completed</a:t>
          </a:r>
        </a:p>
        <a:p xmlns:a="http://schemas.openxmlformats.org/drawingml/2006/main">
          <a:pPr algn="r"/>
          <a:endParaRPr lang="tr-TR" sz="700" b="1" kern="1200">
            <a:latin typeface="Aptos" panose="020B0004020202020204" pitchFamily="34" charset="0"/>
          </a:endParaRPr>
        </a:p>
      </cdr:txBody>
    </cdr:sp>
  </cdr:relSizeAnchor>
  <cdr:relSizeAnchor xmlns:cdr="http://schemas.openxmlformats.org/drawingml/2006/chartDrawing">
    <cdr:from>
      <cdr:x>0.27736</cdr:x>
      <cdr:y>0.44434</cdr:y>
    </cdr:from>
    <cdr:to>
      <cdr:x>0.35099</cdr:x>
      <cdr:y>0.86545</cdr:y>
    </cdr:to>
    <cdr:sp macro="" textlink="">
      <cdr:nvSpPr>
        <cdr:cNvPr id="8" name="Metin Kutusu 1"/>
        <cdr:cNvSpPr txBox="1"/>
      </cdr:nvSpPr>
      <cdr:spPr>
        <a:xfrm xmlns:a="http://schemas.openxmlformats.org/drawingml/2006/main" rot="16200000">
          <a:off x="1266942" y="1383474"/>
          <a:ext cx="1023621" cy="41686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r" defTabSz="914400" eaLnBrk="1" fontAlgn="auto" latinLnBrk="0" hangingPunct="1">
            <a:lnSpc>
              <a:spcPct val="100000"/>
            </a:lnSpc>
            <a:spcBef>
              <a:spcPts val="0"/>
            </a:spcBef>
            <a:spcAft>
              <a:spcPts val="0"/>
            </a:spcAft>
            <a:buClrTx/>
            <a:buSzTx/>
            <a:buFontTx/>
            <a:buNone/>
            <a:tabLst/>
            <a:defRPr/>
          </a:pPr>
          <a:r>
            <a:rPr lang="en-US" sz="700">
              <a:solidFill>
                <a:schemeClr val="dk1"/>
              </a:solidFill>
              <a:effectLst/>
              <a:latin typeface="Aptos" panose="020B0004020202020204" pitchFamily="34" charset="0"/>
              <a:ea typeface="+mn-ea"/>
              <a:cs typeface="+mn-cs"/>
            </a:rPr>
            <a:t>High School or Equivalent Vocational School</a:t>
          </a:r>
          <a:endParaRPr lang="tr-TR" sz="200" b="1" kern="1200">
            <a:latin typeface="Aptos" panose="020B0004020202020204" pitchFamily="34" charset="0"/>
          </a:endParaRPr>
        </a:p>
      </cdr:txBody>
    </cdr:sp>
  </cdr:relSizeAnchor>
  <cdr:relSizeAnchor xmlns:cdr="http://schemas.openxmlformats.org/drawingml/2006/chartDrawing">
    <cdr:from>
      <cdr:x>0.47134</cdr:x>
      <cdr:y>0.4554</cdr:y>
    </cdr:from>
    <cdr:to>
      <cdr:x>0.51857</cdr:x>
      <cdr:y>0.79661</cdr:y>
    </cdr:to>
    <cdr:sp macro="" textlink="">
      <cdr:nvSpPr>
        <cdr:cNvPr id="9" name="Metin Kutusu 1"/>
        <cdr:cNvSpPr txBox="1"/>
      </cdr:nvSpPr>
      <cdr:spPr>
        <a:xfrm xmlns:a="http://schemas.openxmlformats.org/drawingml/2006/main" rot="16200000">
          <a:off x="2387566" y="1387995"/>
          <a:ext cx="829386" cy="267373"/>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US" sz="700">
              <a:solidFill>
                <a:schemeClr val="dk1"/>
              </a:solidFill>
              <a:effectLst/>
              <a:latin typeface="Aptos" panose="020B0004020202020204" pitchFamily="34" charset="0"/>
              <a:ea typeface="+mn-ea"/>
              <a:cs typeface="+mn-cs"/>
            </a:rPr>
            <a:t>Illiterate</a:t>
          </a:r>
          <a:endParaRPr lang="tr-TR" sz="200" b="1" kern="1200">
            <a:latin typeface="Aptos" panose="020B0004020202020204" pitchFamily="34" charset="0"/>
          </a:endParaRPr>
        </a:p>
      </cdr:txBody>
    </cdr:sp>
  </cdr:relSizeAnchor>
  <cdr:relSizeAnchor xmlns:cdr="http://schemas.openxmlformats.org/drawingml/2006/chartDrawing">
    <cdr:from>
      <cdr:x>0.91628</cdr:x>
      <cdr:y>0.4425</cdr:y>
    </cdr:from>
    <cdr:to>
      <cdr:x>0.94529</cdr:x>
      <cdr:y>0.76526</cdr:y>
    </cdr:to>
    <cdr:sp macro="" textlink="">
      <cdr:nvSpPr>
        <cdr:cNvPr id="10" name="Metin Kutusu 1"/>
        <cdr:cNvSpPr txBox="1"/>
      </cdr:nvSpPr>
      <cdr:spPr>
        <a:xfrm xmlns:a="http://schemas.openxmlformats.org/drawingml/2006/main" rot="16200000">
          <a:off x="4877514" y="1385758"/>
          <a:ext cx="784560" cy="164273"/>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US" sz="700">
              <a:solidFill>
                <a:schemeClr val="dk1"/>
              </a:solidFill>
              <a:effectLst/>
              <a:latin typeface="Aptos" panose="020B0004020202020204" pitchFamily="34" charset="0"/>
              <a:ea typeface="+mn-ea"/>
              <a:cs typeface="+mn-cs"/>
            </a:rPr>
            <a:t>Primary</a:t>
          </a:r>
          <a:endParaRPr lang="tr-TR" sz="700" b="1" kern="1200">
            <a:latin typeface="Aptos" panose="020B0004020202020204" pitchFamily="34" charset="0"/>
          </a:endParaRPr>
        </a:p>
      </cdr:txBody>
    </cdr:sp>
  </cdr:relSizeAnchor>
  <cdr:relSizeAnchor xmlns:cdr="http://schemas.openxmlformats.org/drawingml/2006/chartDrawing">
    <cdr:from>
      <cdr:x>0.8255</cdr:x>
      <cdr:y>0.45602</cdr:y>
    </cdr:from>
    <cdr:to>
      <cdr:x>0.85451</cdr:x>
      <cdr:y>0.77878</cdr:y>
    </cdr:to>
    <cdr:sp macro="" textlink="">
      <cdr:nvSpPr>
        <cdr:cNvPr id="11" name="Metin Kutusu 1"/>
        <cdr:cNvSpPr txBox="1"/>
      </cdr:nvSpPr>
      <cdr:spPr>
        <a:xfrm xmlns:a="http://schemas.openxmlformats.org/drawingml/2006/main" rot="16200000">
          <a:off x="4363539" y="1418629"/>
          <a:ext cx="784560" cy="164273"/>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US" sz="700">
              <a:solidFill>
                <a:schemeClr val="dk1"/>
              </a:solidFill>
              <a:effectLst/>
              <a:latin typeface="Aptos" panose="020B0004020202020204" pitchFamily="34" charset="0"/>
              <a:ea typeface="+mn-ea"/>
              <a:cs typeface="+mn-cs"/>
            </a:rPr>
            <a:t>Primary</a:t>
          </a:r>
          <a:r>
            <a:rPr lang="tr-TR" sz="700">
              <a:solidFill>
                <a:schemeClr val="dk1"/>
              </a:solidFill>
              <a:effectLst/>
              <a:latin typeface="Aptos" panose="020B0004020202020204" pitchFamily="34" charset="0"/>
              <a:ea typeface="+mn-ea"/>
              <a:cs typeface="+mn-cs"/>
            </a:rPr>
            <a:t> School</a:t>
          </a:r>
          <a:endParaRPr lang="tr-TR" sz="700" b="1" kern="1200">
            <a:latin typeface="Aptos" panose="020B0004020202020204" pitchFamily="34" charset="0"/>
          </a:endParaRPr>
        </a:p>
      </cdr:txBody>
    </cdr:sp>
  </cdr:relSizeAnchor>
  <cdr:relSizeAnchor xmlns:cdr="http://schemas.openxmlformats.org/drawingml/2006/chartDrawing">
    <cdr:from>
      <cdr:x>0.83526</cdr:x>
      <cdr:y>0.44557</cdr:y>
    </cdr:from>
    <cdr:to>
      <cdr:x>0.86428</cdr:x>
      <cdr:y>0.76833</cdr:y>
    </cdr:to>
    <cdr:sp macro="" textlink="">
      <cdr:nvSpPr>
        <cdr:cNvPr id="12" name="Metin Kutusu 1"/>
        <cdr:cNvSpPr txBox="1"/>
      </cdr:nvSpPr>
      <cdr:spPr>
        <a:xfrm xmlns:a="http://schemas.openxmlformats.org/drawingml/2006/main" rot="16200000">
          <a:off x="4418823" y="1393229"/>
          <a:ext cx="784560" cy="164273"/>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US" sz="700">
              <a:solidFill>
                <a:schemeClr val="dk1"/>
              </a:solidFill>
              <a:effectLst/>
              <a:latin typeface="Aptos" panose="020B0004020202020204" pitchFamily="34" charset="0"/>
              <a:ea typeface="+mn-ea"/>
              <a:cs typeface="+mn-cs"/>
            </a:rPr>
            <a:t>Primary</a:t>
          </a:r>
          <a:r>
            <a:rPr lang="tr-TR" sz="700">
              <a:solidFill>
                <a:schemeClr val="dk1"/>
              </a:solidFill>
              <a:effectLst/>
              <a:latin typeface="Aptos" panose="020B0004020202020204" pitchFamily="34" charset="0"/>
              <a:ea typeface="+mn-ea"/>
              <a:cs typeface="+mn-cs"/>
            </a:rPr>
            <a:t> School</a:t>
          </a:r>
          <a:endParaRPr lang="tr-TR" sz="700" b="1" kern="1200">
            <a:latin typeface="Aptos" panose="020B0004020202020204" pitchFamily="34" charset="0"/>
          </a:endParaRPr>
        </a:p>
      </cdr:txBody>
    </cdr:sp>
  </cdr:relSizeAnchor>
  <cdr:relSizeAnchor xmlns:cdr="http://schemas.openxmlformats.org/drawingml/2006/chartDrawing">
    <cdr:from>
      <cdr:x>0.73234</cdr:x>
      <cdr:y>0.4511</cdr:y>
    </cdr:from>
    <cdr:to>
      <cdr:x>0.78458</cdr:x>
      <cdr:y>0.79107</cdr:y>
    </cdr:to>
    <cdr:sp macro="" textlink="">
      <cdr:nvSpPr>
        <cdr:cNvPr id="13" name="Metin Kutusu 1"/>
        <cdr:cNvSpPr txBox="1"/>
      </cdr:nvSpPr>
      <cdr:spPr>
        <a:xfrm xmlns:a="http://schemas.openxmlformats.org/drawingml/2006/main" rot="16200000">
          <a:off x="3880942" y="1361853"/>
          <a:ext cx="826396" cy="29575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US" sz="700">
              <a:solidFill>
                <a:schemeClr val="dk1"/>
              </a:solidFill>
              <a:effectLst/>
              <a:latin typeface="Aptos" panose="020B0004020202020204" pitchFamily="34" charset="0"/>
              <a:ea typeface="+mn-ea"/>
              <a:cs typeface="+mn-cs"/>
            </a:rPr>
            <a:t>College or Faculty</a:t>
          </a:r>
          <a:endParaRPr lang="tr-TR" sz="700">
            <a:solidFill>
              <a:schemeClr val="dk1"/>
            </a:solidFill>
            <a:effectLst/>
            <a:latin typeface="Aptos" panose="020B0004020202020204" pitchFamily="34" charset="0"/>
            <a:ea typeface="+mn-ea"/>
            <a:cs typeface="+mn-cs"/>
          </a:endParaRPr>
        </a:p>
      </cdr:txBody>
    </cdr:sp>
  </cdr:relSizeAnchor>
  <cdr:relSizeAnchor xmlns:cdr="http://schemas.openxmlformats.org/drawingml/2006/chartDrawing">
    <cdr:from>
      <cdr:x>0.63415</cdr:x>
      <cdr:y>0.44987</cdr:y>
    </cdr:from>
    <cdr:to>
      <cdr:x>0.70224</cdr:x>
      <cdr:y>0.78985</cdr:y>
    </cdr:to>
    <cdr:sp macro="" textlink="">
      <cdr:nvSpPr>
        <cdr:cNvPr id="14" name="Metin Kutusu 1"/>
        <cdr:cNvSpPr txBox="1"/>
      </cdr:nvSpPr>
      <cdr:spPr>
        <a:xfrm xmlns:a="http://schemas.openxmlformats.org/drawingml/2006/main" rot="16200000">
          <a:off x="3369913" y="1314001"/>
          <a:ext cx="826396" cy="385484"/>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US" sz="700">
              <a:solidFill>
                <a:schemeClr val="dk1"/>
              </a:solidFill>
              <a:effectLst/>
              <a:latin typeface="Aptos" panose="020B0004020202020204" pitchFamily="34" charset="0"/>
              <a:ea typeface="+mn-ea"/>
              <a:cs typeface="+mn-cs"/>
            </a:rPr>
            <a:t>Master's Degree and Above</a:t>
          </a:r>
          <a:endParaRPr lang="tr-TR" sz="700">
            <a:solidFill>
              <a:schemeClr val="dk1"/>
            </a:solidFill>
            <a:effectLst/>
            <a:latin typeface="Aptos" panose="020B0004020202020204" pitchFamily="34" charset="0"/>
            <a:ea typeface="+mn-ea"/>
            <a:cs typeface="+mn-cs"/>
          </a:endParaRPr>
        </a:p>
      </cdr:txBody>
    </cdr:sp>
  </cdr:relSizeAnchor>
  <cdr:relSizeAnchor xmlns:cdr="http://schemas.openxmlformats.org/drawingml/2006/chartDrawing">
    <cdr:from>
      <cdr:x>0.53177</cdr:x>
      <cdr:y>0.45786</cdr:y>
    </cdr:from>
    <cdr:to>
      <cdr:x>0.62149</cdr:x>
      <cdr:y>0.79907</cdr:y>
    </cdr:to>
    <cdr:sp macro="" textlink="">
      <cdr:nvSpPr>
        <cdr:cNvPr id="15" name="Metin Kutusu 1"/>
        <cdr:cNvSpPr txBox="1"/>
      </cdr:nvSpPr>
      <cdr:spPr>
        <a:xfrm xmlns:a="http://schemas.openxmlformats.org/drawingml/2006/main" rot="16200000">
          <a:off x="2849994" y="1273699"/>
          <a:ext cx="829386" cy="50792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r" defTabSz="914400" eaLnBrk="1" fontAlgn="auto" latinLnBrk="0" hangingPunct="1">
            <a:lnSpc>
              <a:spcPct val="100000"/>
            </a:lnSpc>
            <a:spcBef>
              <a:spcPts val="0"/>
            </a:spcBef>
            <a:spcAft>
              <a:spcPts val="0"/>
            </a:spcAft>
            <a:buClrTx/>
            <a:buSzTx/>
            <a:buFontTx/>
            <a:buNone/>
            <a:tabLst/>
            <a:defRPr/>
          </a:pPr>
          <a:r>
            <a:rPr lang="tr-TR" sz="700">
              <a:solidFill>
                <a:schemeClr val="dk1"/>
              </a:solidFill>
              <a:effectLst/>
              <a:latin typeface="Aptos" panose="020B0004020202020204" pitchFamily="34" charset="0"/>
              <a:ea typeface="+mn-ea"/>
              <a:cs typeface="+mn-cs"/>
            </a:rPr>
            <a:t>Middel </a:t>
          </a:r>
          <a:r>
            <a:rPr lang="en-US" sz="700">
              <a:solidFill>
                <a:schemeClr val="dk1"/>
              </a:solidFill>
              <a:effectLst/>
              <a:latin typeface="Aptos" panose="020B0004020202020204" pitchFamily="34" charset="0"/>
              <a:ea typeface="+mn-ea"/>
              <a:cs typeface="+mn-cs"/>
            </a:rPr>
            <a:t> School or Equivalent Vocational School</a:t>
          </a:r>
          <a:endParaRPr lang="tr-TR" sz="200" b="1" kern="1200">
            <a:latin typeface="Aptos" panose="020B0004020202020204" pitchFamily="34" charset="0"/>
          </a:endParaRPr>
        </a:p>
        <a:p xmlns:a="http://schemas.openxmlformats.org/drawingml/2006/main">
          <a:pPr algn="r"/>
          <a:endParaRPr lang="tr-TR" sz="200" b="1" kern="1200">
            <a:latin typeface="Aptos" panose="020B00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0.3697</cdr:x>
      <cdr:y>0.30086</cdr:y>
    </cdr:from>
    <cdr:to>
      <cdr:x>0.75789</cdr:x>
      <cdr:y>0.38072</cdr:y>
    </cdr:to>
    <cdr:sp macro="" textlink="">
      <cdr:nvSpPr>
        <cdr:cNvPr id="6" name="Metin Kutusu 2"/>
        <cdr:cNvSpPr txBox="1"/>
      </cdr:nvSpPr>
      <cdr:spPr>
        <a:xfrm xmlns:a="http://schemas.openxmlformats.org/drawingml/2006/main">
          <a:off x="1054063" y="825313"/>
          <a:ext cx="1106805" cy="21907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15000"/>
            </a:lnSpc>
            <a:buNone/>
          </a:pPr>
          <a:r>
            <a:rPr lang="tr-TR" sz="600" kern="0">
              <a:solidFill>
                <a:srgbClr val="000000"/>
              </a:solidFill>
              <a:effectLst/>
              <a:latin typeface="Aptos" panose="020B0004020202020204" pitchFamily="34" charset="0"/>
              <a:ea typeface="Times New Roman" panose="02020603050405020304" pitchFamily="18" charset="0"/>
              <a:cs typeface="Aptos" panose="020B0004020202020204" pitchFamily="34" charset="0"/>
            </a:rPr>
            <a:t>Lower Secondary Education</a:t>
          </a:r>
          <a:endParaRPr lang="tr-TR" sz="1100" kern="0">
            <a:solidFill>
              <a:srgbClr val="000000"/>
            </a:solidFill>
            <a:effectLst/>
            <a:latin typeface="Aptos" panose="020B0004020202020204" pitchFamily="34" charset="0"/>
            <a:ea typeface="Times New Roman" panose="02020603050405020304" pitchFamily="18" charset="0"/>
            <a:cs typeface="Aptos" panose="020B0004020202020204" pitchFamily="34" charset="0"/>
          </a:endParaRPr>
        </a:p>
      </cdr:txBody>
    </cdr:sp>
  </cdr:relSizeAnchor>
  <cdr:relSizeAnchor xmlns:cdr="http://schemas.openxmlformats.org/drawingml/2006/chartDrawing">
    <cdr:from>
      <cdr:x>0.3697</cdr:x>
      <cdr:y>0.30086</cdr:y>
    </cdr:from>
    <cdr:to>
      <cdr:x>0.75789</cdr:x>
      <cdr:y>0.38072</cdr:y>
    </cdr:to>
    <cdr:sp macro="" textlink="">
      <cdr:nvSpPr>
        <cdr:cNvPr id="7" name="Metin Kutusu 2"/>
        <cdr:cNvSpPr txBox="1"/>
      </cdr:nvSpPr>
      <cdr:spPr>
        <a:xfrm xmlns:a="http://schemas.openxmlformats.org/drawingml/2006/main">
          <a:off x="1054063" y="825313"/>
          <a:ext cx="1106805" cy="21907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15000"/>
            </a:lnSpc>
            <a:buNone/>
          </a:pPr>
          <a:r>
            <a:rPr lang="tr-TR" sz="600" kern="0">
              <a:solidFill>
                <a:srgbClr val="000000"/>
              </a:solidFill>
              <a:effectLst/>
              <a:latin typeface="Aptos" panose="020B0004020202020204" pitchFamily="34" charset="0"/>
              <a:ea typeface="Times New Roman" panose="02020603050405020304" pitchFamily="18" charset="0"/>
              <a:cs typeface="Aptos" panose="020B0004020202020204" pitchFamily="34" charset="0"/>
            </a:rPr>
            <a:t>Upper Secondary Education</a:t>
          </a:r>
          <a:endParaRPr lang="tr-TR" sz="1100" kern="0">
            <a:solidFill>
              <a:srgbClr val="000000"/>
            </a:solidFill>
            <a:effectLst/>
            <a:latin typeface="Aptos" panose="020B0004020202020204" pitchFamily="34" charset="0"/>
            <a:ea typeface="Times New Roman" panose="02020603050405020304" pitchFamily="18" charset="0"/>
            <a:cs typeface="Aptos" panose="020B0004020202020204" pitchFamily="34" charset="0"/>
          </a:endParaRPr>
        </a:p>
      </cdr:txBody>
    </cdr:sp>
  </cdr:relSizeAnchor>
  <cdr:relSizeAnchor xmlns:cdr="http://schemas.openxmlformats.org/drawingml/2006/chartDrawing">
    <cdr:from>
      <cdr:x>0.3697</cdr:x>
      <cdr:y>0.30086</cdr:y>
    </cdr:from>
    <cdr:to>
      <cdr:x>0.75789</cdr:x>
      <cdr:y>0.38072</cdr:y>
    </cdr:to>
    <cdr:sp macro="" textlink="">
      <cdr:nvSpPr>
        <cdr:cNvPr id="8" name="Metin Kutusu 2"/>
        <cdr:cNvSpPr txBox="1"/>
      </cdr:nvSpPr>
      <cdr:spPr>
        <a:xfrm xmlns:a="http://schemas.openxmlformats.org/drawingml/2006/main">
          <a:off x="1054063" y="825313"/>
          <a:ext cx="1106805" cy="21907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15000"/>
            </a:lnSpc>
            <a:buNone/>
          </a:pPr>
          <a:r>
            <a:rPr lang="tr-TR" sz="600" kern="0">
              <a:solidFill>
                <a:srgbClr val="000000"/>
              </a:solidFill>
              <a:effectLst/>
              <a:latin typeface="Aptos" panose="020B0004020202020204" pitchFamily="34" charset="0"/>
              <a:ea typeface="Times New Roman" panose="02020603050405020304" pitchFamily="18" charset="0"/>
              <a:cs typeface="Aptos" panose="020B0004020202020204" pitchFamily="34" charset="0"/>
            </a:rPr>
            <a:t>Other</a:t>
          </a:r>
          <a:endParaRPr lang="tr-TR" sz="1100" kern="0">
            <a:solidFill>
              <a:srgbClr val="000000"/>
            </a:solidFill>
            <a:effectLst/>
            <a:latin typeface="Aptos" panose="020B0004020202020204" pitchFamily="34" charset="0"/>
            <a:ea typeface="Times New Roman" panose="02020603050405020304" pitchFamily="18" charset="0"/>
            <a:cs typeface="Aptos" panose="020B0004020202020204" pitchFamily="34" charset="0"/>
          </a:endParaRPr>
        </a:p>
      </cdr:txBody>
    </cdr:sp>
  </cdr:relSizeAnchor>
  <cdr:relSizeAnchor xmlns:cdr="http://schemas.openxmlformats.org/drawingml/2006/chartDrawing">
    <cdr:from>
      <cdr:x>0.36498</cdr:x>
      <cdr:y>0.22079</cdr:y>
    </cdr:from>
    <cdr:to>
      <cdr:x>0.75318</cdr:x>
      <cdr:y>0.30065</cdr:y>
    </cdr:to>
    <cdr:sp macro="" textlink="">
      <cdr:nvSpPr>
        <cdr:cNvPr id="9" name="Metin Kutusu 2"/>
        <cdr:cNvSpPr txBox="1"/>
      </cdr:nvSpPr>
      <cdr:spPr>
        <a:xfrm xmlns:a="http://schemas.openxmlformats.org/drawingml/2006/main">
          <a:off x="1040616" y="605678"/>
          <a:ext cx="1106805" cy="21907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15000"/>
            </a:lnSpc>
            <a:buNone/>
          </a:pPr>
          <a:r>
            <a:rPr lang="tr-TR" sz="600" kern="0">
              <a:solidFill>
                <a:srgbClr val="000000"/>
              </a:solidFill>
              <a:effectLst/>
              <a:latin typeface="Aptos" panose="020B0004020202020204" pitchFamily="34" charset="0"/>
              <a:ea typeface="Times New Roman" panose="02020603050405020304" pitchFamily="18" charset="0"/>
              <a:cs typeface="Aptos" panose="020B0004020202020204" pitchFamily="34" charset="0"/>
            </a:rPr>
            <a:t>Upper Secondary Education</a:t>
          </a:r>
          <a:endParaRPr lang="tr-TR" sz="1100" kern="0">
            <a:solidFill>
              <a:srgbClr val="000000"/>
            </a:solidFill>
            <a:effectLst/>
            <a:latin typeface="Aptos" panose="020B0004020202020204" pitchFamily="34" charset="0"/>
            <a:ea typeface="Times New Roman" panose="02020603050405020304" pitchFamily="18" charset="0"/>
            <a:cs typeface="Aptos" panose="020B0004020202020204" pitchFamily="34" charset="0"/>
          </a:endParaRPr>
        </a:p>
      </cdr:txBody>
    </cdr:sp>
  </cdr:relSizeAnchor>
  <cdr:relSizeAnchor xmlns:cdr="http://schemas.openxmlformats.org/drawingml/2006/chartDrawing">
    <cdr:from>
      <cdr:x>0.37284</cdr:x>
      <cdr:y>0.12602</cdr:y>
    </cdr:from>
    <cdr:to>
      <cdr:x>0.76104</cdr:x>
      <cdr:y>0.20588</cdr:y>
    </cdr:to>
    <cdr:sp macro="" textlink="">
      <cdr:nvSpPr>
        <cdr:cNvPr id="10" name="Metin Kutusu 2"/>
        <cdr:cNvSpPr txBox="1"/>
      </cdr:nvSpPr>
      <cdr:spPr>
        <a:xfrm xmlns:a="http://schemas.openxmlformats.org/drawingml/2006/main">
          <a:off x="1063027" y="345702"/>
          <a:ext cx="1106805" cy="21907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15000"/>
            </a:lnSpc>
            <a:buNone/>
          </a:pPr>
          <a:r>
            <a:rPr lang="tr-TR" sz="600" kern="0">
              <a:solidFill>
                <a:srgbClr val="000000"/>
              </a:solidFill>
              <a:effectLst/>
              <a:latin typeface="Aptos" panose="020B0004020202020204" pitchFamily="34" charset="0"/>
              <a:ea typeface="Times New Roman" panose="02020603050405020304" pitchFamily="18" charset="0"/>
              <a:cs typeface="Aptos" panose="020B0004020202020204" pitchFamily="34" charset="0"/>
            </a:rPr>
            <a:t>Lower Secondary Education</a:t>
          </a:r>
          <a:endParaRPr lang="tr-TR" sz="1100" kern="0">
            <a:solidFill>
              <a:srgbClr val="000000"/>
            </a:solidFill>
            <a:effectLst/>
            <a:latin typeface="Aptos" panose="020B0004020202020204" pitchFamily="34" charset="0"/>
            <a:ea typeface="Times New Roman" panose="02020603050405020304" pitchFamily="18" charset="0"/>
            <a:cs typeface="Aptos" panose="020B00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0.09577</cdr:x>
      <cdr:y>0.15119</cdr:y>
    </cdr:from>
    <cdr:to>
      <cdr:x>0.23825</cdr:x>
      <cdr:y>0.24806</cdr:y>
    </cdr:to>
    <cdr:sp macro="" textlink="">
      <cdr:nvSpPr>
        <cdr:cNvPr id="2" name="Metin Kutusu 1"/>
        <cdr:cNvSpPr txBox="1"/>
      </cdr:nvSpPr>
      <cdr:spPr>
        <a:xfrm xmlns:a="http://schemas.openxmlformats.org/drawingml/2006/main">
          <a:off x="551329" y="461681"/>
          <a:ext cx="820271" cy="2958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kern="1200"/>
        </a:p>
      </cdr:txBody>
    </cdr:sp>
  </cdr:relSizeAnchor>
  <cdr:relSizeAnchor xmlns:cdr="http://schemas.openxmlformats.org/drawingml/2006/chartDrawing">
    <cdr:from>
      <cdr:x>0.39942</cdr:x>
      <cdr:y>0.01468</cdr:y>
    </cdr:from>
    <cdr:to>
      <cdr:x>0.61276</cdr:x>
      <cdr:y>0.09101</cdr:y>
    </cdr:to>
    <cdr:sp macro="" textlink="">
      <cdr:nvSpPr>
        <cdr:cNvPr id="3" name="Metin Kutusu 2"/>
        <cdr:cNvSpPr txBox="1"/>
      </cdr:nvSpPr>
      <cdr:spPr>
        <a:xfrm xmlns:a="http://schemas.openxmlformats.org/drawingml/2006/main">
          <a:off x="2299445" y="44823"/>
          <a:ext cx="1228167" cy="233082"/>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tr-TR" sz="1100" b="1" kern="1200">
              <a:latin typeface="Aptos" panose="020B0004020202020204" pitchFamily="34" charset="0"/>
            </a:rPr>
            <a:t>Education Level</a:t>
          </a:r>
        </a:p>
      </cdr:txBody>
    </cdr:sp>
  </cdr:relSizeAnchor>
  <cdr:relSizeAnchor xmlns:cdr="http://schemas.openxmlformats.org/drawingml/2006/chartDrawing">
    <cdr:from>
      <cdr:x>0.06307</cdr:x>
      <cdr:y>0.19082</cdr:y>
    </cdr:from>
    <cdr:to>
      <cdr:x>0.18064</cdr:x>
      <cdr:y>0.26715</cdr:y>
    </cdr:to>
    <cdr:sp macro="" textlink="">
      <cdr:nvSpPr>
        <cdr:cNvPr id="4" name="Metin Kutusu 3"/>
        <cdr:cNvSpPr txBox="1"/>
      </cdr:nvSpPr>
      <cdr:spPr>
        <a:xfrm xmlns:a="http://schemas.openxmlformats.org/drawingml/2006/main">
          <a:off x="363071" y="582706"/>
          <a:ext cx="676835" cy="233082"/>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tr-TR" sz="900" kern="1200"/>
            <a:t>Primary</a:t>
          </a:r>
        </a:p>
      </cdr:txBody>
    </cdr:sp>
  </cdr:relSizeAnchor>
  <cdr:relSizeAnchor xmlns:cdr="http://schemas.openxmlformats.org/drawingml/2006/chartDrawing">
    <cdr:from>
      <cdr:x>0.19543</cdr:x>
      <cdr:y>0.0915</cdr:y>
    </cdr:from>
    <cdr:to>
      <cdr:x>0.4002</cdr:x>
      <cdr:y>0.17027</cdr:y>
    </cdr:to>
    <cdr:sp macro="" textlink="">
      <cdr:nvSpPr>
        <cdr:cNvPr id="5" name="Metin Kutusu 1"/>
        <cdr:cNvSpPr txBox="1"/>
      </cdr:nvSpPr>
      <cdr:spPr>
        <a:xfrm xmlns:a="http://schemas.openxmlformats.org/drawingml/2006/main">
          <a:off x="1125070" y="279400"/>
          <a:ext cx="1178859" cy="240553"/>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900" kern="1200"/>
            <a:t>Primary School</a:t>
          </a:r>
        </a:p>
      </cdr:txBody>
    </cdr:sp>
  </cdr:relSizeAnchor>
  <cdr:relSizeAnchor xmlns:cdr="http://schemas.openxmlformats.org/drawingml/2006/chartDrawing">
    <cdr:from>
      <cdr:x>0.43939</cdr:x>
      <cdr:y>0.08416</cdr:y>
    </cdr:from>
    <cdr:to>
      <cdr:x>0.58162</cdr:x>
      <cdr:y>0.16048</cdr:y>
    </cdr:to>
    <cdr:sp macro="" textlink="">
      <cdr:nvSpPr>
        <cdr:cNvPr id="6" name="Metin Kutusu 1"/>
        <cdr:cNvSpPr txBox="1"/>
      </cdr:nvSpPr>
      <cdr:spPr>
        <a:xfrm xmlns:a="http://schemas.openxmlformats.org/drawingml/2006/main">
          <a:off x="2529540" y="256989"/>
          <a:ext cx="818777" cy="233082"/>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tr-TR" sz="900" kern="1200"/>
            <a:t>Unknown</a:t>
          </a:r>
        </a:p>
      </cdr:txBody>
    </cdr:sp>
  </cdr:relSizeAnchor>
  <cdr:relSizeAnchor xmlns:cdr="http://schemas.openxmlformats.org/drawingml/2006/chartDrawing">
    <cdr:from>
      <cdr:x>0.62807</cdr:x>
      <cdr:y>0.08905</cdr:y>
    </cdr:from>
    <cdr:to>
      <cdr:x>0.7703</cdr:x>
      <cdr:y>0.16538</cdr:y>
    </cdr:to>
    <cdr:sp macro="" textlink="">
      <cdr:nvSpPr>
        <cdr:cNvPr id="7" name="Metin Kutusu 1"/>
        <cdr:cNvSpPr txBox="1"/>
      </cdr:nvSpPr>
      <cdr:spPr>
        <a:xfrm xmlns:a="http://schemas.openxmlformats.org/drawingml/2006/main">
          <a:off x="3615764" y="271931"/>
          <a:ext cx="818777" cy="233082"/>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a:solidFill>
                <a:schemeClr val="dk1"/>
              </a:solidFill>
              <a:effectLst/>
              <a:latin typeface="+mn-lt"/>
              <a:ea typeface="+mn-ea"/>
              <a:cs typeface="+mn-cs"/>
            </a:rPr>
            <a:t>Doctorate</a:t>
          </a:r>
          <a:endParaRPr lang="tr-TR" sz="900" kern="1200"/>
        </a:p>
      </cdr:txBody>
    </cdr:sp>
  </cdr:relSizeAnchor>
  <cdr:relSizeAnchor xmlns:cdr="http://schemas.openxmlformats.org/drawingml/2006/chartDrawing">
    <cdr:from>
      <cdr:x>0.80274</cdr:x>
      <cdr:y>0.11009</cdr:y>
    </cdr:from>
    <cdr:to>
      <cdr:x>0.96158</cdr:x>
      <cdr:y>0.32586</cdr:y>
    </cdr:to>
    <cdr:sp macro="" textlink="">
      <cdr:nvSpPr>
        <cdr:cNvPr id="8" name="Metin Kutusu 1"/>
        <cdr:cNvSpPr txBox="1"/>
      </cdr:nvSpPr>
      <cdr:spPr>
        <a:xfrm xmlns:a="http://schemas.openxmlformats.org/drawingml/2006/main">
          <a:off x="4621306" y="336178"/>
          <a:ext cx="914400" cy="658904"/>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900">
              <a:solidFill>
                <a:schemeClr val="dk1"/>
              </a:solidFill>
              <a:effectLst/>
              <a:latin typeface="+mn-lt"/>
              <a:ea typeface="+mn-ea"/>
              <a:cs typeface="+mn-cs"/>
            </a:rPr>
            <a:t>High School or Equivalent Vocational School</a:t>
          </a:r>
          <a:endParaRPr lang="tr-TR" sz="900">
            <a:solidFill>
              <a:schemeClr val="dk1"/>
            </a:solidFill>
            <a:effectLst/>
            <a:latin typeface="+mn-lt"/>
            <a:ea typeface="+mn-ea"/>
            <a:cs typeface="+mn-cs"/>
          </a:endParaRPr>
        </a:p>
      </cdr:txBody>
    </cdr:sp>
  </cdr:relSizeAnchor>
  <cdr:relSizeAnchor xmlns:cdr="http://schemas.openxmlformats.org/drawingml/2006/chartDrawing">
    <cdr:from>
      <cdr:x>0.01583</cdr:x>
      <cdr:y>0.67276</cdr:y>
    </cdr:from>
    <cdr:to>
      <cdr:x>0.20166</cdr:x>
      <cdr:y>0.77128</cdr:y>
    </cdr:to>
    <cdr:sp macro="" textlink="">
      <cdr:nvSpPr>
        <cdr:cNvPr id="9" name="Metin Kutusu 1"/>
        <cdr:cNvSpPr txBox="1"/>
      </cdr:nvSpPr>
      <cdr:spPr>
        <a:xfrm xmlns:a="http://schemas.openxmlformats.org/drawingml/2006/main">
          <a:off x="91132" y="2054417"/>
          <a:ext cx="1069806" cy="300856"/>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900">
              <a:solidFill>
                <a:schemeClr val="dk1"/>
              </a:solidFill>
              <a:effectLst/>
              <a:latin typeface="+mn-lt"/>
              <a:ea typeface="+mn-ea"/>
              <a:cs typeface="+mn-cs"/>
            </a:rPr>
            <a:t>College or Faculty</a:t>
          </a:r>
          <a:endParaRPr lang="tr-TR" sz="900">
            <a:solidFill>
              <a:schemeClr val="dk1"/>
            </a:solidFill>
            <a:effectLst/>
            <a:latin typeface="+mn-lt"/>
            <a:ea typeface="+mn-ea"/>
            <a:cs typeface="+mn-cs"/>
          </a:endParaRPr>
        </a:p>
      </cdr:txBody>
    </cdr:sp>
  </cdr:relSizeAnchor>
  <cdr:relSizeAnchor xmlns:cdr="http://schemas.openxmlformats.org/drawingml/2006/chartDrawing">
    <cdr:from>
      <cdr:x>0.02232</cdr:x>
      <cdr:y>0.85819</cdr:y>
    </cdr:from>
    <cdr:to>
      <cdr:x>0.24059</cdr:x>
      <cdr:y>0.97024</cdr:y>
    </cdr:to>
    <cdr:sp macro="" textlink="">
      <cdr:nvSpPr>
        <cdr:cNvPr id="10" name="Metin Kutusu 1"/>
        <cdr:cNvSpPr txBox="1"/>
      </cdr:nvSpPr>
      <cdr:spPr>
        <a:xfrm xmlns:a="http://schemas.openxmlformats.org/drawingml/2006/main">
          <a:off x="128495" y="2620681"/>
          <a:ext cx="1256552" cy="342154"/>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US" sz="900">
              <a:solidFill>
                <a:schemeClr val="dk1"/>
              </a:solidFill>
              <a:effectLst/>
              <a:latin typeface="+mn-lt"/>
              <a:ea typeface="+mn-ea"/>
              <a:cs typeface="+mn-cs"/>
            </a:rPr>
            <a:t>Master's Degree </a:t>
          </a:r>
          <a:endParaRPr lang="tr-TR" sz="900">
            <a:solidFill>
              <a:schemeClr val="dk1"/>
            </a:solidFill>
            <a:effectLst/>
            <a:latin typeface="+mn-lt"/>
            <a:ea typeface="+mn-ea"/>
            <a:cs typeface="+mn-cs"/>
          </a:endParaRPr>
        </a:p>
        <a:p xmlns:a="http://schemas.openxmlformats.org/drawingml/2006/main">
          <a:pPr algn="r"/>
          <a:r>
            <a:rPr lang="en-US" sz="900">
              <a:solidFill>
                <a:schemeClr val="dk1"/>
              </a:solidFill>
              <a:effectLst/>
              <a:latin typeface="+mn-lt"/>
              <a:ea typeface="+mn-ea"/>
              <a:cs typeface="+mn-cs"/>
            </a:rPr>
            <a:t>and Above</a:t>
          </a:r>
          <a:endParaRPr lang="tr-TR" sz="900">
            <a:solidFill>
              <a:schemeClr val="dk1"/>
            </a:solidFill>
            <a:effectLst/>
            <a:latin typeface="+mn-lt"/>
            <a:ea typeface="+mn-ea"/>
            <a:cs typeface="+mn-cs"/>
          </a:endParaRPr>
        </a:p>
      </cdr:txBody>
    </cdr:sp>
  </cdr:relSizeAnchor>
  <cdr:relSizeAnchor xmlns:cdr="http://schemas.openxmlformats.org/drawingml/2006/chartDrawing">
    <cdr:from>
      <cdr:x>0.3662</cdr:x>
      <cdr:y>0.90761</cdr:y>
    </cdr:from>
    <cdr:to>
      <cdr:x>0.78328</cdr:x>
      <cdr:y>0.98394</cdr:y>
    </cdr:to>
    <cdr:sp macro="" textlink="">
      <cdr:nvSpPr>
        <cdr:cNvPr id="11" name="Metin Kutusu 1"/>
        <cdr:cNvSpPr txBox="1"/>
      </cdr:nvSpPr>
      <cdr:spPr>
        <a:xfrm xmlns:a="http://schemas.openxmlformats.org/drawingml/2006/main">
          <a:off x="2108199" y="2771589"/>
          <a:ext cx="2401047" cy="233082"/>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900">
              <a:solidFill>
                <a:schemeClr val="dk1"/>
              </a:solidFill>
              <a:effectLst/>
              <a:latin typeface="+mn-lt"/>
              <a:ea typeface="+mn-ea"/>
              <a:cs typeface="+mn-cs"/>
            </a:rPr>
            <a:t>Middel School or Equivalent Vocational School</a:t>
          </a:r>
          <a:endParaRPr lang="tr-TR" sz="900">
            <a:solidFill>
              <a:schemeClr val="dk1"/>
            </a:solidFill>
            <a:effectLst/>
            <a:latin typeface="+mn-lt"/>
            <a:ea typeface="+mn-ea"/>
            <a:cs typeface="+mn-cs"/>
          </a:endParaRPr>
        </a:p>
        <a:p xmlns:a="http://schemas.openxmlformats.org/drawingml/2006/main">
          <a:endParaRPr lang="tr-TR" sz="600" kern="1200"/>
        </a:p>
      </cdr:txBody>
    </cdr:sp>
  </cdr:relSizeAnchor>
  <cdr:relSizeAnchor xmlns:cdr="http://schemas.openxmlformats.org/drawingml/2006/chartDrawing">
    <cdr:from>
      <cdr:x>0.79963</cdr:x>
      <cdr:y>0.8763</cdr:y>
    </cdr:from>
    <cdr:to>
      <cdr:x>0.98597</cdr:x>
      <cdr:y>0.98051</cdr:y>
    </cdr:to>
    <cdr:sp macro="" textlink="">
      <cdr:nvSpPr>
        <cdr:cNvPr id="12" name="Metin Kutusu 1"/>
        <cdr:cNvSpPr txBox="1"/>
      </cdr:nvSpPr>
      <cdr:spPr>
        <a:xfrm xmlns:a="http://schemas.openxmlformats.org/drawingml/2006/main">
          <a:off x="4603376" y="2675965"/>
          <a:ext cx="1072776" cy="318247"/>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a:solidFill>
                <a:schemeClr val="dk1"/>
              </a:solidFill>
              <a:effectLst/>
              <a:latin typeface="+mn-lt"/>
              <a:ea typeface="+mn-ea"/>
              <a:cs typeface="+mn-cs"/>
            </a:rPr>
            <a:t>Illiterate</a:t>
          </a:r>
          <a:endParaRPr lang="tr-TR" sz="900">
            <a:solidFill>
              <a:schemeClr val="dk1"/>
            </a:solidFill>
            <a:effectLst/>
            <a:latin typeface="+mn-lt"/>
            <a:ea typeface="+mn-ea"/>
            <a:cs typeface="+mn-cs"/>
          </a:endParaRPr>
        </a:p>
      </cdr:txBody>
    </cdr:sp>
  </cdr:relSizeAnchor>
  <cdr:relSizeAnchor xmlns:cdr="http://schemas.openxmlformats.org/drawingml/2006/chartDrawing">
    <cdr:from>
      <cdr:x>0.82921</cdr:x>
      <cdr:y>0.55827</cdr:y>
    </cdr:from>
    <cdr:to>
      <cdr:x>0.99455</cdr:x>
      <cdr:y>0.79263</cdr:y>
    </cdr:to>
    <cdr:sp macro="" textlink="">
      <cdr:nvSpPr>
        <cdr:cNvPr id="13" name="Metin Kutusu 1"/>
        <cdr:cNvSpPr txBox="1"/>
      </cdr:nvSpPr>
      <cdr:spPr>
        <a:xfrm xmlns:a="http://schemas.openxmlformats.org/drawingml/2006/main">
          <a:off x="4773706" y="1704786"/>
          <a:ext cx="951828" cy="715684"/>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900">
              <a:solidFill>
                <a:schemeClr val="dk1"/>
              </a:solidFill>
              <a:effectLst/>
              <a:latin typeface="+mn-lt"/>
              <a:ea typeface="+mn-ea"/>
              <a:cs typeface="+mn-cs"/>
            </a:rPr>
            <a:t>Literate, No Formal Education Completed</a:t>
          </a:r>
          <a:endParaRPr lang="tr-TR" sz="900">
            <a:solidFill>
              <a:schemeClr val="dk1"/>
            </a:solidFill>
            <a:effectLst/>
            <a:latin typeface="+mn-lt"/>
            <a:ea typeface="+mn-ea"/>
            <a:cs typeface="+mn-cs"/>
          </a:endParaRPr>
        </a:p>
      </cdr:txBody>
    </cdr: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F2507-EE8C-4103-A3C0-D40F58448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264</Pages>
  <Words>66736</Words>
  <Characters>380398</Characters>
  <Application>Microsoft Office Word</Application>
  <DocSecurity>0</DocSecurity>
  <Lines>3169</Lines>
  <Paragraphs>892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MUAD İZMİR OFİS</dc:creator>
  <cp:keywords/>
  <dc:description/>
  <cp:lastModifiedBy>Ali KINCAL</cp:lastModifiedBy>
  <cp:revision>9</cp:revision>
  <cp:lastPrinted>2025-10-31T11:19:00Z</cp:lastPrinted>
  <dcterms:created xsi:type="dcterms:W3CDTF">2026-02-04T10:19:00Z</dcterms:created>
  <dcterms:modified xsi:type="dcterms:W3CDTF">2026-02-05T10:44:00Z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57fc50ee,aef5432,322a6fa4,776f6545,6553f419,1006117b</vt:lpwstr>
  </property>
  <property fmtid="{D5CDD505-2E9C-101B-9397-08002B2CF9AE}" pid="3" name="ClassificationContentMarkingFooterFontProps">
    <vt:lpwstr>#000000,10,Aptos</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2025-12-02T07:28:40Z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f0c3ff4d-ebf7-4dcd-92e8-45ff62a5183c</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ies>
</file>