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DF70" w14:textId="675E4551" w:rsidR="000D0CCC" w:rsidRPr="00037983" w:rsidRDefault="000D0CCC" w:rsidP="000D0CCC">
      <w:pPr>
        <w:ind w:left="0" w:right="-2"/>
        <w:rPr>
          <w:rFonts w:cs="Times New Roman"/>
          <w:b/>
          <w:bCs/>
          <w:lang w:val="en-US"/>
        </w:rPr>
      </w:pPr>
      <w:r w:rsidRPr="00037983">
        <w:rPr>
          <w:rFonts w:cs="Times New Roman"/>
          <w:b/>
          <w:bCs/>
          <w:lang w:val="en-US"/>
        </w:rPr>
        <w:t xml:space="preserve">SAKARYA CONSULTATION MEETING – </w:t>
      </w:r>
      <w:r w:rsidR="008A3C04" w:rsidRPr="00037983">
        <w:rPr>
          <w:rFonts w:cs="Times New Roman"/>
          <w:b/>
          <w:bCs/>
          <w:lang w:val="en-US"/>
        </w:rPr>
        <w:t>QUESTION</w:t>
      </w:r>
      <w:r w:rsidRPr="00037983">
        <w:rPr>
          <w:rFonts w:cs="Times New Roman"/>
          <w:b/>
          <w:bCs/>
          <w:lang w:val="en-US"/>
        </w:rPr>
        <w:t xml:space="preserve"> &amp; FEEDBACK FORM</w:t>
      </w:r>
    </w:p>
    <w:p w14:paraId="0AFECDC4" w14:textId="77777777" w:rsidR="000D0CCC" w:rsidRPr="00037983" w:rsidRDefault="000D0CCC" w:rsidP="000D0CCC">
      <w:pPr>
        <w:ind w:left="0" w:right="-2"/>
        <w:rPr>
          <w:rFonts w:cs="Times New Roman"/>
          <w:b/>
          <w:bCs/>
          <w:lang w:val="en-US"/>
        </w:rPr>
      </w:pPr>
      <w:r w:rsidRPr="00037983">
        <w:rPr>
          <w:rFonts w:cs="Times New Roman"/>
          <w:b/>
          <w:bCs/>
          <w:lang w:val="en-US"/>
        </w:rPr>
        <w:t>1. What safeguards are in place for rights holders once urban transformation starts under the Project (in relation to the contractor or during the construction period)?</w:t>
      </w:r>
    </w:p>
    <w:p w14:paraId="6C289844" w14:textId="77777777" w:rsidR="000D0CCC" w:rsidRPr="00037983" w:rsidRDefault="000D0CCC" w:rsidP="000D0CCC">
      <w:pPr>
        <w:ind w:left="0" w:right="-2"/>
        <w:rPr>
          <w:lang w:val="en-US"/>
        </w:rPr>
      </w:pPr>
      <w:r w:rsidRPr="00037983">
        <w:rPr>
          <w:lang w:val="en-US"/>
        </w:rPr>
        <w:t>The contractor acknowledges and undertakes that the construction contract executed with the rights holders may be terminated, following a decision taken by the simple majority of co-owners in proportion to their shares, in the event that: (</w:t>
      </w:r>
      <w:proofErr w:type="spellStart"/>
      <w:r w:rsidRPr="00037983">
        <w:rPr>
          <w:lang w:val="en-US"/>
        </w:rPr>
        <w:t>i</w:t>
      </w:r>
      <w:proofErr w:type="spellEnd"/>
      <w:r w:rsidRPr="00037983">
        <w:rPr>
          <w:lang w:val="en-US"/>
        </w:rPr>
        <w:t>) construction of the new building does not commence within two months for reasons attributable to the contractor; (ii) construction activities are suspended at any stage; or (iii) construction activities are not carried out for at least three consecutive months with adequate personnel and equipment sufficient to ensure completion of the Project. The contractor further acknowledges that the contract may be terminated pursuant to Article 13, paragraph eleven of the Implementing Regulation of Law No. 6306 on the Transformation of Areas Under Disaster Risk. In addition, the contractor accepts and undertakes that the contract may also be terminated in the event of non-compliance with the World Bank Environmental and Social Framework, the Environmental, Social, Health and Safety (ESHS) Guidelines, Labor Management Procedures, Stakeholder Engagement Plan, and Resettlement Framework, which are mandatory under the Project, as well as Law No. 6331 on Occupational Health and Safety and related legislation. Furthermore, the contractor is obliged to complete the works and deliver the building to the property owner in a condition ready for obtaining the occupancy permit. The contractor irrevocably undertakes to compensate any and all material losses incurred by the contracting parties arising from the failure to obtain the occupancy permit.</w:t>
      </w:r>
    </w:p>
    <w:p w14:paraId="6C664E27" w14:textId="77777777" w:rsidR="000D0CCC" w:rsidRPr="00037983" w:rsidRDefault="000D0CCC" w:rsidP="000D0CCC">
      <w:pPr>
        <w:ind w:left="0" w:right="-2"/>
        <w:rPr>
          <w:rFonts w:cs="Times New Roman"/>
          <w:b/>
          <w:bCs/>
          <w:lang w:val="en-US"/>
        </w:rPr>
      </w:pPr>
      <w:r w:rsidRPr="00037983">
        <w:rPr>
          <w:rFonts w:cs="Times New Roman"/>
          <w:b/>
          <w:bCs/>
          <w:lang w:val="en-US"/>
        </w:rPr>
        <w:t>2. How can shareholders benefit from the loan if the building has a land title deed?</w:t>
      </w:r>
    </w:p>
    <w:p w14:paraId="288E9D93" w14:textId="77777777" w:rsidR="00150E03" w:rsidRPr="00037983" w:rsidRDefault="00150E03" w:rsidP="000D0CCC">
      <w:pPr>
        <w:ind w:left="0" w:right="-2"/>
        <w:rPr>
          <w:lang w:val="en-US"/>
        </w:rPr>
      </w:pPr>
      <w:r w:rsidRPr="00037983">
        <w:rPr>
          <w:lang w:val="en-US"/>
        </w:rPr>
        <w:t>In buildings registered under a land title deed, shareholders may benefit from the loan after the independent units of the rights holders in the risky structure have been identified.</w:t>
      </w:r>
    </w:p>
    <w:p w14:paraId="5BB7FFAB" w14:textId="0322A53D" w:rsidR="000D0CCC" w:rsidRPr="00037983" w:rsidRDefault="00C93F0C" w:rsidP="000D0CCC">
      <w:pPr>
        <w:ind w:left="0" w:right="-2"/>
        <w:rPr>
          <w:rFonts w:cs="Times New Roman"/>
          <w:b/>
          <w:bCs/>
          <w:lang w:val="en-US"/>
        </w:rPr>
      </w:pPr>
      <w:r>
        <w:rPr>
          <w:rFonts w:cs="Times New Roman"/>
          <w:b/>
          <w:bCs/>
          <w:lang w:val="en-US"/>
        </w:rPr>
        <w:t>3</w:t>
      </w:r>
      <w:r w:rsidR="000D0CCC" w:rsidRPr="00037983">
        <w:rPr>
          <w:rFonts w:cs="Times New Roman"/>
          <w:b/>
          <w:bCs/>
          <w:lang w:val="en-US"/>
        </w:rPr>
        <w:t>. Where should applications be submitted?</w:t>
      </w:r>
    </w:p>
    <w:p w14:paraId="3CD82521" w14:textId="1085A5B9" w:rsidR="000D0CCC" w:rsidRPr="00037983" w:rsidRDefault="000D0CCC" w:rsidP="000D0CCC">
      <w:pPr>
        <w:ind w:left="0" w:right="-2"/>
        <w:rPr>
          <w:rFonts w:cs="Times New Roman"/>
          <w:b/>
          <w:bCs/>
          <w:lang w:val="en-US"/>
        </w:rPr>
      </w:pPr>
      <w:r w:rsidRPr="00037983">
        <w:rPr>
          <w:lang w:val="en-US"/>
        </w:rPr>
        <w:t xml:space="preserve">Applications </w:t>
      </w:r>
      <w:r w:rsidR="002C2ECB">
        <w:rPr>
          <w:lang w:val="en-US"/>
        </w:rPr>
        <w:t>can be</w:t>
      </w:r>
      <w:r w:rsidR="002C2ECB" w:rsidRPr="00037983">
        <w:rPr>
          <w:lang w:val="en-US"/>
        </w:rPr>
        <w:t xml:space="preserve"> </w:t>
      </w:r>
      <w:r w:rsidRPr="00037983">
        <w:rPr>
          <w:lang w:val="en-US"/>
        </w:rPr>
        <w:t xml:space="preserve">submitted through the ARAAD system, </w:t>
      </w:r>
      <w:r w:rsidR="00424C2D">
        <w:rPr>
          <w:lang w:val="en-US"/>
        </w:rPr>
        <w:t>interlinked with</w:t>
      </w:r>
      <w:r w:rsidR="00424C2D" w:rsidRPr="00037983">
        <w:rPr>
          <w:lang w:val="en-US"/>
        </w:rPr>
        <w:t xml:space="preserve"> </w:t>
      </w:r>
      <w:r w:rsidRPr="00037983">
        <w:rPr>
          <w:lang w:val="en-US"/>
        </w:rPr>
        <w:t>the e-Government Gateway. Loan and support applications are carried out under the AFDİS mod</w:t>
      </w:r>
      <w:r w:rsidR="00424C2D">
        <w:rPr>
          <w:lang w:val="en-US"/>
        </w:rPr>
        <w:t>ule in ARAAD</w:t>
      </w:r>
      <w:r w:rsidRPr="00037983">
        <w:rPr>
          <w:lang w:val="en-US"/>
        </w:rPr>
        <w:t>, and the application and evaluation processes are conducted in accordance with the procedures and principles set forth in the relevant legislation and implementation guidelines</w:t>
      </w:r>
      <w:r w:rsidRPr="00037983">
        <w:rPr>
          <w:rFonts w:cs="Times New Roman"/>
          <w:b/>
          <w:bCs/>
          <w:lang w:val="en-US"/>
        </w:rPr>
        <w:t>.</w:t>
      </w:r>
    </w:p>
    <w:p w14:paraId="3CA6A0C1" w14:textId="723372CF" w:rsidR="000D0CCC" w:rsidRPr="00037983" w:rsidRDefault="00C93F0C" w:rsidP="000D0CCC">
      <w:pPr>
        <w:ind w:left="0" w:right="-2"/>
        <w:rPr>
          <w:rFonts w:cs="Times New Roman"/>
          <w:b/>
          <w:bCs/>
          <w:lang w:val="en-US"/>
        </w:rPr>
      </w:pPr>
      <w:r>
        <w:rPr>
          <w:rFonts w:cs="Times New Roman"/>
          <w:b/>
          <w:bCs/>
          <w:lang w:val="en-US"/>
        </w:rPr>
        <w:lastRenderedPageBreak/>
        <w:t>4</w:t>
      </w:r>
      <w:r w:rsidR="000D0CCC" w:rsidRPr="00037983">
        <w:rPr>
          <w:rFonts w:cs="Times New Roman"/>
          <w:b/>
          <w:bCs/>
          <w:lang w:val="en-US"/>
        </w:rPr>
        <w:t xml:space="preserve">. </w:t>
      </w:r>
      <w:proofErr w:type="spellStart"/>
      <w:r w:rsidR="008C7EA0" w:rsidRPr="00037983">
        <w:rPr>
          <w:rFonts w:cs="Times New Roman"/>
          <w:b/>
          <w:bCs/>
          <w:lang w:val="en-US"/>
        </w:rPr>
        <w:t>Sakarya</w:t>
      </w:r>
      <w:proofErr w:type="spellEnd"/>
      <w:r w:rsidR="008C7EA0" w:rsidRPr="00037983">
        <w:rPr>
          <w:rFonts w:cs="Times New Roman"/>
          <w:b/>
          <w:bCs/>
          <w:lang w:val="en-US"/>
        </w:rPr>
        <w:t xml:space="preserve"> Metropolitan Municipality has suspended parcel-based urban transformation practices. </w:t>
      </w:r>
      <w:r w:rsidR="000D0CCC" w:rsidRPr="00037983">
        <w:rPr>
          <w:rFonts w:cs="Times New Roman"/>
          <w:b/>
          <w:bCs/>
          <w:lang w:val="en-US"/>
        </w:rPr>
        <w:t>How will the process proceed?</w:t>
      </w:r>
    </w:p>
    <w:p w14:paraId="5F71E98C" w14:textId="3674F372" w:rsidR="000D0CCC" w:rsidRPr="00037983" w:rsidRDefault="000D0CCC" w:rsidP="000D0CCC">
      <w:pPr>
        <w:ind w:left="0" w:right="-2"/>
        <w:rPr>
          <w:lang w:val="en-US"/>
        </w:rPr>
      </w:pPr>
      <w:r w:rsidRPr="00037983">
        <w:rPr>
          <w:lang w:val="en-US"/>
        </w:rPr>
        <w:t xml:space="preserve">This Project is implemented by </w:t>
      </w:r>
      <w:r w:rsidR="00017BBA">
        <w:rPr>
          <w:lang w:val="en-US"/>
        </w:rPr>
        <w:t>the Urban Transformation Presidency (UTP)</w:t>
      </w:r>
      <w:r w:rsidRPr="00037983">
        <w:rPr>
          <w:lang w:val="en-US"/>
        </w:rPr>
        <w:t xml:space="preserve"> and is based on an on-site reconstruction approach. Therefore, municipal decisions related to parcel-based urban transformation do not affect the implementation of this Project, and the process continues </w:t>
      </w:r>
      <w:r w:rsidR="00017BBA">
        <w:rPr>
          <w:lang w:val="en-US"/>
        </w:rPr>
        <w:t xml:space="preserve">under the rules and provisions laid out by the UTP and the World Bank. </w:t>
      </w:r>
    </w:p>
    <w:p w14:paraId="30198D1B" w14:textId="3FAC2133" w:rsidR="000D0CCC" w:rsidRPr="00037983" w:rsidRDefault="00C93F0C" w:rsidP="000D0CCC">
      <w:pPr>
        <w:ind w:left="0" w:right="-2"/>
        <w:rPr>
          <w:rFonts w:cs="Times New Roman"/>
          <w:b/>
          <w:bCs/>
          <w:lang w:val="en-US"/>
        </w:rPr>
      </w:pPr>
      <w:r>
        <w:rPr>
          <w:rFonts w:cs="Times New Roman"/>
          <w:b/>
          <w:bCs/>
          <w:lang w:val="en-US"/>
        </w:rPr>
        <w:t>5</w:t>
      </w:r>
      <w:r w:rsidR="000D0CCC" w:rsidRPr="00037983">
        <w:rPr>
          <w:rFonts w:cs="Times New Roman"/>
          <w:b/>
          <w:bCs/>
          <w:lang w:val="en-US"/>
        </w:rPr>
        <w:t>. Do banks impose restrictions on providing loans for construction activities?</w:t>
      </w:r>
    </w:p>
    <w:p w14:paraId="3342A2FA" w14:textId="60507CCF" w:rsidR="00017BBA" w:rsidRDefault="00017BBA" w:rsidP="000D0CCC">
      <w:pPr>
        <w:ind w:left="0" w:right="-2"/>
        <w:rPr>
          <w:lang w:val="en-US"/>
        </w:rPr>
      </w:pPr>
      <w:r>
        <w:rPr>
          <w:lang w:val="en-US"/>
        </w:rPr>
        <w:t xml:space="preserve">The </w:t>
      </w:r>
      <w:r w:rsidR="00476B06">
        <w:rPr>
          <w:lang w:val="en-US"/>
        </w:rPr>
        <w:t xml:space="preserve">eligibility </w:t>
      </w:r>
      <w:r w:rsidR="00221D87">
        <w:rPr>
          <w:lang w:val="en-US"/>
        </w:rPr>
        <w:t xml:space="preserve">for the </w:t>
      </w:r>
      <w:r>
        <w:rPr>
          <w:lang w:val="en-US"/>
        </w:rPr>
        <w:t>urban transformation loan under the CDRC is</w:t>
      </w:r>
      <w:r w:rsidR="00221D87">
        <w:rPr>
          <w:lang w:val="en-US"/>
        </w:rPr>
        <w:t xml:space="preserve"> evaluated by the UTP in accordance with the guidelines of the CDRC Project and is ultimately approved and</w:t>
      </w:r>
      <w:r>
        <w:rPr>
          <w:lang w:val="en-US"/>
        </w:rPr>
        <w:t xml:space="preserve"> disbursed</w:t>
      </w:r>
      <w:r w:rsidR="00476B06">
        <w:rPr>
          <w:lang w:val="en-US"/>
        </w:rPr>
        <w:t xml:space="preserve"> by the UTP</w:t>
      </w:r>
      <w:r w:rsidR="00221D87">
        <w:rPr>
          <w:lang w:val="en-US"/>
        </w:rPr>
        <w:t>.</w:t>
      </w:r>
    </w:p>
    <w:p w14:paraId="45786319" w14:textId="43BC09E4" w:rsidR="000D0CCC" w:rsidRPr="00037983" w:rsidRDefault="00C93F0C" w:rsidP="000D0CCC">
      <w:pPr>
        <w:ind w:left="0" w:right="-2"/>
        <w:rPr>
          <w:rFonts w:cs="Times New Roman"/>
          <w:b/>
          <w:bCs/>
          <w:lang w:val="en-US"/>
        </w:rPr>
      </w:pPr>
      <w:r>
        <w:rPr>
          <w:rFonts w:cs="Times New Roman"/>
          <w:b/>
          <w:bCs/>
          <w:lang w:val="en-US"/>
        </w:rPr>
        <w:t>6</w:t>
      </w:r>
      <w:r w:rsidR="000D0CCC" w:rsidRPr="00037983">
        <w:rPr>
          <w:rFonts w:cs="Times New Roman"/>
          <w:b/>
          <w:bCs/>
          <w:lang w:val="en-US"/>
        </w:rPr>
        <w:t>. The land was inherited from my grandfather. After his death, my father and uncles became heirs, and now my siblings and I are heirs. We have a total of five independent units. How can we benefit from the loan?</w:t>
      </w:r>
    </w:p>
    <w:p w14:paraId="367E989D" w14:textId="31B73931" w:rsidR="000D0CCC" w:rsidRPr="00037983" w:rsidRDefault="000D0CCC" w:rsidP="000D0CCC">
      <w:pPr>
        <w:ind w:left="0" w:right="-2"/>
        <w:rPr>
          <w:rFonts w:cs="Times New Roman"/>
          <w:b/>
          <w:bCs/>
          <w:lang w:val="en-US"/>
        </w:rPr>
      </w:pPr>
      <w:r w:rsidRPr="00037983">
        <w:rPr>
          <w:lang w:val="en-US"/>
        </w:rPr>
        <w:t xml:space="preserve">Heirs may benefit from the loan in proportion to their shares, provided that </w:t>
      </w:r>
      <w:r w:rsidR="009F0BB6">
        <w:rPr>
          <w:lang w:val="en-US"/>
        </w:rPr>
        <w:t>they can prove their legal status as heirs via</w:t>
      </w:r>
      <w:r w:rsidRPr="00037983">
        <w:rPr>
          <w:lang w:val="en-US"/>
        </w:rPr>
        <w:t xml:space="preserve"> certificate of inheritance</w:t>
      </w:r>
      <w:r w:rsidR="009F0BB6">
        <w:rPr>
          <w:lang w:val="en-US"/>
        </w:rPr>
        <w:t>.</w:t>
      </w:r>
    </w:p>
    <w:p w14:paraId="31B19368" w14:textId="5D19E058" w:rsidR="000D0CCC" w:rsidRPr="00037983" w:rsidRDefault="00C93F0C" w:rsidP="000D0CCC">
      <w:pPr>
        <w:ind w:left="0" w:right="-2"/>
        <w:rPr>
          <w:rFonts w:cs="Times New Roman"/>
          <w:b/>
          <w:bCs/>
          <w:lang w:val="en-US"/>
        </w:rPr>
      </w:pPr>
      <w:r>
        <w:rPr>
          <w:rFonts w:cs="Times New Roman"/>
          <w:b/>
          <w:bCs/>
          <w:lang w:val="en-US"/>
        </w:rPr>
        <w:t>7</w:t>
      </w:r>
      <w:r w:rsidR="000D0CCC" w:rsidRPr="00037983">
        <w:rPr>
          <w:rFonts w:cs="Times New Roman"/>
          <w:b/>
          <w:bCs/>
          <w:lang w:val="en-US"/>
        </w:rPr>
        <w:t>. I had a risk assessment conducted previously and the building was demolished. Can I benefit from this Project?</w:t>
      </w:r>
    </w:p>
    <w:p w14:paraId="1DF1592D" w14:textId="27B2F8D3" w:rsidR="000D0CCC" w:rsidRPr="00037983" w:rsidRDefault="008C7EA0" w:rsidP="000D0CCC">
      <w:pPr>
        <w:ind w:left="0" w:right="-2"/>
        <w:rPr>
          <w:lang w:val="en-US"/>
        </w:rPr>
      </w:pPr>
      <w:r w:rsidRPr="00037983">
        <w:rPr>
          <w:lang w:val="en-US"/>
        </w:rPr>
        <w:t>B</w:t>
      </w:r>
      <w:r w:rsidR="000D0CCC" w:rsidRPr="00037983">
        <w:rPr>
          <w:lang w:val="en-US"/>
        </w:rPr>
        <w:t>uildings that were demolished after October 2020 and for which a valid risky building determination exists are eligible to benefit from the Project, subject to the fulfillment of the application requirements.</w:t>
      </w:r>
    </w:p>
    <w:p w14:paraId="4EF6D3B6" w14:textId="18008BC6" w:rsidR="000D0CCC" w:rsidRPr="00037983" w:rsidRDefault="00C93F0C" w:rsidP="000D0CCC">
      <w:pPr>
        <w:ind w:left="0" w:right="-2"/>
        <w:rPr>
          <w:rFonts w:cs="Times New Roman"/>
          <w:b/>
          <w:bCs/>
          <w:lang w:val="en-US"/>
        </w:rPr>
      </w:pPr>
      <w:r>
        <w:rPr>
          <w:rFonts w:cs="Times New Roman"/>
          <w:b/>
          <w:bCs/>
          <w:lang w:val="en-US"/>
        </w:rPr>
        <w:t>8</w:t>
      </w:r>
      <w:r w:rsidR="000D0CCC" w:rsidRPr="00037983">
        <w:rPr>
          <w:rFonts w:cs="Times New Roman"/>
          <w:b/>
          <w:bCs/>
          <w:lang w:val="en-US"/>
        </w:rPr>
        <w:t>. Do I need to resubmit demolition-related documents for the application?</w:t>
      </w:r>
    </w:p>
    <w:p w14:paraId="6E24C814" w14:textId="10AF8CE5" w:rsidR="000D0CCC" w:rsidRPr="00037983" w:rsidRDefault="008C7EA0" w:rsidP="000D0CCC">
      <w:pPr>
        <w:ind w:left="0" w:right="-2"/>
        <w:rPr>
          <w:lang w:val="en-US"/>
        </w:rPr>
      </w:pPr>
      <w:r w:rsidRPr="00037983">
        <w:rPr>
          <w:lang w:val="en-US"/>
        </w:rPr>
        <w:t xml:space="preserve">Yes. </w:t>
      </w:r>
      <w:r w:rsidR="000D0CCC" w:rsidRPr="00037983">
        <w:rPr>
          <w:lang w:val="en-US"/>
        </w:rPr>
        <w:t xml:space="preserve">The list of required documents can be accessed at the following address: </w:t>
      </w:r>
      <w:hyperlink r:id="rId7" w:history="1">
        <w:r w:rsidR="000D0CCC" w:rsidRPr="00037983">
          <w:rPr>
            <w:rStyle w:val="Kpr"/>
            <w:rFonts w:cs="Times New Roman"/>
            <w:b/>
            <w:bCs/>
            <w:lang w:val="en-US"/>
          </w:rPr>
          <w:t>https://kentseldirenclilik.csb.gov.tr/muteahhit-tarafindan-araad-uygulamasina-yuklenecek-evraklar-i-112282</w:t>
        </w:r>
      </w:hyperlink>
    </w:p>
    <w:p w14:paraId="141C94BD" w14:textId="39A0F6B1" w:rsidR="000D0CCC" w:rsidRPr="00037983" w:rsidRDefault="00C93F0C" w:rsidP="000D0CCC">
      <w:pPr>
        <w:ind w:left="0" w:right="-2"/>
        <w:rPr>
          <w:rFonts w:cs="Times New Roman"/>
          <w:b/>
          <w:bCs/>
          <w:lang w:val="en-US"/>
        </w:rPr>
      </w:pPr>
      <w:r>
        <w:rPr>
          <w:rFonts w:cs="Times New Roman"/>
          <w:b/>
          <w:bCs/>
          <w:lang w:val="en-US"/>
        </w:rPr>
        <w:t>9</w:t>
      </w:r>
      <w:r w:rsidR="000D0CCC" w:rsidRPr="00037983">
        <w:rPr>
          <w:rFonts w:cs="Times New Roman"/>
          <w:b/>
          <w:bCs/>
          <w:lang w:val="en-US"/>
        </w:rPr>
        <w:t xml:space="preserve">. My building company is a legal entity registered solely under my name. Can I act as the contractor </w:t>
      </w:r>
      <w:r w:rsidR="009F0BB6">
        <w:rPr>
          <w:rFonts w:cs="Times New Roman"/>
          <w:b/>
          <w:bCs/>
          <w:lang w:val="en-US"/>
        </w:rPr>
        <w:t>for my own building</w:t>
      </w:r>
      <w:r w:rsidR="000D0CCC" w:rsidRPr="00037983">
        <w:rPr>
          <w:rFonts w:cs="Times New Roman"/>
          <w:b/>
          <w:bCs/>
          <w:lang w:val="en-US"/>
        </w:rPr>
        <w:t>?</w:t>
      </w:r>
    </w:p>
    <w:p w14:paraId="1BA0823B" w14:textId="77777777" w:rsidR="0019087D" w:rsidRPr="00037983" w:rsidRDefault="0019087D" w:rsidP="000D0CCC">
      <w:pPr>
        <w:ind w:left="0" w:right="-2"/>
        <w:rPr>
          <w:lang w:val="en-US"/>
        </w:rPr>
      </w:pPr>
      <w:r w:rsidRPr="00037983">
        <w:rPr>
          <w:lang w:val="en-US"/>
        </w:rPr>
        <w:lastRenderedPageBreak/>
        <w:t>If the name of the rights holder appears among the contractor qualification documents submitted for the application, the rights holder may not be designated as the contractor for the construction of the new building.</w:t>
      </w:r>
    </w:p>
    <w:p w14:paraId="61BF194C" w14:textId="6F24C149" w:rsidR="000D0CCC" w:rsidRPr="00037983" w:rsidRDefault="0019087D" w:rsidP="000D0CCC">
      <w:pPr>
        <w:ind w:left="0" w:right="-2"/>
        <w:rPr>
          <w:rFonts w:cs="Times New Roman"/>
          <w:b/>
          <w:bCs/>
          <w:lang w:val="en-US"/>
        </w:rPr>
      </w:pPr>
      <w:r w:rsidRPr="00037983">
        <w:rPr>
          <w:rFonts w:cs="Times New Roman"/>
          <w:b/>
          <w:bCs/>
          <w:lang w:val="en-US"/>
        </w:rPr>
        <w:t>1</w:t>
      </w:r>
      <w:r w:rsidR="00C93F0C">
        <w:rPr>
          <w:rFonts w:cs="Times New Roman"/>
          <w:b/>
          <w:bCs/>
          <w:lang w:val="en-US"/>
        </w:rPr>
        <w:t>0</w:t>
      </w:r>
      <w:r w:rsidR="000D0CCC" w:rsidRPr="00037983">
        <w:rPr>
          <w:rFonts w:cs="Times New Roman"/>
          <w:b/>
          <w:bCs/>
          <w:lang w:val="en-US"/>
        </w:rPr>
        <w:t>. What type of support is provided for tenants within the scope of the urban transformation process?</w:t>
      </w:r>
    </w:p>
    <w:p w14:paraId="7B3A5824" w14:textId="6277CA8C" w:rsidR="000D0CCC" w:rsidRPr="00037983" w:rsidRDefault="000D0CCC" w:rsidP="000D0CCC">
      <w:pPr>
        <w:ind w:left="0" w:right="-2"/>
        <w:rPr>
          <w:lang w:val="en-US"/>
        </w:rPr>
      </w:pPr>
      <w:r w:rsidRPr="00037983">
        <w:rPr>
          <w:lang w:val="en-US"/>
        </w:rPr>
        <w:t>Within the scope of the Project, rental assistance is provided to rights holders, while</w:t>
      </w:r>
      <w:r w:rsidR="009F0BB6">
        <w:rPr>
          <w:lang w:val="en-US"/>
        </w:rPr>
        <w:t xml:space="preserve"> tenants are entitled to</w:t>
      </w:r>
      <w:r w:rsidRPr="00037983">
        <w:rPr>
          <w:lang w:val="en-US"/>
        </w:rPr>
        <w:t xml:space="preserve"> relocation assistance. For </w:t>
      </w:r>
      <w:proofErr w:type="spellStart"/>
      <w:r w:rsidRPr="00037983">
        <w:rPr>
          <w:lang w:val="en-US"/>
        </w:rPr>
        <w:t>Sakarya</w:t>
      </w:r>
      <w:proofErr w:type="spellEnd"/>
      <w:r w:rsidRPr="00037983">
        <w:rPr>
          <w:lang w:val="en-US"/>
        </w:rPr>
        <w:t xml:space="preserve"> Province, rights holders are eligible for rental assistance of TRY 5,500 per month for a period of 18 months.</w:t>
      </w:r>
    </w:p>
    <w:p w14:paraId="08544DA0" w14:textId="28A23AE5" w:rsidR="000D0CCC" w:rsidRPr="00037983" w:rsidRDefault="000D0CCC" w:rsidP="000D0CCC">
      <w:pPr>
        <w:ind w:left="0" w:right="-2"/>
        <w:rPr>
          <w:rFonts w:cs="Times New Roman"/>
          <w:b/>
          <w:bCs/>
          <w:lang w:val="en-US"/>
        </w:rPr>
      </w:pPr>
      <w:r w:rsidRPr="00037983">
        <w:rPr>
          <w:rFonts w:cs="Times New Roman"/>
          <w:b/>
          <w:bCs/>
          <w:lang w:val="en-US"/>
        </w:rPr>
        <w:t>1</w:t>
      </w:r>
      <w:r w:rsidR="00C93F0C">
        <w:rPr>
          <w:rFonts w:cs="Times New Roman"/>
          <w:b/>
          <w:bCs/>
          <w:lang w:val="en-US"/>
        </w:rPr>
        <w:t>1</w:t>
      </w:r>
      <w:r w:rsidRPr="00037983">
        <w:rPr>
          <w:rFonts w:cs="Times New Roman"/>
          <w:b/>
          <w:bCs/>
          <w:lang w:val="en-US"/>
        </w:rPr>
        <w:t>. If the</w:t>
      </w:r>
      <w:r w:rsidR="007B42A9">
        <w:rPr>
          <w:rFonts w:cs="Times New Roman"/>
          <w:b/>
          <w:bCs/>
          <w:lang w:val="en-US"/>
        </w:rPr>
        <w:t xml:space="preserve"> entire</w:t>
      </w:r>
      <w:r w:rsidRPr="00037983">
        <w:rPr>
          <w:rFonts w:cs="Times New Roman"/>
          <w:b/>
          <w:bCs/>
          <w:lang w:val="en-US"/>
        </w:rPr>
        <w:t xml:space="preserve"> building</w:t>
      </w:r>
      <w:r w:rsidR="007B42A9">
        <w:rPr>
          <w:rFonts w:cs="Times New Roman"/>
          <w:b/>
          <w:bCs/>
          <w:lang w:val="en-US"/>
        </w:rPr>
        <w:t xml:space="preserve"> with multiple independent units</w:t>
      </w:r>
      <w:r w:rsidRPr="00037983">
        <w:rPr>
          <w:rFonts w:cs="Times New Roman"/>
          <w:b/>
          <w:bCs/>
          <w:lang w:val="en-US"/>
        </w:rPr>
        <w:t xml:space="preserve"> is owned by an individual, how is the loan utilized?</w:t>
      </w:r>
    </w:p>
    <w:p w14:paraId="3388F19F" w14:textId="77777777" w:rsidR="0019087D" w:rsidRPr="00037983" w:rsidRDefault="0019087D" w:rsidP="000D0CCC">
      <w:pPr>
        <w:ind w:left="0" w:right="-2"/>
        <w:rPr>
          <w:lang w:val="en-US"/>
        </w:rPr>
      </w:pPr>
      <w:r w:rsidRPr="00037983">
        <w:rPr>
          <w:lang w:val="en-US"/>
        </w:rPr>
        <w:t>Each rights holder may benefit from the loan for only one independent unit.</w:t>
      </w:r>
    </w:p>
    <w:p w14:paraId="22313F00" w14:textId="72BA3B74" w:rsidR="000D0CCC" w:rsidRPr="00037983" w:rsidRDefault="000D0CCC" w:rsidP="000D0CCC">
      <w:pPr>
        <w:ind w:left="0" w:right="-2"/>
        <w:rPr>
          <w:rFonts w:cs="Times New Roman"/>
          <w:b/>
          <w:bCs/>
          <w:lang w:val="en-US"/>
        </w:rPr>
      </w:pPr>
      <w:r w:rsidRPr="00037983">
        <w:rPr>
          <w:rFonts w:cs="Times New Roman"/>
          <w:b/>
          <w:bCs/>
          <w:lang w:val="en-US"/>
        </w:rPr>
        <w:t>1</w:t>
      </w:r>
      <w:r w:rsidR="00C93F0C">
        <w:rPr>
          <w:rFonts w:cs="Times New Roman"/>
          <w:b/>
          <w:bCs/>
          <w:lang w:val="en-US"/>
        </w:rPr>
        <w:t>2</w:t>
      </w:r>
      <w:r w:rsidRPr="00037983">
        <w:rPr>
          <w:rFonts w:cs="Times New Roman"/>
          <w:b/>
          <w:bCs/>
          <w:lang w:val="en-US"/>
        </w:rPr>
        <w:t>. Are there differences in implementation between the city center and districts?</w:t>
      </w:r>
    </w:p>
    <w:p w14:paraId="09053AC5" w14:textId="6D87D04B" w:rsidR="000D0CCC" w:rsidRPr="00037983" w:rsidRDefault="000D0CCC" w:rsidP="000D0CCC">
      <w:pPr>
        <w:ind w:left="0" w:right="-2"/>
        <w:rPr>
          <w:rFonts w:cs="Times New Roman"/>
          <w:b/>
          <w:bCs/>
          <w:lang w:val="en-US"/>
        </w:rPr>
      </w:pPr>
      <w:r w:rsidRPr="00037983">
        <w:rPr>
          <w:lang w:val="en-US"/>
        </w:rPr>
        <w:t>Implementation principles are the same for both city centers</w:t>
      </w:r>
      <w:r w:rsidR="007B42A9">
        <w:rPr>
          <w:lang w:val="en-US"/>
        </w:rPr>
        <w:t xml:space="preserve">, </w:t>
      </w:r>
      <w:r w:rsidRPr="00037983">
        <w:rPr>
          <w:lang w:val="en-US"/>
        </w:rPr>
        <w:t>districts</w:t>
      </w:r>
      <w:r w:rsidR="007B42A9">
        <w:rPr>
          <w:lang w:val="en-US"/>
        </w:rPr>
        <w:t xml:space="preserve"> as well as the rural areas</w:t>
      </w:r>
      <w:r w:rsidRPr="00037983">
        <w:rPr>
          <w:rFonts w:cs="Times New Roman"/>
          <w:b/>
          <w:bCs/>
          <w:lang w:val="en-US"/>
        </w:rPr>
        <w:t>.</w:t>
      </w:r>
    </w:p>
    <w:p w14:paraId="28AC3FF4" w14:textId="0E4EB088" w:rsidR="000D0CCC" w:rsidRPr="00037983" w:rsidRDefault="000D0CCC" w:rsidP="000D0CCC">
      <w:pPr>
        <w:ind w:left="0" w:right="-2"/>
        <w:rPr>
          <w:rFonts w:cs="Times New Roman"/>
          <w:b/>
          <w:bCs/>
          <w:lang w:val="en-US"/>
        </w:rPr>
      </w:pPr>
      <w:r w:rsidRPr="00037983">
        <w:rPr>
          <w:rFonts w:cs="Times New Roman"/>
          <w:b/>
          <w:bCs/>
          <w:lang w:val="en-US"/>
        </w:rPr>
        <w:t>1</w:t>
      </w:r>
      <w:r w:rsidR="00C93F0C">
        <w:rPr>
          <w:rFonts w:cs="Times New Roman"/>
          <w:b/>
          <w:bCs/>
          <w:lang w:val="en-US"/>
        </w:rPr>
        <w:t>3</w:t>
      </w:r>
      <w:r w:rsidRPr="00037983">
        <w:rPr>
          <w:rFonts w:cs="Times New Roman"/>
          <w:b/>
          <w:bCs/>
          <w:lang w:val="en-US"/>
        </w:rPr>
        <w:t>. Will there be any loss in terms of square meters for the rights holder?</w:t>
      </w:r>
    </w:p>
    <w:p w14:paraId="731E49CE" w14:textId="77777777" w:rsidR="000D0CCC" w:rsidRPr="00037983" w:rsidRDefault="000D0CCC" w:rsidP="000D0CCC">
      <w:pPr>
        <w:ind w:left="0" w:right="-2"/>
        <w:rPr>
          <w:lang w:val="en-US"/>
        </w:rPr>
      </w:pPr>
      <w:r w:rsidRPr="00037983">
        <w:rPr>
          <w:lang w:val="en-US"/>
        </w:rPr>
        <w:t>The existing land share of the rights holder is preserved. Changes in square meters are determined in accordance with zoning regulations and project specifications.</w:t>
      </w:r>
    </w:p>
    <w:p w14:paraId="6C025FB1" w14:textId="7BD6F871" w:rsidR="000D0CCC" w:rsidRPr="00037983" w:rsidRDefault="000D0CCC" w:rsidP="000D0CCC">
      <w:pPr>
        <w:ind w:left="0" w:right="-2"/>
        <w:rPr>
          <w:rFonts w:cs="Times New Roman"/>
          <w:b/>
          <w:bCs/>
          <w:lang w:val="en-US"/>
        </w:rPr>
      </w:pPr>
      <w:r w:rsidRPr="00037983">
        <w:rPr>
          <w:rFonts w:cs="Times New Roman"/>
          <w:b/>
          <w:bCs/>
          <w:lang w:val="en-US"/>
        </w:rPr>
        <w:t>1</w:t>
      </w:r>
      <w:r w:rsidR="00C93F0C">
        <w:rPr>
          <w:rFonts w:cs="Times New Roman"/>
          <w:b/>
          <w:bCs/>
          <w:lang w:val="en-US"/>
        </w:rPr>
        <w:t>4</w:t>
      </w:r>
      <w:r w:rsidRPr="00037983">
        <w:rPr>
          <w:rFonts w:cs="Times New Roman"/>
          <w:b/>
          <w:bCs/>
          <w:lang w:val="en-US"/>
        </w:rPr>
        <w:t>. Is there a faster solution to reduce the extensive documentation required for loan applications?</w:t>
      </w:r>
    </w:p>
    <w:p w14:paraId="321DECE2" w14:textId="0105F93F" w:rsidR="000D0CCC" w:rsidRPr="00037983" w:rsidRDefault="007B42A9" w:rsidP="000D0CCC">
      <w:pPr>
        <w:ind w:left="0" w:right="-2"/>
        <w:rPr>
          <w:rFonts w:cs="Times New Roman"/>
          <w:lang w:val="en-US"/>
        </w:rPr>
      </w:pPr>
      <w:r w:rsidRPr="007B42A9">
        <w:rPr>
          <w:lang w:val="en-US"/>
        </w:rPr>
        <w:t>Some of the</w:t>
      </w:r>
      <w:r w:rsidRPr="00037983">
        <w:rPr>
          <w:lang w:val="en-US"/>
        </w:rPr>
        <w:t xml:space="preserve"> </w:t>
      </w:r>
      <w:r w:rsidR="000D0CCC" w:rsidRPr="00037983">
        <w:rPr>
          <w:lang w:val="en-US"/>
        </w:rPr>
        <w:t>required documents are obtained through e-Government and integrated systems, thereby accelerating the process</w:t>
      </w:r>
      <w:r w:rsidR="000D0CCC" w:rsidRPr="00037983">
        <w:rPr>
          <w:rFonts w:cs="Times New Roman"/>
          <w:lang w:val="en-US"/>
        </w:rPr>
        <w:t>.</w:t>
      </w:r>
      <w:r w:rsidRPr="00037983">
        <w:rPr>
          <w:rFonts w:cs="Times New Roman"/>
          <w:lang w:val="en-US"/>
        </w:rPr>
        <w:t xml:space="preserve"> The bank also provides assistance to those </w:t>
      </w:r>
      <w:r>
        <w:rPr>
          <w:rFonts w:cs="Times New Roman"/>
          <w:lang w:val="en-US"/>
        </w:rPr>
        <w:t xml:space="preserve">who need it. </w:t>
      </w:r>
    </w:p>
    <w:p w14:paraId="41155D03" w14:textId="5D379278" w:rsidR="000D0CCC" w:rsidRPr="00037983" w:rsidRDefault="000D0CCC" w:rsidP="000D0CCC">
      <w:pPr>
        <w:ind w:left="0" w:right="-2"/>
        <w:rPr>
          <w:rFonts w:cs="Times New Roman"/>
          <w:b/>
          <w:bCs/>
          <w:lang w:val="en-US"/>
        </w:rPr>
      </w:pPr>
      <w:r w:rsidRPr="00037983">
        <w:rPr>
          <w:rFonts w:cs="Times New Roman"/>
          <w:b/>
          <w:bCs/>
          <w:lang w:val="en-US"/>
        </w:rPr>
        <w:t>1</w:t>
      </w:r>
      <w:r w:rsidR="00C93F0C">
        <w:rPr>
          <w:rFonts w:cs="Times New Roman"/>
          <w:b/>
          <w:bCs/>
          <w:lang w:val="en-US"/>
        </w:rPr>
        <w:t>5</w:t>
      </w:r>
      <w:r w:rsidRPr="00037983">
        <w:rPr>
          <w:rFonts w:cs="Times New Roman"/>
          <w:b/>
          <w:bCs/>
          <w:lang w:val="en-US"/>
        </w:rPr>
        <w:t>. In a large, older housing complex with 500 independent units, what percentage of majority is required for collective applications?</w:t>
      </w:r>
    </w:p>
    <w:p w14:paraId="213D9075" w14:textId="695C6273" w:rsidR="0061106F" w:rsidRPr="00037983" w:rsidRDefault="0061106F" w:rsidP="000D0CCC">
      <w:pPr>
        <w:ind w:left="0" w:right="-2"/>
        <w:rPr>
          <w:lang w:val="en-US"/>
        </w:rPr>
      </w:pPr>
      <w:r w:rsidRPr="00037983">
        <w:rPr>
          <w:lang w:val="en-US"/>
        </w:rPr>
        <w:t>Within the scope of Law No. 6306, it is required to obtain the simple majority (%50 + 1) of the owners based on their land share ratios.</w:t>
      </w:r>
    </w:p>
    <w:p w14:paraId="21D2CBB9" w14:textId="37FAE25B" w:rsidR="000D0CCC" w:rsidRPr="00037983" w:rsidRDefault="0061106F" w:rsidP="000D0CCC">
      <w:pPr>
        <w:ind w:left="0" w:right="-2"/>
        <w:rPr>
          <w:rFonts w:cs="Times New Roman"/>
          <w:b/>
          <w:bCs/>
          <w:lang w:val="en-US"/>
        </w:rPr>
      </w:pPr>
      <w:r w:rsidRPr="00037983">
        <w:rPr>
          <w:rFonts w:cs="Times New Roman"/>
          <w:b/>
          <w:bCs/>
          <w:lang w:val="en-US"/>
        </w:rPr>
        <w:t>1</w:t>
      </w:r>
      <w:r w:rsidR="00C93F0C">
        <w:rPr>
          <w:rFonts w:cs="Times New Roman"/>
          <w:b/>
          <w:bCs/>
          <w:lang w:val="en-US"/>
        </w:rPr>
        <w:t>6</w:t>
      </w:r>
      <w:r w:rsidR="000D0CCC" w:rsidRPr="00037983">
        <w:rPr>
          <w:rFonts w:cs="Times New Roman"/>
          <w:b/>
          <w:bCs/>
          <w:lang w:val="en-US"/>
        </w:rPr>
        <w:t>. Who will pay the fee of the building inspection firm responsible for supervising progress payments after the construction permit is issued?</w:t>
      </w:r>
    </w:p>
    <w:p w14:paraId="0358B968" w14:textId="06CF4CCC" w:rsidR="0061106F" w:rsidRPr="00037983" w:rsidRDefault="00041D53" w:rsidP="000D0CCC">
      <w:pPr>
        <w:ind w:left="0" w:right="-2"/>
        <w:rPr>
          <w:lang w:val="en-US"/>
        </w:rPr>
      </w:pPr>
      <w:r w:rsidRPr="00041D53">
        <w:rPr>
          <w:lang w:val="en-US"/>
        </w:rPr>
        <w:lastRenderedPageBreak/>
        <w:t>The UTP appoints a Legal and Technical Consultant Team to oversee adherence to project standards and validate progress payments. This service is provided at no additional expense.</w:t>
      </w:r>
    </w:p>
    <w:p w14:paraId="7944E4BA" w14:textId="0BDDC651" w:rsidR="000D0CCC" w:rsidRPr="00037983" w:rsidRDefault="0061106F" w:rsidP="000D0CCC">
      <w:pPr>
        <w:ind w:left="0" w:right="-2"/>
        <w:rPr>
          <w:lang w:val="en-US"/>
        </w:rPr>
      </w:pPr>
      <w:r w:rsidRPr="00037983">
        <w:rPr>
          <w:b/>
          <w:bCs/>
          <w:lang w:val="en-US"/>
        </w:rPr>
        <w:t>1</w:t>
      </w:r>
      <w:r w:rsidR="00C93F0C">
        <w:rPr>
          <w:b/>
          <w:bCs/>
          <w:lang w:val="en-US"/>
        </w:rPr>
        <w:t>7</w:t>
      </w:r>
      <w:r w:rsidR="000D0CCC" w:rsidRPr="00037983">
        <w:rPr>
          <w:b/>
          <w:bCs/>
          <w:lang w:val="en-US"/>
        </w:rPr>
        <w:t>. Are there any criteria for social assistance? Can a rights holder benefit from both the loan and rental assistance stipulated by law?</w:t>
      </w:r>
    </w:p>
    <w:p w14:paraId="63079AE5" w14:textId="560DDB74" w:rsidR="000D0CCC" w:rsidRPr="00037983" w:rsidRDefault="000D0CCC" w:rsidP="000D0CCC">
      <w:pPr>
        <w:ind w:left="0" w:right="-2"/>
        <w:rPr>
          <w:lang w:val="en-US"/>
        </w:rPr>
      </w:pPr>
      <w:r w:rsidRPr="00037983">
        <w:rPr>
          <w:lang w:val="en-US"/>
        </w:rPr>
        <w:t>Rights holders may benefit from both the loan and rental assistance</w:t>
      </w:r>
      <w:r w:rsidR="00041D53">
        <w:rPr>
          <w:lang w:val="en-US"/>
        </w:rPr>
        <w:t xml:space="preserve"> simultaneously.</w:t>
      </w:r>
    </w:p>
    <w:p w14:paraId="35CE2F9D" w14:textId="6CA8DCA9" w:rsidR="000D0CCC" w:rsidRPr="00037983" w:rsidRDefault="00C93F0C" w:rsidP="000D0CCC">
      <w:pPr>
        <w:ind w:left="0" w:right="-2"/>
        <w:rPr>
          <w:lang w:val="en-US"/>
        </w:rPr>
      </w:pPr>
      <w:r>
        <w:rPr>
          <w:b/>
          <w:bCs/>
          <w:lang w:val="en-US"/>
        </w:rPr>
        <w:t>18</w:t>
      </w:r>
      <w:r w:rsidR="000D0CCC" w:rsidRPr="00037983">
        <w:rPr>
          <w:b/>
          <w:bCs/>
          <w:lang w:val="en-US"/>
        </w:rPr>
        <w:t>. What are the permitted working hours for construction activities carried out in residential areas?</w:t>
      </w:r>
    </w:p>
    <w:p w14:paraId="42056D81" w14:textId="25263256" w:rsidR="000D0CCC" w:rsidRPr="00037983" w:rsidRDefault="000D0CCC" w:rsidP="000D0CCC">
      <w:pPr>
        <w:ind w:left="0" w:right="-2"/>
        <w:rPr>
          <w:lang w:val="en-US"/>
        </w:rPr>
      </w:pPr>
      <w:r w:rsidRPr="00037983">
        <w:rPr>
          <w:lang w:val="en-US"/>
        </w:rPr>
        <w:t xml:space="preserve">Construction activities are carried out within the working hours determined by the relevant </w:t>
      </w:r>
      <w:r w:rsidR="00BD5D7E">
        <w:rPr>
          <w:lang w:val="en-US"/>
        </w:rPr>
        <w:t>local authorities</w:t>
      </w:r>
      <w:r w:rsidRPr="00037983">
        <w:rPr>
          <w:lang w:val="en-US"/>
        </w:rPr>
        <w:t>.</w:t>
      </w:r>
      <w:r w:rsidR="00BD5D7E">
        <w:rPr>
          <w:lang w:val="en-US"/>
        </w:rPr>
        <w:t xml:space="preserve"> However, the citizens living nearby the project sites would be free to use the Grievance Mechanism when they are disturbed by noise or dust.</w:t>
      </w:r>
    </w:p>
    <w:p w14:paraId="6546D50A" w14:textId="6A077DD1" w:rsidR="000D0CCC" w:rsidRPr="00037983" w:rsidRDefault="00C93F0C" w:rsidP="000D0CCC">
      <w:pPr>
        <w:ind w:left="0" w:right="-2"/>
        <w:rPr>
          <w:lang w:val="en-US"/>
        </w:rPr>
      </w:pPr>
      <w:r>
        <w:rPr>
          <w:b/>
          <w:bCs/>
          <w:lang w:val="en-US"/>
        </w:rPr>
        <w:t>19</w:t>
      </w:r>
      <w:r w:rsidR="000D0CCC" w:rsidRPr="00037983">
        <w:rPr>
          <w:b/>
          <w:bCs/>
          <w:lang w:val="en-US"/>
        </w:rPr>
        <w:t xml:space="preserve">. </w:t>
      </w:r>
      <w:r w:rsidR="00EE2AC2">
        <w:rPr>
          <w:b/>
          <w:bCs/>
          <w:lang w:val="en-US"/>
        </w:rPr>
        <w:t>Is the Project</w:t>
      </w:r>
      <w:r w:rsidR="000D0CCC" w:rsidRPr="00037983">
        <w:rPr>
          <w:b/>
          <w:bCs/>
          <w:lang w:val="en-US"/>
        </w:rPr>
        <w:t xml:space="preserve"> applicable </w:t>
      </w:r>
      <w:r w:rsidR="00EE2AC2">
        <w:rPr>
          <w:b/>
          <w:bCs/>
          <w:lang w:val="en-US"/>
        </w:rPr>
        <w:t>for the</w:t>
      </w:r>
      <w:r w:rsidR="00EE2AC2" w:rsidRPr="00037983">
        <w:rPr>
          <w:b/>
          <w:bCs/>
          <w:lang w:val="en-US"/>
        </w:rPr>
        <w:t xml:space="preserve"> </w:t>
      </w:r>
      <w:r w:rsidR="000D0CCC" w:rsidRPr="00037983">
        <w:rPr>
          <w:b/>
          <w:bCs/>
          <w:lang w:val="en-US"/>
        </w:rPr>
        <w:t xml:space="preserve">newly constructed buildings or </w:t>
      </w:r>
      <w:r w:rsidR="00EE2AC2">
        <w:rPr>
          <w:b/>
          <w:bCs/>
          <w:lang w:val="en-US"/>
        </w:rPr>
        <w:t>just</w:t>
      </w:r>
      <w:r w:rsidR="00EE2AC2" w:rsidRPr="00037983">
        <w:rPr>
          <w:b/>
          <w:bCs/>
          <w:lang w:val="en-US"/>
        </w:rPr>
        <w:t xml:space="preserve"> </w:t>
      </w:r>
      <w:r w:rsidR="000D0CCC" w:rsidRPr="00037983">
        <w:rPr>
          <w:b/>
          <w:bCs/>
          <w:lang w:val="en-US"/>
        </w:rPr>
        <w:t>demolished buildings?</w:t>
      </w:r>
    </w:p>
    <w:p w14:paraId="5E968573" w14:textId="6DF3A352" w:rsidR="000B7CBB" w:rsidRPr="00037983" w:rsidRDefault="000B7CBB" w:rsidP="000D0CCC">
      <w:pPr>
        <w:ind w:left="0" w:right="-2"/>
        <w:rPr>
          <w:lang w:val="en-US"/>
        </w:rPr>
      </w:pPr>
      <w:r w:rsidRPr="00037983">
        <w:rPr>
          <w:lang w:val="en-US"/>
        </w:rPr>
        <w:t>The Project is implemented within the scope of the transformation of risky buildings.</w:t>
      </w:r>
    </w:p>
    <w:p w14:paraId="058654D9" w14:textId="3C72A28D" w:rsidR="000D0CCC" w:rsidRPr="00037983" w:rsidRDefault="000D0CCC" w:rsidP="000D0CCC">
      <w:pPr>
        <w:ind w:left="0" w:right="-2"/>
        <w:rPr>
          <w:b/>
          <w:bCs/>
          <w:lang w:val="en-US"/>
        </w:rPr>
      </w:pPr>
      <w:r w:rsidRPr="00037983">
        <w:rPr>
          <w:b/>
          <w:bCs/>
          <w:lang w:val="en-US"/>
        </w:rPr>
        <w:t>2</w:t>
      </w:r>
      <w:r w:rsidR="00C93F0C">
        <w:rPr>
          <w:b/>
          <w:bCs/>
          <w:lang w:val="en-US"/>
        </w:rPr>
        <w:t>0</w:t>
      </w:r>
      <w:r w:rsidRPr="00037983">
        <w:rPr>
          <w:b/>
          <w:bCs/>
          <w:lang w:val="en-US"/>
        </w:rPr>
        <w:t>. If the building is very old and derelict, is it possible to avoid conducting a risk assessment?</w:t>
      </w:r>
    </w:p>
    <w:p w14:paraId="192D7C7D" w14:textId="5C0D13C2" w:rsidR="000B7CBB" w:rsidRPr="00037983" w:rsidRDefault="000B7CBB" w:rsidP="000D0CCC">
      <w:pPr>
        <w:ind w:left="0" w:right="-2"/>
        <w:rPr>
          <w:lang w:val="en-US"/>
        </w:rPr>
      </w:pPr>
      <w:r w:rsidRPr="00037983">
        <w:rPr>
          <w:lang w:val="en-US"/>
        </w:rPr>
        <w:t>The fact that a building is derelict does not eliminate the obligation to carry out a risk assessment.</w:t>
      </w:r>
    </w:p>
    <w:p w14:paraId="5F3535AA" w14:textId="14D2DD15" w:rsidR="000D0CCC" w:rsidRPr="00037983" w:rsidRDefault="000D0CCC" w:rsidP="000D0CCC">
      <w:pPr>
        <w:ind w:left="0" w:right="-2"/>
        <w:rPr>
          <w:lang w:val="en-US"/>
        </w:rPr>
      </w:pPr>
      <w:r w:rsidRPr="00037983">
        <w:rPr>
          <w:b/>
          <w:bCs/>
          <w:lang w:val="en-US"/>
        </w:rPr>
        <w:t>2</w:t>
      </w:r>
      <w:r w:rsidR="00C93F0C">
        <w:rPr>
          <w:b/>
          <w:bCs/>
          <w:lang w:val="en-US"/>
        </w:rPr>
        <w:t>1</w:t>
      </w:r>
      <w:r w:rsidRPr="00037983">
        <w:rPr>
          <w:b/>
          <w:bCs/>
          <w:lang w:val="en-US"/>
        </w:rPr>
        <w:t>. For which types of buildings can a risk assessment be conducted?</w:t>
      </w:r>
    </w:p>
    <w:p w14:paraId="355BF1A1" w14:textId="4F9C6681" w:rsidR="000B7CBB" w:rsidRPr="00037983" w:rsidRDefault="000B7CBB" w:rsidP="000D0CCC">
      <w:pPr>
        <w:ind w:left="0" w:right="-2"/>
        <w:rPr>
          <w:lang w:val="en-US"/>
        </w:rPr>
      </w:pPr>
      <w:r w:rsidRPr="00037983">
        <w:rPr>
          <w:lang w:val="en-US"/>
        </w:rPr>
        <w:t>A risk assessment may be carried out for buildings used as residential or commercial units, or for such purposes, that have reinforced concrete, masonry, or similar structural systems. In short, a risk assessment can be conducted for structures that are in use or occupied and that qualify as buildings.</w:t>
      </w:r>
    </w:p>
    <w:p w14:paraId="15F1EA20" w14:textId="31D56A9C" w:rsidR="000D0CCC" w:rsidRPr="00037983" w:rsidRDefault="002A5B07" w:rsidP="000D0CCC">
      <w:pPr>
        <w:ind w:left="0" w:right="-2"/>
        <w:rPr>
          <w:lang w:val="en-US"/>
        </w:rPr>
      </w:pPr>
      <w:r w:rsidRPr="00037983">
        <w:rPr>
          <w:b/>
          <w:bCs/>
          <w:lang w:val="en-US"/>
        </w:rPr>
        <w:t>2</w:t>
      </w:r>
      <w:r w:rsidR="00C93F0C">
        <w:rPr>
          <w:b/>
          <w:bCs/>
          <w:lang w:val="en-US"/>
        </w:rPr>
        <w:t>2</w:t>
      </w:r>
      <w:r w:rsidR="000D0CCC" w:rsidRPr="00037983">
        <w:rPr>
          <w:b/>
          <w:bCs/>
          <w:lang w:val="en-US"/>
        </w:rPr>
        <w:t>. I live in a 30-year-old, four-</w:t>
      </w:r>
      <w:proofErr w:type="spellStart"/>
      <w:r w:rsidR="000D0CCC" w:rsidRPr="00037983">
        <w:rPr>
          <w:b/>
          <w:bCs/>
          <w:lang w:val="en-US"/>
        </w:rPr>
        <w:t>storey</w:t>
      </w:r>
      <w:proofErr w:type="spellEnd"/>
      <w:r w:rsidR="000D0CCC" w:rsidRPr="00037983">
        <w:rPr>
          <w:b/>
          <w:bCs/>
          <w:lang w:val="en-US"/>
        </w:rPr>
        <w:t xml:space="preserve"> </w:t>
      </w:r>
      <w:r w:rsidR="007263FE">
        <w:rPr>
          <w:b/>
          <w:bCs/>
          <w:lang w:val="en-US"/>
        </w:rPr>
        <w:t xml:space="preserve">building </w:t>
      </w:r>
      <w:r w:rsidR="000D0CCC" w:rsidRPr="00037983">
        <w:rPr>
          <w:b/>
          <w:bCs/>
          <w:lang w:val="en-US"/>
        </w:rPr>
        <w:t xml:space="preserve">with 48 </w:t>
      </w:r>
      <w:r w:rsidR="007263FE">
        <w:rPr>
          <w:b/>
          <w:bCs/>
          <w:lang w:val="en-US"/>
        </w:rPr>
        <w:t>residential units</w:t>
      </w:r>
      <w:r w:rsidR="000D0CCC" w:rsidRPr="00037983">
        <w:rPr>
          <w:b/>
          <w:bCs/>
          <w:lang w:val="en-US"/>
        </w:rPr>
        <w:t>. Both the cost and feasibility of this Project seem unrealistic for us. Will there be alternative solutions for those with limited financial capacity?</w:t>
      </w:r>
    </w:p>
    <w:p w14:paraId="145BC23C" w14:textId="5B51120E" w:rsidR="000B7CBB" w:rsidRPr="00037983" w:rsidRDefault="007263FE" w:rsidP="000D0CCC">
      <w:pPr>
        <w:ind w:left="0" w:right="-2"/>
        <w:rPr>
          <w:lang w:val="en-US"/>
        </w:rPr>
      </w:pPr>
      <w:r>
        <w:rPr>
          <w:lang w:val="en-US"/>
        </w:rPr>
        <w:t>Additional i</w:t>
      </w:r>
      <w:r w:rsidR="000D0CCC" w:rsidRPr="00037983">
        <w:rPr>
          <w:lang w:val="en-US"/>
        </w:rPr>
        <w:t xml:space="preserve">nterest rate </w:t>
      </w:r>
      <w:r>
        <w:rPr>
          <w:lang w:val="en-US"/>
        </w:rPr>
        <w:t>discounts</w:t>
      </w:r>
      <w:r w:rsidRPr="00037983">
        <w:rPr>
          <w:lang w:val="en-US"/>
        </w:rPr>
        <w:t xml:space="preserve"> </w:t>
      </w:r>
      <w:r w:rsidR="000D0CCC" w:rsidRPr="00037983">
        <w:rPr>
          <w:lang w:val="en-US"/>
        </w:rPr>
        <w:t xml:space="preserve">have been defined to enable rights holders with limited financial capacity to participate in the process. </w:t>
      </w:r>
      <w:r>
        <w:rPr>
          <w:lang w:val="en-US"/>
        </w:rPr>
        <w:t xml:space="preserve">The households with income below the </w:t>
      </w:r>
      <w:r>
        <w:rPr>
          <w:lang w:val="en-US"/>
        </w:rPr>
        <w:lastRenderedPageBreak/>
        <w:t>designated level for Category II are eligible for ab</w:t>
      </w:r>
      <w:r w:rsidR="000D0CCC" w:rsidRPr="00037983">
        <w:rPr>
          <w:lang w:val="en-US"/>
        </w:rPr>
        <w:t xml:space="preserve"> additional annual interest rate </w:t>
      </w:r>
      <w:r>
        <w:rPr>
          <w:lang w:val="en-US"/>
        </w:rPr>
        <w:t>discount</w:t>
      </w:r>
      <w:r w:rsidRPr="00037983">
        <w:rPr>
          <w:lang w:val="en-US"/>
        </w:rPr>
        <w:t xml:space="preserve"> </w:t>
      </w:r>
      <w:r w:rsidR="000D0CCC" w:rsidRPr="00037983">
        <w:rPr>
          <w:lang w:val="en-US"/>
        </w:rPr>
        <w:t xml:space="preserve">of 0.25. </w:t>
      </w:r>
    </w:p>
    <w:p w14:paraId="7CAF945B" w14:textId="4084E214" w:rsidR="000D0CCC" w:rsidRPr="00037983" w:rsidRDefault="000D0CCC" w:rsidP="000D0CCC">
      <w:pPr>
        <w:ind w:left="0" w:right="-2"/>
        <w:rPr>
          <w:lang w:val="en-US"/>
        </w:rPr>
      </w:pPr>
      <w:r w:rsidRPr="00037983">
        <w:rPr>
          <w:lang w:val="en-US"/>
        </w:rPr>
        <w:t xml:space="preserve">These benefits are available to rights holders who do not own any other residential unit besides the one in the risky building, retirees, the families of martyrs, </w:t>
      </w:r>
      <w:r w:rsidR="0017285F">
        <w:rPr>
          <w:lang w:val="en-US"/>
        </w:rPr>
        <w:t>the households with</w:t>
      </w:r>
      <w:r w:rsidRPr="00037983">
        <w:rPr>
          <w:lang w:val="en-US"/>
        </w:rPr>
        <w:t xml:space="preserve"> disabled members</w:t>
      </w:r>
      <w:r w:rsidR="0017285F">
        <w:rPr>
          <w:lang w:val="en-US"/>
        </w:rPr>
        <w:t xml:space="preserve"> and female-headed households.</w:t>
      </w:r>
      <w:r w:rsidRPr="00037983">
        <w:rPr>
          <w:lang w:val="en-US"/>
        </w:rPr>
        <w:t xml:space="preserve"> </w:t>
      </w:r>
    </w:p>
    <w:p w14:paraId="76DB52E1" w14:textId="44E1E9AA" w:rsidR="000D0CCC" w:rsidRPr="00037983" w:rsidRDefault="002A5B07" w:rsidP="000D0CCC">
      <w:pPr>
        <w:ind w:left="0" w:right="-2"/>
        <w:rPr>
          <w:lang w:val="en-US"/>
        </w:rPr>
      </w:pPr>
      <w:r w:rsidRPr="00037983">
        <w:rPr>
          <w:b/>
          <w:bCs/>
          <w:lang w:val="en-US"/>
        </w:rPr>
        <w:t>2</w:t>
      </w:r>
      <w:r w:rsidR="00C93F0C">
        <w:rPr>
          <w:b/>
          <w:bCs/>
          <w:lang w:val="en-US"/>
        </w:rPr>
        <w:t>3</w:t>
      </w:r>
      <w:r w:rsidR="000D0CCC" w:rsidRPr="00037983">
        <w:rPr>
          <w:b/>
          <w:bCs/>
          <w:lang w:val="en-US"/>
        </w:rPr>
        <w:t>. Can I benefit from this loan if there is no building on my land?</w:t>
      </w:r>
    </w:p>
    <w:p w14:paraId="5284752A" w14:textId="45787F5E" w:rsidR="000D0CCC" w:rsidRPr="00037983" w:rsidRDefault="000D0CCC" w:rsidP="000D0CCC">
      <w:pPr>
        <w:ind w:left="0" w:right="-2"/>
        <w:rPr>
          <w:lang w:val="en-US"/>
        </w:rPr>
      </w:pPr>
      <w:r w:rsidRPr="00037983">
        <w:rPr>
          <w:lang w:val="en-US"/>
        </w:rPr>
        <w:t xml:space="preserve">No. Only real property owners with a building identified as a risky structure under Law No. 6306 are eligible for this loan. </w:t>
      </w:r>
    </w:p>
    <w:p w14:paraId="3E8FAA85" w14:textId="29CDF4C7" w:rsidR="000D0CCC" w:rsidRPr="00037983" w:rsidRDefault="00164F98" w:rsidP="000D0CCC">
      <w:pPr>
        <w:ind w:left="0" w:right="-2"/>
        <w:rPr>
          <w:lang w:val="en-US"/>
        </w:rPr>
      </w:pPr>
      <w:r w:rsidRPr="00037983">
        <w:rPr>
          <w:b/>
          <w:bCs/>
          <w:lang w:val="en-US"/>
        </w:rPr>
        <w:t>2</w:t>
      </w:r>
      <w:r w:rsidR="00C93F0C">
        <w:rPr>
          <w:b/>
          <w:bCs/>
          <w:lang w:val="en-US"/>
        </w:rPr>
        <w:t>4</w:t>
      </w:r>
      <w:r w:rsidR="000D0CCC" w:rsidRPr="00037983">
        <w:rPr>
          <w:b/>
          <w:bCs/>
          <w:lang w:val="en-US"/>
        </w:rPr>
        <w:t xml:space="preserve">. Will an office be opened in </w:t>
      </w:r>
      <w:proofErr w:type="spellStart"/>
      <w:r w:rsidR="000D0CCC" w:rsidRPr="00037983">
        <w:rPr>
          <w:b/>
          <w:bCs/>
          <w:lang w:val="en-US"/>
        </w:rPr>
        <w:t>Sakarya</w:t>
      </w:r>
      <w:proofErr w:type="spellEnd"/>
      <w:r w:rsidR="000D0CCC" w:rsidRPr="00037983">
        <w:rPr>
          <w:b/>
          <w:bCs/>
          <w:lang w:val="en-US"/>
        </w:rPr>
        <w:t xml:space="preserve"> under this Project?</w:t>
      </w:r>
    </w:p>
    <w:p w14:paraId="288D7720" w14:textId="5D343DD9" w:rsidR="000D0CCC" w:rsidRPr="00037983" w:rsidRDefault="000D0CCC" w:rsidP="000D0CCC">
      <w:pPr>
        <w:ind w:left="0" w:right="-2"/>
        <w:rPr>
          <w:lang w:val="en-US"/>
        </w:rPr>
      </w:pPr>
      <w:r w:rsidRPr="00037983">
        <w:rPr>
          <w:lang w:val="en-US"/>
        </w:rPr>
        <w:t xml:space="preserve">Information regarding the project’s implementation and office locations will be shared with the public through official announcements by the </w:t>
      </w:r>
      <w:r w:rsidR="00D26B5F">
        <w:rPr>
          <w:lang w:val="en-US"/>
        </w:rPr>
        <w:t>UTP.</w:t>
      </w:r>
    </w:p>
    <w:p w14:paraId="561FD30D" w14:textId="383A226C" w:rsidR="000D0CCC" w:rsidRPr="00037983" w:rsidRDefault="00164F98" w:rsidP="000D0CCC">
      <w:pPr>
        <w:ind w:left="0" w:right="-2"/>
        <w:rPr>
          <w:lang w:val="en-US"/>
        </w:rPr>
      </w:pPr>
      <w:r w:rsidRPr="00037983">
        <w:rPr>
          <w:b/>
          <w:bCs/>
          <w:lang w:val="en-US"/>
        </w:rPr>
        <w:t>2</w:t>
      </w:r>
      <w:r w:rsidR="00C93F0C">
        <w:rPr>
          <w:b/>
          <w:bCs/>
          <w:lang w:val="en-US"/>
        </w:rPr>
        <w:t>5</w:t>
      </w:r>
      <w:r w:rsidR="000D0CCC" w:rsidRPr="00037983">
        <w:rPr>
          <w:b/>
          <w:bCs/>
          <w:lang w:val="en-US"/>
        </w:rPr>
        <w:t>. Can only one block of a site consisting of 8 blocks on a single parcel undergo urban transformation?</w:t>
      </w:r>
      <w:r w:rsidR="000D0CCC" w:rsidRPr="00037983">
        <w:rPr>
          <w:lang w:val="en-US"/>
        </w:rPr>
        <w:br/>
      </w:r>
      <w:r w:rsidRPr="00037983">
        <w:rPr>
          <w:lang w:val="en-US"/>
        </w:rPr>
        <w:t>T</w:t>
      </w:r>
      <w:r w:rsidR="000D0CCC" w:rsidRPr="00037983">
        <w:rPr>
          <w:lang w:val="en-US"/>
        </w:rPr>
        <w:t>his is possible. In a site located on a single parcel, if the blocks are licensed as separate structures and each has its own Building Identification Number (BIN), only the block</w:t>
      </w:r>
      <w:r w:rsidR="003478AD">
        <w:rPr>
          <w:lang w:val="en-US"/>
        </w:rPr>
        <w:t>s</w:t>
      </w:r>
      <w:r w:rsidR="000D0CCC" w:rsidRPr="00037983">
        <w:rPr>
          <w:lang w:val="en-US"/>
        </w:rPr>
        <w:t xml:space="preserve"> for which risk assessment</w:t>
      </w:r>
      <w:r w:rsidR="003478AD">
        <w:rPr>
          <w:lang w:val="en-US"/>
        </w:rPr>
        <w:t>s</w:t>
      </w:r>
      <w:r w:rsidR="000D0CCC" w:rsidRPr="00037983">
        <w:rPr>
          <w:lang w:val="en-US"/>
        </w:rPr>
        <w:t xml:space="preserve"> ha</w:t>
      </w:r>
      <w:r w:rsidR="003478AD">
        <w:rPr>
          <w:lang w:val="en-US"/>
        </w:rPr>
        <w:t>ve</w:t>
      </w:r>
      <w:r w:rsidR="000D0CCC" w:rsidRPr="00037983">
        <w:rPr>
          <w:lang w:val="en-US"/>
        </w:rPr>
        <w:t xml:space="preserve"> been conducted can be included in the </w:t>
      </w:r>
      <w:r w:rsidR="003478AD">
        <w:rPr>
          <w:lang w:val="en-US"/>
        </w:rPr>
        <w:t>Project.</w:t>
      </w:r>
    </w:p>
    <w:p w14:paraId="1DF07E0E" w14:textId="29475750" w:rsidR="000D0CCC" w:rsidRPr="00037983" w:rsidRDefault="00164F98" w:rsidP="000D0CCC">
      <w:pPr>
        <w:ind w:left="0" w:right="-2"/>
        <w:rPr>
          <w:lang w:val="en-US"/>
        </w:rPr>
      </w:pPr>
      <w:r w:rsidRPr="00037983">
        <w:rPr>
          <w:b/>
          <w:bCs/>
          <w:lang w:val="en-US"/>
        </w:rPr>
        <w:t>2</w:t>
      </w:r>
      <w:r w:rsidR="00C93F0C">
        <w:rPr>
          <w:b/>
          <w:bCs/>
          <w:lang w:val="en-US"/>
        </w:rPr>
        <w:t>6</w:t>
      </w:r>
      <w:r w:rsidR="000D0CCC" w:rsidRPr="00037983">
        <w:rPr>
          <w:b/>
          <w:bCs/>
          <w:lang w:val="en-US"/>
        </w:rPr>
        <w:t>. My land is located within a 2-hectare area and includes one residence and one barn. We are five siblings as shareholders. At what rate can we benefit from the loan?</w:t>
      </w:r>
    </w:p>
    <w:p w14:paraId="58B94E8D" w14:textId="33E0065B" w:rsidR="00164F98" w:rsidRPr="00037983" w:rsidRDefault="00164F98" w:rsidP="000D0CCC">
      <w:pPr>
        <w:ind w:left="0" w:right="-2"/>
        <w:rPr>
          <w:lang w:val="en-US"/>
        </w:rPr>
      </w:pPr>
      <w:r w:rsidRPr="00037983">
        <w:rPr>
          <w:lang w:val="en-US"/>
        </w:rPr>
        <w:t>The loan utilization rate is determined based on the number of independent units belonging to the residential building identified as a risky structure and the land share (ownership share) of the rights holders; structures that do not qualify as independent units are not included in the loan calculation.</w:t>
      </w:r>
    </w:p>
    <w:p w14:paraId="33E281A1" w14:textId="30ED55E1" w:rsidR="000D0CCC" w:rsidRPr="00037983" w:rsidRDefault="00164F98" w:rsidP="000D0CCC">
      <w:pPr>
        <w:ind w:left="0" w:right="-2"/>
        <w:rPr>
          <w:lang w:val="en-US"/>
        </w:rPr>
      </w:pPr>
      <w:r w:rsidRPr="00037983">
        <w:rPr>
          <w:b/>
          <w:bCs/>
          <w:lang w:val="en-US"/>
        </w:rPr>
        <w:t>2</w:t>
      </w:r>
      <w:r w:rsidR="00C93F0C">
        <w:rPr>
          <w:b/>
          <w:bCs/>
          <w:lang w:val="en-US"/>
        </w:rPr>
        <w:t>7</w:t>
      </w:r>
      <w:r w:rsidR="000D0CCC" w:rsidRPr="00037983">
        <w:rPr>
          <w:b/>
          <w:bCs/>
          <w:lang w:val="en-US"/>
        </w:rPr>
        <w:t>. How will inspections be carried out during the construction process?</w:t>
      </w:r>
    </w:p>
    <w:p w14:paraId="1393D9CE" w14:textId="55760C97" w:rsidR="000D0CCC" w:rsidRPr="00037983" w:rsidRDefault="000D0CCC" w:rsidP="000D0CCC">
      <w:pPr>
        <w:ind w:left="0" w:right="-2"/>
        <w:rPr>
          <w:lang w:val="en-US"/>
        </w:rPr>
      </w:pPr>
      <w:r w:rsidRPr="00037983">
        <w:rPr>
          <w:lang w:val="en-US"/>
        </w:rPr>
        <w:t xml:space="preserve">The construction process is subject to the standard building inspection system as required by legislation. In addition, </w:t>
      </w:r>
      <w:r w:rsidR="00082B3E">
        <w:rPr>
          <w:lang w:val="en-US"/>
        </w:rPr>
        <w:t>construction activities a</w:t>
      </w:r>
      <w:r w:rsidRPr="00037983">
        <w:rPr>
          <w:lang w:val="en-US"/>
        </w:rPr>
        <w:t xml:space="preserve">re monitored by the </w:t>
      </w:r>
      <w:r w:rsidR="00082B3E">
        <w:rPr>
          <w:lang w:val="en-US"/>
        </w:rPr>
        <w:t>UTP PMU and the Legal and Technical Consulted Team it assigned</w:t>
      </w:r>
      <w:r w:rsidR="00082B3E" w:rsidRPr="00037983">
        <w:rPr>
          <w:lang w:val="en-US"/>
        </w:rPr>
        <w:t xml:space="preserve"> </w:t>
      </w:r>
      <w:r w:rsidR="00082B3E">
        <w:rPr>
          <w:lang w:val="en-US"/>
        </w:rPr>
        <w:t>for compliance.</w:t>
      </w:r>
    </w:p>
    <w:p w14:paraId="2A175EEC" w14:textId="73C2CD84" w:rsidR="000D0CCC" w:rsidRPr="00037983" w:rsidRDefault="00C93F0C" w:rsidP="000D0CCC">
      <w:pPr>
        <w:ind w:left="0" w:right="-2"/>
        <w:rPr>
          <w:lang w:val="en-US"/>
        </w:rPr>
      </w:pPr>
      <w:r>
        <w:rPr>
          <w:b/>
          <w:bCs/>
          <w:lang w:val="en-US"/>
        </w:rPr>
        <w:lastRenderedPageBreak/>
        <w:t>28</w:t>
      </w:r>
      <w:r w:rsidR="000D0CCC" w:rsidRPr="00037983">
        <w:rPr>
          <w:b/>
          <w:bCs/>
          <w:lang w:val="en-US"/>
        </w:rPr>
        <w:t xml:space="preserve">. Are the mentioned projects applicable in </w:t>
      </w:r>
      <w:r w:rsidR="00EC0203">
        <w:rPr>
          <w:b/>
          <w:bCs/>
          <w:lang w:val="en-US"/>
        </w:rPr>
        <w:t xml:space="preserve">urban </w:t>
      </w:r>
      <w:r w:rsidR="000D0CCC" w:rsidRPr="00037983">
        <w:rPr>
          <w:b/>
          <w:bCs/>
          <w:lang w:val="en-US"/>
        </w:rPr>
        <w:t>neighborhoods, and will there also be activities in rural areas?</w:t>
      </w:r>
    </w:p>
    <w:p w14:paraId="0F5C66EF" w14:textId="095D13C6" w:rsidR="000D0CCC" w:rsidRPr="00037983" w:rsidRDefault="000D0CCC" w:rsidP="000D0CCC">
      <w:pPr>
        <w:ind w:left="0" w:right="-2"/>
        <w:rPr>
          <w:lang w:val="en-US"/>
        </w:rPr>
      </w:pPr>
      <w:r w:rsidRPr="00037983">
        <w:rPr>
          <w:lang w:val="en-US"/>
        </w:rPr>
        <w:t>Buildings that meet the conditions specified in the Guidelines and are identified as risky under Law No. 6306 can be considered within the scope of the Project, regardless of the type of settlement.</w:t>
      </w:r>
    </w:p>
    <w:p w14:paraId="6088148B" w14:textId="7C8CE68D" w:rsidR="000D0CCC" w:rsidRPr="00037983" w:rsidRDefault="00C93F0C" w:rsidP="000D0CCC">
      <w:pPr>
        <w:ind w:left="0" w:right="-2"/>
        <w:rPr>
          <w:lang w:val="en-US"/>
        </w:rPr>
      </w:pPr>
      <w:r>
        <w:rPr>
          <w:b/>
          <w:bCs/>
          <w:lang w:val="en-US"/>
        </w:rPr>
        <w:t>29</w:t>
      </w:r>
      <w:r w:rsidR="000D0CCC" w:rsidRPr="00037983">
        <w:rPr>
          <w:b/>
          <w:bCs/>
          <w:lang w:val="en-US"/>
        </w:rPr>
        <w:t>. Is it mandatory for all rights holders</w:t>
      </w:r>
      <w:r w:rsidR="00EC0203">
        <w:rPr>
          <w:b/>
          <w:bCs/>
          <w:lang w:val="en-US"/>
        </w:rPr>
        <w:t xml:space="preserve"> in a building to be transformed under the CDRC Project</w:t>
      </w:r>
      <w:r w:rsidR="000D0CCC" w:rsidRPr="00037983">
        <w:rPr>
          <w:b/>
          <w:bCs/>
          <w:lang w:val="en-US"/>
        </w:rPr>
        <w:t xml:space="preserve"> to use the loan?</w:t>
      </w:r>
    </w:p>
    <w:p w14:paraId="67964A69" w14:textId="7BA22596" w:rsidR="00F14229" w:rsidRPr="00037983" w:rsidRDefault="00F14229" w:rsidP="000D0CCC">
      <w:pPr>
        <w:ind w:left="0" w:right="-2"/>
        <w:rPr>
          <w:lang w:val="en-US"/>
        </w:rPr>
      </w:pPr>
      <w:r w:rsidRPr="00037983">
        <w:rPr>
          <w:lang w:val="en-US"/>
        </w:rPr>
        <w:t>It is not mandatory for all rights holders to utilize the loan.</w:t>
      </w:r>
    </w:p>
    <w:p w14:paraId="2D29D17E" w14:textId="28A1BEF4" w:rsidR="000D0CCC" w:rsidRPr="00037983" w:rsidRDefault="0055562E" w:rsidP="000D0CCC">
      <w:pPr>
        <w:ind w:left="0" w:right="-2"/>
        <w:rPr>
          <w:lang w:val="en-US"/>
        </w:rPr>
      </w:pPr>
      <w:r w:rsidRPr="00037983">
        <w:rPr>
          <w:b/>
          <w:bCs/>
          <w:lang w:val="en-US"/>
        </w:rPr>
        <w:t>3</w:t>
      </w:r>
      <w:r w:rsidR="00C93F0C">
        <w:rPr>
          <w:b/>
          <w:bCs/>
          <w:lang w:val="en-US"/>
        </w:rPr>
        <w:t>0</w:t>
      </w:r>
      <w:r w:rsidR="000D0CCC" w:rsidRPr="00037983">
        <w:rPr>
          <w:b/>
          <w:bCs/>
          <w:lang w:val="en-US"/>
        </w:rPr>
        <w:t>. I own more than one independent unit. Can I use a separate loan for each unit?</w:t>
      </w:r>
    </w:p>
    <w:p w14:paraId="4DA78B59" w14:textId="3A708E47" w:rsidR="0055562E" w:rsidRPr="00037983" w:rsidRDefault="0055562E" w:rsidP="000D0CCC">
      <w:pPr>
        <w:ind w:left="0" w:right="-2"/>
        <w:rPr>
          <w:lang w:val="en-US"/>
        </w:rPr>
      </w:pPr>
      <w:r w:rsidRPr="00037983">
        <w:rPr>
          <w:lang w:val="en-US"/>
        </w:rPr>
        <w:t xml:space="preserve">Each rights holder may </w:t>
      </w:r>
      <w:r w:rsidR="004457E6">
        <w:rPr>
          <w:lang w:val="en-US"/>
        </w:rPr>
        <w:t>benefit from the Project for one risky unit.</w:t>
      </w:r>
    </w:p>
    <w:p w14:paraId="345DD264" w14:textId="5E458A71" w:rsidR="000D0CCC" w:rsidRPr="00037983" w:rsidRDefault="0055562E" w:rsidP="000D0CCC">
      <w:pPr>
        <w:ind w:left="0" w:right="-2"/>
        <w:rPr>
          <w:lang w:val="en-US"/>
        </w:rPr>
      </w:pPr>
      <w:r w:rsidRPr="00037983">
        <w:rPr>
          <w:b/>
          <w:bCs/>
          <w:lang w:val="en-US"/>
        </w:rPr>
        <w:t>3</w:t>
      </w:r>
      <w:r w:rsidR="00C93F0C">
        <w:rPr>
          <w:b/>
          <w:bCs/>
          <w:lang w:val="en-US"/>
        </w:rPr>
        <w:t>1</w:t>
      </w:r>
      <w:r w:rsidR="000D0CCC" w:rsidRPr="00037983">
        <w:rPr>
          <w:b/>
          <w:bCs/>
          <w:lang w:val="en-US"/>
        </w:rPr>
        <w:t xml:space="preserve">. Is the risky building </w:t>
      </w:r>
      <w:r w:rsidR="004457E6">
        <w:rPr>
          <w:b/>
          <w:bCs/>
          <w:lang w:val="en-US"/>
        </w:rPr>
        <w:t>assessment</w:t>
      </w:r>
      <w:r w:rsidR="004457E6" w:rsidRPr="00037983">
        <w:rPr>
          <w:b/>
          <w:bCs/>
          <w:lang w:val="en-US"/>
        </w:rPr>
        <w:t xml:space="preserve"> </w:t>
      </w:r>
      <w:r w:rsidR="000D0CCC" w:rsidRPr="00037983">
        <w:rPr>
          <w:b/>
          <w:bCs/>
          <w:lang w:val="en-US"/>
        </w:rPr>
        <w:t>carried out by the rights holders?</w:t>
      </w:r>
    </w:p>
    <w:p w14:paraId="759BE28F" w14:textId="2CDCFD40" w:rsidR="000D0CCC" w:rsidRPr="00037983" w:rsidRDefault="000D0CCC" w:rsidP="000D0CCC">
      <w:pPr>
        <w:ind w:left="0" w:right="-2"/>
        <w:rPr>
          <w:lang w:val="en-US"/>
        </w:rPr>
      </w:pPr>
      <w:r w:rsidRPr="00037983">
        <w:rPr>
          <w:lang w:val="en-US"/>
        </w:rPr>
        <w:t xml:space="preserve">Risk assessment is </w:t>
      </w:r>
      <w:r w:rsidR="004457E6">
        <w:rPr>
          <w:lang w:val="en-US"/>
        </w:rPr>
        <w:t xml:space="preserve">to be </w:t>
      </w:r>
      <w:r w:rsidRPr="00037983">
        <w:rPr>
          <w:lang w:val="en-US"/>
        </w:rPr>
        <w:t xml:space="preserve">carried out by the beneficiaries through institutions licensed by the Ministry, and all procedures related to the assessment and its outcomes </w:t>
      </w:r>
      <w:r w:rsidR="004457E6">
        <w:rPr>
          <w:lang w:val="en-US"/>
        </w:rPr>
        <w:t>should be</w:t>
      </w:r>
      <w:r w:rsidR="004457E6" w:rsidRPr="00037983">
        <w:rPr>
          <w:lang w:val="en-US"/>
        </w:rPr>
        <w:t xml:space="preserve"> </w:t>
      </w:r>
      <w:r w:rsidRPr="00037983">
        <w:rPr>
          <w:lang w:val="en-US"/>
        </w:rPr>
        <w:t>conducted in accordance with the provisions of Law No. 6306.</w:t>
      </w:r>
    </w:p>
    <w:p w14:paraId="784F7544" w14:textId="34EC3ED1" w:rsidR="000D0CCC" w:rsidRPr="00037983" w:rsidRDefault="0055562E" w:rsidP="000D0CCC">
      <w:pPr>
        <w:ind w:left="0" w:right="-2"/>
        <w:rPr>
          <w:lang w:val="en-US"/>
        </w:rPr>
      </w:pPr>
      <w:r w:rsidRPr="00037983">
        <w:rPr>
          <w:b/>
          <w:bCs/>
          <w:lang w:val="en-US"/>
        </w:rPr>
        <w:t>3</w:t>
      </w:r>
      <w:r w:rsidR="00C93F0C">
        <w:rPr>
          <w:b/>
          <w:bCs/>
          <w:lang w:val="en-US"/>
        </w:rPr>
        <w:t>2</w:t>
      </w:r>
      <w:r w:rsidR="000D0CCC" w:rsidRPr="00037983">
        <w:rPr>
          <w:b/>
          <w:bCs/>
          <w:lang w:val="en-US"/>
        </w:rPr>
        <w:t>. In a building with multiple rights holders, is the consent of all rights holders required for transformation?</w:t>
      </w:r>
    </w:p>
    <w:p w14:paraId="1B52B282" w14:textId="299FEC3E" w:rsidR="000D0CCC" w:rsidRPr="00037983" w:rsidRDefault="004457E6" w:rsidP="000D0CCC">
      <w:pPr>
        <w:ind w:left="0" w:right="-2"/>
        <w:rPr>
          <w:lang w:val="en-US"/>
        </w:rPr>
      </w:pPr>
      <w:r>
        <w:rPr>
          <w:lang w:val="en-US"/>
        </w:rPr>
        <w:t>As per the</w:t>
      </w:r>
      <w:r w:rsidRPr="00037983">
        <w:rPr>
          <w:lang w:val="en-US"/>
        </w:rPr>
        <w:t xml:space="preserve"> </w:t>
      </w:r>
      <w:r w:rsidR="000D0CCC" w:rsidRPr="00037983">
        <w:rPr>
          <w:lang w:val="en-US"/>
        </w:rPr>
        <w:t>Law No. 6306,</w:t>
      </w:r>
      <w:r>
        <w:rPr>
          <w:lang w:val="en-US"/>
        </w:rPr>
        <w:t xml:space="preserve"> urban transformation decision can be taken by simple majority.</w:t>
      </w:r>
      <w:r w:rsidR="000D0CCC" w:rsidRPr="00037983">
        <w:rPr>
          <w:lang w:val="en-US"/>
        </w:rPr>
        <w:t xml:space="preserve"> Once the required majority is achieved, the transformation process is carried out in accordance with the procedures stipulated in the Law.</w:t>
      </w:r>
    </w:p>
    <w:p w14:paraId="04A8E0A6" w14:textId="7736E228" w:rsidR="000D0CCC" w:rsidRPr="00037983" w:rsidRDefault="0055562E" w:rsidP="000D0CCC">
      <w:pPr>
        <w:ind w:left="0" w:right="-2"/>
        <w:rPr>
          <w:lang w:val="en-US"/>
        </w:rPr>
      </w:pPr>
      <w:r w:rsidRPr="00037983">
        <w:rPr>
          <w:b/>
          <w:bCs/>
          <w:lang w:val="en-US"/>
        </w:rPr>
        <w:t>3</w:t>
      </w:r>
      <w:r w:rsidR="00C93F0C">
        <w:rPr>
          <w:b/>
          <w:bCs/>
          <w:lang w:val="en-US"/>
        </w:rPr>
        <w:t>3</w:t>
      </w:r>
      <w:r w:rsidR="000D0CCC" w:rsidRPr="00037983">
        <w:rPr>
          <w:b/>
          <w:bCs/>
          <w:lang w:val="en-US"/>
        </w:rPr>
        <w:t>. Can I obtain detailed information about contractor license classes?</w:t>
      </w:r>
    </w:p>
    <w:p w14:paraId="43E8BAA6" w14:textId="008C4C6C" w:rsidR="0055562E" w:rsidRPr="00037983" w:rsidRDefault="0055562E" w:rsidP="0055562E">
      <w:pPr>
        <w:ind w:left="0" w:right="-2"/>
        <w:rPr>
          <w:lang w:val="en-US"/>
        </w:rPr>
      </w:pPr>
      <w:r w:rsidRPr="00037983">
        <w:rPr>
          <w:lang w:val="en-US"/>
        </w:rPr>
        <w:t>Contractors holding H or G1 class contractor certificates</w:t>
      </w:r>
      <w:r w:rsidR="0062513D">
        <w:rPr>
          <w:lang w:val="en-US"/>
        </w:rPr>
        <w:t xml:space="preserve"> who have completed works previously</w:t>
      </w:r>
      <w:r w:rsidRPr="00037983">
        <w:rPr>
          <w:lang w:val="en-US"/>
        </w:rPr>
        <w:t xml:space="preserve"> may apply </w:t>
      </w:r>
      <w:r w:rsidR="0062513D">
        <w:rPr>
          <w:lang w:val="en-US"/>
        </w:rPr>
        <w:t>for</w:t>
      </w:r>
      <w:r w:rsidRPr="00037983">
        <w:rPr>
          <w:lang w:val="en-US"/>
        </w:rPr>
        <w:t xml:space="preserve"> buildings consisting of ground floor + three </w:t>
      </w:r>
      <w:proofErr w:type="spellStart"/>
      <w:r w:rsidRPr="00037983">
        <w:rPr>
          <w:lang w:val="en-US"/>
        </w:rPr>
        <w:t>storeys</w:t>
      </w:r>
      <w:proofErr w:type="spellEnd"/>
      <w:r w:rsidRPr="00037983">
        <w:rPr>
          <w:lang w:val="en-US"/>
        </w:rPr>
        <w:t xml:space="preserve"> and one basement. For buildings exceeding three </w:t>
      </w:r>
      <w:proofErr w:type="spellStart"/>
      <w:r w:rsidRPr="00037983">
        <w:rPr>
          <w:lang w:val="en-US"/>
        </w:rPr>
        <w:t>storeys</w:t>
      </w:r>
      <w:proofErr w:type="spellEnd"/>
      <w:r w:rsidRPr="00037983">
        <w:rPr>
          <w:lang w:val="en-US"/>
        </w:rPr>
        <w:t>, at least a G class contractor certificate is required.</w:t>
      </w:r>
    </w:p>
    <w:p w14:paraId="74D938A2" w14:textId="215C8A07" w:rsidR="0055562E" w:rsidRPr="00037983" w:rsidRDefault="0055562E" w:rsidP="0055562E">
      <w:pPr>
        <w:ind w:left="0" w:right="-2"/>
        <w:rPr>
          <w:lang w:val="en-US"/>
        </w:rPr>
      </w:pPr>
      <w:r w:rsidRPr="00037983">
        <w:rPr>
          <w:lang w:val="en-US"/>
        </w:rPr>
        <w:t>In cases where the contractor establishes an ordinary partnership, at least a D class contractor certificate</w:t>
      </w:r>
      <w:r w:rsidR="0062513D">
        <w:rPr>
          <w:lang w:val="en-US"/>
        </w:rPr>
        <w:t xml:space="preserve"> for the partnership</w:t>
      </w:r>
      <w:r w:rsidRPr="00037983">
        <w:rPr>
          <w:lang w:val="en-US"/>
        </w:rPr>
        <w:t xml:space="preserve"> is required</w:t>
      </w:r>
      <w:r w:rsidR="0062513D">
        <w:rPr>
          <w:lang w:val="en-US"/>
        </w:rPr>
        <w:t xml:space="preserve"> and the partnership cannot include more than two partners.</w:t>
      </w:r>
      <w:r w:rsidRPr="00037983">
        <w:rPr>
          <w:lang w:val="en-US"/>
        </w:rPr>
        <w:t xml:space="preserve"> In addition, the contractor shall submit a letter of undertaking confirming acceptance </w:t>
      </w:r>
      <w:r w:rsidRPr="00037983">
        <w:rPr>
          <w:lang w:val="en-US"/>
        </w:rPr>
        <w:lastRenderedPageBreak/>
        <w:t>of and compliance with the conditions required under the Project, in addition to the contract to be executed with the property owners.</w:t>
      </w:r>
    </w:p>
    <w:p w14:paraId="1311C884" w14:textId="7627EA42" w:rsidR="000D0CCC" w:rsidRPr="00037983" w:rsidRDefault="005E225B" w:rsidP="000D0CCC">
      <w:pPr>
        <w:ind w:left="0" w:right="-2"/>
        <w:rPr>
          <w:lang w:val="en-US"/>
        </w:rPr>
      </w:pPr>
      <w:r w:rsidRPr="00037983">
        <w:rPr>
          <w:b/>
          <w:bCs/>
          <w:lang w:val="en-US"/>
        </w:rPr>
        <w:t>3</w:t>
      </w:r>
      <w:r w:rsidR="00C93F0C">
        <w:rPr>
          <w:b/>
          <w:bCs/>
          <w:lang w:val="en-US"/>
        </w:rPr>
        <w:t>4</w:t>
      </w:r>
      <w:r w:rsidR="000D0CCC" w:rsidRPr="00037983">
        <w:rPr>
          <w:b/>
          <w:bCs/>
          <w:lang w:val="en-US"/>
        </w:rPr>
        <w:t>.</w:t>
      </w:r>
      <w:r w:rsidR="000D0CCC" w:rsidRPr="00037983">
        <w:rPr>
          <w:lang w:val="en-US"/>
        </w:rPr>
        <w:t xml:space="preserve"> </w:t>
      </w:r>
      <w:r w:rsidR="000D0CCC" w:rsidRPr="00037983">
        <w:rPr>
          <w:b/>
          <w:bCs/>
          <w:lang w:val="en-US"/>
        </w:rPr>
        <w:t>Will a contractor be recommended to us?</w:t>
      </w:r>
    </w:p>
    <w:p w14:paraId="2C462C92" w14:textId="5DABF23A" w:rsidR="000D0CCC" w:rsidRPr="00037983" w:rsidRDefault="000D0CCC" w:rsidP="000D0CCC">
      <w:pPr>
        <w:ind w:left="0" w:right="-2"/>
        <w:rPr>
          <w:lang w:val="en-US"/>
        </w:rPr>
      </w:pPr>
      <w:r w:rsidRPr="00037983">
        <w:rPr>
          <w:lang w:val="en-US"/>
        </w:rPr>
        <w:t xml:space="preserve">The </w:t>
      </w:r>
      <w:r w:rsidR="0062513D">
        <w:rPr>
          <w:lang w:val="en-US"/>
        </w:rPr>
        <w:t>UTP</w:t>
      </w:r>
      <w:r w:rsidRPr="00037983">
        <w:rPr>
          <w:lang w:val="en-US"/>
        </w:rPr>
        <w:t xml:space="preserve"> cannot recommend a contractor due to the scope of the project, its </w:t>
      </w:r>
      <w:r w:rsidR="0062513D">
        <w:rPr>
          <w:lang w:val="en-US"/>
        </w:rPr>
        <w:t>jurisdiction</w:t>
      </w:r>
      <w:r w:rsidRPr="00037983">
        <w:rPr>
          <w:lang w:val="en-US"/>
        </w:rPr>
        <w:t xml:space="preserve">, and the principles of the free market. </w:t>
      </w:r>
    </w:p>
    <w:p w14:paraId="1B28B4DC" w14:textId="28788E50" w:rsidR="000D0CCC" w:rsidRPr="00037983" w:rsidRDefault="006D5681" w:rsidP="000D0CCC">
      <w:pPr>
        <w:ind w:left="0" w:right="-2"/>
        <w:rPr>
          <w:lang w:val="en-US"/>
        </w:rPr>
      </w:pPr>
      <w:r w:rsidRPr="00037983">
        <w:rPr>
          <w:b/>
          <w:bCs/>
          <w:lang w:val="en-US"/>
        </w:rPr>
        <w:t>3</w:t>
      </w:r>
      <w:r w:rsidR="00C93F0C">
        <w:rPr>
          <w:b/>
          <w:bCs/>
          <w:lang w:val="en-US"/>
        </w:rPr>
        <w:t>5</w:t>
      </w:r>
      <w:r w:rsidR="000D0CCC" w:rsidRPr="00037983">
        <w:rPr>
          <w:b/>
          <w:bCs/>
          <w:lang w:val="en-US"/>
        </w:rPr>
        <w:t>.</w:t>
      </w:r>
      <w:r w:rsidR="000D0CCC" w:rsidRPr="00037983">
        <w:rPr>
          <w:lang w:val="en-US"/>
        </w:rPr>
        <w:t xml:space="preserve"> </w:t>
      </w:r>
      <w:r w:rsidR="000D0CCC" w:rsidRPr="00037983">
        <w:rPr>
          <w:b/>
          <w:bCs/>
          <w:lang w:val="en-US"/>
        </w:rPr>
        <w:t>My current apartment is 140 m². We were informed by the municipality that the new apartment would be reduced to 70 m². Will there be a solution regarding this issue?</w:t>
      </w:r>
    </w:p>
    <w:p w14:paraId="5FCF6C80" w14:textId="6FBBCB47" w:rsidR="000D0CCC" w:rsidRPr="00037983" w:rsidRDefault="000D0CCC" w:rsidP="000D0CCC">
      <w:pPr>
        <w:ind w:left="0" w:right="-2"/>
        <w:rPr>
          <w:lang w:val="en-US"/>
        </w:rPr>
      </w:pPr>
      <w:r w:rsidRPr="00037983">
        <w:rPr>
          <w:lang w:val="en-US"/>
        </w:rPr>
        <w:t xml:space="preserve">The size of the new independent unit is determined in accordance with the applicable zoning regulations and </w:t>
      </w:r>
      <w:r w:rsidR="005E225B" w:rsidRPr="00037983">
        <w:rPr>
          <w:lang w:val="en-US"/>
        </w:rPr>
        <w:t>project principles</w:t>
      </w:r>
      <w:r w:rsidRPr="00037983">
        <w:rPr>
          <w:lang w:val="en-US"/>
        </w:rPr>
        <w:t>.</w:t>
      </w:r>
      <w:r w:rsidR="0062513D">
        <w:rPr>
          <w:lang w:val="en-US"/>
        </w:rPr>
        <w:t xml:space="preserve"> </w:t>
      </w:r>
    </w:p>
    <w:p w14:paraId="338250B4" w14:textId="33F8547A" w:rsidR="000D0CCC" w:rsidRPr="00037983" w:rsidRDefault="006D5681" w:rsidP="000D0CCC">
      <w:pPr>
        <w:ind w:left="0" w:right="-2"/>
        <w:rPr>
          <w:lang w:val="en-US"/>
        </w:rPr>
      </w:pPr>
      <w:r w:rsidRPr="00037983">
        <w:rPr>
          <w:b/>
          <w:bCs/>
          <w:lang w:val="en-US"/>
        </w:rPr>
        <w:t>3</w:t>
      </w:r>
      <w:r w:rsidR="00C93F0C">
        <w:rPr>
          <w:b/>
          <w:bCs/>
          <w:lang w:val="en-US"/>
        </w:rPr>
        <w:t>6</w:t>
      </w:r>
      <w:r w:rsidR="000D0CCC" w:rsidRPr="00037983">
        <w:rPr>
          <w:b/>
          <w:bCs/>
          <w:lang w:val="en-US"/>
        </w:rPr>
        <w:t>. Neighboring parcels outside my own parcel are willing to participate in transformation. Can these parcels be combined to benefit from a joint project?</w:t>
      </w:r>
    </w:p>
    <w:p w14:paraId="295ED9F1" w14:textId="77777777" w:rsidR="000D0CCC" w:rsidRPr="00037983" w:rsidRDefault="000D0CCC" w:rsidP="000D0CCC">
      <w:pPr>
        <w:ind w:left="0" w:right="-2"/>
        <w:rPr>
          <w:lang w:val="en-US"/>
        </w:rPr>
      </w:pPr>
      <w:r w:rsidRPr="00037983">
        <w:rPr>
          <w:lang w:val="en-US"/>
        </w:rPr>
        <w:t>Parcel consolidation is possible within the framework of zoning legislation.</w:t>
      </w:r>
    </w:p>
    <w:p w14:paraId="3D91672D" w14:textId="77777777" w:rsidR="00983067" w:rsidRPr="00037983" w:rsidRDefault="00983067">
      <w:pPr>
        <w:rPr>
          <w:lang w:val="en-US"/>
        </w:rPr>
      </w:pPr>
    </w:p>
    <w:sectPr w:rsidR="00983067" w:rsidRPr="000379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6D761" w14:textId="77777777" w:rsidR="00B73DDD" w:rsidRDefault="00B73DDD" w:rsidP="004457E6">
      <w:pPr>
        <w:spacing w:before="0" w:after="0" w:line="240" w:lineRule="auto"/>
      </w:pPr>
      <w:r>
        <w:separator/>
      </w:r>
    </w:p>
  </w:endnote>
  <w:endnote w:type="continuationSeparator" w:id="0">
    <w:p w14:paraId="6152E18A" w14:textId="77777777" w:rsidR="00B73DDD" w:rsidRDefault="00B73DDD" w:rsidP="004457E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6BD5A" w14:textId="77777777" w:rsidR="00B73DDD" w:rsidRDefault="00B73DDD" w:rsidP="004457E6">
      <w:pPr>
        <w:spacing w:before="0" w:after="0" w:line="240" w:lineRule="auto"/>
      </w:pPr>
      <w:r>
        <w:separator/>
      </w:r>
    </w:p>
  </w:footnote>
  <w:footnote w:type="continuationSeparator" w:id="0">
    <w:p w14:paraId="626179B0" w14:textId="77777777" w:rsidR="00B73DDD" w:rsidRDefault="00B73DDD" w:rsidP="004457E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D147E"/>
    <w:multiLevelType w:val="multilevel"/>
    <w:tmpl w:val="A5A8C5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E97509"/>
    <w:multiLevelType w:val="multilevel"/>
    <w:tmpl w:val="CFF0D0E4"/>
    <w:lvl w:ilvl="0">
      <w:start w:val="1"/>
      <w:numFmt w:val="decimal"/>
      <w:lvlText w:val="%1."/>
      <w:lvlJc w:val="left"/>
      <w:pPr>
        <w:ind w:left="360" w:hanging="360"/>
      </w:pPr>
      <w:rPr>
        <w:rFonts w:hint="default"/>
      </w:rPr>
    </w:lvl>
    <w:lvl w:ilvl="1">
      <w:start w:val="1"/>
      <w:numFmt w:val="decimal"/>
      <w:suff w:val="space"/>
      <w:lvlText w:val="%1.%2."/>
      <w:lvlJc w:val="left"/>
      <w:rPr>
        <w:rFonts w:ascii="Times New Roman" w:hAnsi="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1508" w:hanging="1224"/>
      </w:pPr>
      <w:rPr>
        <w:rFonts w:hint="default"/>
        <w:b/>
      </w:rPr>
    </w:lvl>
    <w:lvl w:ilvl="3">
      <w:start w:val="1"/>
      <w:numFmt w:val="decimal"/>
      <w:suff w:val="space"/>
      <w:lvlText w:val="%1.%2.%3.%4."/>
      <w:lvlJc w:val="left"/>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CC"/>
    <w:rsid w:val="00017BBA"/>
    <w:rsid w:val="00037983"/>
    <w:rsid w:val="00041D53"/>
    <w:rsid w:val="00082B3E"/>
    <w:rsid w:val="00087E1E"/>
    <w:rsid w:val="000B7CBB"/>
    <w:rsid w:val="000D0CCC"/>
    <w:rsid w:val="00140182"/>
    <w:rsid w:val="00150E03"/>
    <w:rsid w:val="00164F98"/>
    <w:rsid w:val="0017285F"/>
    <w:rsid w:val="0019087D"/>
    <w:rsid w:val="00221D87"/>
    <w:rsid w:val="002A5B07"/>
    <w:rsid w:val="002C2ECB"/>
    <w:rsid w:val="003478AD"/>
    <w:rsid w:val="00424C2D"/>
    <w:rsid w:val="004271EE"/>
    <w:rsid w:val="004457E6"/>
    <w:rsid w:val="004469EE"/>
    <w:rsid w:val="00476B06"/>
    <w:rsid w:val="0055562E"/>
    <w:rsid w:val="00567B24"/>
    <w:rsid w:val="005E225B"/>
    <w:rsid w:val="0061106F"/>
    <w:rsid w:val="0062513D"/>
    <w:rsid w:val="006D5681"/>
    <w:rsid w:val="007263FE"/>
    <w:rsid w:val="0077495D"/>
    <w:rsid w:val="007B42A9"/>
    <w:rsid w:val="00851BA0"/>
    <w:rsid w:val="008A3C04"/>
    <w:rsid w:val="008C7EA0"/>
    <w:rsid w:val="00955707"/>
    <w:rsid w:val="00974BEF"/>
    <w:rsid w:val="009800EB"/>
    <w:rsid w:val="00982B59"/>
    <w:rsid w:val="00983067"/>
    <w:rsid w:val="009F0929"/>
    <w:rsid w:val="009F0BB6"/>
    <w:rsid w:val="00A618FC"/>
    <w:rsid w:val="00B11ED0"/>
    <w:rsid w:val="00B73DDD"/>
    <w:rsid w:val="00BD5D7E"/>
    <w:rsid w:val="00C27059"/>
    <w:rsid w:val="00C834E7"/>
    <w:rsid w:val="00C93F0C"/>
    <w:rsid w:val="00CA5BEF"/>
    <w:rsid w:val="00CC347B"/>
    <w:rsid w:val="00D26B5F"/>
    <w:rsid w:val="00D51440"/>
    <w:rsid w:val="00DC0377"/>
    <w:rsid w:val="00EC0203"/>
    <w:rsid w:val="00EE2AC2"/>
    <w:rsid w:val="00F14229"/>
    <w:rsid w:val="00F853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42E4E"/>
  <w15:chartTrackingRefBased/>
  <w15:docId w15:val="{44559D14-608F-4143-AB69-4751FDEF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CCC"/>
    <w:pPr>
      <w:spacing w:before="240" w:line="360" w:lineRule="auto"/>
      <w:ind w:left="851" w:right="284"/>
      <w:jc w:val="both"/>
    </w:pPr>
    <w:rPr>
      <w:rFonts w:ascii="Times New Roman" w:hAnsi="Times New Roman"/>
      <w:sz w:val="24"/>
    </w:rPr>
  </w:style>
  <w:style w:type="paragraph" w:styleId="Balk1">
    <w:name w:val="heading 1"/>
    <w:basedOn w:val="Normal"/>
    <w:next w:val="Normal"/>
    <w:link w:val="Balk1Char"/>
    <w:uiPriority w:val="9"/>
    <w:qFormat/>
    <w:rsid w:val="000D0CCC"/>
    <w:pPr>
      <w:keepNext/>
      <w:keepLines/>
      <w:spacing w:before="360" w:after="80" w:line="259" w:lineRule="auto"/>
      <w:ind w:left="0" w:right="0"/>
      <w:jc w:val="left"/>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autoRedefine/>
    <w:uiPriority w:val="9"/>
    <w:unhideWhenUsed/>
    <w:qFormat/>
    <w:rsid w:val="00974BEF"/>
    <w:pPr>
      <w:keepNext/>
      <w:keepLines/>
      <w:spacing w:before="40" w:after="0" w:line="259" w:lineRule="auto"/>
      <w:ind w:left="0" w:right="0"/>
      <w:jc w:val="left"/>
      <w:outlineLvl w:val="1"/>
    </w:pPr>
    <w:rPr>
      <w:rFonts w:eastAsiaTheme="majorEastAsia" w:cstheme="majorBidi"/>
      <w:b/>
      <w:szCs w:val="26"/>
    </w:rPr>
  </w:style>
  <w:style w:type="paragraph" w:styleId="Balk3">
    <w:name w:val="heading 3"/>
    <w:basedOn w:val="Normal"/>
    <w:next w:val="Normal"/>
    <w:link w:val="Balk3Char"/>
    <w:uiPriority w:val="9"/>
    <w:semiHidden/>
    <w:unhideWhenUsed/>
    <w:qFormat/>
    <w:rsid w:val="000D0CCC"/>
    <w:pPr>
      <w:keepNext/>
      <w:keepLines/>
      <w:spacing w:before="160" w:after="80" w:line="259" w:lineRule="auto"/>
      <w:ind w:left="0" w:right="0"/>
      <w:jc w:val="left"/>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D0CCC"/>
    <w:pPr>
      <w:keepNext/>
      <w:keepLines/>
      <w:spacing w:before="80" w:after="40" w:line="259" w:lineRule="auto"/>
      <w:ind w:left="0" w:right="0"/>
      <w:jc w:val="left"/>
      <w:outlineLvl w:val="3"/>
    </w:pPr>
    <w:rPr>
      <w:rFonts w:asciiTheme="minorHAnsi" w:eastAsiaTheme="majorEastAsia" w:hAnsiTheme="minorHAnsi" w:cstheme="majorBidi"/>
      <w:i/>
      <w:iCs/>
      <w:color w:val="0F4761" w:themeColor="accent1" w:themeShade="BF"/>
      <w:sz w:val="22"/>
    </w:rPr>
  </w:style>
  <w:style w:type="paragraph" w:styleId="Balk5">
    <w:name w:val="heading 5"/>
    <w:basedOn w:val="Normal"/>
    <w:next w:val="Normal"/>
    <w:link w:val="Balk5Char"/>
    <w:uiPriority w:val="9"/>
    <w:semiHidden/>
    <w:unhideWhenUsed/>
    <w:qFormat/>
    <w:rsid w:val="000D0CCC"/>
    <w:pPr>
      <w:keepNext/>
      <w:keepLines/>
      <w:spacing w:before="80" w:after="40" w:line="259" w:lineRule="auto"/>
      <w:ind w:left="0" w:right="0"/>
      <w:jc w:val="left"/>
      <w:outlineLvl w:val="4"/>
    </w:pPr>
    <w:rPr>
      <w:rFonts w:asciiTheme="minorHAnsi" w:eastAsiaTheme="majorEastAsia" w:hAnsiTheme="minorHAnsi" w:cstheme="majorBidi"/>
      <w:color w:val="0F4761" w:themeColor="accent1" w:themeShade="BF"/>
      <w:sz w:val="22"/>
    </w:rPr>
  </w:style>
  <w:style w:type="paragraph" w:styleId="Balk6">
    <w:name w:val="heading 6"/>
    <w:basedOn w:val="Normal"/>
    <w:next w:val="Normal"/>
    <w:link w:val="Balk6Char"/>
    <w:uiPriority w:val="9"/>
    <w:semiHidden/>
    <w:unhideWhenUsed/>
    <w:qFormat/>
    <w:rsid w:val="000D0CCC"/>
    <w:pPr>
      <w:keepNext/>
      <w:keepLines/>
      <w:spacing w:before="40" w:after="0" w:line="259" w:lineRule="auto"/>
      <w:ind w:left="0" w:right="0"/>
      <w:jc w:val="left"/>
      <w:outlineLvl w:val="5"/>
    </w:pPr>
    <w:rPr>
      <w:rFonts w:asciiTheme="minorHAnsi" w:eastAsiaTheme="majorEastAsia" w:hAnsiTheme="minorHAnsi" w:cstheme="majorBidi"/>
      <w:i/>
      <w:iCs/>
      <w:color w:val="595959" w:themeColor="text1" w:themeTint="A6"/>
      <w:sz w:val="22"/>
    </w:rPr>
  </w:style>
  <w:style w:type="paragraph" w:styleId="Balk7">
    <w:name w:val="heading 7"/>
    <w:basedOn w:val="Normal"/>
    <w:next w:val="Normal"/>
    <w:link w:val="Balk7Char"/>
    <w:uiPriority w:val="9"/>
    <w:semiHidden/>
    <w:unhideWhenUsed/>
    <w:qFormat/>
    <w:rsid w:val="000D0CCC"/>
    <w:pPr>
      <w:keepNext/>
      <w:keepLines/>
      <w:spacing w:before="40" w:after="0" w:line="259" w:lineRule="auto"/>
      <w:ind w:left="0" w:right="0"/>
      <w:jc w:val="left"/>
      <w:outlineLvl w:val="6"/>
    </w:pPr>
    <w:rPr>
      <w:rFonts w:asciiTheme="minorHAnsi" w:eastAsiaTheme="majorEastAsia" w:hAnsiTheme="minorHAnsi" w:cstheme="majorBidi"/>
      <w:color w:val="595959" w:themeColor="text1" w:themeTint="A6"/>
      <w:sz w:val="22"/>
    </w:rPr>
  </w:style>
  <w:style w:type="paragraph" w:styleId="Balk8">
    <w:name w:val="heading 8"/>
    <w:basedOn w:val="Normal"/>
    <w:next w:val="Normal"/>
    <w:link w:val="Balk8Char"/>
    <w:uiPriority w:val="9"/>
    <w:semiHidden/>
    <w:unhideWhenUsed/>
    <w:qFormat/>
    <w:rsid w:val="000D0CCC"/>
    <w:pPr>
      <w:keepNext/>
      <w:keepLines/>
      <w:spacing w:before="0" w:after="0" w:line="259" w:lineRule="auto"/>
      <w:ind w:left="0" w:right="0"/>
      <w:jc w:val="left"/>
      <w:outlineLvl w:val="7"/>
    </w:pPr>
    <w:rPr>
      <w:rFonts w:asciiTheme="minorHAnsi" w:eastAsiaTheme="majorEastAsia" w:hAnsiTheme="minorHAnsi" w:cstheme="majorBidi"/>
      <w:i/>
      <w:iCs/>
      <w:color w:val="272727" w:themeColor="text1" w:themeTint="D8"/>
      <w:sz w:val="22"/>
    </w:rPr>
  </w:style>
  <w:style w:type="paragraph" w:styleId="Balk9">
    <w:name w:val="heading 9"/>
    <w:basedOn w:val="Normal"/>
    <w:next w:val="Normal"/>
    <w:link w:val="Balk9Char"/>
    <w:uiPriority w:val="9"/>
    <w:semiHidden/>
    <w:unhideWhenUsed/>
    <w:qFormat/>
    <w:rsid w:val="000D0CCC"/>
    <w:pPr>
      <w:keepNext/>
      <w:keepLines/>
      <w:spacing w:before="0" w:after="0" w:line="259" w:lineRule="auto"/>
      <w:ind w:left="0" w:right="0"/>
      <w:jc w:val="left"/>
      <w:outlineLvl w:val="8"/>
    </w:pPr>
    <w:rPr>
      <w:rFonts w:asciiTheme="minorHAnsi" w:eastAsiaTheme="majorEastAsia" w:hAnsiTheme="minorHAnsi" w:cstheme="majorBidi"/>
      <w:color w:val="272727" w:themeColor="text1" w:themeTint="D8"/>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74BEF"/>
    <w:rPr>
      <w:rFonts w:ascii="Times New Roman" w:eastAsiaTheme="majorEastAsia" w:hAnsi="Times New Roman" w:cstheme="majorBidi"/>
      <w:b/>
      <w:sz w:val="24"/>
      <w:szCs w:val="26"/>
    </w:rPr>
  </w:style>
  <w:style w:type="character" w:customStyle="1" w:styleId="Balk1Char">
    <w:name w:val="Başlık 1 Char"/>
    <w:basedOn w:val="VarsaylanParagrafYazTipi"/>
    <w:link w:val="Balk1"/>
    <w:uiPriority w:val="9"/>
    <w:rsid w:val="000D0CCC"/>
    <w:rPr>
      <w:rFonts w:asciiTheme="majorHAnsi" w:eastAsiaTheme="majorEastAsia" w:hAnsiTheme="majorHAnsi" w:cstheme="majorBidi"/>
      <w:color w:val="0F4761" w:themeColor="accent1" w:themeShade="BF"/>
      <w:sz w:val="40"/>
      <w:szCs w:val="40"/>
    </w:rPr>
  </w:style>
  <w:style w:type="character" w:customStyle="1" w:styleId="Balk3Char">
    <w:name w:val="Başlık 3 Char"/>
    <w:basedOn w:val="VarsaylanParagrafYazTipi"/>
    <w:link w:val="Balk3"/>
    <w:uiPriority w:val="9"/>
    <w:semiHidden/>
    <w:rsid w:val="000D0CC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D0CC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D0CC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D0CC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D0CC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D0CC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D0CCC"/>
    <w:rPr>
      <w:rFonts w:eastAsiaTheme="majorEastAsia" w:cstheme="majorBidi"/>
      <w:color w:val="272727" w:themeColor="text1" w:themeTint="D8"/>
    </w:rPr>
  </w:style>
  <w:style w:type="paragraph" w:styleId="KonuBal">
    <w:name w:val="Title"/>
    <w:basedOn w:val="Normal"/>
    <w:next w:val="Normal"/>
    <w:link w:val="KonuBalChar"/>
    <w:uiPriority w:val="10"/>
    <w:qFormat/>
    <w:rsid w:val="000D0CCC"/>
    <w:pPr>
      <w:spacing w:before="0" w:after="80" w:line="240" w:lineRule="auto"/>
      <w:ind w:left="0" w:right="0"/>
      <w:contextualSpacing/>
      <w:jc w:val="left"/>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D0CC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D0CCC"/>
    <w:pPr>
      <w:numPr>
        <w:ilvl w:val="1"/>
      </w:numPr>
      <w:spacing w:before="0" w:line="259" w:lineRule="auto"/>
      <w:ind w:left="851" w:right="0"/>
      <w:jc w:val="left"/>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D0CC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D0CCC"/>
    <w:pPr>
      <w:spacing w:before="160" w:line="259" w:lineRule="auto"/>
      <w:ind w:left="0" w:right="0"/>
      <w:jc w:val="center"/>
    </w:pPr>
    <w:rPr>
      <w:rFonts w:asciiTheme="minorHAnsi" w:hAnsiTheme="minorHAnsi"/>
      <w:i/>
      <w:iCs/>
      <w:color w:val="404040" w:themeColor="text1" w:themeTint="BF"/>
      <w:sz w:val="22"/>
    </w:rPr>
  </w:style>
  <w:style w:type="character" w:customStyle="1" w:styleId="AlntChar">
    <w:name w:val="Alıntı Char"/>
    <w:basedOn w:val="VarsaylanParagrafYazTipi"/>
    <w:link w:val="Alnt"/>
    <w:uiPriority w:val="29"/>
    <w:rsid w:val="000D0CCC"/>
    <w:rPr>
      <w:i/>
      <w:iCs/>
      <w:color w:val="404040" w:themeColor="text1" w:themeTint="BF"/>
    </w:rPr>
  </w:style>
  <w:style w:type="paragraph" w:styleId="ListeParagraf">
    <w:name w:val="List Paragraph"/>
    <w:basedOn w:val="Normal"/>
    <w:uiPriority w:val="34"/>
    <w:qFormat/>
    <w:rsid w:val="000D0CCC"/>
    <w:pPr>
      <w:spacing w:before="0" w:line="259" w:lineRule="auto"/>
      <w:ind w:left="720" w:right="0"/>
      <w:contextualSpacing/>
      <w:jc w:val="left"/>
    </w:pPr>
    <w:rPr>
      <w:rFonts w:asciiTheme="minorHAnsi" w:hAnsiTheme="minorHAnsi"/>
      <w:sz w:val="22"/>
    </w:rPr>
  </w:style>
  <w:style w:type="character" w:styleId="GlVurgulama">
    <w:name w:val="Intense Emphasis"/>
    <w:basedOn w:val="VarsaylanParagrafYazTipi"/>
    <w:uiPriority w:val="21"/>
    <w:qFormat/>
    <w:rsid w:val="000D0CCC"/>
    <w:rPr>
      <w:i/>
      <w:iCs/>
      <w:color w:val="0F4761" w:themeColor="accent1" w:themeShade="BF"/>
    </w:rPr>
  </w:style>
  <w:style w:type="paragraph" w:styleId="GlAlnt">
    <w:name w:val="Intense Quote"/>
    <w:basedOn w:val="Normal"/>
    <w:next w:val="Normal"/>
    <w:link w:val="GlAlntChar"/>
    <w:uiPriority w:val="30"/>
    <w:qFormat/>
    <w:rsid w:val="000D0CC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sz w:val="22"/>
    </w:rPr>
  </w:style>
  <w:style w:type="character" w:customStyle="1" w:styleId="GlAlntChar">
    <w:name w:val="Güçlü Alıntı Char"/>
    <w:basedOn w:val="VarsaylanParagrafYazTipi"/>
    <w:link w:val="GlAlnt"/>
    <w:uiPriority w:val="30"/>
    <w:rsid w:val="000D0CCC"/>
    <w:rPr>
      <w:i/>
      <w:iCs/>
      <w:color w:val="0F4761" w:themeColor="accent1" w:themeShade="BF"/>
    </w:rPr>
  </w:style>
  <w:style w:type="character" w:styleId="GlBavuru">
    <w:name w:val="Intense Reference"/>
    <w:basedOn w:val="VarsaylanParagrafYazTipi"/>
    <w:uiPriority w:val="32"/>
    <w:qFormat/>
    <w:rsid w:val="000D0CCC"/>
    <w:rPr>
      <w:b/>
      <w:bCs/>
      <w:smallCaps/>
      <w:color w:val="0F4761" w:themeColor="accent1" w:themeShade="BF"/>
      <w:spacing w:val="5"/>
    </w:rPr>
  </w:style>
  <w:style w:type="character" w:styleId="Kpr">
    <w:name w:val="Hyperlink"/>
    <w:basedOn w:val="VarsaylanParagrafYazTipi"/>
    <w:uiPriority w:val="99"/>
    <w:unhideWhenUsed/>
    <w:rsid w:val="000D0CCC"/>
    <w:rPr>
      <w:color w:val="467886" w:themeColor="hyperlink"/>
      <w:u w:val="single"/>
    </w:rPr>
  </w:style>
  <w:style w:type="paragraph" w:styleId="stBilgi">
    <w:name w:val="header"/>
    <w:basedOn w:val="Normal"/>
    <w:link w:val="stBilgiChar"/>
    <w:uiPriority w:val="99"/>
    <w:unhideWhenUsed/>
    <w:rsid w:val="004457E6"/>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4457E6"/>
    <w:rPr>
      <w:rFonts w:ascii="Times New Roman" w:hAnsi="Times New Roman"/>
      <w:sz w:val="24"/>
    </w:rPr>
  </w:style>
  <w:style w:type="paragraph" w:styleId="AltBilgi">
    <w:name w:val="footer"/>
    <w:basedOn w:val="Normal"/>
    <w:link w:val="AltBilgiChar"/>
    <w:uiPriority w:val="99"/>
    <w:unhideWhenUsed/>
    <w:rsid w:val="004457E6"/>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4457E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entseldirenclilik.csb.gov.tr/muteahhit-tarafindan-araad-uygulamasina-yuklenecek-evraklar-i-1122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7</Pages>
  <Words>1924</Words>
  <Characters>10970</Characters>
  <Application>Microsoft Office Word</Application>
  <DocSecurity>0</DocSecurity>
  <Lines>91</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Muad Planlama</dc:creator>
  <cp:keywords/>
  <dc:description/>
  <cp:lastModifiedBy>Ali KINCAL</cp:lastModifiedBy>
  <cp:revision>28</cp:revision>
  <dcterms:created xsi:type="dcterms:W3CDTF">2026-01-19T18:13:00Z</dcterms:created>
  <dcterms:modified xsi:type="dcterms:W3CDTF">2026-01-26T07:36:00Z</dcterms:modified>
</cp:coreProperties>
</file>