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6BB3" w14:textId="77777777" w:rsidR="009F2811" w:rsidRPr="00CB733A" w:rsidRDefault="009F2811" w:rsidP="009F2811">
      <w:pPr>
        <w:jc w:val="center"/>
        <w:rPr>
          <w:b/>
          <w:szCs w:val="24"/>
        </w:rPr>
      </w:pPr>
      <w:r>
        <w:rPr>
          <w:b/>
          <w:szCs w:val="24"/>
        </w:rPr>
        <w:t xml:space="preserve">  </w:t>
      </w:r>
      <w:r w:rsidRPr="00CB733A">
        <w:rPr>
          <w:b/>
          <w:szCs w:val="24"/>
        </w:rPr>
        <w:t>İ L A N</w:t>
      </w:r>
    </w:p>
    <w:p w14:paraId="2B0BACB0" w14:textId="15999089" w:rsidR="009F2811" w:rsidRPr="00CB733A" w:rsidRDefault="00204672" w:rsidP="009F2811">
      <w:pPr>
        <w:jc w:val="center"/>
        <w:rPr>
          <w:b/>
          <w:szCs w:val="24"/>
        </w:rPr>
      </w:pPr>
      <w:r>
        <w:rPr>
          <w:b/>
          <w:szCs w:val="24"/>
        </w:rPr>
        <w:t>EDREMİT</w:t>
      </w:r>
      <w:r w:rsidR="009F2811" w:rsidRPr="00CB733A">
        <w:rPr>
          <w:b/>
          <w:szCs w:val="24"/>
        </w:rPr>
        <w:t xml:space="preserve"> KAYMAKAMLIĞI</w:t>
      </w:r>
    </w:p>
    <w:p w14:paraId="79EC9CBF" w14:textId="77777777" w:rsidR="00212A46" w:rsidRDefault="00212A46" w:rsidP="009F2811">
      <w:pPr>
        <w:jc w:val="center"/>
        <w:rPr>
          <w:b/>
          <w:szCs w:val="24"/>
        </w:rPr>
      </w:pPr>
      <w:r>
        <w:rPr>
          <w:b/>
          <w:szCs w:val="24"/>
        </w:rPr>
        <w:t>Edremit Milli Emlak Müdürlüğü</w:t>
      </w:r>
    </w:p>
    <w:tbl>
      <w:tblPr>
        <w:tblStyle w:val="TabloKlavuzu"/>
        <w:tblW w:w="0" w:type="auto"/>
        <w:tblLook w:val="04A0" w:firstRow="1" w:lastRow="0" w:firstColumn="1" w:lastColumn="0" w:noHBand="0" w:noVBand="1"/>
      </w:tblPr>
      <w:tblGrid>
        <w:gridCol w:w="738"/>
        <w:gridCol w:w="6558"/>
        <w:gridCol w:w="1693"/>
        <w:gridCol w:w="1411"/>
        <w:gridCol w:w="1412"/>
        <w:gridCol w:w="1270"/>
        <w:gridCol w:w="1024"/>
      </w:tblGrid>
      <w:tr w:rsidR="009F2811" w:rsidRPr="00CB733A" w14:paraId="7F449CC2" w14:textId="77777777" w:rsidTr="00204672">
        <w:trPr>
          <w:trHeight w:val="437"/>
        </w:trPr>
        <w:tc>
          <w:tcPr>
            <w:tcW w:w="14106" w:type="dxa"/>
            <w:gridSpan w:val="7"/>
          </w:tcPr>
          <w:p w14:paraId="757E09A3" w14:textId="77777777" w:rsidR="009F2811" w:rsidRPr="00CB733A" w:rsidRDefault="009F2811" w:rsidP="006A45C5">
            <w:pPr>
              <w:spacing w:before="120" w:after="120"/>
              <w:jc w:val="center"/>
              <w:rPr>
                <w:rFonts w:ascii="Times New Roman"/>
                <w:b/>
                <w:szCs w:val="24"/>
              </w:rPr>
            </w:pPr>
            <w:r w:rsidRPr="00CB733A">
              <w:rPr>
                <w:rFonts w:ascii="Times New Roman"/>
                <w:b/>
                <w:szCs w:val="24"/>
              </w:rPr>
              <w:t>TAŞINIR MAL SATIŞI</w:t>
            </w:r>
          </w:p>
        </w:tc>
      </w:tr>
      <w:tr w:rsidR="009F2811" w:rsidRPr="00CB733A" w14:paraId="5E0FFEB1" w14:textId="77777777" w:rsidTr="00204672">
        <w:trPr>
          <w:trHeight w:val="648"/>
        </w:trPr>
        <w:tc>
          <w:tcPr>
            <w:tcW w:w="738" w:type="dxa"/>
            <w:vAlign w:val="center"/>
          </w:tcPr>
          <w:p w14:paraId="063ECA12" w14:textId="77777777" w:rsidR="009F2811" w:rsidRPr="00CB733A" w:rsidRDefault="009F2811" w:rsidP="006A45C5">
            <w:pPr>
              <w:spacing w:before="60" w:after="60"/>
              <w:jc w:val="center"/>
              <w:rPr>
                <w:rFonts w:ascii="Times New Roman"/>
                <w:b/>
                <w:szCs w:val="24"/>
              </w:rPr>
            </w:pPr>
            <w:r w:rsidRPr="00CB733A">
              <w:rPr>
                <w:rFonts w:ascii="Times New Roman"/>
                <w:b/>
                <w:szCs w:val="24"/>
              </w:rPr>
              <w:t>SIRA</w:t>
            </w:r>
          </w:p>
        </w:tc>
        <w:tc>
          <w:tcPr>
            <w:tcW w:w="6558" w:type="dxa"/>
            <w:vAlign w:val="center"/>
          </w:tcPr>
          <w:p w14:paraId="31DAD74D" w14:textId="77777777" w:rsidR="009F2811" w:rsidRPr="00CB733A" w:rsidRDefault="009F2811" w:rsidP="006A45C5">
            <w:pPr>
              <w:tabs>
                <w:tab w:val="left" w:pos="17"/>
              </w:tabs>
              <w:spacing w:before="60" w:after="60"/>
              <w:jc w:val="center"/>
              <w:rPr>
                <w:rFonts w:ascii="Times New Roman"/>
                <w:b/>
                <w:szCs w:val="24"/>
              </w:rPr>
            </w:pPr>
            <w:r w:rsidRPr="00CB733A">
              <w:rPr>
                <w:rFonts w:ascii="Times New Roman"/>
                <w:b/>
                <w:szCs w:val="24"/>
              </w:rPr>
              <w:t>CİNSİ</w:t>
            </w:r>
          </w:p>
        </w:tc>
        <w:tc>
          <w:tcPr>
            <w:tcW w:w="1693" w:type="dxa"/>
            <w:vAlign w:val="center"/>
          </w:tcPr>
          <w:p w14:paraId="338278BE" w14:textId="77777777" w:rsidR="009F2811" w:rsidRPr="00CB733A" w:rsidRDefault="009F2811" w:rsidP="006A45C5">
            <w:pPr>
              <w:spacing w:before="60" w:after="60"/>
              <w:jc w:val="center"/>
              <w:rPr>
                <w:rFonts w:ascii="Times New Roman"/>
                <w:b/>
                <w:szCs w:val="24"/>
              </w:rPr>
            </w:pPr>
            <w:r w:rsidRPr="00CB733A">
              <w:rPr>
                <w:rFonts w:ascii="Times New Roman"/>
                <w:b/>
                <w:szCs w:val="24"/>
              </w:rPr>
              <w:t xml:space="preserve">TAHMİNİ </w:t>
            </w:r>
          </w:p>
          <w:p w14:paraId="2F5EEDB6" w14:textId="77777777" w:rsidR="009F2811" w:rsidRPr="00CB733A" w:rsidRDefault="009F2811" w:rsidP="006A45C5">
            <w:pPr>
              <w:spacing w:before="60" w:after="60"/>
              <w:jc w:val="center"/>
              <w:rPr>
                <w:rFonts w:ascii="Times New Roman"/>
                <w:b/>
                <w:szCs w:val="24"/>
              </w:rPr>
            </w:pPr>
            <w:r w:rsidRPr="00CB733A">
              <w:rPr>
                <w:rFonts w:ascii="Times New Roman"/>
                <w:b/>
                <w:szCs w:val="24"/>
              </w:rPr>
              <w:t>MİKTARI</w:t>
            </w:r>
          </w:p>
        </w:tc>
        <w:tc>
          <w:tcPr>
            <w:tcW w:w="1411" w:type="dxa"/>
            <w:vAlign w:val="center"/>
          </w:tcPr>
          <w:p w14:paraId="67D22D0A" w14:textId="77777777" w:rsidR="009F2811" w:rsidRPr="00CB733A" w:rsidRDefault="009F2811" w:rsidP="006A45C5">
            <w:pPr>
              <w:spacing w:before="60" w:after="60"/>
              <w:jc w:val="center"/>
              <w:rPr>
                <w:rFonts w:ascii="Times New Roman"/>
                <w:b/>
                <w:szCs w:val="24"/>
              </w:rPr>
            </w:pPr>
            <w:r w:rsidRPr="00CB733A">
              <w:rPr>
                <w:rFonts w:ascii="Times New Roman"/>
                <w:b/>
                <w:szCs w:val="24"/>
              </w:rPr>
              <w:t xml:space="preserve">TAHMİNİ </w:t>
            </w:r>
          </w:p>
          <w:p w14:paraId="0516D53E" w14:textId="77777777" w:rsidR="009F2811" w:rsidRPr="00CB733A" w:rsidRDefault="009F2811" w:rsidP="006A45C5">
            <w:pPr>
              <w:spacing w:before="60" w:after="60"/>
              <w:jc w:val="center"/>
              <w:rPr>
                <w:rFonts w:ascii="Times New Roman"/>
                <w:b/>
                <w:szCs w:val="24"/>
              </w:rPr>
            </w:pPr>
            <w:r w:rsidRPr="00CB733A">
              <w:rPr>
                <w:rFonts w:ascii="Times New Roman"/>
                <w:b/>
                <w:szCs w:val="24"/>
              </w:rPr>
              <w:t>BEDELİ</w:t>
            </w:r>
          </w:p>
        </w:tc>
        <w:tc>
          <w:tcPr>
            <w:tcW w:w="1412" w:type="dxa"/>
            <w:vAlign w:val="center"/>
          </w:tcPr>
          <w:p w14:paraId="57FF619F" w14:textId="77777777" w:rsidR="009F2811" w:rsidRPr="00CB733A" w:rsidRDefault="009F2811" w:rsidP="006A45C5">
            <w:pPr>
              <w:spacing w:before="60" w:after="60"/>
              <w:jc w:val="center"/>
              <w:rPr>
                <w:rFonts w:ascii="Times New Roman"/>
                <w:b/>
                <w:szCs w:val="24"/>
              </w:rPr>
            </w:pPr>
            <w:r w:rsidRPr="00CB733A">
              <w:rPr>
                <w:rFonts w:ascii="Times New Roman"/>
                <w:b/>
                <w:szCs w:val="24"/>
              </w:rPr>
              <w:t xml:space="preserve">GEÇİCİ </w:t>
            </w:r>
          </w:p>
          <w:p w14:paraId="7B50F024" w14:textId="77777777" w:rsidR="009F2811" w:rsidRPr="00CB733A" w:rsidRDefault="009F2811" w:rsidP="006A45C5">
            <w:pPr>
              <w:spacing w:before="60" w:after="60"/>
              <w:jc w:val="center"/>
              <w:rPr>
                <w:rFonts w:ascii="Times New Roman"/>
                <w:b/>
                <w:szCs w:val="24"/>
              </w:rPr>
            </w:pPr>
            <w:r w:rsidRPr="00CB733A">
              <w:rPr>
                <w:rFonts w:ascii="Times New Roman"/>
                <w:b/>
                <w:szCs w:val="24"/>
              </w:rPr>
              <w:t>TEMİNAT</w:t>
            </w:r>
          </w:p>
        </w:tc>
        <w:tc>
          <w:tcPr>
            <w:tcW w:w="1270" w:type="dxa"/>
            <w:vAlign w:val="center"/>
          </w:tcPr>
          <w:p w14:paraId="6B199E0B" w14:textId="77777777" w:rsidR="009F2811" w:rsidRPr="00CB733A" w:rsidRDefault="009F2811" w:rsidP="006A45C5">
            <w:pPr>
              <w:spacing w:before="60" w:after="60"/>
              <w:jc w:val="center"/>
              <w:rPr>
                <w:rFonts w:ascii="Times New Roman"/>
                <w:b/>
                <w:szCs w:val="24"/>
              </w:rPr>
            </w:pPr>
            <w:r w:rsidRPr="00CB733A">
              <w:rPr>
                <w:rFonts w:ascii="Times New Roman"/>
                <w:b/>
                <w:szCs w:val="24"/>
              </w:rPr>
              <w:t xml:space="preserve">İHALE </w:t>
            </w:r>
          </w:p>
          <w:p w14:paraId="50D10DB2" w14:textId="77777777" w:rsidR="009F2811" w:rsidRPr="00CB733A" w:rsidRDefault="009F2811" w:rsidP="006A45C5">
            <w:pPr>
              <w:spacing w:before="60" w:after="60"/>
              <w:jc w:val="center"/>
              <w:rPr>
                <w:rFonts w:ascii="Times New Roman"/>
                <w:b/>
                <w:szCs w:val="24"/>
              </w:rPr>
            </w:pPr>
            <w:r w:rsidRPr="00CB733A">
              <w:rPr>
                <w:rFonts w:ascii="Times New Roman"/>
                <w:b/>
                <w:szCs w:val="24"/>
              </w:rPr>
              <w:t>TARİHİ</w:t>
            </w:r>
          </w:p>
        </w:tc>
        <w:tc>
          <w:tcPr>
            <w:tcW w:w="1024" w:type="dxa"/>
            <w:vAlign w:val="center"/>
          </w:tcPr>
          <w:p w14:paraId="7F074FAF" w14:textId="77777777" w:rsidR="009F2811" w:rsidRPr="00CB733A" w:rsidRDefault="009F2811" w:rsidP="006A45C5">
            <w:pPr>
              <w:spacing w:before="60" w:after="60"/>
              <w:jc w:val="center"/>
              <w:rPr>
                <w:rFonts w:ascii="Times New Roman"/>
                <w:b/>
                <w:szCs w:val="24"/>
              </w:rPr>
            </w:pPr>
            <w:r w:rsidRPr="00CB733A">
              <w:rPr>
                <w:rFonts w:ascii="Times New Roman"/>
                <w:b/>
                <w:szCs w:val="24"/>
              </w:rPr>
              <w:t xml:space="preserve">İHALE </w:t>
            </w:r>
          </w:p>
          <w:p w14:paraId="5688ED9A" w14:textId="77777777" w:rsidR="009F2811" w:rsidRPr="00CB733A" w:rsidRDefault="009F2811" w:rsidP="006A45C5">
            <w:pPr>
              <w:spacing w:before="60" w:after="60"/>
              <w:jc w:val="center"/>
              <w:rPr>
                <w:rFonts w:ascii="Times New Roman"/>
                <w:b/>
                <w:szCs w:val="24"/>
              </w:rPr>
            </w:pPr>
            <w:r w:rsidRPr="00CB733A">
              <w:rPr>
                <w:rFonts w:ascii="Times New Roman"/>
                <w:b/>
                <w:szCs w:val="24"/>
              </w:rPr>
              <w:t>SAATİ</w:t>
            </w:r>
          </w:p>
        </w:tc>
      </w:tr>
      <w:tr w:rsidR="009F2811" w:rsidRPr="00CB733A" w14:paraId="0788AEAC" w14:textId="77777777" w:rsidTr="00204672">
        <w:trPr>
          <w:trHeight w:val="506"/>
        </w:trPr>
        <w:tc>
          <w:tcPr>
            <w:tcW w:w="738" w:type="dxa"/>
            <w:vAlign w:val="center"/>
          </w:tcPr>
          <w:p w14:paraId="26AAACA9" w14:textId="77777777" w:rsidR="009F2811" w:rsidRPr="00CB733A" w:rsidRDefault="009F2811" w:rsidP="006A45C5">
            <w:pPr>
              <w:spacing w:before="60" w:after="60"/>
              <w:jc w:val="center"/>
              <w:rPr>
                <w:rFonts w:ascii="Times New Roman"/>
                <w:szCs w:val="24"/>
              </w:rPr>
            </w:pPr>
            <w:r w:rsidRPr="00CB733A">
              <w:rPr>
                <w:rFonts w:ascii="Times New Roman"/>
                <w:szCs w:val="24"/>
              </w:rPr>
              <w:t>1</w:t>
            </w:r>
          </w:p>
        </w:tc>
        <w:tc>
          <w:tcPr>
            <w:tcW w:w="6558" w:type="dxa"/>
            <w:vAlign w:val="center"/>
          </w:tcPr>
          <w:p w14:paraId="7CAE997F" w14:textId="7729D145" w:rsidR="009F2811" w:rsidRPr="00CB733A" w:rsidRDefault="009F2811" w:rsidP="006A45C5">
            <w:pPr>
              <w:spacing w:before="60" w:after="60"/>
              <w:jc w:val="both"/>
              <w:rPr>
                <w:rFonts w:ascii="Times New Roman"/>
                <w:szCs w:val="24"/>
              </w:rPr>
            </w:pPr>
            <w:r w:rsidRPr="00CB733A">
              <w:rPr>
                <w:rFonts w:ascii="Times New Roman"/>
                <w:szCs w:val="24"/>
              </w:rPr>
              <w:t>Balıkesir İli, Edremit İlçesi, Birlik, Emniyet, Han Yediemin otoparklarında bulunan ve 2918 sayılı Trafik Kanunu</w:t>
            </w:r>
            <w:r>
              <w:rPr>
                <w:rFonts w:ascii="Times New Roman"/>
                <w:szCs w:val="24"/>
              </w:rPr>
              <w:t>nun</w:t>
            </w:r>
            <w:r w:rsidRPr="00CB733A">
              <w:rPr>
                <w:rFonts w:ascii="Times New Roman"/>
                <w:szCs w:val="24"/>
              </w:rPr>
              <w:t xml:space="preserve"> Ek 14 maddesi kapsamında trafikten men edil</w:t>
            </w:r>
            <w:r>
              <w:rPr>
                <w:rFonts w:ascii="Times New Roman"/>
                <w:szCs w:val="24"/>
              </w:rPr>
              <w:t>en</w:t>
            </w:r>
            <w:r w:rsidRPr="00CB733A">
              <w:rPr>
                <w:rFonts w:ascii="Times New Roman"/>
                <w:szCs w:val="24"/>
              </w:rPr>
              <w:t xml:space="preserve"> </w:t>
            </w:r>
            <w:r w:rsidR="00204672" w:rsidRPr="00204672">
              <w:rPr>
                <w:rFonts w:ascii="Times New Roman"/>
                <w:b/>
                <w:bCs/>
                <w:szCs w:val="24"/>
              </w:rPr>
              <w:t>7</w:t>
            </w:r>
            <w:r w:rsidRPr="00204672">
              <w:rPr>
                <w:rFonts w:ascii="Times New Roman"/>
                <w:b/>
                <w:bCs/>
              </w:rPr>
              <w:t>6</w:t>
            </w:r>
            <w:r w:rsidRPr="00567AA0">
              <w:rPr>
                <w:rFonts w:ascii="Times New Roman"/>
                <w:b/>
              </w:rPr>
              <w:t xml:space="preserve"> adet Motosiklet vb. (</w:t>
            </w:r>
            <w:r>
              <w:rPr>
                <w:rFonts w:ascii="Times New Roman"/>
                <w:b/>
              </w:rPr>
              <w:t>7</w:t>
            </w:r>
            <w:r w:rsidR="00204672">
              <w:rPr>
                <w:rFonts w:ascii="Times New Roman"/>
                <w:b/>
              </w:rPr>
              <w:t>4</w:t>
            </w:r>
            <w:r w:rsidRPr="00567AA0">
              <w:rPr>
                <w:rFonts w:ascii="Times New Roman"/>
                <w:b/>
              </w:rPr>
              <w:t xml:space="preserve"> ade</w:t>
            </w:r>
            <w:r w:rsidR="00204672">
              <w:rPr>
                <w:rFonts w:ascii="Times New Roman"/>
                <w:b/>
              </w:rPr>
              <w:t>t motosiklet</w:t>
            </w:r>
            <w:r w:rsidRPr="00567AA0">
              <w:rPr>
                <w:rFonts w:ascii="Times New Roman"/>
                <w:b/>
              </w:rPr>
              <w:t xml:space="preserve"> tescil</w:t>
            </w:r>
            <w:r w:rsidR="00204672">
              <w:rPr>
                <w:rFonts w:ascii="Times New Roman"/>
                <w:b/>
              </w:rPr>
              <w:t>siz</w:t>
            </w:r>
            <w:r w:rsidRPr="00567AA0">
              <w:rPr>
                <w:rFonts w:ascii="Times New Roman"/>
                <w:b/>
              </w:rPr>
              <w:t xml:space="preserve">, </w:t>
            </w:r>
            <w:r w:rsidR="00204672">
              <w:rPr>
                <w:rFonts w:ascii="Times New Roman"/>
                <w:b/>
              </w:rPr>
              <w:t>1</w:t>
            </w:r>
            <w:r w:rsidRPr="00567AA0">
              <w:rPr>
                <w:rFonts w:ascii="Times New Roman"/>
                <w:b/>
              </w:rPr>
              <w:t xml:space="preserve"> ade</w:t>
            </w:r>
            <w:r w:rsidR="00204672">
              <w:rPr>
                <w:rFonts w:ascii="Times New Roman"/>
                <w:b/>
              </w:rPr>
              <w:t>t</w:t>
            </w:r>
            <w:r w:rsidRPr="00567AA0">
              <w:rPr>
                <w:rFonts w:ascii="Times New Roman"/>
                <w:b/>
              </w:rPr>
              <w:t xml:space="preserve"> </w:t>
            </w:r>
            <w:proofErr w:type="spellStart"/>
            <w:r w:rsidR="00204672">
              <w:rPr>
                <w:rFonts w:ascii="Times New Roman"/>
                <w:b/>
              </w:rPr>
              <w:t>atv</w:t>
            </w:r>
            <w:proofErr w:type="spellEnd"/>
            <w:r w:rsidR="00204672">
              <w:rPr>
                <w:rFonts w:ascii="Times New Roman"/>
                <w:b/>
              </w:rPr>
              <w:t xml:space="preserve"> </w:t>
            </w:r>
            <w:r w:rsidRPr="00567AA0">
              <w:rPr>
                <w:rFonts w:ascii="Times New Roman"/>
                <w:b/>
              </w:rPr>
              <w:t>tescilsiz</w:t>
            </w:r>
            <w:r w:rsidR="00204672">
              <w:rPr>
                <w:rFonts w:ascii="Times New Roman"/>
                <w:b/>
              </w:rPr>
              <w:t xml:space="preserve"> ve </w:t>
            </w:r>
            <w:r w:rsidR="00A04AD3">
              <w:rPr>
                <w:rFonts w:ascii="Times New Roman"/>
                <w:b/>
              </w:rPr>
              <w:t xml:space="preserve">1 adet </w:t>
            </w:r>
            <w:r w:rsidR="00204672">
              <w:rPr>
                <w:rFonts w:ascii="Times New Roman"/>
                <w:b/>
              </w:rPr>
              <w:t>tekne motoru</w:t>
            </w:r>
            <w:r w:rsidRPr="00567AA0">
              <w:rPr>
                <w:rFonts w:ascii="Times New Roman"/>
                <w:b/>
              </w:rPr>
              <w:t xml:space="preserve">) ile </w:t>
            </w:r>
            <w:r w:rsidR="00204672">
              <w:rPr>
                <w:rFonts w:ascii="Times New Roman"/>
                <w:b/>
              </w:rPr>
              <w:t>2</w:t>
            </w:r>
            <w:r w:rsidRPr="00567AA0">
              <w:rPr>
                <w:rFonts w:ascii="Times New Roman"/>
                <w:b/>
              </w:rPr>
              <w:t xml:space="preserve">1 adet </w:t>
            </w:r>
            <w:proofErr w:type="spellStart"/>
            <w:r w:rsidR="00204672">
              <w:rPr>
                <w:rFonts w:ascii="Times New Roman"/>
                <w:b/>
              </w:rPr>
              <w:t>Otomabi</w:t>
            </w:r>
            <w:r w:rsidRPr="00567AA0">
              <w:rPr>
                <w:rFonts w:ascii="Times New Roman"/>
                <w:b/>
              </w:rPr>
              <w:t>l</w:t>
            </w:r>
            <w:proofErr w:type="spellEnd"/>
            <w:r w:rsidRPr="00567AA0">
              <w:rPr>
                <w:rFonts w:ascii="Times New Roman"/>
                <w:b/>
              </w:rPr>
              <w:t xml:space="preserve"> vb. (</w:t>
            </w:r>
            <w:r w:rsidR="00204672">
              <w:rPr>
                <w:rFonts w:ascii="Times New Roman"/>
                <w:b/>
              </w:rPr>
              <w:t>15</w:t>
            </w:r>
            <w:r w:rsidRPr="00567AA0">
              <w:rPr>
                <w:rFonts w:ascii="Times New Roman"/>
                <w:b/>
              </w:rPr>
              <w:t xml:space="preserve"> ade</w:t>
            </w:r>
            <w:r w:rsidR="00204672">
              <w:rPr>
                <w:rFonts w:ascii="Times New Roman"/>
                <w:b/>
              </w:rPr>
              <w:t>t otomobil</w:t>
            </w:r>
            <w:r w:rsidRPr="00567AA0">
              <w:rPr>
                <w:rFonts w:ascii="Times New Roman"/>
                <w:b/>
              </w:rPr>
              <w:t xml:space="preserve"> tescil</w:t>
            </w:r>
            <w:r w:rsidR="00204672">
              <w:rPr>
                <w:rFonts w:ascii="Times New Roman"/>
                <w:b/>
              </w:rPr>
              <w:t xml:space="preserve"> kaydı kapalı ve tescilsiz</w:t>
            </w:r>
            <w:r w:rsidRPr="00567AA0">
              <w:rPr>
                <w:rFonts w:ascii="Times New Roman"/>
                <w:b/>
              </w:rPr>
              <w:t xml:space="preserve">, </w:t>
            </w:r>
            <w:r w:rsidR="00204672">
              <w:rPr>
                <w:rFonts w:ascii="Times New Roman"/>
                <w:b/>
              </w:rPr>
              <w:t>5</w:t>
            </w:r>
            <w:r w:rsidRPr="00567AA0">
              <w:rPr>
                <w:rFonts w:ascii="Times New Roman"/>
                <w:b/>
              </w:rPr>
              <w:t xml:space="preserve"> ade</w:t>
            </w:r>
            <w:r w:rsidR="00204672">
              <w:rPr>
                <w:rFonts w:ascii="Times New Roman"/>
                <w:b/>
              </w:rPr>
              <w:t>t Kamyonet tescil kaydı kapalı ve</w:t>
            </w:r>
            <w:r w:rsidRPr="00567AA0">
              <w:rPr>
                <w:rFonts w:ascii="Times New Roman"/>
                <w:b/>
              </w:rPr>
              <w:t xml:space="preserve"> tescilsiz</w:t>
            </w:r>
            <w:r w:rsidR="00204672">
              <w:rPr>
                <w:rFonts w:ascii="Times New Roman"/>
                <w:b/>
              </w:rPr>
              <w:t>, 1 adet Minibüs tescil kaydı kapalı</w:t>
            </w:r>
            <w:r>
              <w:rPr>
                <w:b/>
                <w:szCs w:val="24"/>
              </w:rPr>
              <w:t xml:space="preserve">) </w:t>
            </w:r>
            <w:r w:rsidRPr="00567AA0">
              <w:rPr>
                <w:rFonts w:ascii="Times New Roman"/>
                <w:b/>
              </w:rPr>
              <w:t>Hurda araç</w:t>
            </w:r>
          </w:p>
        </w:tc>
        <w:tc>
          <w:tcPr>
            <w:tcW w:w="1693" w:type="dxa"/>
            <w:vAlign w:val="center"/>
          </w:tcPr>
          <w:p w14:paraId="51438FA0" w14:textId="2D9855D9" w:rsidR="009F2811" w:rsidRPr="00CB733A" w:rsidRDefault="009F2811" w:rsidP="006A45C5">
            <w:pPr>
              <w:spacing w:before="60" w:after="60"/>
              <w:jc w:val="center"/>
              <w:rPr>
                <w:rFonts w:ascii="Times New Roman"/>
                <w:szCs w:val="24"/>
              </w:rPr>
            </w:pPr>
            <w:r>
              <w:rPr>
                <w:rFonts w:ascii="Times New Roman"/>
                <w:szCs w:val="24"/>
              </w:rPr>
              <w:t>11</w:t>
            </w:r>
            <w:r w:rsidRPr="00CB733A">
              <w:rPr>
                <w:rFonts w:ascii="Times New Roman"/>
                <w:szCs w:val="24"/>
              </w:rPr>
              <w:t>.</w:t>
            </w:r>
            <w:r w:rsidR="00204672">
              <w:rPr>
                <w:rFonts w:ascii="Times New Roman"/>
                <w:szCs w:val="24"/>
              </w:rPr>
              <w:t>4</w:t>
            </w:r>
            <w:r>
              <w:rPr>
                <w:rFonts w:ascii="Times New Roman"/>
                <w:szCs w:val="24"/>
              </w:rPr>
              <w:t>40</w:t>
            </w:r>
            <w:r w:rsidRPr="00CB733A">
              <w:rPr>
                <w:rFonts w:ascii="Times New Roman"/>
                <w:szCs w:val="24"/>
              </w:rPr>
              <w:t xml:space="preserve"> Kg</w:t>
            </w:r>
          </w:p>
        </w:tc>
        <w:tc>
          <w:tcPr>
            <w:tcW w:w="1411" w:type="dxa"/>
            <w:vAlign w:val="center"/>
          </w:tcPr>
          <w:p w14:paraId="27E9DBF2" w14:textId="6E7778B4" w:rsidR="009F2811" w:rsidRPr="00CB733A" w:rsidRDefault="009F2811" w:rsidP="006A45C5">
            <w:pPr>
              <w:spacing w:before="60" w:after="60"/>
              <w:jc w:val="center"/>
              <w:rPr>
                <w:rFonts w:ascii="Times New Roman"/>
                <w:szCs w:val="24"/>
              </w:rPr>
            </w:pPr>
            <w:r>
              <w:rPr>
                <w:rFonts w:ascii="Times New Roman"/>
                <w:szCs w:val="24"/>
              </w:rPr>
              <w:t>10</w:t>
            </w:r>
            <w:r w:rsidR="00204672">
              <w:rPr>
                <w:rFonts w:ascii="Times New Roman"/>
                <w:szCs w:val="24"/>
              </w:rPr>
              <w:t>2</w:t>
            </w:r>
            <w:r w:rsidRPr="00CB733A">
              <w:rPr>
                <w:rFonts w:ascii="Times New Roman"/>
                <w:szCs w:val="24"/>
              </w:rPr>
              <w:t>.</w:t>
            </w:r>
            <w:r w:rsidR="00204672">
              <w:rPr>
                <w:rFonts w:ascii="Times New Roman"/>
                <w:szCs w:val="24"/>
              </w:rPr>
              <w:t>9</w:t>
            </w:r>
            <w:r>
              <w:rPr>
                <w:rFonts w:ascii="Times New Roman"/>
                <w:szCs w:val="24"/>
              </w:rPr>
              <w:t>60</w:t>
            </w:r>
            <w:r w:rsidRPr="00CB733A">
              <w:rPr>
                <w:rFonts w:ascii="Times New Roman"/>
                <w:szCs w:val="24"/>
              </w:rPr>
              <w:t>,00 TL</w:t>
            </w:r>
          </w:p>
        </w:tc>
        <w:tc>
          <w:tcPr>
            <w:tcW w:w="1412" w:type="dxa"/>
            <w:vAlign w:val="center"/>
          </w:tcPr>
          <w:p w14:paraId="51A79F31" w14:textId="1727B544" w:rsidR="009F2811" w:rsidRPr="00CB733A" w:rsidRDefault="009F2811" w:rsidP="006A45C5">
            <w:pPr>
              <w:spacing w:before="60" w:after="60"/>
              <w:jc w:val="center"/>
              <w:rPr>
                <w:rFonts w:ascii="Times New Roman"/>
                <w:szCs w:val="24"/>
              </w:rPr>
            </w:pPr>
            <w:r>
              <w:rPr>
                <w:rFonts w:ascii="Times New Roman"/>
                <w:szCs w:val="24"/>
              </w:rPr>
              <w:t>3</w:t>
            </w:r>
            <w:r w:rsidR="00204672">
              <w:rPr>
                <w:rFonts w:ascii="Times New Roman"/>
                <w:szCs w:val="24"/>
              </w:rPr>
              <w:t>0</w:t>
            </w:r>
            <w:r w:rsidRPr="00CB733A">
              <w:rPr>
                <w:rFonts w:ascii="Times New Roman"/>
                <w:szCs w:val="24"/>
              </w:rPr>
              <w:t>.</w:t>
            </w:r>
            <w:r w:rsidR="00204672">
              <w:rPr>
                <w:rFonts w:ascii="Times New Roman"/>
                <w:szCs w:val="24"/>
              </w:rPr>
              <w:t>88</w:t>
            </w:r>
            <w:r>
              <w:rPr>
                <w:rFonts w:ascii="Times New Roman"/>
                <w:szCs w:val="24"/>
              </w:rPr>
              <w:t>8</w:t>
            </w:r>
            <w:r w:rsidRPr="00CB733A">
              <w:rPr>
                <w:rFonts w:ascii="Times New Roman"/>
                <w:szCs w:val="24"/>
              </w:rPr>
              <w:t>,00 TL</w:t>
            </w:r>
          </w:p>
        </w:tc>
        <w:tc>
          <w:tcPr>
            <w:tcW w:w="1270" w:type="dxa"/>
            <w:vAlign w:val="center"/>
          </w:tcPr>
          <w:p w14:paraId="2692F132" w14:textId="77777777" w:rsidR="009F2811" w:rsidRPr="00CB733A" w:rsidRDefault="009F2811" w:rsidP="006A45C5">
            <w:pPr>
              <w:spacing w:before="60" w:after="60"/>
              <w:jc w:val="center"/>
              <w:rPr>
                <w:rFonts w:ascii="Times New Roman"/>
                <w:szCs w:val="24"/>
              </w:rPr>
            </w:pPr>
            <w:r>
              <w:rPr>
                <w:rFonts w:ascii="Times New Roman"/>
                <w:szCs w:val="24"/>
              </w:rPr>
              <w:t>09</w:t>
            </w:r>
            <w:r w:rsidRPr="00CB733A">
              <w:rPr>
                <w:rFonts w:ascii="Times New Roman"/>
                <w:szCs w:val="24"/>
              </w:rPr>
              <w:t>/0</w:t>
            </w:r>
            <w:r>
              <w:rPr>
                <w:rFonts w:ascii="Times New Roman"/>
                <w:szCs w:val="24"/>
              </w:rPr>
              <w:t>6</w:t>
            </w:r>
            <w:r w:rsidRPr="00CB733A">
              <w:rPr>
                <w:rFonts w:ascii="Times New Roman"/>
                <w:szCs w:val="24"/>
              </w:rPr>
              <w:t>/20</w:t>
            </w:r>
            <w:r>
              <w:rPr>
                <w:rFonts w:ascii="Times New Roman"/>
                <w:szCs w:val="24"/>
              </w:rPr>
              <w:t>26</w:t>
            </w:r>
          </w:p>
        </w:tc>
        <w:tc>
          <w:tcPr>
            <w:tcW w:w="1024" w:type="dxa"/>
            <w:vAlign w:val="center"/>
          </w:tcPr>
          <w:p w14:paraId="6E3BCF32" w14:textId="77E73035" w:rsidR="009F2811" w:rsidRPr="00CB733A" w:rsidRDefault="009F2811" w:rsidP="006A45C5">
            <w:pPr>
              <w:spacing w:before="60" w:after="60"/>
              <w:jc w:val="center"/>
              <w:rPr>
                <w:rFonts w:ascii="Times New Roman"/>
                <w:szCs w:val="24"/>
              </w:rPr>
            </w:pPr>
            <w:r w:rsidRPr="00CB733A">
              <w:rPr>
                <w:rFonts w:ascii="Times New Roman"/>
                <w:szCs w:val="24"/>
              </w:rPr>
              <w:t>1</w:t>
            </w:r>
            <w:r w:rsidR="0038496E">
              <w:rPr>
                <w:rFonts w:ascii="Times New Roman"/>
                <w:szCs w:val="24"/>
              </w:rPr>
              <w:t>4</w:t>
            </w:r>
            <w:r w:rsidRPr="00CB733A">
              <w:rPr>
                <w:rFonts w:ascii="Times New Roman"/>
                <w:szCs w:val="24"/>
              </w:rPr>
              <w:t>:</w:t>
            </w:r>
            <w:r w:rsidR="0038496E">
              <w:rPr>
                <w:rFonts w:ascii="Times New Roman"/>
                <w:szCs w:val="24"/>
              </w:rPr>
              <w:t>3</w:t>
            </w:r>
            <w:r w:rsidRPr="00CB733A">
              <w:rPr>
                <w:rFonts w:ascii="Times New Roman"/>
                <w:szCs w:val="24"/>
              </w:rPr>
              <w:t>0</w:t>
            </w:r>
          </w:p>
        </w:tc>
      </w:tr>
    </w:tbl>
    <w:p w14:paraId="21A1B98E" w14:textId="77777777" w:rsidR="00472D24" w:rsidRPr="009F2811" w:rsidRDefault="00472D24" w:rsidP="009F2811">
      <w:pPr>
        <w:shd w:val="clear" w:color="auto" w:fill="FFFFFF"/>
        <w:spacing w:before="302"/>
        <w:jc w:val="both"/>
      </w:pPr>
      <w:r w:rsidRPr="009F2811">
        <w:rPr>
          <w:b/>
          <w:bCs/>
          <w:color w:val="000000"/>
          <w:u w:val="single"/>
        </w:rPr>
        <w:t>AÇIKLAMALAR</w:t>
      </w:r>
    </w:p>
    <w:p w14:paraId="5458317C" w14:textId="5AF28B96" w:rsidR="00472D24" w:rsidRPr="009F2811" w:rsidRDefault="00472D24" w:rsidP="009F2811">
      <w:pPr>
        <w:numPr>
          <w:ilvl w:val="0"/>
          <w:numId w:val="1"/>
        </w:numPr>
        <w:shd w:val="clear" w:color="auto" w:fill="FFFFFF"/>
        <w:tabs>
          <w:tab w:val="left" w:pos="144"/>
        </w:tabs>
        <w:spacing w:before="48" w:line="187" w:lineRule="exact"/>
        <w:ind w:left="34"/>
        <w:jc w:val="both"/>
        <w:rPr>
          <w:color w:val="000000"/>
        </w:rPr>
      </w:pPr>
      <w:r w:rsidRPr="009F2811">
        <w:rPr>
          <w:color w:val="000000"/>
        </w:rPr>
        <w:t>- Yukarıda nitelikleri belirtilen araçların satış iha</w:t>
      </w:r>
      <w:r w:rsidR="009F2811">
        <w:rPr>
          <w:color w:val="000000"/>
        </w:rPr>
        <w:t>lesi</w:t>
      </w:r>
      <w:r w:rsidRPr="009F2811">
        <w:rPr>
          <w:color w:val="000000"/>
        </w:rPr>
        <w:t xml:space="preserve">, 422 sıra sayılı Milli Emlak Genel Tebliğinin 5'inci maddesinin altıncı fıkrası gereğince, 2886 sayılı </w:t>
      </w:r>
      <w:proofErr w:type="gramStart"/>
      <w:r w:rsidRPr="009F2811">
        <w:rPr>
          <w:color w:val="000000"/>
        </w:rPr>
        <w:t>Devlet</w:t>
      </w:r>
      <w:r w:rsidR="00B250C4">
        <w:rPr>
          <w:color w:val="000000"/>
        </w:rPr>
        <w:t xml:space="preserve"> </w:t>
      </w:r>
      <w:r w:rsidRPr="009F2811">
        <w:rPr>
          <w:color w:val="000000"/>
        </w:rPr>
        <w:t>İhale Kanununun</w:t>
      </w:r>
      <w:proofErr w:type="gramEnd"/>
      <w:r w:rsidRPr="009F2811">
        <w:rPr>
          <w:color w:val="000000"/>
        </w:rPr>
        <w:t xml:space="preserve"> 51/a maddesi uyarınca Pazarlık Usulüyle,</w:t>
      </w:r>
      <w:r w:rsidR="009F2811">
        <w:rPr>
          <w:color w:val="000000"/>
        </w:rPr>
        <w:t xml:space="preserve"> yukarıda</w:t>
      </w:r>
      <w:r w:rsidRPr="009F2811">
        <w:rPr>
          <w:color w:val="000000"/>
        </w:rPr>
        <w:t xml:space="preserve"> gösterilen gün ve saatte, tahmini bedel üzerinden </w:t>
      </w:r>
      <w:r w:rsidR="009F2811">
        <w:rPr>
          <w:color w:val="000000"/>
        </w:rPr>
        <w:t>Balıkesir /</w:t>
      </w:r>
      <w:r w:rsidR="00E46F9F">
        <w:rPr>
          <w:color w:val="000000"/>
        </w:rPr>
        <w:t xml:space="preserve"> </w:t>
      </w:r>
      <w:r w:rsidR="00000FE3">
        <w:rPr>
          <w:color w:val="000000"/>
        </w:rPr>
        <w:t>Edremit</w:t>
      </w:r>
      <w:r w:rsidR="00E46F9F">
        <w:rPr>
          <w:color w:val="000000"/>
        </w:rPr>
        <w:t xml:space="preserve"> </w:t>
      </w:r>
      <w:r w:rsidR="009F2811">
        <w:rPr>
          <w:color w:val="000000"/>
        </w:rPr>
        <w:t xml:space="preserve">Milli Emlak </w:t>
      </w:r>
      <w:r w:rsidR="00000FE3">
        <w:rPr>
          <w:color w:val="000000"/>
        </w:rPr>
        <w:t>Müdürlüğü</w:t>
      </w:r>
      <w:r w:rsidR="009F2811">
        <w:rPr>
          <w:color w:val="000000"/>
        </w:rPr>
        <w:t xml:space="preserve"> </w:t>
      </w:r>
      <w:r w:rsidRPr="009F2811">
        <w:rPr>
          <w:color w:val="000000"/>
        </w:rPr>
        <w:t>(</w:t>
      </w:r>
      <w:r w:rsidR="00000FE3">
        <w:rPr>
          <w:color w:val="000000"/>
        </w:rPr>
        <w:t>Edremit</w:t>
      </w:r>
      <w:r w:rsidR="00E46F9F">
        <w:rPr>
          <w:color w:val="000000"/>
        </w:rPr>
        <w:t xml:space="preserve"> </w:t>
      </w:r>
      <w:r w:rsidR="00000FE3">
        <w:rPr>
          <w:color w:val="000000"/>
        </w:rPr>
        <w:t>Kaymakamlık Binası</w:t>
      </w:r>
      <w:r w:rsidRPr="009F2811">
        <w:rPr>
          <w:color w:val="000000"/>
        </w:rPr>
        <w:t>) toplanacak komisyon tarafından yapılacaktır.</w:t>
      </w:r>
    </w:p>
    <w:p w14:paraId="566F4507" w14:textId="77777777" w:rsidR="00472D24" w:rsidRPr="009F2811" w:rsidRDefault="00472D24" w:rsidP="00F44650">
      <w:pPr>
        <w:numPr>
          <w:ilvl w:val="0"/>
          <w:numId w:val="1"/>
        </w:numPr>
        <w:shd w:val="clear" w:color="auto" w:fill="FFFFFF"/>
        <w:tabs>
          <w:tab w:val="left" w:pos="144"/>
        </w:tabs>
        <w:spacing w:before="67"/>
        <w:ind w:left="34"/>
        <w:jc w:val="both"/>
      </w:pPr>
      <w:r w:rsidRPr="00FE13B1">
        <w:rPr>
          <w:color w:val="000000"/>
        </w:rPr>
        <w:t>- İhaleye katılmak isteyen isteklilerin ihale saatine kadar;</w:t>
      </w:r>
    </w:p>
    <w:p w14:paraId="05B7F55D" w14:textId="77777777" w:rsidR="009F2811" w:rsidRDefault="00472D24" w:rsidP="009F2811">
      <w:pPr>
        <w:numPr>
          <w:ilvl w:val="0"/>
          <w:numId w:val="2"/>
        </w:numPr>
        <w:shd w:val="clear" w:color="auto" w:fill="FFFFFF"/>
        <w:tabs>
          <w:tab w:val="left" w:pos="734"/>
        </w:tabs>
        <w:spacing w:before="48" w:line="187" w:lineRule="exact"/>
        <w:ind w:left="586"/>
        <w:jc w:val="both"/>
        <w:rPr>
          <w:color w:val="000000"/>
        </w:rPr>
      </w:pPr>
      <w:r w:rsidRPr="009F2811">
        <w:rPr>
          <w:color w:val="000000"/>
        </w:rPr>
        <w:t xml:space="preserve">Geçici teminatın (Muhasebe Müdürlükleri veznesine veya banka hesabına) yatırıldığına dair makbuzu vermeleri, (Geçici teminat olarak kabul edilecek değerler:  </w:t>
      </w:r>
    </w:p>
    <w:p w14:paraId="7D4C9FC3" w14:textId="77777777" w:rsidR="00472D24" w:rsidRPr="009F2811" w:rsidRDefault="00472D24" w:rsidP="009F2811">
      <w:pPr>
        <w:shd w:val="clear" w:color="auto" w:fill="FFFFFF"/>
        <w:tabs>
          <w:tab w:val="left" w:pos="734"/>
        </w:tabs>
        <w:spacing w:before="48" w:line="187" w:lineRule="exact"/>
        <w:ind w:left="586"/>
        <w:jc w:val="both"/>
        <w:rPr>
          <w:color w:val="000000"/>
        </w:rPr>
      </w:pPr>
      <w:r w:rsidRPr="009F2811">
        <w:rPr>
          <w:color w:val="000000"/>
        </w:rPr>
        <w:t>1- Tedavüldeki Türk</w:t>
      </w:r>
      <w:r w:rsidR="003C6186">
        <w:rPr>
          <w:color w:val="000000"/>
        </w:rPr>
        <w:t xml:space="preserve"> </w:t>
      </w:r>
      <w:r w:rsidRPr="009F2811">
        <w:rPr>
          <w:color w:val="000000"/>
        </w:rPr>
        <w:t>parası, 2- Mevduat ve Katılım Bankalarının verecekleri ve banka limitlerinin de gösterildiği süresiz teminat mektupları (banka teyit yazısı ile birlikte), 3- Hazine Müsteşarlığınca ihraç edilen Devlet İç Borçlanma Senetleri veya bu senetler yerine düzenlenen belgeler.)</w:t>
      </w:r>
    </w:p>
    <w:p w14:paraId="7F99F7C5" w14:textId="77777777" w:rsidR="00472D24" w:rsidRPr="009F2811" w:rsidRDefault="00472D24" w:rsidP="009F2811">
      <w:pPr>
        <w:numPr>
          <w:ilvl w:val="0"/>
          <w:numId w:val="2"/>
        </w:numPr>
        <w:shd w:val="clear" w:color="auto" w:fill="FFFFFF"/>
        <w:tabs>
          <w:tab w:val="left" w:pos="734"/>
        </w:tabs>
        <w:spacing w:before="24" w:line="221" w:lineRule="exact"/>
        <w:ind w:left="586"/>
        <w:jc w:val="both"/>
        <w:rPr>
          <w:color w:val="000000"/>
        </w:rPr>
      </w:pPr>
      <w:r w:rsidRPr="009F2811">
        <w:rPr>
          <w:color w:val="000000"/>
        </w:rPr>
        <w:t>Yasal yerleşim yerini gösteren belgeyi vermeleri,</w:t>
      </w:r>
    </w:p>
    <w:p w14:paraId="50C32B30" w14:textId="77777777" w:rsidR="00472D24" w:rsidRPr="009F2811" w:rsidRDefault="00472D24" w:rsidP="009F2811">
      <w:pPr>
        <w:numPr>
          <w:ilvl w:val="0"/>
          <w:numId w:val="2"/>
        </w:numPr>
        <w:shd w:val="clear" w:color="auto" w:fill="FFFFFF"/>
        <w:tabs>
          <w:tab w:val="left" w:pos="734"/>
        </w:tabs>
        <w:spacing w:line="221" w:lineRule="exact"/>
        <w:ind w:left="586"/>
        <w:jc w:val="both"/>
        <w:rPr>
          <w:color w:val="000000"/>
        </w:rPr>
      </w:pPr>
      <w:r w:rsidRPr="009F2811">
        <w:rPr>
          <w:color w:val="000000"/>
        </w:rPr>
        <w:t>Tebligat için Türkiye'de adres göstermeleri,</w:t>
      </w:r>
    </w:p>
    <w:p w14:paraId="6A5CBC8F" w14:textId="77777777" w:rsidR="00472D24" w:rsidRPr="009F2811" w:rsidRDefault="00472D24" w:rsidP="009F2811">
      <w:pPr>
        <w:numPr>
          <w:ilvl w:val="0"/>
          <w:numId w:val="2"/>
        </w:numPr>
        <w:shd w:val="clear" w:color="auto" w:fill="FFFFFF"/>
        <w:tabs>
          <w:tab w:val="left" w:pos="734"/>
        </w:tabs>
        <w:spacing w:line="221" w:lineRule="exact"/>
        <w:ind w:left="586"/>
        <w:jc w:val="both"/>
        <w:rPr>
          <w:color w:val="000000"/>
        </w:rPr>
      </w:pPr>
      <w:r w:rsidRPr="009F2811">
        <w:rPr>
          <w:color w:val="000000"/>
        </w:rPr>
        <w:t>Gerçek kişilerin T. C. Kimlik numaralarını bildirmeleri ve nüfus cüzdanı suretini vermeleri, tüzel kişilerin vergi kimlik belgesini bildirmeleri,</w:t>
      </w:r>
    </w:p>
    <w:p w14:paraId="02BA97EA" w14:textId="77777777" w:rsidR="00472D24" w:rsidRPr="009F2811" w:rsidRDefault="00472D24" w:rsidP="006423CD">
      <w:pPr>
        <w:numPr>
          <w:ilvl w:val="0"/>
          <w:numId w:val="2"/>
        </w:numPr>
        <w:shd w:val="clear" w:color="auto" w:fill="FFFFFF"/>
        <w:tabs>
          <w:tab w:val="left" w:pos="734"/>
        </w:tabs>
        <w:spacing w:before="34" w:line="187" w:lineRule="exact"/>
        <w:ind w:left="586"/>
        <w:jc w:val="both"/>
      </w:pPr>
      <w:r w:rsidRPr="00FE13B1">
        <w:rPr>
          <w:color w:val="000000"/>
        </w:rPr>
        <w:t>Özel hukuk tüzel kişilerinin,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w:t>
      </w:r>
      <w:r w:rsidR="003C6186" w:rsidRPr="00FE13B1">
        <w:rPr>
          <w:color w:val="000000"/>
        </w:rPr>
        <w:t xml:space="preserve"> gösterir belge veya noterlikçe tasdik edilmiş vekâletnameyi vermeleri</w:t>
      </w:r>
      <w:r w:rsidRPr="00FE13B1">
        <w:rPr>
          <w:color w:val="000000"/>
        </w:rPr>
        <w:t xml:space="preserve"> gerekmektedir.</w:t>
      </w:r>
    </w:p>
    <w:p w14:paraId="4B6296F1" w14:textId="264482CC" w:rsidR="00472D24" w:rsidRPr="009F2811" w:rsidRDefault="00472D24" w:rsidP="009F2811">
      <w:pPr>
        <w:numPr>
          <w:ilvl w:val="0"/>
          <w:numId w:val="3"/>
        </w:numPr>
        <w:shd w:val="clear" w:color="auto" w:fill="FFFFFF"/>
        <w:tabs>
          <w:tab w:val="left" w:pos="144"/>
        </w:tabs>
        <w:spacing w:before="48" w:line="192" w:lineRule="exact"/>
        <w:ind w:left="34"/>
        <w:jc w:val="both"/>
        <w:rPr>
          <w:color w:val="000000"/>
        </w:rPr>
      </w:pPr>
      <w:r w:rsidRPr="009F2811">
        <w:rPr>
          <w:color w:val="000000"/>
        </w:rPr>
        <w:t xml:space="preserve">- İhaleye ait şartname ve ekleri mesai saatleri içerisinde </w:t>
      </w:r>
      <w:r w:rsidR="00460892">
        <w:rPr>
          <w:color w:val="000000"/>
        </w:rPr>
        <w:t xml:space="preserve">Edremit </w:t>
      </w:r>
      <w:r w:rsidRPr="009F2811">
        <w:rPr>
          <w:color w:val="000000"/>
        </w:rPr>
        <w:t xml:space="preserve">Milli Emlak </w:t>
      </w:r>
      <w:r w:rsidR="00460892">
        <w:rPr>
          <w:color w:val="000000"/>
        </w:rPr>
        <w:t>Müdürlüğü</w:t>
      </w:r>
      <w:r w:rsidRPr="009F2811">
        <w:rPr>
          <w:color w:val="000000"/>
        </w:rPr>
        <w:t>nde ücretsiz olarak görülebilir.</w:t>
      </w:r>
    </w:p>
    <w:p w14:paraId="20457877" w14:textId="77777777" w:rsidR="00472D24" w:rsidRPr="009F2811" w:rsidRDefault="00472D24" w:rsidP="009F2811">
      <w:pPr>
        <w:numPr>
          <w:ilvl w:val="0"/>
          <w:numId w:val="3"/>
        </w:numPr>
        <w:shd w:val="clear" w:color="auto" w:fill="FFFFFF"/>
        <w:tabs>
          <w:tab w:val="left" w:pos="144"/>
        </w:tabs>
        <w:spacing w:before="10" w:line="192" w:lineRule="exact"/>
        <w:ind w:left="34"/>
        <w:jc w:val="both"/>
        <w:rPr>
          <w:color w:val="000000"/>
        </w:rPr>
      </w:pPr>
      <w:r w:rsidRPr="009F2811">
        <w:rPr>
          <w:color w:val="000000"/>
        </w:rPr>
        <w:t xml:space="preserve">- Posta ile yapılacak müracaatlarda teklifin 2886 </w:t>
      </w:r>
      <w:r w:rsidR="00212A46">
        <w:rPr>
          <w:color w:val="000000"/>
        </w:rPr>
        <w:t>S</w:t>
      </w:r>
      <w:r w:rsidRPr="009F2811">
        <w:rPr>
          <w:color w:val="000000"/>
        </w:rPr>
        <w:t xml:space="preserve">ayılı </w:t>
      </w:r>
      <w:proofErr w:type="gramStart"/>
      <w:r w:rsidRPr="009F2811">
        <w:rPr>
          <w:color w:val="000000"/>
        </w:rPr>
        <w:t>Devlet İhale Kanununun</w:t>
      </w:r>
      <w:proofErr w:type="gramEnd"/>
      <w:r w:rsidRPr="009F2811">
        <w:rPr>
          <w:color w:val="000000"/>
        </w:rPr>
        <w:t xml:space="preserve"> 37 </w:t>
      </w:r>
      <w:proofErr w:type="spellStart"/>
      <w:r w:rsidRPr="009F2811">
        <w:rPr>
          <w:color w:val="000000"/>
        </w:rPr>
        <w:t>nci</w:t>
      </w:r>
      <w:proofErr w:type="spellEnd"/>
      <w:r w:rsidRPr="009F2811">
        <w:rPr>
          <w:color w:val="000000"/>
        </w:rPr>
        <w:t xml:space="preserve"> maddesine uygun olarak hazırlanması ve teklifin ihale saatinden önce Komisyona ulaştırılması şarttır.</w:t>
      </w:r>
      <w:r w:rsidR="00212A46">
        <w:rPr>
          <w:color w:val="000000"/>
        </w:rPr>
        <w:t xml:space="preserve"> </w:t>
      </w:r>
      <w:r w:rsidRPr="009F2811">
        <w:rPr>
          <w:color w:val="000000"/>
        </w:rPr>
        <w:t>Postada meydana gelebilecek gecikmelerden dolayı İdare ve Komisyon herhangi bir sorumluluk kabul etmez.</w:t>
      </w:r>
    </w:p>
    <w:p w14:paraId="242B40B4" w14:textId="77777777" w:rsidR="00472D24" w:rsidRPr="009F2811" w:rsidRDefault="00472D24" w:rsidP="009F2811">
      <w:pPr>
        <w:numPr>
          <w:ilvl w:val="0"/>
          <w:numId w:val="3"/>
        </w:numPr>
        <w:shd w:val="clear" w:color="auto" w:fill="FFFFFF"/>
        <w:tabs>
          <w:tab w:val="left" w:pos="144"/>
        </w:tabs>
        <w:spacing w:line="182" w:lineRule="exact"/>
        <w:ind w:left="34"/>
        <w:jc w:val="both"/>
        <w:rPr>
          <w:color w:val="000000"/>
        </w:rPr>
      </w:pPr>
      <w:r w:rsidRPr="009F2811">
        <w:rPr>
          <w:color w:val="000000"/>
        </w:rPr>
        <w:t xml:space="preserve">- Ömrünü Tamamlamış Araçların Kontrolü Hakkında Yönetmelikte belirtilen N1 ve M1 kategorisinde bulunan yukarıda nitelikleri belirtilen hurda araçların ihalesine katılacak </w:t>
      </w:r>
      <w:r w:rsidR="00B250C4">
        <w:rPr>
          <w:color w:val="000000"/>
        </w:rPr>
        <w:t>is</w:t>
      </w:r>
      <w:r w:rsidRPr="009F2811">
        <w:rPr>
          <w:color w:val="000000"/>
        </w:rPr>
        <w:t>tek</w:t>
      </w:r>
      <w:r w:rsidR="00B250C4">
        <w:rPr>
          <w:color w:val="000000"/>
        </w:rPr>
        <w:t>l</w:t>
      </w:r>
      <w:r w:rsidRPr="009F2811">
        <w:rPr>
          <w:color w:val="000000"/>
        </w:rPr>
        <w:t>ilerin, Çevre</w:t>
      </w:r>
      <w:r w:rsidR="009F2811">
        <w:rPr>
          <w:color w:val="000000"/>
        </w:rPr>
        <w:t xml:space="preserve"> Şehircilik ve İklim Değişikliği</w:t>
      </w:r>
      <w:r w:rsidRPr="009F2811">
        <w:rPr>
          <w:color w:val="000000"/>
        </w:rPr>
        <w:t xml:space="preserve"> Bakanlığınca çıkarılan, 10/09/2014 tarihli ve 29115 sayılı </w:t>
      </w:r>
      <w:proofErr w:type="gramStart"/>
      <w:r w:rsidRPr="009F2811">
        <w:rPr>
          <w:color w:val="000000"/>
        </w:rPr>
        <w:t>Resmi</w:t>
      </w:r>
      <w:proofErr w:type="gramEnd"/>
      <w:r w:rsidRPr="009F2811">
        <w:rPr>
          <w:color w:val="000000"/>
        </w:rPr>
        <w:t xml:space="preserve"> Gazetede yayımlanan "Çevre İzin ve Lisans Yönetmeliği" hükümlerine göre lisans sahibi olmaları gerekmekte olup, aslının veya noter onaylı lisans örneğinin ihale komisyonuna ibraz edilmesi gerekmektedir.</w:t>
      </w:r>
    </w:p>
    <w:p w14:paraId="2A5DFA35" w14:textId="77777777" w:rsidR="00472D24" w:rsidRPr="009F2811" w:rsidRDefault="00472D24" w:rsidP="009F2811">
      <w:pPr>
        <w:numPr>
          <w:ilvl w:val="0"/>
          <w:numId w:val="3"/>
        </w:numPr>
        <w:shd w:val="clear" w:color="auto" w:fill="FFFFFF"/>
        <w:tabs>
          <w:tab w:val="left" w:pos="144"/>
        </w:tabs>
        <w:spacing w:line="182" w:lineRule="exact"/>
        <w:ind w:left="34"/>
        <w:jc w:val="both"/>
        <w:rPr>
          <w:color w:val="000000"/>
        </w:rPr>
      </w:pPr>
      <w:r w:rsidRPr="009F2811">
        <w:rPr>
          <w:color w:val="000000"/>
        </w:rPr>
        <w:t>- Satışa konu taşınır mallar, mevcut haliyle (olduğu gibi) ihaleye çıkarılmıştır. İhaleye katılan istekliler; malı yerinde görerek, teknik ve hukuki</w:t>
      </w:r>
      <w:r w:rsidR="009F2811">
        <w:rPr>
          <w:color w:val="000000"/>
        </w:rPr>
        <w:t xml:space="preserve"> </w:t>
      </w:r>
      <w:r w:rsidRPr="009F2811">
        <w:rPr>
          <w:color w:val="000000"/>
        </w:rPr>
        <w:t>durumunu araştırarak ve ihale dokümanını tüm hükümleriyle inceleyip kabul ederek teklif vermiş sayılırlar. Bu nedenle satış tarihinden önce mevcut bulunan her türlü ayıp, kusur, eksiklik ve noksanlık sebebiyle İdareden herhangi bir hak, bedel indirimi, masraf, zarar veya tazminat talebinde bulunulamaz.</w:t>
      </w:r>
    </w:p>
    <w:p w14:paraId="72547B4C" w14:textId="77777777" w:rsidR="00472D24" w:rsidRPr="009F2811" w:rsidRDefault="00472D24" w:rsidP="009F2811">
      <w:pPr>
        <w:numPr>
          <w:ilvl w:val="0"/>
          <w:numId w:val="3"/>
        </w:numPr>
        <w:shd w:val="clear" w:color="auto" w:fill="FFFFFF"/>
        <w:tabs>
          <w:tab w:val="left" w:pos="144"/>
        </w:tabs>
        <w:spacing w:before="48" w:line="178" w:lineRule="exact"/>
        <w:ind w:left="34" w:right="307"/>
        <w:jc w:val="both"/>
        <w:rPr>
          <w:color w:val="000000"/>
        </w:rPr>
      </w:pPr>
      <w:r w:rsidRPr="009F2811">
        <w:rPr>
          <w:color w:val="000000"/>
        </w:rPr>
        <w:t>- Tescilli araçların hurdaya çıkarma işlemlerinin yapılmasına müteakip, Ömrünü Tamamlamış Araçların Kontrolü Hakkında Yönetmeliğin Ek-3’ünde yer</w:t>
      </w:r>
      <w:r w:rsidR="009F2811">
        <w:rPr>
          <w:color w:val="000000"/>
        </w:rPr>
        <w:t xml:space="preserve"> </w:t>
      </w:r>
      <w:r w:rsidRPr="009F2811">
        <w:rPr>
          <w:color w:val="000000"/>
        </w:rPr>
        <w:t xml:space="preserve">alan Araç Kayıttan Düşme ve Bertaraf Formunun düzenlenmesi ve Noterlikçe düzenlenecek </w:t>
      </w:r>
      <w:proofErr w:type="spellStart"/>
      <w:r w:rsidRPr="009F2811">
        <w:rPr>
          <w:color w:val="000000"/>
        </w:rPr>
        <w:t>Artes</w:t>
      </w:r>
      <w:proofErr w:type="spellEnd"/>
      <w:r w:rsidRPr="009F2811">
        <w:rPr>
          <w:color w:val="000000"/>
        </w:rPr>
        <w:t>-Tescil İşlem Sonuç Belgesinin bir suretinin İdareye teslim edilmesi gerekmektedir. Bu işlemler tamamlandıktan ve tüm ödemeler yapıldıktan sonra araçlar alıcıya teslim edilecektir. Satışı yapılan araçlar hiçbir şekilde tescil edilerek yeniden trafiğe çıkarılamaz.</w:t>
      </w:r>
    </w:p>
    <w:p w14:paraId="2E0B0DB8" w14:textId="77777777" w:rsidR="00472D24" w:rsidRPr="009F2811" w:rsidRDefault="00472D24" w:rsidP="009F2811">
      <w:pPr>
        <w:numPr>
          <w:ilvl w:val="0"/>
          <w:numId w:val="3"/>
        </w:numPr>
        <w:shd w:val="clear" w:color="auto" w:fill="FFFFFF"/>
        <w:tabs>
          <w:tab w:val="left" w:pos="144"/>
        </w:tabs>
        <w:spacing w:before="29" w:line="221" w:lineRule="exact"/>
        <w:ind w:left="34"/>
        <w:jc w:val="both"/>
        <w:rPr>
          <w:color w:val="000000"/>
        </w:rPr>
      </w:pPr>
      <w:r w:rsidRPr="009F2811">
        <w:rPr>
          <w:color w:val="000000"/>
        </w:rPr>
        <w:t>- İhale bedeli üzerinden tahakkuk edecek olan KDV, Damga Vergisi ve Karar Pulu bedeli ayrıca tahsil edilecek olup, kayıt, tescil ve hurdaya ayırma gibi işlemlere ait her türlü vergi, resim, harç ve yasal yükümlülükler alıcıya aittir.</w:t>
      </w:r>
    </w:p>
    <w:p w14:paraId="791A101A" w14:textId="77777777" w:rsidR="00472D24" w:rsidRPr="009F2811" w:rsidRDefault="00472D24" w:rsidP="009F2811">
      <w:pPr>
        <w:numPr>
          <w:ilvl w:val="0"/>
          <w:numId w:val="3"/>
        </w:numPr>
        <w:shd w:val="clear" w:color="auto" w:fill="FFFFFF"/>
        <w:tabs>
          <w:tab w:val="left" w:pos="144"/>
        </w:tabs>
        <w:spacing w:line="221" w:lineRule="exact"/>
        <w:ind w:left="34"/>
        <w:jc w:val="both"/>
        <w:rPr>
          <w:color w:val="000000"/>
        </w:rPr>
      </w:pPr>
      <w:r w:rsidRPr="009F2811">
        <w:rPr>
          <w:color w:val="000000"/>
        </w:rPr>
        <w:t xml:space="preserve">- Satışı yapılacak araçlar </w:t>
      </w:r>
      <w:r w:rsidR="009F2811">
        <w:rPr>
          <w:color w:val="000000"/>
        </w:rPr>
        <w:t xml:space="preserve">Edremit Han, Birlik ve Emniyet otoparklarında </w:t>
      </w:r>
      <w:r w:rsidRPr="009F2811">
        <w:rPr>
          <w:color w:val="000000"/>
        </w:rPr>
        <w:t>görülebilir.</w:t>
      </w:r>
    </w:p>
    <w:p w14:paraId="77E8A17D" w14:textId="77777777" w:rsidR="00472D24" w:rsidRPr="009F2811" w:rsidRDefault="00472D24" w:rsidP="009F2811">
      <w:pPr>
        <w:numPr>
          <w:ilvl w:val="0"/>
          <w:numId w:val="4"/>
        </w:numPr>
        <w:shd w:val="clear" w:color="auto" w:fill="FFFFFF"/>
        <w:tabs>
          <w:tab w:val="left" w:pos="221"/>
        </w:tabs>
        <w:spacing w:line="221" w:lineRule="exact"/>
        <w:ind w:left="34"/>
        <w:jc w:val="both"/>
        <w:rPr>
          <w:color w:val="000000"/>
        </w:rPr>
      </w:pPr>
      <w:r w:rsidRPr="009F2811">
        <w:rPr>
          <w:color w:val="000000"/>
        </w:rPr>
        <w:t>- İhale komisyonu ihaleyi yapıp yapmamakta serbesttir.</w:t>
      </w:r>
    </w:p>
    <w:p w14:paraId="328835EB" w14:textId="69EEB6D9" w:rsidR="00472D24" w:rsidRPr="009F2811" w:rsidRDefault="00472D24" w:rsidP="009F2811">
      <w:pPr>
        <w:numPr>
          <w:ilvl w:val="0"/>
          <w:numId w:val="4"/>
        </w:numPr>
        <w:shd w:val="clear" w:color="auto" w:fill="FFFFFF"/>
        <w:tabs>
          <w:tab w:val="left" w:pos="221"/>
        </w:tabs>
        <w:spacing w:line="221" w:lineRule="exact"/>
        <w:ind w:left="34"/>
        <w:jc w:val="both"/>
        <w:rPr>
          <w:color w:val="000000"/>
        </w:rPr>
      </w:pPr>
      <w:r w:rsidRPr="009F2811">
        <w:rPr>
          <w:color w:val="000000"/>
        </w:rPr>
        <w:t xml:space="preserve">- İhale ilanı </w:t>
      </w:r>
      <w:hyperlink r:id="rId5" w:history="1">
        <w:r w:rsidR="009F2811" w:rsidRPr="00056E0E">
          <w:rPr>
            <w:rStyle w:val="Kpr"/>
          </w:rPr>
          <w:t>www.balikesir.csb.gov.tr</w:t>
        </w:r>
      </w:hyperlink>
      <w:r w:rsidRPr="009F2811">
        <w:rPr>
          <w:color w:val="000000"/>
        </w:rPr>
        <w:t xml:space="preserve"> Türkiye çapındaki ihale ilanları </w:t>
      </w:r>
      <w:hyperlink r:id="rId6" w:history="1">
        <w:r w:rsidRPr="009F2811">
          <w:rPr>
            <w:color w:val="000000"/>
          </w:rPr>
          <w:t>www.milliemlak.gov.tr</w:t>
        </w:r>
      </w:hyperlink>
      <w:r w:rsidRPr="009F2811">
        <w:rPr>
          <w:color w:val="000000"/>
        </w:rPr>
        <w:t xml:space="preserve"> adresinden görülebilir.   Ayrıntılı bilgi için 0 (</w:t>
      </w:r>
      <w:r w:rsidR="009F2811">
        <w:rPr>
          <w:color w:val="000000"/>
        </w:rPr>
        <w:t>266</w:t>
      </w:r>
      <w:r w:rsidRPr="009F2811">
        <w:rPr>
          <w:color w:val="000000"/>
        </w:rPr>
        <w:t xml:space="preserve">) </w:t>
      </w:r>
      <w:r w:rsidR="00000FE3">
        <w:rPr>
          <w:color w:val="000000"/>
        </w:rPr>
        <w:t>373</w:t>
      </w:r>
      <w:r w:rsidRPr="009F2811">
        <w:rPr>
          <w:color w:val="000000"/>
        </w:rPr>
        <w:t xml:space="preserve"> 1</w:t>
      </w:r>
      <w:r w:rsidR="00000FE3">
        <w:rPr>
          <w:color w:val="000000"/>
        </w:rPr>
        <w:t>8</w:t>
      </w:r>
      <w:r w:rsidRPr="009F2811">
        <w:rPr>
          <w:color w:val="000000"/>
        </w:rPr>
        <w:t xml:space="preserve"> </w:t>
      </w:r>
      <w:r w:rsidR="00000FE3">
        <w:rPr>
          <w:color w:val="000000"/>
        </w:rPr>
        <w:t>54</w:t>
      </w:r>
      <w:r w:rsidRPr="009F2811">
        <w:rPr>
          <w:color w:val="000000"/>
        </w:rPr>
        <w:t xml:space="preserve"> numaralı telefondan bilgi alınabilir.</w:t>
      </w:r>
    </w:p>
    <w:p w14:paraId="2E893570" w14:textId="77777777" w:rsidR="00472D24" w:rsidRPr="009F2811" w:rsidRDefault="00472D24" w:rsidP="00FE13B1">
      <w:pPr>
        <w:shd w:val="clear" w:color="auto" w:fill="FFFFFF"/>
        <w:spacing w:before="230"/>
        <w:ind w:left="11907"/>
      </w:pPr>
      <w:r w:rsidRPr="009F2811">
        <w:rPr>
          <w:b/>
          <w:bCs/>
          <w:color w:val="000000"/>
        </w:rPr>
        <w:t>İLAN OLUNUR</w:t>
      </w:r>
    </w:p>
    <w:sectPr w:rsidR="00472D24" w:rsidRPr="009F2811" w:rsidSect="00FE13B1">
      <w:type w:val="continuous"/>
      <w:pgSz w:w="16838" w:h="11906" w:orient="landscape" w:code="9"/>
      <w:pgMar w:top="397" w:right="1361" w:bottom="357" w:left="1361" w:header="709" w:footer="709"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7870"/>
    <w:multiLevelType w:val="singleLevel"/>
    <w:tmpl w:val="6E1238A6"/>
    <w:lvl w:ilvl="0">
      <w:start w:val="3"/>
      <w:numFmt w:val="decimal"/>
      <w:lvlText w:val="%1"/>
      <w:legacy w:legacy="1" w:legacySpace="0" w:legacyIndent="110"/>
      <w:lvlJc w:val="left"/>
      <w:rPr>
        <w:rFonts w:ascii="Times New Roman" w:hAnsi="Times New Roman" w:cs="Times New Roman" w:hint="default"/>
      </w:rPr>
    </w:lvl>
  </w:abstractNum>
  <w:abstractNum w:abstractNumId="1" w15:restartNumberingAfterBreak="0">
    <w:nsid w:val="481B0808"/>
    <w:multiLevelType w:val="singleLevel"/>
    <w:tmpl w:val="BC92B9E6"/>
    <w:lvl w:ilvl="0">
      <w:start w:val="1"/>
      <w:numFmt w:val="lowerLetter"/>
      <w:lvlText w:val="%1)"/>
      <w:legacy w:legacy="1" w:legacySpace="0" w:legacyIndent="148"/>
      <w:lvlJc w:val="left"/>
      <w:rPr>
        <w:rFonts w:ascii="Times New Roman" w:hAnsi="Times New Roman" w:cs="Times New Roman" w:hint="default"/>
      </w:rPr>
    </w:lvl>
  </w:abstractNum>
  <w:abstractNum w:abstractNumId="2" w15:restartNumberingAfterBreak="0">
    <w:nsid w:val="6193198B"/>
    <w:multiLevelType w:val="singleLevel"/>
    <w:tmpl w:val="42DEB11C"/>
    <w:lvl w:ilvl="0">
      <w:start w:val="10"/>
      <w:numFmt w:val="decimal"/>
      <w:lvlText w:val="%1"/>
      <w:legacy w:legacy="1" w:legacySpace="0" w:legacyIndent="187"/>
      <w:lvlJc w:val="left"/>
      <w:rPr>
        <w:rFonts w:ascii="Times New Roman" w:hAnsi="Times New Roman" w:cs="Times New Roman" w:hint="default"/>
      </w:rPr>
    </w:lvl>
  </w:abstractNum>
  <w:abstractNum w:abstractNumId="3" w15:restartNumberingAfterBreak="0">
    <w:nsid w:val="702E6CBF"/>
    <w:multiLevelType w:val="singleLevel"/>
    <w:tmpl w:val="3A86B346"/>
    <w:lvl w:ilvl="0">
      <w:start w:val="1"/>
      <w:numFmt w:val="decimal"/>
      <w:lvlText w:val="%1"/>
      <w:legacy w:legacy="1" w:legacySpace="0" w:legacyIndent="110"/>
      <w:lvlJc w:val="left"/>
      <w:rPr>
        <w:rFonts w:ascii="Times New Roman" w:hAnsi="Times New Roman"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11"/>
    <w:rsid w:val="00000FE3"/>
    <w:rsid w:val="00056E0E"/>
    <w:rsid w:val="00204672"/>
    <w:rsid w:val="00212A46"/>
    <w:rsid w:val="00343517"/>
    <w:rsid w:val="0038496E"/>
    <w:rsid w:val="003C6186"/>
    <w:rsid w:val="003D139A"/>
    <w:rsid w:val="00460892"/>
    <w:rsid w:val="00472D24"/>
    <w:rsid w:val="00567AA0"/>
    <w:rsid w:val="006423CD"/>
    <w:rsid w:val="00654BFB"/>
    <w:rsid w:val="006A45C5"/>
    <w:rsid w:val="009F2811"/>
    <w:rsid w:val="00A04AD3"/>
    <w:rsid w:val="00B250C4"/>
    <w:rsid w:val="00CB733A"/>
    <w:rsid w:val="00E46F9F"/>
    <w:rsid w:val="00F44650"/>
    <w:rsid w:val="00FE13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32142"/>
  <w14:defaultImageDpi w14:val="0"/>
  <w15:docId w15:val="{7E7586D1-862D-4805-93BA-E3047AC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F2811"/>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F2811"/>
    <w:rPr>
      <w:rFonts w:cs="Times New Roman"/>
      <w:color w:val="0563C1" w:themeColor="hyperlink"/>
      <w:u w:val="single"/>
    </w:rPr>
  </w:style>
  <w:style w:type="character" w:styleId="zmlenmeyenBahsetme">
    <w:name w:val="Unresolved Mention"/>
    <w:basedOn w:val="VarsaylanParagrafYazTipi"/>
    <w:uiPriority w:val="99"/>
    <w:semiHidden/>
    <w:unhideWhenUsed/>
    <w:rsid w:val="009F2811"/>
    <w:rPr>
      <w:rFonts w:cs="Times New Roman"/>
      <w:color w:val="605E5C"/>
      <w:shd w:val="clear" w:color="auto" w:fill="E1DFDD"/>
    </w:rPr>
  </w:style>
  <w:style w:type="paragraph" w:styleId="BalonMetni">
    <w:name w:val="Balloon Text"/>
    <w:basedOn w:val="Normal"/>
    <w:link w:val="BalonMetniChar"/>
    <w:uiPriority w:val="99"/>
    <w:semiHidden/>
    <w:unhideWhenUsed/>
    <w:rsid w:val="00FE13B1"/>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FE1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emlak.gov.tr" TargetMode="External"/><Relationship Id="rId5" Type="http://schemas.openxmlformats.org/officeDocument/2006/relationships/hyperlink" Target="http://www.balikesir.cs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MEOP</dc:creator>
  <cp:keywords/>
  <dc:description/>
  <cp:lastModifiedBy>İsmail DEMİRBACAK</cp:lastModifiedBy>
  <cp:revision>10</cp:revision>
  <cp:lastPrinted>2026-05-21T12:01:00Z</cp:lastPrinted>
  <dcterms:created xsi:type="dcterms:W3CDTF">2026-05-21T12:42:00Z</dcterms:created>
  <dcterms:modified xsi:type="dcterms:W3CDTF">2026-05-21T14:04:00Z</dcterms:modified>
</cp:coreProperties>
</file>