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B11C7" w14:textId="77777777" w:rsidR="00C411ED" w:rsidRPr="00130B51" w:rsidRDefault="00C411ED" w:rsidP="00C411ED">
      <w:pPr>
        <w:pStyle w:val="NormalWeb"/>
        <w:shd w:val="clear" w:color="auto" w:fill="FFFFFF"/>
        <w:spacing w:before="0" w:beforeAutospacing="0" w:after="150" w:afterAutospacing="0"/>
        <w:jc w:val="center"/>
        <w:rPr>
          <w:rFonts w:ascii="Arial" w:hAnsi="Arial" w:cs="Arial"/>
          <w:b/>
          <w:color w:val="333333"/>
        </w:rPr>
      </w:pPr>
      <w:r w:rsidRPr="00130B51">
        <w:rPr>
          <w:rFonts w:ascii="Arial" w:hAnsi="Arial" w:cs="Arial"/>
          <w:b/>
          <w:color w:val="333333"/>
        </w:rPr>
        <w:t>İLAN ÇIKARMA</w:t>
      </w:r>
    </w:p>
    <w:p w14:paraId="4405EAAA" w14:textId="77777777" w:rsidR="005D3036" w:rsidRPr="00130B51" w:rsidRDefault="00EB7609" w:rsidP="00C411ED">
      <w:pPr>
        <w:pStyle w:val="NormalWeb"/>
        <w:shd w:val="clear" w:color="auto" w:fill="FFFFFF"/>
        <w:spacing w:before="0" w:beforeAutospacing="0" w:after="150" w:afterAutospacing="0"/>
        <w:jc w:val="center"/>
        <w:rPr>
          <w:rFonts w:ascii="Arial" w:hAnsi="Arial" w:cs="Arial"/>
          <w:b/>
          <w:color w:val="333333"/>
        </w:rPr>
      </w:pPr>
      <w:r w:rsidRPr="00130B51">
        <w:rPr>
          <w:rFonts w:ascii="Arial" w:hAnsi="Arial" w:cs="Arial"/>
          <w:b/>
          <w:color w:val="333333"/>
        </w:rPr>
        <w:t xml:space="preserve">ANKARA </w:t>
      </w:r>
      <w:r w:rsidR="005D3036" w:rsidRPr="00130B51">
        <w:rPr>
          <w:rFonts w:ascii="Arial" w:hAnsi="Arial" w:cs="Arial"/>
          <w:b/>
          <w:color w:val="333333"/>
        </w:rPr>
        <w:t xml:space="preserve">KENTSEL </w:t>
      </w:r>
      <w:r w:rsidR="005441F8" w:rsidRPr="00130B51">
        <w:rPr>
          <w:rFonts w:ascii="Arial" w:hAnsi="Arial" w:cs="Arial"/>
          <w:b/>
          <w:color w:val="333333"/>
        </w:rPr>
        <w:t xml:space="preserve">DÖNÜŞÜM </w:t>
      </w:r>
      <w:r w:rsidR="005D3036" w:rsidRPr="00130B51">
        <w:rPr>
          <w:rFonts w:ascii="Arial" w:hAnsi="Arial" w:cs="Arial"/>
          <w:b/>
          <w:color w:val="333333"/>
        </w:rPr>
        <w:t>MÜDÜRLÜĞÜ’NDEN</w:t>
      </w:r>
    </w:p>
    <w:p w14:paraId="320860C3" w14:textId="2C490464" w:rsidR="005A400C" w:rsidRPr="00130B51" w:rsidRDefault="00C92C4B" w:rsidP="005A400C">
      <w:pPr>
        <w:pStyle w:val="NormalWeb"/>
        <w:shd w:val="clear" w:color="auto" w:fill="FFFFFF"/>
        <w:spacing w:before="0" w:beforeAutospacing="0" w:after="150" w:afterAutospacing="0"/>
        <w:ind w:firstLine="708"/>
        <w:jc w:val="both"/>
        <w:rPr>
          <w:rFonts w:ascii="Arial" w:hAnsi="Arial" w:cs="Arial"/>
          <w:color w:val="333333"/>
        </w:rPr>
      </w:pPr>
      <w:r>
        <w:rPr>
          <w:rFonts w:ascii="Arial" w:hAnsi="Arial" w:cs="Arial"/>
        </w:rPr>
        <w:t xml:space="preserve"> </w:t>
      </w:r>
      <w:r w:rsidR="00543E99">
        <w:rPr>
          <w:rFonts w:ascii="Arial" w:hAnsi="Arial" w:cs="Arial"/>
        </w:rPr>
        <w:t>Çankaya</w:t>
      </w:r>
      <w:r w:rsidR="0080711B" w:rsidRPr="00130B51">
        <w:rPr>
          <w:rFonts w:ascii="Arial" w:hAnsi="Arial" w:cs="Arial"/>
        </w:rPr>
        <w:t xml:space="preserve"> İ</w:t>
      </w:r>
      <w:r w:rsidR="005A400C" w:rsidRPr="00130B51">
        <w:rPr>
          <w:rFonts w:ascii="Arial" w:hAnsi="Arial" w:cs="Arial"/>
        </w:rPr>
        <w:t>lçesi,</w:t>
      </w:r>
      <w:r>
        <w:rPr>
          <w:rFonts w:ascii="Arial" w:hAnsi="Arial" w:cs="Arial"/>
        </w:rPr>
        <w:t xml:space="preserve"> </w:t>
      </w:r>
      <w:r w:rsidR="00543E99">
        <w:rPr>
          <w:rFonts w:ascii="Arial" w:hAnsi="Arial" w:cs="Arial"/>
        </w:rPr>
        <w:t>Anıttepe</w:t>
      </w:r>
      <w:r w:rsidR="005A400C" w:rsidRPr="00130B51">
        <w:rPr>
          <w:rFonts w:ascii="Arial" w:hAnsi="Arial" w:cs="Arial"/>
        </w:rPr>
        <w:t xml:space="preserve"> Mahallesi, </w:t>
      </w:r>
      <w:r w:rsidR="00543E99">
        <w:rPr>
          <w:rFonts w:ascii="Arial" w:hAnsi="Arial" w:cs="Arial"/>
        </w:rPr>
        <w:t>5466</w:t>
      </w:r>
      <w:r>
        <w:rPr>
          <w:rFonts w:ascii="Arial" w:hAnsi="Arial" w:cs="Arial"/>
        </w:rPr>
        <w:t xml:space="preserve"> Ada </w:t>
      </w:r>
      <w:r w:rsidR="00543E99">
        <w:rPr>
          <w:rFonts w:ascii="Arial" w:hAnsi="Arial" w:cs="Arial"/>
        </w:rPr>
        <w:t>14</w:t>
      </w:r>
      <w:r w:rsidR="005A400C" w:rsidRPr="00130B51">
        <w:rPr>
          <w:rFonts w:ascii="Arial" w:hAnsi="Arial" w:cs="Arial"/>
        </w:rPr>
        <w:t xml:space="preserve"> Parsel</w:t>
      </w:r>
      <w:r w:rsidR="005A400C" w:rsidRPr="00130B51">
        <w:rPr>
          <w:rFonts w:ascii="Arial" w:hAnsi="Arial" w:cs="Arial"/>
          <w:color w:val="333333"/>
        </w:rPr>
        <w:t xml:space="preserve"> de yer alan aşağıda bilgileri verilen taşınmaz</w:t>
      </w:r>
      <w:r w:rsidR="0080711B" w:rsidRPr="00130B51">
        <w:rPr>
          <w:rFonts w:ascii="Arial" w:hAnsi="Arial" w:cs="Arial"/>
          <w:color w:val="333333"/>
        </w:rPr>
        <w:t xml:space="preserve"> </w:t>
      </w:r>
      <w:proofErr w:type="gramStart"/>
      <w:r w:rsidR="005A400C" w:rsidRPr="00130B51">
        <w:rPr>
          <w:rFonts w:ascii="Arial" w:hAnsi="Arial" w:cs="Arial"/>
          <w:color w:val="333333"/>
        </w:rPr>
        <w:t>da;</w:t>
      </w:r>
      <w:proofErr w:type="gramEnd"/>
      <w:r w:rsidR="005A400C" w:rsidRPr="00130B51">
        <w:rPr>
          <w:rFonts w:ascii="Arial" w:hAnsi="Arial" w:cs="Arial"/>
          <w:color w:val="333333"/>
        </w:rPr>
        <w:t xml:space="preserve"> 6306 sayılı Kanun’un 6. maddesinin 1. fıkrasına istinaden yeni yapılacak uygulamaya ilişkin hisseleri oranında maliklerin </w:t>
      </w:r>
      <w:r w:rsidR="0080711B" w:rsidRPr="00130B51">
        <w:rPr>
          <w:rFonts w:ascii="Arial" w:hAnsi="Arial" w:cs="Arial"/>
          <w:color w:val="333333"/>
        </w:rPr>
        <w:t xml:space="preserve">salt </w:t>
      </w:r>
      <w:r w:rsidR="005A400C" w:rsidRPr="00130B51">
        <w:rPr>
          <w:rFonts w:ascii="Arial" w:hAnsi="Arial" w:cs="Arial"/>
          <w:color w:val="333333"/>
        </w:rPr>
        <w:t>çoğunluğu ile alınan karara katılmayan paydaş</w:t>
      </w:r>
      <w:r w:rsidR="0080711B" w:rsidRPr="00130B51">
        <w:rPr>
          <w:rFonts w:ascii="Arial" w:hAnsi="Arial" w:cs="Arial"/>
          <w:color w:val="333333"/>
        </w:rPr>
        <w:t>lar</w:t>
      </w:r>
      <w:r w:rsidR="005A400C" w:rsidRPr="00130B51">
        <w:rPr>
          <w:rFonts w:ascii="Arial" w:hAnsi="Arial" w:cs="Arial"/>
          <w:color w:val="333333"/>
        </w:rPr>
        <w:t xml:space="preserve">ın arsa payının açık artırma usulü ile satışının </w:t>
      </w:r>
      <w:r>
        <w:rPr>
          <w:rFonts w:ascii="Arial" w:hAnsi="Arial" w:cs="Arial"/>
          <w:color w:val="333333"/>
        </w:rPr>
        <w:t>1</w:t>
      </w:r>
      <w:r w:rsidR="00543E99">
        <w:rPr>
          <w:rFonts w:ascii="Arial" w:hAnsi="Arial" w:cs="Arial"/>
          <w:color w:val="333333"/>
        </w:rPr>
        <w:t>0</w:t>
      </w:r>
      <w:r>
        <w:rPr>
          <w:rFonts w:ascii="Arial" w:hAnsi="Arial" w:cs="Arial"/>
          <w:color w:val="333333"/>
        </w:rPr>
        <w:t>.0</w:t>
      </w:r>
      <w:r w:rsidR="00543E99">
        <w:rPr>
          <w:rFonts w:ascii="Arial" w:hAnsi="Arial" w:cs="Arial"/>
          <w:color w:val="333333"/>
        </w:rPr>
        <w:t>4</w:t>
      </w:r>
      <w:r w:rsidR="00025CBC" w:rsidRPr="00130B51">
        <w:rPr>
          <w:rFonts w:ascii="Arial" w:hAnsi="Arial" w:cs="Arial"/>
          <w:color w:val="333333"/>
        </w:rPr>
        <w:t>.</w:t>
      </w:r>
      <w:r w:rsidR="000208AA" w:rsidRPr="00130B51">
        <w:rPr>
          <w:rFonts w:ascii="Arial" w:hAnsi="Arial" w:cs="Arial"/>
          <w:color w:val="333333"/>
        </w:rPr>
        <w:t>202</w:t>
      </w:r>
      <w:r w:rsidR="00543E99">
        <w:rPr>
          <w:rFonts w:ascii="Arial" w:hAnsi="Arial" w:cs="Arial"/>
          <w:color w:val="333333"/>
        </w:rPr>
        <w:t>5</w:t>
      </w:r>
      <w:r w:rsidR="005A400C" w:rsidRPr="00130B51">
        <w:rPr>
          <w:rFonts w:ascii="Arial" w:hAnsi="Arial" w:cs="Arial"/>
          <w:color w:val="333333"/>
        </w:rPr>
        <w:t xml:space="preserve"> tarihinde saat 10:30’da yapılmasına karar verilmiştir. Ancak, açık artırma usulü ile yapılan satış esnasında, pey sürülmediğinden açık artırma usulü ile satış </w:t>
      </w:r>
      <w:proofErr w:type="gramStart"/>
      <w:r w:rsidR="005A400C" w:rsidRPr="00130B51">
        <w:rPr>
          <w:rFonts w:ascii="Arial" w:hAnsi="Arial" w:cs="Arial"/>
          <w:color w:val="333333"/>
        </w:rPr>
        <w:t>işlemi  yapılamamıştır</w:t>
      </w:r>
      <w:proofErr w:type="gramEnd"/>
      <w:r w:rsidR="005A400C" w:rsidRPr="00130B51">
        <w:rPr>
          <w:rFonts w:ascii="Arial" w:hAnsi="Arial" w:cs="Arial"/>
          <w:color w:val="333333"/>
        </w:rPr>
        <w:t xml:space="preserve">. </w:t>
      </w:r>
    </w:p>
    <w:p w14:paraId="0674ECFD" w14:textId="27260C61" w:rsidR="005A400C" w:rsidRPr="00130B51" w:rsidRDefault="005A400C" w:rsidP="005A400C">
      <w:pPr>
        <w:spacing w:before="100" w:beforeAutospacing="1" w:after="100" w:afterAutospacing="1" w:line="240" w:lineRule="auto"/>
        <w:ind w:firstLine="708"/>
        <w:jc w:val="both"/>
        <w:rPr>
          <w:rFonts w:ascii="Arial" w:hAnsi="Arial" w:cs="Arial"/>
          <w:color w:val="333333"/>
          <w:sz w:val="24"/>
          <w:szCs w:val="24"/>
        </w:rPr>
      </w:pPr>
      <w:r w:rsidRPr="00130B51">
        <w:rPr>
          <w:rFonts w:ascii="Arial" w:eastAsia="Times New Roman" w:hAnsi="Arial" w:cs="Arial"/>
          <w:sz w:val="24"/>
          <w:szCs w:val="24"/>
          <w:shd w:val="clear" w:color="auto" w:fill="FFFFFF"/>
          <w:lang w:eastAsia="tr-TR"/>
        </w:rPr>
        <w:t xml:space="preserve">Bu nedenle, 6306 sayılı Kanun’un Uygulama Yönetmeliği’nin 15/A. maddesinin 12. fıkrasındaki hüküm gereğince aşağıda bilgileri verilen payların bir sonraki satışının </w:t>
      </w:r>
      <w:r w:rsidR="009026DF">
        <w:rPr>
          <w:rFonts w:ascii="Arial" w:eastAsia="Times New Roman" w:hAnsi="Arial" w:cs="Arial"/>
          <w:b/>
          <w:bCs/>
          <w:sz w:val="24"/>
          <w:szCs w:val="24"/>
          <w:shd w:val="clear" w:color="auto" w:fill="FFFFFF"/>
          <w:lang w:eastAsia="tr-TR"/>
        </w:rPr>
        <w:t>1</w:t>
      </w:r>
      <w:r w:rsidR="00D7685A">
        <w:rPr>
          <w:rFonts w:ascii="Arial" w:eastAsia="Times New Roman" w:hAnsi="Arial" w:cs="Arial"/>
          <w:b/>
          <w:bCs/>
          <w:sz w:val="24"/>
          <w:szCs w:val="24"/>
          <w:shd w:val="clear" w:color="auto" w:fill="FFFFFF"/>
          <w:lang w:eastAsia="tr-TR"/>
        </w:rPr>
        <w:t>8</w:t>
      </w:r>
      <w:r w:rsidR="009026DF">
        <w:rPr>
          <w:rFonts w:ascii="Arial" w:eastAsia="Times New Roman" w:hAnsi="Arial" w:cs="Arial"/>
          <w:b/>
          <w:bCs/>
          <w:sz w:val="24"/>
          <w:szCs w:val="24"/>
          <w:shd w:val="clear" w:color="auto" w:fill="FFFFFF"/>
          <w:lang w:eastAsia="tr-TR"/>
        </w:rPr>
        <w:t>.0</w:t>
      </w:r>
      <w:r w:rsidR="00D7685A">
        <w:rPr>
          <w:rFonts w:ascii="Arial" w:eastAsia="Times New Roman" w:hAnsi="Arial" w:cs="Arial"/>
          <w:b/>
          <w:bCs/>
          <w:sz w:val="24"/>
          <w:szCs w:val="24"/>
          <w:shd w:val="clear" w:color="auto" w:fill="FFFFFF"/>
          <w:lang w:eastAsia="tr-TR"/>
        </w:rPr>
        <w:t>2</w:t>
      </w:r>
      <w:r w:rsidR="009026DF">
        <w:rPr>
          <w:rFonts w:ascii="Arial" w:eastAsia="Times New Roman" w:hAnsi="Arial" w:cs="Arial"/>
          <w:b/>
          <w:bCs/>
          <w:sz w:val="24"/>
          <w:szCs w:val="24"/>
          <w:shd w:val="clear" w:color="auto" w:fill="FFFFFF"/>
          <w:lang w:eastAsia="tr-TR"/>
        </w:rPr>
        <w:t>.202</w:t>
      </w:r>
      <w:r w:rsidR="00D7685A">
        <w:rPr>
          <w:rFonts w:ascii="Arial" w:eastAsia="Times New Roman" w:hAnsi="Arial" w:cs="Arial"/>
          <w:b/>
          <w:bCs/>
          <w:sz w:val="24"/>
          <w:szCs w:val="24"/>
          <w:shd w:val="clear" w:color="auto" w:fill="FFFFFF"/>
          <w:lang w:eastAsia="tr-TR"/>
        </w:rPr>
        <w:t>6</w:t>
      </w:r>
      <w:r w:rsidR="00196135">
        <w:rPr>
          <w:rFonts w:ascii="Arial" w:eastAsia="Times New Roman" w:hAnsi="Arial" w:cs="Arial"/>
          <w:b/>
          <w:bCs/>
          <w:sz w:val="24"/>
          <w:szCs w:val="24"/>
          <w:shd w:val="clear" w:color="auto" w:fill="FFFFFF"/>
          <w:lang w:eastAsia="tr-TR"/>
        </w:rPr>
        <w:t xml:space="preserve"> </w:t>
      </w:r>
      <w:proofErr w:type="gramStart"/>
      <w:r w:rsidR="00025CBC" w:rsidRPr="00130B51">
        <w:rPr>
          <w:rFonts w:ascii="Arial" w:eastAsia="Times New Roman" w:hAnsi="Arial" w:cs="Arial"/>
          <w:b/>
          <w:bCs/>
          <w:sz w:val="24"/>
          <w:szCs w:val="24"/>
          <w:shd w:val="clear" w:color="auto" w:fill="FFFFFF"/>
          <w:lang w:eastAsia="tr-TR"/>
        </w:rPr>
        <w:t>Çarşamba</w:t>
      </w:r>
      <w:proofErr w:type="gramEnd"/>
      <w:r w:rsidR="00196135">
        <w:rPr>
          <w:rFonts w:ascii="Arial" w:eastAsia="Times New Roman" w:hAnsi="Arial" w:cs="Arial"/>
          <w:b/>
          <w:bCs/>
          <w:sz w:val="24"/>
          <w:szCs w:val="24"/>
          <w:shd w:val="clear" w:color="auto" w:fill="FFFFFF"/>
          <w:lang w:eastAsia="tr-TR"/>
        </w:rPr>
        <w:t xml:space="preserve"> </w:t>
      </w:r>
      <w:r w:rsidRPr="00130B51">
        <w:rPr>
          <w:rFonts w:ascii="Arial" w:eastAsia="Times New Roman" w:hAnsi="Arial" w:cs="Arial"/>
          <w:b/>
          <w:bCs/>
          <w:sz w:val="24"/>
          <w:szCs w:val="24"/>
          <w:shd w:val="clear" w:color="auto" w:fill="FFFFFF"/>
          <w:lang w:eastAsia="tr-TR"/>
        </w:rPr>
        <w:t>günü</w:t>
      </w:r>
      <w:r w:rsidR="00196135">
        <w:rPr>
          <w:rFonts w:ascii="Arial" w:eastAsia="Times New Roman" w:hAnsi="Arial" w:cs="Arial"/>
          <w:sz w:val="24"/>
          <w:szCs w:val="24"/>
          <w:shd w:val="clear" w:color="auto" w:fill="FFFFFF"/>
          <w:lang w:eastAsia="tr-TR"/>
        </w:rPr>
        <w:t xml:space="preserve"> saat </w:t>
      </w:r>
      <w:r w:rsidR="009255A1" w:rsidRPr="00130B51">
        <w:rPr>
          <w:rFonts w:ascii="Arial" w:eastAsia="Times New Roman" w:hAnsi="Arial" w:cs="Arial"/>
          <w:b/>
          <w:bCs/>
          <w:sz w:val="24"/>
          <w:szCs w:val="24"/>
          <w:shd w:val="clear" w:color="auto" w:fill="FFFFFF"/>
          <w:lang w:eastAsia="tr-TR"/>
        </w:rPr>
        <w:t>10:30</w:t>
      </w:r>
      <w:r w:rsidR="009255A1" w:rsidRPr="00130B51">
        <w:rPr>
          <w:rFonts w:ascii="Arial" w:eastAsia="Times New Roman" w:hAnsi="Arial" w:cs="Arial"/>
          <w:sz w:val="24"/>
          <w:szCs w:val="24"/>
          <w:shd w:val="clear" w:color="auto" w:fill="FFFFFF"/>
          <w:lang w:eastAsia="tr-TR"/>
        </w:rPr>
        <w:t>’da</w:t>
      </w:r>
      <w:r w:rsidR="00196135">
        <w:rPr>
          <w:rFonts w:ascii="Arial" w:eastAsia="Times New Roman" w:hAnsi="Arial" w:cs="Arial"/>
          <w:sz w:val="24"/>
          <w:szCs w:val="24"/>
          <w:shd w:val="clear" w:color="auto" w:fill="FFFFFF"/>
          <w:lang w:eastAsia="tr-TR"/>
        </w:rPr>
        <w:t xml:space="preserve"> Ankara </w:t>
      </w:r>
      <w:r w:rsidR="000208AA" w:rsidRPr="00130B51">
        <w:rPr>
          <w:rFonts w:ascii="Arial" w:eastAsia="Times New Roman" w:hAnsi="Arial" w:cs="Arial"/>
          <w:b/>
          <w:bCs/>
          <w:sz w:val="24"/>
          <w:szCs w:val="24"/>
          <w:shd w:val="clear" w:color="auto" w:fill="FFFFFF"/>
          <w:lang w:eastAsia="tr-TR"/>
        </w:rPr>
        <w:t xml:space="preserve">Kentsel Dönüşüm </w:t>
      </w:r>
      <w:r w:rsidRPr="00130B51">
        <w:rPr>
          <w:rFonts w:ascii="Arial" w:eastAsia="Times New Roman" w:hAnsi="Arial" w:cs="Arial"/>
          <w:b/>
          <w:bCs/>
          <w:sz w:val="24"/>
          <w:szCs w:val="24"/>
          <w:shd w:val="clear" w:color="auto" w:fill="FFFFFF"/>
          <w:lang w:eastAsia="tr-TR"/>
        </w:rPr>
        <w:t>Müdür</w:t>
      </w:r>
      <w:r w:rsidR="000208AA" w:rsidRPr="00130B51">
        <w:rPr>
          <w:rFonts w:ascii="Arial" w:eastAsia="Times New Roman" w:hAnsi="Arial" w:cs="Arial"/>
          <w:b/>
          <w:bCs/>
          <w:sz w:val="24"/>
          <w:szCs w:val="24"/>
          <w:shd w:val="clear" w:color="auto" w:fill="FFFFFF"/>
          <w:lang w:eastAsia="tr-TR"/>
        </w:rPr>
        <w:t>l</w:t>
      </w:r>
      <w:r w:rsidRPr="00130B51">
        <w:rPr>
          <w:rFonts w:ascii="Arial" w:eastAsia="Times New Roman" w:hAnsi="Arial" w:cs="Arial"/>
          <w:b/>
          <w:bCs/>
          <w:sz w:val="24"/>
          <w:szCs w:val="24"/>
          <w:shd w:val="clear" w:color="auto" w:fill="FFFFFF"/>
          <w:lang w:eastAsia="tr-TR"/>
        </w:rPr>
        <w:t>ü</w:t>
      </w:r>
      <w:r w:rsidR="000208AA" w:rsidRPr="00130B51">
        <w:rPr>
          <w:rFonts w:ascii="Arial" w:eastAsia="Times New Roman" w:hAnsi="Arial" w:cs="Arial"/>
          <w:b/>
          <w:bCs/>
          <w:sz w:val="24"/>
          <w:szCs w:val="24"/>
          <w:shd w:val="clear" w:color="auto" w:fill="FFFFFF"/>
          <w:lang w:eastAsia="tr-TR"/>
        </w:rPr>
        <w:t>ğü</w:t>
      </w:r>
      <w:r w:rsidR="00196135">
        <w:rPr>
          <w:rFonts w:ascii="Arial" w:eastAsia="Times New Roman" w:hAnsi="Arial" w:cs="Arial"/>
          <w:b/>
          <w:bCs/>
          <w:sz w:val="24"/>
          <w:szCs w:val="24"/>
          <w:shd w:val="clear" w:color="auto" w:fill="FFFFFF"/>
          <w:lang w:eastAsia="tr-TR"/>
        </w:rPr>
        <w:t xml:space="preserve">nde </w:t>
      </w:r>
      <w:r w:rsidR="003C3023">
        <w:rPr>
          <w:rFonts w:ascii="Arial" w:eastAsia="Times New Roman" w:hAnsi="Arial" w:cs="Arial"/>
          <w:sz w:val="24"/>
          <w:szCs w:val="24"/>
          <w:shd w:val="clear" w:color="auto" w:fill="FFFFFF"/>
          <w:lang w:eastAsia="tr-TR"/>
        </w:rPr>
        <w:t>(</w:t>
      </w:r>
      <w:proofErr w:type="spellStart"/>
      <w:r w:rsidR="003C3023">
        <w:rPr>
          <w:rFonts w:ascii="Arial" w:eastAsia="Times New Roman" w:hAnsi="Arial" w:cs="Arial"/>
          <w:sz w:val="24"/>
          <w:szCs w:val="24"/>
          <w:shd w:val="clear" w:color="auto" w:fill="FFFFFF"/>
          <w:lang w:eastAsia="tr-TR"/>
        </w:rPr>
        <w:t>Necatibey</w:t>
      </w:r>
      <w:proofErr w:type="spellEnd"/>
      <w:r w:rsidR="003C3023">
        <w:rPr>
          <w:rFonts w:ascii="Arial" w:eastAsia="Times New Roman" w:hAnsi="Arial" w:cs="Arial"/>
          <w:sz w:val="24"/>
          <w:szCs w:val="24"/>
          <w:shd w:val="clear" w:color="auto" w:fill="FFFFFF"/>
          <w:lang w:eastAsia="tr-TR"/>
        </w:rPr>
        <w:t xml:space="preserve"> Caddesi No:98 </w:t>
      </w:r>
      <w:r w:rsidRPr="00130B51">
        <w:rPr>
          <w:rFonts w:ascii="Arial" w:eastAsia="Times New Roman" w:hAnsi="Arial" w:cs="Arial"/>
          <w:sz w:val="24"/>
          <w:szCs w:val="24"/>
          <w:shd w:val="clear" w:color="auto" w:fill="FFFFFF"/>
          <w:lang w:eastAsia="tr-TR"/>
        </w:rPr>
        <w:t>Kat:5 Çankaya/ANKARA) yapılmasına karar verilmiştir.</w:t>
      </w:r>
    </w:p>
    <w:p w14:paraId="4EB458B6" w14:textId="77777777" w:rsidR="005A400C" w:rsidRPr="00130B51" w:rsidRDefault="005A400C" w:rsidP="005A400C">
      <w:pPr>
        <w:pStyle w:val="NormalWeb"/>
        <w:shd w:val="clear" w:color="auto" w:fill="FFFFFF"/>
        <w:spacing w:before="0" w:beforeAutospacing="0" w:after="150" w:afterAutospacing="0"/>
        <w:ind w:firstLine="708"/>
        <w:jc w:val="both"/>
        <w:rPr>
          <w:rFonts w:ascii="Arial" w:hAnsi="Arial" w:cs="Arial"/>
          <w:color w:val="333333"/>
        </w:rPr>
      </w:pPr>
      <w:r w:rsidRPr="00130B51">
        <w:rPr>
          <w:rFonts w:ascii="Arial" w:hAnsi="Arial" w:cs="Arial"/>
          <w:color w:val="333333"/>
        </w:rPr>
        <w:t>6306 sayılı Kanun’un Uygulama Yönetmeliği’nin 15/A. maddesinin 11. fıkrasındaki hüküm gereğince söz konusu maliklerin hisselerinin satışına anlaşma sağlayan paydaşlar ve anlaşma sağlayan paydaşların kararı ile yapılan anlaşmaya uyularak işlem yapılmasını kabul etmek şartıyla üçüncü şahıslar da katılabilecektir.</w:t>
      </w:r>
    </w:p>
    <w:p w14:paraId="77BC1DCC" w14:textId="77777777" w:rsidR="000208AA" w:rsidRPr="00130B51" w:rsidRDefault="005A400C" w:rsidP="005A400C">
      <w:pPr>
        <w:pStyle w:val="NormalWeb"/>
        <w:shd w:val="clear" w:color="auto" w:fill="FFFFFF"/>
        <w:spacing w:before="0" w:beforeAutospacing="0" w:after="150" w:afterAutospacing="0"/>
        <w:ind w:firstLine="708"/>
        <w:jc w:val="both"/>
        <w:rPr>
          <w:rFonts w:ascii="Arial" w:hAnsi="Arial" w:cs="Arial"/>
          <w:b/>
          <w:color w:val="333333"/>
          <w:u w:val="single"/>
        </w:rPr>
      </w:pPr>
      <w:r w:rsidRPr="00130B51">
        <w:rPr>
          <w:rFonts w:ascii="Arial" w:hAnsi="Arial" w:cs="Arial"/>
          <w:color w:val="333333"/>
        </w:rPr>
        <w:t xml:space="preserve">6306 sayılı Kanun’un Uygulama Yönetmeliği’nin 15/A. maddesinin 13. fıkrasındaki hüküm gereğince 3. Kişilerin satışa katılmak istemesi durumunda; </w:t>
      </w:r>
      <w:r w:rsidRPr="00130B51">
        <w:rPr>
          <w:rFonts w:ascii="Arial" w:hAnsi="Arial" w:cs="Arial"/>
          <w:b/>
          <w:color w:val="333333"/>
          <w:u w:val="single"/>
        </w:rPr>
        <w:t>satıştan önce</w:t>
      </w:r>
      <w:r w:rsidR="000208AA" w:rsidRPr="00130B51">
        <w:rPr>
          <w:rFonts w:ascii="Arial" w:hAnsi="Arial" w:cs="Arial"/>
          <w:b/>
          <w:color w:val="333333"/>
          <w:u w:val="single"/>
        </w:rPr>
        <w:t>;</w:t>
      </w:r>
    </w:p>
    <w:p w14:paraId="06D01998" w14:textId="77777777" w:rsidR="000208AA" w:rsidRPr="00130B51" w:rsidRDefault="00384EC8" w:rsidP="000208AA">
      <w:pPr>
        <w:pStyle w:val="NormalWeb"/>
        <w:numPr>
          <w:ilvl w:val="0"/>
          <w:numId w:val="3"/>
        </w:numPr>
        <w:shd w:val="clear" w:color="auto" w:fill="FFFFFF"/>
        <w:spacing w:before="0" w:beforeAutospacing="0" w:after="150" w:afterAutospacing="0"/>
        <w:ind w:left="567" w:hanging="283"/>
        <w:jc w:val="both"/>
        <w:rPr>
          <w:rFonts w:ascii="Arial" w:hAnsi="Arial" w:cs="Arial"/>
          <w:color w:val="333333"/>
        </w:rPr>
      </w:pPr>
      <w:r w:rsidRPr="00130B51">
        <w:rPr>
          <w:rFonts w:ascii="Arial" w:hAnsi="Arial" w:cs="Arial"/>
          <w:color w:val="333333"/>
        </w:rPr>
        <w:t>Salt çoğunluk</w:t>
      </w:r>
      <w:r w:rsidR="005A400C" w:rsidRPr="00130B51">
        <w:rPr>
          <w:rFonts w:ascii="Arial" w:hAnsi="Arial" w:cs="Arial"/>
          <w:color w:val="333333"/>
        </w:rPr>
        <w:t xml:space="preserve"> ile alınan kararı kabul edeceklerini ve </w:t>
      </w:r>
      <w:r w:rsidR="000208AA" w:rsidRPr="00130B51">
        <w:rPr>
          <w:rFonts w:ascii="Arial" w:hAnsi="Arial" w:cs="Arial"/>
          <w:color w:val="333333"/>
        </w:rPr>
        <w:t>salt</w:t>
      </w:r>
      <w:r w:rsidR="005A400C" w:rsidRPr="00130B51">
        <w:rPr>
          <w:rFonts w:ascii="Arial" w:hAnsi="Arial" w:cs="Arial"/>
          <w:color w:val="333333"/>
        </w:rPr>
        <w:t xml:space="preserve"> çoğunluk ile alınan karar doğrultusunda yapılan sözleşmeyi ve yapılacak uygulamanın gerektirdiği diğer belgeleri imzalayacaklarını yazılı olar</w:t>
      </w:r>
      <w:r w:rsidR="000208AA" w:rsidRPr="00130B51">
        <w:rPr>
          <w:rFonts w:ascii="Arial" w:hAnsi="Arial" w:cs="Arial"/>
          <w:color w:val="333333"/>
        </w:rPr>
        <w:t>ak Müdürlüğümüze beyan etmeleri,</w:t>
      </w:r>
    </w:p>
    <w:p w14:paraId="787280B5" w14:textId="77777777" w:rsidR="005A400C" w:rsidRPr="00130B51" w:rsidRDefault="000208AA" w:rsidP="000208AA">
      <w:pPr>
        <w:pStyle w:val="NormalWeb"/>
        <w:numPr>
          <w:ilvl w:val="0"/>
          <w:numId w:val="3"/>
        </w:numPr>
        <w:shd w:val="clear" w:color="auto" w:fill="FFFFFF"/>
        <w:spacing w:before="0" w:beforeAutospacing="0" w:after="150" w:afterAutospacing="0"/>
        <w:ind w:left="567" w:hanging="283"/>
        <w:jc w:val="both"/>
        <w:rPr>
          <w:rFonts w:ascii="Arial" w:hAnsi="Arial" w:cs="Arial"/>
          <w:color w:val="333333"/>
        </w:rPr>
      </w:pPr>
      <w:r w:rsidRPr="00130B51">
        <w:rPr>
          <w:rFonts w:ascii="Arial" w:hAnsi="Arial" w:cs="Arial"/>
          <w:color w:val="333333"/>
        </w:rPr>
        <w:t>S</w:t>
      </w:r>
      <w:r w:rsidR="005A400C" w:rsidRPr="00130B51">
        <w:rPr>
          <w:rFonts w:ascii="Arial" w:hAnsi="Arial" w:cs="Arial"/>
          <w:color w:val="333333"/>
        </w:rPr>
        <w:t>atışı yapılacak arsa payının üçüncü fıkra uyarınca belirlenen rayiç değerinin </w:t>
      </w:r>
      <w:r w:rsidR="005A400C" w:rsidRPr="00130B51">
        <w:rPr>
          <w:rStyle w:val="Gl"/>
          <w:rFonts w:ascii="Arial" w:hAnsi="Arial" w:cs="Arial"/>
          <w:color w:val="333333"/>
        </w:rPr>
        <w:t>yüzde onu</w:t>
      </w:r>
      <w:r w:rsidR="005A400C" w:rsidRPr="00130B51">
        <w:rPr>
          <w:rFonts w:ascii="Arial" w:hAnsi="Arial" w:cs="Arial"/>
          <w:color w:val="333333"/>
        </w:rPr>
        <w:t> oranında </w:t>
      </w:r>
      <w:r w:rsidR="005A400C" w:rsidRPr="00130B51">
        <w:rPr>
          <w:rStyle w:val="Gl"/>
          <w:rFonts w:ascii="Arial" w:hAnsi="Arial" w:cs="Arial"/>
          <w:color w:val="333333"/>
        </w:rPr>
        <w:t>nakit teminat</w:t>
      </w:r>
      <w:r w:rsidR="005A400C" w:rsidRPr="00130B51">
        <w:rPr>
          <w:rFonts w:ascii="Arial" w:hAnsi="Arial" w:cs="Arial"/>
          <w:color w:val="333333"/>
        </w:rPr>
        <w:t xml:space="preserve"> vermeleri şarttır. Söz konusu nakit teminatın Ankara İli Türkiye İş Bankası Yeşiltepe şubesi nezdindeki </w:t>
      </w:r>
      <w:r w:rsidR="005A400C" w:rsidRPr="00130B51">
        <w:rPr>
          <w:rStyle w:val="Gl"/>
          <w:rFonts w:ascii="Arial" w:hAnsi="Arial" w:cs="Arial"/>
        </w:rPr>
        <w:t>4220/</w:t>
      </w:r>
      <w:r w:rsidR="00971214" w:rsidRPr="00130B51">
        <w:rPr>
          <w:rStyle w:val="Gl"/>
          <w:rFonts w:ascii="Arial" w:hAnsi="Arial" w:cs="Arial"/>
        </w:rPr>
        <w:t>954733</w:t>
      </w:r>
      <w:r w:rsidR="005A400C" w:rsidRPr="00130B51">
        <w:rPr>
          <w:rStyle w:val="Gl"/>
          <w:rFonts w:ascii="Arial" w:hAnsi="Arial" w:cs="Arial"/>
        </w:rPr>
        <w:t xml:space="preserve"> numaralı  vadesiz </w:t>
      </w:r>
      <w:r w:rsidR="005A400C" w:rsidRPr="00130B51">
        <w:rPr>
          <w:rFonts w:ascii="Arial" w:hAnsi="Arial" w:cs="Arial"/>
          <w:color w:val="333333"/>
        </w:rPr>
        <w:t>tahsilat hesabına ve hangi hisse/hisseler için yatırıldığını gösteren makbuzun/makbuzların aslının/asıllarının satıştan önce ibraz etmeleri zorunludur.</w:t>
      </w:r>
    </w:p>
    <w:p w14:paraId="5BC08B33" w14:textId="77777777" w:rsidR="005A400C" w:rsidRPr="00130B51" w:rsidRDefault="005A400C" w:rsidP="005A400C">
      <w:pPr>
        <w:pStyle w:val="NormalWeb"/>
        <w:shd w:val="clear" w:color="auto" w:fill="FFFFFF"/>
        <w:spacing w:before="0" w:beforeAutospacing="0" w:after="150" w:afterAutospacing="0"/>
        <w:rPr>
          <w:rFonts w:ascii="Arial" w:hAnsi="Arial" w:cs="Arial"/>
          <w:color w:val="333333"/>
        </w:rPr>
      </w:pPr>
      <w:r w:rsidRPr="00130B51">
        <w:rPr>
          <w:rFonts w:ascii="Arial" w:hAnsi="Arial" w:cs="Arial"/>
          <w:color w:val="333333"/>
        </w:rPr>
        <w:t>          </w:t>
      </w:r>
      <w:r w:rsidRPr="00130B51">
        <w:rPr>
          <w:rStyle w:val="Vurgu"/>
          <w:rFonts w:ascii="Arial" w:hAnsi="Arial" w:cs="Arial"/>
          <w:color w:val="333333"/>
        </w:rPr>
        <w:t>  İlan olunur.</w:t>
      </w:r>
    </w:p>
    <w:tbl>
      <w:tblPr>
        <w:tblpPr w:leftFromText="141" w:rightFromText="141" w:vertAnchor="text" w:horzAnchor="margin" w:tblpXSpec="center" w:tblpY="54"/>
        <w:tblW w:w="11752" w:type="dxa"/>
        <w:tblCellMar>
          <w:left w:w="70" w:type="dxa"/>
          <w:right w:w="70" w:type="dxa"/>
        </w:tblCellMar>
        <w:tblLook w:val="04A0" w:firstRow="1" w:lastRow="0" w:firstColumn="1" w:lastColumn="0" w:noHBand="0" w:noVBand="1"/>
      </w:tblPr>
      <w:tblGrid>
        <w:gridCol w:w="421"/>
        <w:gridCol w:w="2126"/>
        <w:gridCol w:w="850"/>
        <w:gridCol w:w="1110"/>
        <w:gridCol w:w="875"/>
        <w:gridCol w:w="1114"/>
        <w:gridCol w:w="1034"/>
        <w:gridCol w:w="2250"/>
        <w:gridCol w:w="1972"/>
      </w:tblGrid>
      <w:tr w:rsidR="00130B51" w:rsidRPr="00130B51" w14:paraId="3A6916ED" w14:textId="77777777" w:rsidTr="00130B51">
        <w:trPr>
          <w:trHeight w:val="13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916F8" w14:textId="77777777" w:rsidR="00130B51" w:rsidRPr="00130B51" w:rsidRDefault="00130B51" w:rsidP="00130B51">
            <w:pPr>
              <w:spacing w:after="0" w:line="240" w:lineRule="auto"/>
              <w:jc w:val="center"/>
              <w:rPr>
                <w:rFonts w:ascii="Calibri" w:eastAsia="Times New Roman" w:hAnsi="Calibri" w:cs="Calibri"/>
                <w:b/>
                <w:bCs/>
                <w:sz w:val="20"/>
                <w:szCs w:val="20"/>
                <w:lang w:eastAsia="tr-TR"/>
              </w:rPr>
            </w:pPr>
            <w:r w:rsidRPr="00130B51">
              <w:rPr>
                <w:rFonts w:ascii="Calibri" w:eastAsia="Times New Roman" w:hAnsi="Calibri" w:cs="Calibri"/>
                <w:b/>
                <w:bCs/>
                <w:sz w:val="20"/>
                <w:szCs w:val="20"/>
                <w:lang w:eastAsia="tr-TR"/>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623170F"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 xml:space="preserve">HİSSESİ SATILACAK MALİK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B389B07"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 </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05A029B2"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 </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6C6C5672"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EL BİRLİĞİ</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133D49E1"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HİSSE</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3147F6F5"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M2.</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30D9F404"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SATIŞA ESAS FİYAT(TL.)</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14:paraId="3472FD38"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%10 TEMİNAT(TL.)</w:t>
            </w:r>
          </w:p>
        </w:tc>
      </w:tr>
      <w:tr w:rsidR="00130B51" w:rsidRPr="00130B51" w14:paraId="16F9C410" w14:textId="77777777" w:rsidTr="00130B51">
        <w:trPr>
          <w:trHeight w:val="34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CA143CF" w14:textId="77777777" w:rsidR="00130B51" w:rsidRPr="00130B51" w:rsidRDefault="00130B51" w:rsidP="00130B51">
            <w:pPr>
              <w:spacing w:after="0" w:line="240" w:lineRule="auto"/>
              <w:jc w:val="center"/>
              <w:rPr>
                <w:rFonts w:ascii="Calibri" w:eastAsia="Times New Roman" w:hAnsi="Calibri" w:cs="Calibri"/>
                <w:b/>
                <w:bCs/>
                <w:sz w:val="20"/>
                <w:szCs w:val="20"/>
                <w:lang w:eastAsia="tr-TR"/>
              </w:rPr>
            </w:pPr>
            <w:r w:rsidRPr="00130B51">
              <w:rPr>
                <w:rFonts w:ascii="Calibri" w:eastAsia="Times New Roman" w:hAnsi="Calibri" w:cs="Calibri"/>
                <w:b/>
                <w:bCs/>
                <w:sz w:val="20"/>
                <w:szCs w:val="20"/>
                <w:lang w:eastAsia="tr-TR"/>
              </w:rPr>
              <w:t>1</w:t>
            </w:r>
          </w:p>
        </w:tc>
        <w:tc>
          <w:tcPr>
            <w:tcW w:w="2126" w:type="dxa"/>
            <w:tcBorders>
              <w:top w:val="nil"/>
              <w:left w:val="nil"/>
              <w:bottom w:val="single" w:sz="4" w:space="0" w:color="auto"/>
              <w:right w:val="single" w:sz="4" w:space="0" w:color="auto"/>
            </w:tcBorders>
            <w:shd w:val="clear" w:color="000000" w:fill="FFFFFF"/>
            <w:noWrap/>
            <w:vAlign w:val="center"/>
            <w:hideMark/>
          </w:tcPr>
          <w:p w14:paraId="01B34182" w14:textId="33192A9B" w:rsidR="00130B51" w:rsidRPr="0047475E" w:rsidRDefault="0047475E" w:rsidP="00130B51">
            <w:pPr>
              <w:spacing w:after="0" w:line="240" w:lineRule="auto"/>
              <w:jc w:val="center"/>
              <w:rPr>
                <w:rFonts w:eastAsia="Times New Roman" w:cstheme="minorHAnsi"/>
                <w:b/>
                <w:bCs/>
                <w:sz w:val="20"/>
                <w:szCs w:val="20"/>
                <w:lang w:eastAsia="tr-TR"/>
              </w:rPr>
            </w:pPr>
            <w:r w:rsidRPr="0047475E">
              <w:rPr>
                <w:rFonts w:cstheme="minorHAnsi"/>
                <w:b/>
                <w:bCs/>
                <w:sz w:val="20"/>
                <w:szCs w:val="20"/>
              </w:rPr>
              <w:t>Hüsamettin SAYIN</w:t>
            </w:r>
          </w:p>
        </w:tc>
        <w:tc>
          <w:tcPr>
            <w:tcW w:w="850" w:type="dxa"/>
            <w:tcBorders>
              <w:top w:val="nil"/>
              <w:left w:val="nil"/>
              <w:bottom w:val="single" w:sz="4" w:space="0" w:color="auto"/>
              <w:right w:val="single" w:sz="4" w:space="0" w:color="auto"/>
            </w:tcBorders>
            <w:shd w:val="clear" w:color="000000" w:fill="FFFFFF"/>
            <w:noWrap/>
            <w:vAlign w:val="center"/>
            <w:hideMark/>
          </w:tcPr>
          <w:p w14:paraId="54E4BB84"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Arsa</w:t>
            </w:r>
          </w:p>
        </w:tc>
        <w:tc>
          <w:tcPr>
            <w:tcW w:w="1110" w:type="dxa"/>
            <w:tcBorders>
              <w:top w:val="nil"/>
              <w:left w:val="nil"/>
              <w:bottom w:val="single" w:sz="4" w:space="0" w:color="auto"/>
              <w:right w:val="single" w:sz="4" w:space="0" w:color="auto"/>
            </w:tcBorders>
            <w:shd w:val="clear" w:color="000000" w:fill="FFFFFF"/>
            <w:noWrap/>
            <w:vAlign w:val="center"/>
            <w:hideMark/>
          </w:tcPr>
          <w:p w14:paraId="65FAA5FF" w14:textId="77777777"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KONUT</w:t>
            </w:r>
          </w:p>
        </w:tc>
        <w:tc>
          <w:tcPr>
            <w:tcW w:w="875" w:type="dxa"/>
            <w:tcBorders>
              <w:top w:val="nil"/>
              <w:left w:val="nil"/>
              <w:bottom w:val="single" w:sz="4" w:space="0" w:color="auto"/>
              <w:right w:val="single" w:sz="4" w:space="0" w:color="auto"/>
            </w:tcBorders>
            <w:shd w:val="clear" w:color="000000" w:fill="FFFFFF"/>
            <w:noWrap/>
            <w:vAlign w:val="bottom"/>
            <w:hideMark/>
          </w:tcPr>
          <w:p w14:paraId="5BBF1FD2" w14:textId="77777777" w:rsidR="00130B51" w:rsidRPr="00130B51" w:rsidRDefault="00130B51" w:rsidP="00130B51">
            <w:pPr>
              <w:spacing w:after="0" w:line="240" w:lineRule="auto"/>
              <w:rPr>
                <w:rFonts w:ascii="Calibri" w:eastAsia="Times New Roman" w:hAnsi="Calibri" w:cs="Calibri"/>
                <w:b/>
                <w:bCs/>
                <w:sz w:val="20"/>
                <w:szCs w:val="20"/>
                <w:lang w:eastAsia="tr-TR"/>
              </w:rPr>
            </w:pPr>
            <w:r w:rsidRPr="00130B51">
              <w:rPr>
                <w:rFonts w:ascii="Calibri" w:eastAsia="Times New Roman" w:hAnsi="Calibri" w:cs="Calibri"/>
                <w:b/>
                <w:bCs/>
                <w:sz w:val="20"/>
                <w:szCs w:val="20"/>
                <w:lang w:eastAsia="tr-TR"/>
              </w:rPr>
              <w:t> </w:t>
            </w:r>
          </w:p>
        </w:tc>
        <w:tc>
          <w:tcPr>
            <w:tcW w:w="1114" w:type="dxa"/>
            <w:tcBorders>
              <w:top w:val="nil"/>
              <w:left w:val="nil"/>
              <w:bottom w:val="single" w:sz="4" w:space="0" w:color="auto"/>
              <w:right w:val="single" w:sz="4" w:space="0" w:color="auto"/>
            </w:tcBorders>
            <w:shd w:val="clear" w:color="auto" w:fill="auto"/>
            <w:noWrap/>
            <w:vAlign w:val="bottom"/>
            <w:hideMark/>
          </w:tcPr>
          <w:p w14:paraId="4E34A29D" w14:textId="4D4D64B4" w:rsidR="00130B51" w:rsidRPr="00130B51" w:rsidRDefault="001A5694" w:rsidP="00130B51">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2</w:t>
            </w:r>
            <w:r w:rsidR="00B52D0D">
              <w:rPr>
                <w:rFonts w:ascii="Calibri" w:eastAsia="Times New Roman" w:hAnsi="Calibri" w:cs="Calibri"/>
                <w:b/>
                <w:bCs/>
                <w:color w:val="000000"/>
                <w:sz w:val="20"/>
                <w:szCs w:val="20"/>
                <w:lang w:eastAsia="tr-TR"/>
              </w:rPr>
              <w:t xml:space="preserve"> / </w:t>
            </w:r>
            <w:r>
              <w:rPr>
                <w:rFonts w:ascii="Calibri" w:eastAsia="Times New Roman" w:hAnsi="Calibri" w:cs="Calibri"/>
                <w:b/>
                <w:bCs/>
                <w:color w:val="000000"/>
                <w:sz w:val="20"/>
                <w:szCs w:val="20"/>
                <w:lang w:eastAsia="tr-TR"/>
              </w:rPr>
              <w:t>15</w:t>
            </w:r>
          </w:p>
        </w:tc>
        <w:tc>
          <w:tcPr>
            <w:tcW w:w="1034" w:type="dxa"/>
            <w:tcBorders>
              <w:top w:val="nil"/>
              <w:left w:val="nil"/>
              <w:bottom w:val="single" w:sz="4" w:space="0" w:color="auto"/>
              <w:right w:val="single" w:sz="4" w:space="0" w:color="auto"/>
            </w:tcBorders>
            <w:shd w:val="clear" w:color="000000" w:fill="FFFFFF"/>
            <w:noWrap/>
            <w:vAlign w:val="bottom"/>
            <w:hideMark/>
          </w:tcPr>
          <w:p w14:paraId="544F4D61" w14:textId="3F44DC17" w:rsidR="00130B51" w:rsidRPr="00130B51" w:rsidRDefault="001A5694" w:rsidP="00130B51">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113</w:t>
            </w:r>
            <w:r w:rsidR="00B52D0D">
              <w:rPr>
                <w:rFonts w:ascii="Calibri" w:eastAsia="Times New Roman" w:hAnsi="Calibri" w:cs="Calibri"/>
                <w:b/>
                <w:bCs/>
                <w:color w:val="000000"/>
                <w:sz w:val="20"/>
                <w:szCs w:val="20"/>
                <w:lang w:eastAsia="tr-TR"/>
              </w:rPr>
              <w:t>,</w:t>
            </w:r>
            <w:r>
              <w:rPr>
                <w:rFonts w:ascii="Calibri" w:eastAsia="Times New Roman" w:hAnsi="Calibri" w:cs="Calibri"/>
                <w:b/>
                <w:bCs/>
                <w:color w:val="000000"/>
                <w:sz w:val="20"/>
                <w:szCs w:val="20"/>
                <w:lang w:eastAsia="tr-TR"/>
              </w:rPr>
              <w:t>47</w:t>
            </w:r>
          </w:p>
        </w:tc>
        <w:tc>
          <w:tcPr>
            <w:tcW w:w="2250" w:type="dxa"/>
            <w:tcBorders>
              <w:top w:val="nil"/>
              <w:left w:val="nil"/>
              <w:bottom w:val="single" w:sz="4" w:space="0" w:color="auto"/>
              <w:right w:val="single" w:sz="4" w:space="0" w:color="auto"/>
            </w:tcBorders>
            <w:shd w:val="clear" w:color="auto" w:fill="auto"/>
            <w:noWrap/>
            <w:vAlign w:val="center"/>
            <w:hideMark/>
          </w:tcPr>
          <w:p w14:paraId="0158751C" w14:textId="60FD007B" w:rsidR="00130B51" w:rsidRPr="00130B51" w:rsidRDefault="00130B51"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w:t>
            </w:r>
            <w:r w:rsidR="003E3871">
              <w:rPr>
                <w:rFonts w:ascii="Calibri" w:eastAsia="Times New Roman" w:hAnsi="Calibri" w:cs="Calibri"/>
                <w:b/>
                <w:bCs/>
                <w:color w:val="000000"/>
                <w:sz w:val="20"/>
                <w:szCs w:val="20"/>
                <w:lang w:eastAsia="tr-TR"/>
              </w:rPr>
              <w:t>9</w:t>
            </w:r>
            <w:r w:rsidR="00B05510">
              <w:rPr>
                <w:rFonts w:ascii="Calibri" w:eastAsia="Times New Roman" w:hAnsi="Calibri" w:cs="Calibri"/>
                <w:b/>
                <w:bCs/>
                <w:color w:val="000000"/>
                <w:sz w:val="20"/>
                <w:szCs w:val="20"/>
                <w:lang w:eastAsia="tr-TR"/>
              </w:rPr>
              <w:t>.</w:t>
            </w:r>
            <w:r w:rsidR="003E3871">
              <w:rPr>
                <w:rFonts w:ascii="Calibri" w:eastAsia="Times New Roman" w:hAnsi="Calibri" w:cs="Calibri"/>
                <w:b/>
                <w:bCs/>
                <w:color w:val="000000"/>
                <w:sz w:val="20"/>
                <w:szCs w:val="20"/>
                <w:lang w:eastAsia="tr-TR"/>
              </w:rPr>
              <w:t>418</w:t>
            </w:r>
            <w:r w:rsidR="00B05510">
              <w:rPr>
                <w:rFonts w:ascii="Calibri" w:eastAsia="Times New Roman" w:hAnsi="Calibri" w:cs="Calibri"/>
                <w:b/>
                <w:bCs/>
                <w:color w:val="000000"/>
                <w:sz w:val="20"/>
                <w:szCs w:val="20"/>
                <w:lang w:eastAsia="tr-TR"/>
              </w:rPr>
              <w:t>.0</w:t>
            </w:r>
            <w:r w:rsidR="003E3871">
              <w:rPr>
                <w:rFonts w:ascii="Calibri" w:eastAsia="Times New Roman" w:hAnsi="Calibri" w:cs="Calibri"/>
                <w:b/>
                <w:bCs/>
                <w:color w:val="000000"/>
                <w:sz w:val="20"/>
                <w:szCs w:val="20"/>
                <w:lang w:eastAsia="tr-TR"/>
              </w:rPr>
              <w:t>1</w:t>
            </w:r>
            <w:r w:rsidR="00B05510">
              <w:rPr>
                <w:rFonts w:ascii="Calibri" w:eastAsia="Times New Roman" w:hAnsi="Calibri" w:cs="Calibri"/>
                <w:b/>
                <w:bCs/>
                <w:color w:val="000000"/>
                <w:sz w:val="20"/>
                <w:szCs w:val="20"/>
                <w:lang w:eastAsia="tr-TR"/>
              </w:rPr>
              <w:t>0</w:t>
            </w:r>
            <w:r w:rsidRPr="00130B51">
              <w:rPr>
                <w:rFonts w:ascii="Calibri" w:eastAsia="Times New Roman" w:hAnsi="Calibri" w:cs="Calibri"/>
                <w:b/>
                <w:bCs/>
                <w:color w:val="000000"/>
                <w:sz w:val="20"/>
                <w:szCs w:val="20"/>
                <w:lang w:eastAsia="tr-TR"/>
              </w:rPr>
              <w:t>,00</w:t>
            </w:r>
          </w:p>
        </w:tc>
        <w:tc>
          <w:tcPr>
            <w:tcW w:w="1972" w:type="dxa"/>
            <w:tcBorders>
              <w:top w:val="nil"/>
              <w:left w:val="nil"/>
              <w:bottom w:val="single" w:sz="4" w:space="0" w:color="auto"/>
              <w:right w:val="single" w:sz="4" w:space="0" w:color="auto"/>
            </w:tcBorders>
            <w:shd w:val="clear" w:color="auto" w:fill="auto"/>
            <w:noWrap/>
            <w:vAlign w:val="center"/>
            <w:hideMark/>
          </w:tcPr>
          <w:p w14:paraId="399151BE" w14:textId="69065ED6" w:rsidR="00130B51" w:rsidRPr="00130B51" w:rsidRDefault="00305B91" w:rsidP="00130B51">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₺941.801</w:t>
            </w:r>
            <w:r w:rsidRPr="00130B51">
              <w:rPr>
                <w:rFonts w:ascii="Calibri" w:eastAsia="Times New Roman" w:hAnsi="Calibri" w:cs="Calibri"/>
                <w:b/>
                <w:bCs/>
                <w:color w:val="000000"/>
                <w:sz w:val="20"/>
                <w:szCs w:val="20"/>
                <w:lang w:eastAsia="tr-TR"/>
              </w:rPr>
              <w:t>,00</w:t>
            </w:r>
          </w:p>
        </w:tc>
      </w:tr>
      <w:tr w:rsidR="00130B51" w:rsidRPr="00130B51" w14:paraId="4F796E01" w14:textId="77777777" w:rsidTr="00130B51">
        <w:trPr>
          <w:trHeight w:val="600"/>
        </w:trPr>
        <w:tc>
          <w:tcPr>
            <w:tcW w:w="421" w:type="dxa"/>
            <w:tcBorders>
              <w:top w:val="nil"/>
              <w:left w:val="nil"/>
              <w:bottom w:val="nil"/>
              <w:right w:val="nil"/>
            </w:tcBorders>
            <w:shd w:val="clear" w:color="auto" w:fill="auto"/>
            <w:noWrap/>
            <w:vAlign w:val="center"/>
            <w:hideMark/>
          </w:tcPr>
          <w:p w14:paraId="709B95FB" w14:textId="77777777" w:rsidR="00130B51" w:rsidRPr="00130B51" w:rsidRDefault="00130B51" w:rsidP="00130B51">
            <w:pPr>
              <w:spacing w:after="0" w:line="240" w:lineRule="auto"/>
              <w:jc w:val="center"/>
              <w:rPr>
                <w:rFonts w:ascii="Calibri" w:eastAsia="Times New Roman" w:hAnsi="Calibri" w:cs="Calibri"/>
                <w:b/>
                <w:bCs/>
                <w:color w:val="000000"/>
                <w:sz w:val="32"/>
                <w:szCs w:val="32"/>
                <w:lang w:eastAsia="tr-TR"/>
              </w:rPr>
            </w:pPr>
          </w:p>
        </w:tc>
        <w:tc>
          <w:tcPr>
            <w:tcW w:w="2126" w:type="dxa"/>
            <w:tcBorders>
              <w:top w:val="nil"/>
              <w:left w:val="nil"/>
              <w:bottom w:val="nil"/>
              <w:right w:val="nil"/>
            </w:tcBorders>
            <w:shd w:val="clear" w:color="auto" w:fill="auto"/>
            <w:noWrap/>
            <w:vAlign w:val="bottom"/>
            <w:hideMark/>
          </w:tcPr>
          <w:p w14:paraId="1BD5C090" w14:textId="77777777" w:rsidR="00130B51" w:rsidRPr="00130B51" w:rsidRDefault="00130B51" w:rsidP="00130B51">
            <w:pPr>
              <w:spacing w:after="0" w:line="240" w:lineRule="auto"/>
              <w:jc w:val="center"/>
              <w:rPr>
                <w:rFonts w:ascii="Times New Roman" w:eastAsia="Times New Roman" w:hAnsi="Times New Roman" w:cs="Times New Roman"/>
                <w:sz w:val="20"/>
                <w:szCs w:val="20"/>
                <w:lang w:eastAsia="tr-TR"/>
              </w:rPr>
            </w:pPr>
          </w:p>
        </w:tc>
        <w:tc>
          <w:tcPr>
            <w:tcW w:w="850" w:type="dxa"/>
            <w:tcBorders>
              <w:top w:val="nil"/>
              <w:left w:val="nil"/>
              <w:bottom w:val="nil"/>
              <w:right w:val="nil"/>
            </w:tcBorders>
            <w:shd w:val="clear" w:color="auto" w:fill="auto"/>
            <w:noWrap/>
            <w:vAlign w:val="center"/>
            <w:hideMark/>
          </w:tcPr>
          <w:p w14:paraId="724909E2" w14:textId="77777777" w:rsidR="00130B51" w:rsidRPr="00130B51" w:rsidRDefault="00130B51" w:rsidP="00130B51">
            <w:pPr>
              <w:spacing w:after="0" w:line="240" w:lineRule="auto"/>
              <w:jc w:val="center"/>
              <w:rPr>
                <w:rFonts w:ascii="Times New Roman" w:eastAsia="Times New Roman" w:hAnsi="Times New Roman" w:cs="Times New Roman"/>
                <w:sz w:val="20"/>
                <w:szCs w:val="20"/>
                <w:lang w:eastAsia="tr-TR"/>
              </w:rPr>
            </w:pPr>
          </w:p>
        </w:tc>
        <w:tc>
          <w:tcPr>
            <w:tcW w:w="1110" w:type="dxa"/>
            <w:tcBorders>
              <w:top w:val="nil"/>
              <w:left w:val="nil"/>
              <w:bottom w:val="nil"/>
              <w:right w:val="nil"/>
            </w:tcBorders>
            <w:shd w:val="clear" w:color="auto" w:fill="auto"/>
            <w:noWrap/>
            <w:vAlign w:val="center"/>
            <w:hideMark/>
          </w:tcPr>
          <w:p w14:paraId="770D1E6E" w14:textId="77777777" w:rsidR="00130B51" w:rsidRPr="00130B51" w:rsidRDefault="00130B51" w:rsidP="00130B51">
            <w:pPr>
              <w:spacing w:after="0" w:line="240" w:lineRule="auto"/>
              <w:jc w:val="center"/>
              <w:rPr>
                <w:rFonts w:ascii="Times New Roman" w:eastAsia="Times New Roman" w:hAnsi="Times New Roman" w:cs="Times New Roman"/>
                <w:sz w:val="20"/>
                <w:szCs w:val="20"/>
                <w:lang w:eastAsia="tr-TR"/>
              </w:rPr>
            </w:pPr>
          </w:p>
        </w:tc>
        <w:tc>
          <w:tcPr>
            <w:tcW w:w="875" w:type="dxa"/>
            <w:tcBorders>
              <w:top w:val="nil"/>
              <w:left w:val="nil"/>
              <w:bottom w:val="nil"/>
              <w:right w:val="nil"/>
            </w:tcBorders>
            <w:shd w:val="clear" w:color="auto" w:fill="auto"/>
            <w:noWrap/>
            <w:vAlign w:val="center"/>
            <w:hideMark/>
          </w:tcPr>
          <w:p w14:paraId="4D556190" w14:textId="77777777" w:rsidR="00130B51" w:rsidRPr="00130B51" w:rsidRDefault="00130B51" w:rsidP="00130B51">
            <w:pPr>
              <w:spacing w:after="0" w:line="240" w:lineRule="auto"/>
              <w:jc w:val="center"/>
              <w:rPr>
                <w:rFonts w:ascii="Times New Roman" w:eastAsia="Times New Roman" w:hAnsi="Times New Roman" w:cs="Times New Roman"/>
                <w:sz w:val="20"/>
                <w:szCs w:val="20"/>
                <w:lang w:eastAsia="tr-TR"/>
              </w:rPr>
            </w:pPr>
          </w:p>
        </w:tc>
        <w:tc>
          <w:tcPr>
            <w:tcW w:w="1114" w:type="dxa"/>
            <w:tcBorders>
              <w:top w:val="nil"/>
              <w:left w:val="nil"/>
              <w:bottom w:val="nil"/>
              <w:right w:val="nil"/>
            </w:tcBorders>
            <w:shd w:val="clear" w:color="auto" w:fill="auto"/>
            <w:noWrap/>
            <w:vAlign w:val="center"/>
            <w:hideMark/>
          </w:tcPr>
          <w:p w14:paraId="5F8CB80A" w14:textId="7A8A8BEE" w:rsidR="00130B51" w:rsidRPr="00571446" w:rsidRDefault="00571446" w:rsidP="00130B51">
            <w:pPr>
              <w:spacing w:after="0" w:line="240" w:lineRule="auto"/>
              <w:jc w:val="center"/>
              <w:rPr>
                <w:rFonts w:eastAsia="Times New Roman" w:cstheme="minorHAnsi"/>
                <w:b/>
                <w:sz w:val="20"/>
                <w:szCs w:val="20"/>
                <w:lang w:eastAsia="tr-TR"/>
              </w:rPr>
            </w:pPr>
            <w:r w:rsidRPr="00571446">
              <w:rPr>
                <w:rFonts w:eastAsia="Times New Roman" w:cstheme="minorHAnsi"/>
                <w:b/>
                <w:sz w:val="20"/>
                <w:szCs w:val="20"/>
                <w:lang w:eastAsia="tr-TR"/>
              </w:rPr>
              <w:t>Toplam</w:t>
            </w:r>
          </w:p>
        </w:tc>
        <w:tc>
          <w:tcPr>
            <w:tcW w:w="1034" w:type="dxa"/>
            <w:tcBorders>
              <w:top w:val="nil"/>
              <w:left w:val="nil"/>
              <w:bottom w:val="nil"/>
              <w:right w:val="nil"/>
            </w:tcBorders>
            <w:shd w:val="clear" w:color="auto" w:fill="auto"/>
            <w:noWrap/>
            <w:vAlign w:val="center"/>
            <w:hideMark/>
          </w:tcPr>
          <w:p w14:paraId="347D3299" w14:textId="499D058F" w:rsidR="00130B51" w:rsidRPr="00130B51" w:rsidRDefault="006C0447" w:rsidP="00130B51">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113,47</w:t>
            </w:r>
          </w:p>
        </w:tc>
        <w:tc>
          <w:tcPr>
            <w:tcW w:w="2250" w:type="dxa"/>
            <w:tcBorders>
              <w:top w:val="nil"/>
              <w:left w:val="nil"/>
              <w:bottom w:val="nil"/>
              <w:right w:val="nil"/>
            </w:tcBorders>
            <w:shd w:val="clear" w:color="auto" w:fill="auto"/>
            <w:noWrap/>
            <w:vAlign w:val="center"/>
            <w:hideMark/>
          </w:tcPr>
          <w:p w14:paraId="420ADEB0" w14:textId="6C4D855B" w:rsidR="00130B51" w:rsidRPr="00130B51" w:rsidRDefault="006C0447" w:rsidP="00130B51">
            <w:pPr>
              <w:spacing w:after="0" w:line="240" w:lineRule="auto"/>
              <w:jc w:val="center"/>
              <w:rPr>
                <w:rFonts w:ascii="Calibri" w:eastAsia="Times New Roman" w:hAnsi="Calibri" w:cs="Calibri"/>
                <w:b/>
                <w:bCs/>
                <w:color w:val="000000"/>
                <w:sz w:val="20"/>
                <w:szCs w:val="20"/>
                <w:lang w:eastAsia="tr-TR"/>
              </w:rPr>
            </w:pPr>
            <w:r w:rsidRPr="00130B51">
              <w:rPr>
                <w:rFonts w:ascii="Calibri" w:eastAsia="Times New Roman" w:hAnsi="Calibri" w:cs="Calibri"/>
                <w:b/>
                <w:bCs/>
                <w:color w:val="000000"/>
                <w:sz w:val="20"/>
                <w:szCs w:val="20"/>
                <w:lang w:eastAsia="tr-TR"/>
              </w:rPr>
              <w:t>₺</w:t>
            </w:r>
            <w:r>
              <w:rPr>
                <w:rFonts w:ascii="Calibri" w:eastAsia="Times New Roman" w:hAnsi="Calibri" w:cs="Calibri"/>
                <w:b/>
                <w:bCs/>
                <w:color w:val="000000"/>
                <w:sz w:val="20"/>
                <w:szCs w:val="20"/>
                <w:lang w:eastAsia="tr-TR"/>
              </w:rPr>
              <w:t>9.418.010</w:t>
            </w:r>
            <w:r w:rsidRPr="00130B51">
              <w:rPr>
                <w:rFonts w:ascii="Calibri" w:eastAsia="Times New Roman" w:hAnsi="Calibri" w:cs="Calibri"/>
                <w:b/>
                <w:bCs/>
                <w:color w:val="000000"/>
                <w:sz w:val="20"/>
                <w:szCs w:val="20"/>
                <w:lang w:eastAsia="tr-TR"/>
              </w:rPr>
              <w:t>,00</w:t>
            </w:r>
          </w:p>
        </w:tc>
        <w:tc>
          <w:tcPr>
            <w:tcW w:w="1972" w:type="dxa"/>
            <w:tcBorders>
              <w:top w:val="nil"/>
              <w:left w:val="nil"/>
              <w:bottom w:val="nil"/>
              <w:right w:val="nil"/>
            </w:tcBorders>
            <w:shd w:val="clear" w:color="auto" w:fill="auto"/>
            <w:noWrap/>
            <w:vAlign w:val="center"/>
            <w:hideMark/>
          </w:tcPr>
          <w:p w14:paraId="360DEE3D" w14:textId="12C71C76" w:rsidR="00130B51" w:rsidRPr="00130B51" w:rsidRDefault="00B05510" w:rsidP="00130B51">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w:t>
            </w:r>
            <w:r w:rsidR="006C0447">
              <w:rPr>
                <w:rFonts w:ascii="Calibri" w:eastAsia="Times New Roman" w:hAnsi="Calibri" w:cs="Calibri"/>
                <w:b/>
                <w:bCs/>
                <w:color w:val="000000"/>
                <w:sz w:val="20"/>
                <w:szCs w:val="20"/>
                <w:lang w:eastAsia="tr-TR"/>
              </w:rPr>
              <w:t>941</w:t>
            </w:r>
            <w:r>
              <w:rPr>
                <w:rFonts w:ascii="Calibri" w:eastAsia="Times New Roman" w:hAnsi="Calibri" w:cs="Calibri"/>
                <w:b/>
                <w:bCs/>
                <w:color w:val="000000"/>
                <w:sz w:val="20"/>
                <w:szCs w:val="20"/>
                <w:lang w:eastAsia="tr-TR"/>
              </w:rPr>
              <w:t>.</w:t>
            </w:r>
            <w:r w:rsidR="006C0447">
              <w:rPr>
                <w:rFonts w:ascii="Calibri" w:eastAsia="Times New Roman" w:hAnsi="Calibri" w:cs="Calibri"/>
                <w:b/>
                <w:bCs/>
                <w:color w:val="000000"/>
                <w:sz w:val="20"/>
                <w:szCs w:val="20"/>
                <w:lang w:eastAsia="tr-TR"/>
              </w:rPr>
              <w:t>801</w:t>
            </w:r>
            <w:r w:rsidR="00A453A1" w:rsidRPr="00130B51">
              <w:rPr>
                <w:rFonts w:ascii="Calibri" w:eastAsia="Times New Roman" w:hAnsi="Calibri" w:cs="Calibri"/>
                <w:b/>
                <w:bCs/>
                <w:color w:val="000000"/>
                <w:sz w:val="20"/>
                <w:szCs w:val="20"/>
                <w:lang w:eastAsia="tr-TR"/>
              </w:rPr>
              <w:t>,00</w:t>
            </w:r>
          </w:p>
        </w:tc>
      </w:tr>
    </w:tbl>
    <w:p w14:paraId="64CA3143" w14:textId="77777777" w:rsidR="005A400C" w:rsidRDefault="005A400C" w:rsidP="00E32DDA">
      <w:pPr>
        <w:pStyle w:val="NormalWeb"/>
        <w:shd w:val="clear" w:color="auto" w:fill="FFFFFF"/>
        <w:spacing w:before="0" w:beforeAutospacing="0" w:after="150" w:afterAutospacing="0"/>
        <w:jc w:val="center"/>
        <w:rPr>
          <w:rFonts w:ascii="Arial" w:hAnsi="Arial" w:cs="Arial"/>
          <w:b/>
          <w:color w:val="333333"/>
        </w:rPr>
      </w:pPr>
    </w:p>
    <w:sectPr w:rsidR="005A400C" w:rsidSect="00130B51">
      <w:pgSz w:w="11906" w:h="16838"/>
      <w:pgMar w:top="56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54FA8"/>
    <w:multiLevelType w:val="multilevel"/>
    <w:tmpl w:val="5FE4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F057D"/>
    <w:multiLevelType w:val="hybridMultilevel"/>
    <w:tmpl w:val="95066B4E"/>
    <w:lvl w:ilvl="0" w:tplc="041F000F">
      <w:start w:val="1"/>
      <w:numFmt w:val="decimal"/>
      <w:lvlText w:val="%1."/>
      <w:lvlJc w:val="left"/>
      <w:pPr>
        <w:ind w:left="1492" w:hanging="360"/>
      </w:pPr>
    </w:lvl>
    <w:lvl w:ilvl="1" w:tplc="041F0019" w:tentative="1">
      <w:start w:val="1"/>
      <w:numFmt w:val="lowerLetter"/>
      <w:lvlText w:val="%2."/>
      <w:lvlJc w:val="left"/>
      <w:pPr>
        <w:ind w:left="2212" w:hanging="360"/>
      </w:pPr>
    </w:lvl>
    <w:lvl w:ilvl="2" w:tplc="041F001B" w:tentative="1">
      <w:start w:val="1"/>
      <w:numFmt w:val="lowerRoman"/>
      <w:lvlText w:val="%3."/>
      <w:lvlJc w:val="right"/>
      <w:pPr>
        <w:ind w:left="2932" w:hanging="180"/>
      </w:pPr>
    </w:lvl>
    <w:lvl w:ilvl="3" w:tplc="041F000F" w:tentative="1">
      <w:start w:val="1"/>
      <w:numFmt w:val="decimal"/>
      <w:lvlText w:val="%4."/>
      <w:lvlJc w:val="left"/>
      <w:pPr>
        <w:ind w:left="3652" w:hanging="360"/>
      </w:pPr>
    </w:lvl>
    <w:lvl w:ilvl="4" w:tplc="041F0019" w:tentative="1">
      <w:start w:val="1"/>
      <w:numFmt w:val="lowerLetter"/>
      <w:lvlText w:val="%5."/>
      <w:lvlJc w:val="left"/>
      <w:pPr>
        <w:ind w:left="4372" w:hanging="360"/>
      </w:pPr>
    </w:lvl>
    <w:lvl w:ilvl="5" w:tplc="041F001B" w:tentative="1">
      <w:start w:val="1"/>
      <w:numFmt w:val="lowerRoman"/>
      <w:lvlText w:val="%6."/>
      <w:lvlJc w:val="right"/>
      <w:pPr>
        <w:ind w:left="5092" w:hanging="180"/>
      </w:pPr>
    </w:lvl>
    <w:lvl w:ilvl="6" w:tplc="041F000F" w:tentative="1">
      <w:start w:val="1"/>
      <w:numFmt w:val="decimal"/>
      <w:lvlText w:val="%7."/>
      <w:lvlJc w:val="left"/>
      <w:pPr>
        <w:ind w:left="5812" w:hanging="360"/>
      </w:pPr>
    </w:lvl>
    <w:lvl w:ilvl="7" w:tplc="041F0019" w:tentative="1">
      <w:start w:val="1"/>
      <w:numFmt w:val="lowerLetter"/>
      <w:lvlText w:val="%8."/>
      <w:lvlJc w:val="left"/>
      <w:pPr>
        <w:ind w:left="6532" w:hanging="360"/>
      </w:pPr>
    </w:lvl>
    <w:lvl w:ilvl="8" w:tplc="041F001B" w:tentative="1">
      <w:start w:val="1"/>
      <w:numFmt w:val="lowerRoman"/>
      <w:lvlText w:val="%9."/>
      <w:lvlJc w:val="right"/>
      <w:pPr>
        <w:ind w:left="7252" w:hanging="180"/>
      </w:pPr>
    </w:lvl>
  </w:abstractNum>
  <w:abstractNum w:abstractNumId="2" w15:restartNumberingAfterBreak="0">
    <w:nsid w:val="3C670264"/>
    <w:multiLevelType w:val="multilevel"/>
    <w:tmpl w:val="CA547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36"/>
    <w:rsid w:val="000208AA"/>
    <w:rsid w:val="00025CBC"/>
    <w:rsid w:val="00060BC4"/>
    <w:rsid w:val="000E1BE7"/>
    <w:rsid w:val="0012263D"/>
    <w:rsid w:val="00130B51"/>
    <w:rsid w:val="001551FB"/>
    <w:rsid w:val="00196135"/>
    <w:rsid w:val="001A5694"/>
    <w:rsid w:val="00214B12"/>
    <w:rsid w:val="00231854"/>
    <w:rsid w:val="002A3624"/>
    <w:rsid w:val="002D0AB8"/>
    <w:rsid w:val="00305B91"/>
    <w:rsid w:val="00384EC8"/>
    <w:rsid w:val="003C0263"/>
    <w:rsid w:val="003C3023"/>
    <w:rsid w:val="003E3871"/>
    <w:rsid w:val="004527AA"/>
    <w:rsid w:val="0047475E"/>
    <w:rsid w:val="004C6937"/>
    <w:rsid w:val="00543E99"/>
    <w:rsid w:val="005441F8"/>
    <w:rsid w:val="00571446"/>
    <w:rsid w:val="005A400C"/>
    <w:rsid w:val="005D3036"/>
    <w:rsid w:val="006C0447"/>
    <w:rsid w:val="0070526E"/>
    <w:rsid w:val="0080711B"/>
    <w:rsid w:val="00814DF0"/>
    <w:rsid w:val="00865377"/>
    <w:rsid w:val="009026DF"/>
    <w:rsid w:val="009255A1"/>
    <w:rsid w:val="009369B6"/>
    <w:rsid w:val="00971214"/>
    <w:rsid w:val="00A453A1"/>
    <w:rsid w:val="00AA7662"/>
    <w:rsid w:val="00B05510"/>
    <w:rsid w:val="00B065E6"/>
    <w:rsid w:val="00B52D0D"/>
    <w:rsid w:val="00C411ED"/>
    <w:rsid w:val="00C92C4B"/>
    <w:rsid w:val="00D7685A"/>
    <w:rsid w:val="00DB441B"/>
    <w:rsid w:val="00DF3B56"/>
    <w:rsid w:val="00E02D0B"/>
    <w:rsid w:val="00E21CD4"/>
    <w:rsid w:val="00E32DDA"/>
    <w:rsid w:val="00EB7609"/>
    <w:rsid w:val="00F11573"/>
    <w:rsid w:val="00FC7B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0FE9"/>
  <w15:chartTrackingRefBased/>
  <w15:docId w15:val="{B9ED5A92-99E9-4CEB-955D-331B0F04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D303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D3036"/>
    <w:rPr>
      <w:i/>
      <w:iCs/>
    </w:rPr>
  </w:style>
  <w:style w:type="character" w:styleId="Gl">
    <w:name w:val="Strong"/>
    <w:basedOn w:val="VarsaylanParagrafYazTipi"/>
    <w:uiPriority w:val="22"/>
    <w:qFormat/>
    <w:rsid w:val="005D3036"/>
    <w:rPr>
      <w:b/>
      <w:bCs/>
    </w:rPr>
  </w:style>
  <w:style w:type="paragraph" w:styleId="BalonMetni">
    <w:name w:val="Balloon Text"/>
    <w:basedOn w:val="Normal"/>
    <w:link w:val="BalonMetniChar"/>
    <w:uiPriority w:val="99"/>
    <w:semiHidden/>
    <w:unhideWhenUsed/>
    <w:rsid w:val="00060B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0B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52081">
      <w:bodyDiv w:val="1"/>
      <w:marLeft w:val="0"/>
      <w:marRight w:val="0"/>
      <w:marTop w:val="0"/>
      <w:marBottom w:val="0"/>
      <w:divBdr>
        <w:top w:val="none" w:sz="0" w:space="0" w:color="auto"/>
        <w:left w:val="none" w:sz="0" w:space="0" w:color="auto"/>
        <w:bottom w:val="none" w:sz="0" w:space="0" w:color="auto"/>
        <w:right w:val="none" w:sz="0" w:space="0" w:color="auto"/>
      </w:divBdr>
    </w:div>
    <w:div w:id="537013537">
      <w:bodyDiv w:val="1"/>
      <w:marLeft w:val="0"/>
      <w:marRight w:val="0"/>
      <w:marTop w:val="0"/>
      <w:marBottom w:val="0"/>
      <w:divBdr>
        <w:top w:val="none" w:sz="0" w:space="0" w:color="auto"/>
        <w:left w:val="none" w:sz="0" w:space="0" w:color="auto"/>
        <w:bottom w:val="none" w:sz="0" w:space="0" w:color="auto"/>
        <w:right w:val="none" w:sz="0" w:space="0" w:color="auto"/>
      </w:divBdr>
    </w:div>
    <w:div w:id="704407245">
      <w:bodyDiv w:val="1"/>
      <w:marLeft w:val="0"/>
      <w:marRight w:val="0"/>
      <w:marTop w:val="0"/>
      <w:marBottom w:val="0"/>
      <w:divBdr>
        <w:top w:val="none" w:sz="0" w:space="0" w:color="auto"/>
        <w:left w:val="none" w:sz="0" w:space="0" w:color="auto"/>
        <w:bottom w:val="none" w:sz="0" w:space="0" w:color="auto"/>
        <w:right w:val="none" w:sz="0" w:space="0" w:color="auto"/>
      </w:divBdr>
    </w:div>
    <w:div w:id="20726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334</Words>
  <Characters>1904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Öcbe</dc:creator>
  <cp:keywords/>
  <dc:description/>
  <cp:lastModifiedBy>Nukhet Ozek</cp:lastModifiedBy>
  <cp:revision>8</cp:revision>
  <cp:lastPrinted>2024-08-13T07:56:00Z</cp:lastPrinted>
  <dcterms:created xsi:type="dcterms:W3CDTF">2026-01-23T08:34:00Z</dcterms:created>
  <dcterms:modified xsi:type="dcterms:W3CDTF">2026-01-23T08:53:00Z</dcterms:modified>
</cp:coreProperties>
</file>