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C322F" w14:textId="77777777" w:rsidR="00C46FFB" w:rsidRDefault="00C46FFB" w:rsidP="00C46FFB">
      <w:pPr>
        <w:ind w:left="360"/>
      </w:pPr>
    </w:p>
    <w:tbl>
      <w:tblPr>
        <w:tblStyle w:val="TabloKlavuzu"/>
        <w:tblW w:w="14533" w:type="dxa"/>
        <w:tblInd w:w="360" w:type="dxa"/>
        <w:tblLayout w:type="fixed"/>
        <w:tblCellMar>
          <w:left w:w="70" w:type="dxa"/>
          <w:right w:w="70" w:type="dxa"/>
        </w:tblCellMar>
        <w:tblLook w:val="0000" w:firstRow="0" w:lastRow="0" w:firstColumn="0" w:lastColumn="0" w:noHBand="0" w:noVBand="0"/>
      </w:tblPr>
      <w:tblGrid>
        <w:gridCol w:w="1883"/>
        <w:gridCol w:w="3044"/>
        <w:gridCol w:w="2782"/>
        <w:gridCol w:w="3571"/>
        <w:gridCol w:w="1681"/>
        <w:gridCol w:w="1572"/>
      </w:tblGrid>
      <w:tr w:rsidR="008F1D50" w:rsidRPr="003763E3" w14:paraId="7294EE55" w14:textId="77777777" w:rsidTr="00CE0BEA">
        <w:trPr>
          <w:trHeight w:val="175"/>
        </w:trPr>
        <w:tc>
          <w:tcPr>
            <w:tcW w:w="14533" w:type="dxa"/>
            <w:gridSpan w:val="6"/>
            <w:vAlign w:val="center"/>
          </w:tcPr>
          <w:p w14:paraId="539E14E8" w14:textId="77777777" w:rsidR="008F1D50" w:rsidRPr="003763E3" w:rsidRDefault="008F1D50" w:rsidP="00587553">
            <w:pPr>
              <w:jc w:val="center"/>
              <w:rPr>
                <w:rFonts w:ascii="Times New Roman" w:hAnsi="Times New Roman" w:cs="Times New Roman"/>
                <w:sz w:val="20"/>
                <w:szCs w:val="20"/>
              </w:rPr>
            </w:pPr>
            <w:r w:rsidRPr="003763E3">
              <w:rPr>
                <w:rFonts w:ascii="Times New Roman" w:eastAsia="Times New Roman" w:hAnsi="Times New Roman" w:cs="Times New Roman"/>
                <w:b/>
                <w:bCs/>
                <w:color w:val="000000"/>
                <w:sz w:val="20"/>
                <w:szCs w:val="20"/>
                <w:lang w:eastAsia="tr-TR"/>
              </w:rPr>
              <w:t>AKSARAY ÇEVRE VE ŞEHİRCİLİK İL MÜDÜRLÜĞÜ MİLLİ EMLAK MÜDÜRLÜĞÜNDEN SATILACAK HURDAYİVSİZ AV TÜFEKLERİ</w:t>
            </w:r>
          </w:p>
        </w:tc>
      </w:tr>
      <w:tr w:rsidR="00C741E5" w:rsidRPr="003763E3" w14:paraId="4BD56823" w14:textId="77777777" w:rsidTr="00CE0BEA">
        <w:tblPrEx>
          <w:tblCellMar>
            <w:left w:w="108" w:type="dxa"/>
            <w:right w:w="108" w:type="dxa"/>
          </w:tblCellMar>
          <w:tblLook w:val="04A0" w:firstRow="1" w:lastRow="0" w:firstColumn="1" w:lastColumn="0" w:noHBand="0" w:noVBand="1"/>
        </w:tblPrEx>
        <w:trPr>
          <w:trHeight w:val="84"/>
        </w:trPr>
        <w:tc>
          <w:tcPr>
            <w:tcW w:w="1883" w:type="dxa"/>
          </w:tcPr>
          <w:p w14:paraId="56881BDA" w14:textId="77777777" w:rsidR="008F1D50" w:rsidRPr="003763E3" w:rsidRDefault="008F1D50" w:rsidP="00C741E5">
            <w:pPr>
              <w:jc w:val="center"/>
              <w:rPr>
                <w:rFonts w:ascii="Times New Roman" w:hAnsi="Times New Roman" w:cs="Times New Roman"/>
                <w:sz w:val="20"/>
                <w:szCs w:val="20"/>
              </w:rPr>
            </w:pPr>
            <w:r w:rsidRPr="003763E3">
              <w:rPr>
                <w:rFonts w:ascii="Times New Roman" w:hAnsi="Times New Roman" w:cs="Times New Roman"/>
                <w:sz w:val="20"/>
                <w:szCs w:val="20"/>
              </w:rPr>
              <w:t>TOPLAM ADET</w:t>
            </w:r>
          </w:p>
        </w:tc>
        <w:tc>
          <w:tcPr>
            <w:tcW w:w="3044" w:type="dxa"/>
          </w:tcPr>
          <w:p w14:paraId="3EA16678" w14:textId="77777777" w:rsidR="008F1D50" w:rsidRPr="003763E3" w:rsidRDefault="002868D1" w:rsidP="00671898">
            <w:pPr>
              <w:jc w:val="center"/>
              <w:rPr>
                <w:rFonts w:ascii="Times New Roman" w:hAnsi="Times New Roman" w:cs="Times New Roman"/>
                <w:sz w:val="20"/>
                <w:szCs w:val="20"/>
              </w:rPr>
            </w:pPr>
            <w:r w:rsidRPr="003763E3">
              <w:rPr>
                <w:rFonts w:ascii="Times New Roman" w:hAnsi="Times New Roman" w:cs="Times New Roman"/>
                <w:sz w:val="20"/>
                <w:szCs w:val="20"/>
              </w:rPr>
              <w:t>TAHMİNİ</w:t>
            </w:r>
            <w:r w:rsidR="00C741E5" w:rsidRPr="003763E3">
              <w:rPr>
                <w:rFonts w:ascii="Times New Roman" w:hAnsi="Times New Roman" w:cs="Times New Roman"/>
                <w:sz w:val="20"/>
                <w:szCs w:val="20"/>
              </w:rPr>
              <w:t xml:space="preserve"> </w:t>
            </w:r>
            <w:r w:rsidR="008F1D50" w:rsidRPr="003763E3">
              <w:rPr>
                <w:rFonts w:ascii="Times New Roman" w:hAnsi="Times New Roman" w:cs="Times New Roman"/>
                <w:sz w:val="20"/>
                <w:szCs w:val="20"/>
              </w:rPr>
              <w:t xml:space="preserve">İHALE BEDELİ </w:t>
            </w:r>
            <w:r w:rsidR="00671898" w:rsidRPr="003763E3">
              <w:rPr>
                <w:rFonts w:ascii="Times New Roman" w:hAnsi="Times New Roman" w:cs="Times New Roman"/>
                <w:sz w:val="20"/>
                <w:szCs w:val="20"/>
              </w:rPr>
              <w:t>(kg/</w:t>
            </w:r>
            <w:r w:rsidR="00671898" w:rsidRPr="003763E3">
              <w:rPr>
                <w:rFonts w:ascii="Arial" w:hAnsi="Arial" w:cs="Arial"/>
                <w:sz w:val="20"/>
                <w:szCs w:val="20"/>
              </w:rPr>
              <w:t>₺)</w:t>
            </w:r>
          </w:p>
        </w:tc>
        <w:tc>
          <w:tcPr>
            <w:tcW w:w="2782" w:type="dxa"/>
          </w:tcPr>
          <w:p w14:paraId="50E4CF20" w14:textId="77777777" w:rsidR="008F1D50" w:rsidRPr="003763E3" w:rsidRDefault="008F1D50" w:rsidP="00C741E5">
            <w:pPr>
              <w:jc w:val="center"/>
              <w:rPr>
                <w:rFonts w:ascii="Times New Roman" w:hAnsi="Times New Roman" w:cs="Times New Roman"/>
                <w:sz w:val="20"/>
                <w:szCs w:val="20"/>
              </w:rPr>
            </w:pPr>
            <w:r w:rsidRPr="003763E3">
              <w:rPr>
                <w:rFonts w:ascii="Times New Roman" w:hAnsi="Times New Roman" w:cs="Times New Roman"/>
                <w:sz w:val="20"/>
                <w:szCs w:val="20"/>
              </w:rPr>
              <w:t>GEÇİCİ TEMİNAT (₺)</w:t>
            </w:r>
          </w:p>
        </w:tc>
        <w:tc>
          <w:tcPr>
            <w:tcW w:w="3571" w:type="dxa"/>
          </w:tcPr>
          <w:p w14:paraId="74EAEE0A" w14:textId="77777777" w:rsidR="008F1D50" w:rsidRPr="003763E3" w:rsidRDefault="008F1D50" w:rsidP="00C741E5">
            <w:pPr>
              <w:jc w:val="center"/>
              <w:rPr>
                <w:rFonts w:ascii="Times New Roman" w:hAnsi="Times New Roman" w:cs="Times New Roman"/>
                <w:sz w:val="20"/>
                <w:szCs w:val="20"/>
              </w:rPr>
            </w:pPr>
            <w:r w:rsidRPr="003763E3">
              <w:rPr>
                <w:rFonts w:ascii="Times New Roman" w:hAnsi="Times New Roman" w:cs="Times New Roman"/>
                <w:sz w:val="20"/>
                <w:szCs w:val="20"/>
              </w:rPr>
              <w:t>BULUNDUĞU YER</w:t>
            </w:r>
          </w:p>
        </w:tc>
        <w:tc>
          <w:tcPr>
            <w:tcW w:w="1681" w:type="dxa"/>
            <w:shd w:val="clear" w:color="auto" w:fill="auto"/>
          </w:tcPr>
          <w:p w14:paraId="73BAF9A7" w14:textId="77777777" w:rsidR="008F1D50" w:rsidRPr="003763E3" w:rsidRDefault="008F1D50" w:rsidP="00C741E5">
            <w:pPr>
              <w:jc w:val="center"/>
              <w:rPr>
                <w:rFonts w:ascii="Times New Roman" w:hAnsi="Times New Roman" w:cs="Times New Roman"/>
                <w:sz w:val="20"/>
                <w:szCs w:val="20"/>
              </w:rPr>
            </w:pPr>
            <w:r w:rsidRPr="003763E3">
              <w:rPr>
                <w:rFonts w:ascii="Times New Roman" w:hAnsi="Times New Roman" w:cs="Times New Roman"/>
                <w:sz w:val="20"/>
                <w:szCs w:val="20"/>
              </w:rPr>
              <w:t>İHALE TARİHİ</w:t>
            </w:r>
          </w:p>
        </w:tc>
        <w:tc>
          <w:tcPr>
            <w:tcW w:w="1569" w:type="dxa"/>
            <w:shd w:val="clear" w:color="auto" w:fill="auto"/>
          </w:tcPr>
          <w:p w14:paraId="67087DF7" w14:textId="77777777" w:rsidR="008F1D50" w:rsidRPr="003763E3" w:rsidRDefault="008F1D50" w:rsidP="00C741E5">
            <w:pPr>
              <w:jc w:val="center"/>
              <w:rPr>
                <w:rFonts w:ascii="Times New Roman" w:hAnsi="Times New Roman" w:cs="Times New Roman"/>
                <w:sz w:val="20"/>
                <w:szCs w:val="20"/>
              </w:rPr>
            </w:pPr>
            <w:r w:rsidRPr="003763E3">
              <w:rPr>
                <w:rFonts w:ascii="Times New Roman" w:hAnsi="Times New Roman" w:cs="Times New Roman"/>
                <w:sz w:val="20"/>
                <w:szCs w:val="20"/>
              </w:rPr>
              <w:t>İHALE SAATİ</w:t>
            </w:r>
          </w:p>
        </w:tc>
      </w:tr>
      <w:tr w:rsidR="00C741E5" w:rsidRPr="003763E3" w14:paraId="69A4A301" w14:textId="77777777" w:rsidTr="00CE0BEA">
        <w:tblPrEx>
          <w:tblCellMar>
            <w:left w:w="108" w:type="dxa"/>
            <w:right w:w="108" w:type="dxa"/>
          </w:tblCellMar>
          <w:tblLook w:val="04A0" w:firstRow="1" w:lastRow="0" w:firstColumn="1" w:lastColumn="0" w:noHBand="0" w:noVBand="1"/>
        </w:tblPrEx>
        <w:trPr>
          <w:trHeight w:val="284"/>
        </w:trPr>
        <w:tc>
          <w:tcPr>
            <w:tcW w:w="1883" w:type="dxa"/>
            <w:vMerge w:val="restart"/>
            <w:vAlign w:val="center"/>
          </w:tcPr>
          <w:p w14:paraId="5508E6C6" w14:textId="0975D3E0" w:rsidR="008F1D50" w:rsidRPr="003763E3" w:rsidRDefault="003763E3" w:rsidP="00EE2E3E">
            <w:pPr>
              <w:jc w:val="center"/>
              <w:rPr>
                <w:rFonts w:ascii="Times New Roman" w:hAnsi="Times New Roman" w:cs="Times New Roman"/>
                <w:b/>
                <w:sz w:val="20"/>
                <w:szCs w:val="20"/>
              </w:rPr>
            </w:pPr>
            <w:r w:rsidRPr="003763E3">
              <w:rPr>
                <w:rFonts w:ascii="Times New Roman" w:hAnsi="Times New Roman" w:cs="Times New Roman"/>
                <w:b/>
                <w:sz w:val="20"/>
                <w:szCs w:val="20"/>
              </w:rPr>
              <w:t>725</w:t>
            </w:r>
          </w:p>
        </w:tc>
        <w:tc>
          <w:tcPr>
            <w:tcW w:w="3044" w:type="dxa"/>
            <w:vMerge w:val="restart"/>
            <w:vAlign w:val="center"/>
          </w:tcPr>
          <w:p w14:paraId="518A0E86" w14:textId="256A3E77" w:rsidR="008F1D50" w:rsidRPr="003763E3" w:rsidRDefault="003763E3" w:rsidP="00EE2E3E">
            <w:pPr>
              <w:jc w:val="center"/>
              <w:rPr>
                <w:rFonts w:ascii="Times New Roman" w:hAnsi="Times New Roman" w:cs="Times New Roman"/>
                <w:b/>
                <w:sz w:val="20"/>
                <w:szCs w:val="20"/>
              </w:rPr>
            </w:pPr>
            <w:r w:rsidRPr="003763E3">
              <w:rPr>
                <w:rFonts w:ascii="Times New Roman" w:hAnsi="Times New Roman" w:cs="Times New Roman"/>
                <w:b/>
                <w:sz w:val="20"/>
                <w:szCs w:val="20"/>
              </w:rPr>
              <w:t>10</w:t>
            </w:r>
            <w:r w:rsidR="008F1D50" w:rsidRPr="003763E3">
              <w:rPr>
                <w:rFonts w:ascii="Times New Roman" w:hAnsi="Times New Roman" w:cs="Times New Roman"/>
                <w:b/>
                <w:sz w:val="20"/>
                <w:szCs w:val="20"/>
              </w:rPr>
              <w:t>,00</w:t>
            </w:r>
          </w:p>
        </w:tc>
        <w:tc>
          <w:tcPr>
            <w:tcW w:w="2782" w:type="dxa"/>
            <w:vMerge w:val="restart"/>
            <w:vAlign w:val="center"/>
          </w:tcPr>
          <w:p w14:paraId="385C074B" w14:textId="1457511D" w:rsidR="008F1D50" w:rsidRPr="003763E3" w:rsidRDefault="003763E3" w:rsidP="000D567F">
            <w:pPr>
              <w:jc w:val="center"/>
              <w:rPr>
                <w:rFonts w:ascii="Times New Roman" w:hAnsi="Times New Roman" w:cs="Times New Roman"/>
                <w:b/>
                <w:sz w:val="20"/>
                <w:szCs w:val="20"/>
              </w:rPr>
            </w:pPr>
            <w:r w:rsidRPr="003763E3">
              <w:rPr>
                <w:rFonts w:ascii="Times New Roman" w:hAnsi="Times New Roman" w:cs="Times New Roman"/>
                <w:b/>
                <w:sz w:val="20"/>
                <w:szCs w:val="20"/>
              </w:rPr>
              <w:t>6</w:t>
            </w:r>
            <w:r w:rsidR="008F1D50" w:rsidRPr="003763E3">
              <w:rPr>
                <w:rFonts w:ascii="Times New Roman" w:hAnsi="Times New Roman" w:cs="Times New Roman"/>
                <w:b/>
                <w:sz w:val="20"/>
                <w:szCs w:val="20"/>
              </w:rPr>
              <w:t>.000,00</w:t>
            </w:r>
          </w:p>
        </w:tc>
        <w:tc>
          <w:tcPr>
            <w:tcW w:w="3571" w:type="dxa"/>
            <w:vMerge w:val="restart"/>
            <w:shd w:val="clear" w:color="auto" w:fill="auto"/>
          </w:tcPr>
          <w:p w14:paraId="3D908F34" w14:textId="77777777" w:rsidR="008F1D50" w:rsidRPr="003763E3" w:rsidRDefault="00F87868" w:rsidP="00F87868">
            <w:pPr>
              <w:jc w:val="center"/>
              <w:rPr>
                <w:rFonts w:ascii="Times New Roman" w:hAnsi="Times New Roman" w:cs="Times New Roman"/>
                <w:b/>
                <w:sz w:val="20"/>
                <w:szCs w:val="20"/>
              </w:rPr>
            </w:pPr>
            <w:r w:rsidRPr="003763E3">
              <w:rPr>
                <w:rFonts w:ascii="Times New Roman" w:hAnsi="Times New Roman" w:cs="Times New Roman"/>
                <w:b/>
                <w:sz w:val="20"/>
                <w:szCs w:val="20"/>
              </w:rPr>
              <w:t xml:space="preserve">                                                                                               </w:t>
            </w:r>
            <w:r w:rsidR="008F1D50" w:rsidRPr="003763E3">
              <w:rPr>
                <w:rFonts w:ascii="Times New Roman" w:hAnsi="Times New Roman" w:cs="Times New Roman"/>
                <w:b/>
                <w:sz w:val="20"/>
                <w:szCs w:val="20"/>
              </w:rPr>
              <w:t>Aksaray Çevre, Şehircilik ve İklim Değişikliği İl Müdürlüğü deposu</w:t>
            </w:r>
          </w:p>
        </w:tc>
        <w:tc>
          <w:tcPr>
            <w:tcW w:w="1681" w:type="dxa"/>
            <w:vMerge w:val="restart"/>
            <w:shd w:val="clear" w:color="auto" w:fill="auto"/>
            <w:vAlign w:val="center"/>
          </w:tcPr>
          <w:p w14:paraId="6DD29840" w14:textId="7E5ED45F" w:rsidR="008F1D50" w:rsidRPr="003763E3" w:rsidRDefault="006536C2" w:rsidP="00EE2E3E">
            <w:pPr>
              <w:jc w:val="center"/>
              <w:rPr>
                <w:rFonts w:ascii="Times New Roman" w:hAnsi="Times New Roman" w:cs="Times New Roman"/>
                <w:b/>
                <w:sz w:val="20"/>
                <w:szCs w:val="20"/>
              </w:rPr>
            </w:pPr>
            <w:r>
              <w:rPr>
                <w:rFonts w:ascii="Times New Roman" w:hAnsi="Times New Roman" w:cs="Times New Roman"/>
                <w:b/>
                <w:sz w:val="20"/>
                <w:szCs w:val="20"/>
              </w:rPr>
              <w:t>21</w:t>
            </w:r>
            <w:r w:rsidR="003763E3" w:rsidRPr="003763E3">
              <w:rPr>
                <w:rFonts w:ascii="Times New Roman" w:hAnsi="Times New Roman" w:cs="Times New Roman"/>
                <w:b/>
                <w:sz w:val="20"/>
                <w:szCs w:val="20"/>
              </w:rPr>
              <w:t>.04.2026</w:t>
            </w:r>
          </w:p>
        </w:tc>
        <w:tc>
          <w:tcPr>
            <w:tcW w:w="1569" w:type="dxa"/>
            <w:vMerge w:val="restart"/>
            <w:shd w:val="clear" w:color="auto" w:fill="auto"/>
            <w:vAlign w:val="center"/>
          </w:tcPr>
          <w:p w14:paraId="4327D1B3" w14:textId="06F9ACB8" w:rsidR="008F1D50" w:rsidRPr="003763E3" w:rsidRDefault="00F65107" w:rsidP="00EE2E3E">
            <w:pPr>
              <w:jc w:val="center"/>
              <w:rPr>
                <w:rFonts w:ascii="Times New Roman" w:hAnsi="Times New Roman" w:cs="Times New Roman"/>
                <w:b/>
                <w:sz w:val="20"/>
                <w:szCs w:val="20"/>
              </w:rPr>
            </w:pPr>
            <w:r w:rsidRPr="003763E3">
              <w:rPr>
                <w:rFonts w:ascii="Times New Roman" w:hAnsi="Times New Roman" w:cs="Times New Roman"/>
                <w:b/>
                <w:sz w:val="20"/>
                <w:szCs w:val="20"/>
              </w:rPr>
              <w:t>1</w:t>
            </w:r>
            <w:r w:rsidR="003763E3" w:rsidRPr="003763E3">
              <w:rPr>
                <w:rFonts w:ascii="Times New Roman" w:hAnsi="Times New Roman" w:cs="Times New Roman"/>
                <w:b/>
                <w:sz w:val="20"/>
                <w:szCs w:val="20"/>
              </w:rPr>
              <w:t>0</w:t>
            </w:r>
            <w:r w:rsidRPr="003763E3">
              <w:rPr>
                <w:rFonts w:ascii="Times New Roman" w:hAnsi="Times New Roman" w:cs="Times New Roman"/>
                <w:b/>
                <w:sz w:val="20"/>
                <w:szCs w:val="20"/>
              </w:rPr>
              <w:t>:</w:t>
            </w:r>
            <w:r w:rsidR="006536C2">
              <w:rPr>
                <w:rFonts w:ascii="Times New Roman" w:hAnsi="Times New Roman" w:cs="Times New Roman"/>
                <w:b/>
                <w:sz w:val="20"/>
                <w:szCs w:val="20"/>
              </w:rPr>
              <w:t>3</w:t>
            </w:r>
            <w:r w:rsidRPr="003763E3">
              <w:rPr>
                <w:rFonts w:ascii="Times New Roman" w:hAnsi="Times New Roman" w:cs="Times New Roman"/>
                <w:b/>
                <w:sz w:val="20"/>
                <w:szCs w:val="20"/>
              </w:rPr>
              <w:t>0</w:t>
            </w:r>
          </w:p>
        </w:tc>
      </w:tr>
      <w:tr w:rsidR="00C741E5" w:rsidRPr="003763E3" w14:paraId="1C51DEE2" w14:textId="77777777" w:rsidTr="00CE0BEA">
        <w:tblPrEx>
          <w:tblCellMar>
            <w:left w:w="108" w:type="dxa"/>
            <w:right w:w="108" w:type="dxa"/>
          </w:tblCellMar>
          <w:tblLook w:val="04A0" w:firstRow="1" w:lastRow="0" w:firstColumn="1" w:lastColumn="0" w:noHBand="0" w:noVBand="1"/>
        </w:tblPrEx>
        <w:trPr>
          <w:trHeight w:val="284"/>
        </w:trPr>
        <w:tc>
          <w:tcPr>
            <w:tcW w:w="1883" w:type="dxa"/>
            <w:vMerge/>
          </w:tcPr>
          <w:p w14:paraId="6C0E5B8A" w14:textId="77777777" w:rsidR="008F1D50" w:rsidRPr="003763E3" w:rsidRDefault="008F1D50" w:rsidP="00EE2E3E">
            <w:pPr>
              <w:rPr>
                <w:rFonts w:ascii="Times New Roman" w:hAnsi="Times New Roman" w:cs="Times New Roman"/>
                <w:sz w:val="20"/>
                <w:szCs w:val="20"/>
              </w:rPr>
            </w:pPr>
          </w:p>
        </w:tc>
        <w:tc>
          <w:tcPr>
            <w:tcW w:w="3044" w:type="dxa"/>
            <w:vMerge/>
          </w:tcPr>
          <w:p w14:paraId="7DDAB8D6" w14:textId="77777777" w:rsidR="008F1D50" w:rsidRPr="003763E3" w:rsidRDefault="008F1D50" w:rsidP="00EE2E3E">
            <w:pPr>
              <w:rPr>
                <w:rFonts w:ascii="Times New Roman" w:hAnsi="Times New Roman" w:cs="Times New Roman"/>
                <w:sz w:val="20"/>
                <w:szCs w:val="20"/>
              </w:rPr>
            </w:pPr>
          </w:p>
        </w:tc>
        <w:tc>
          <w:tcPr>
            <w:tcW w:w="2782" w:type="dxa"/>
            <w:vMerge/>
          </w:tcPr>
          <w:p w14:paraId="4AF1E5C0" w14:textId="77777777" w:rsidR="008F1D50" w:rsidRPr="003763E3" w:rsidRDefault="008F1D50" w:rsidP="00EE2E3E">
            <w:pPr>
              <w:rPr>
                <w:rFonts w:ascii="Times New Roman" w:hAnsi="Times New Roman" w:cs="Times New Roman"/>
                <w:sz w:val="20"/>
                <w:szCs w:val="20"/>
              </w:rPr>
            </w:pPr>
          </w:p>
        </w:tc>
        <w:tc>
          <w:tcPr>
            <w:tcW w:w="3571" w:type="dxa"/>
            <w:vMerge/>
            <w:shd w:val="clear" w:color="auto" w:fill="auto"/>
          </w:tcPr>
          <w:p w14:paraId="3D07C1E7" w14:textId="77777777" w:rsidR="008F1D50" w:rsidRPr="003763E3" w:rsidRDefault="008F1D50" w:rsidP="00EE2E3E">
            <w:pPr>
              <w:rPr>
                <w:rFonts w:ascii="Times New Roman" w:hAnsi="Times New Roman" w:cs="Times New Roman"/>
                <w:sz w:val="20"/>
                <w:szCs w:val="20"/>
              </w:rPr>
            </w:pPr>
          </w:p>
        </w:tc>
        <w:tc>
          <w:tcPr>
            <w:tcW w:w="1681" w:type="dxa"/>
            <w:vMerge/>
            <w:shd w:val="clear" w:color="auto" w:fill="auto"/>
          </w:tcPr>
          <w:p w14:paraId="6DA69BDF" w14:textId="77777777" w:rsidR="008F1D50" w:rsidRPr="003763E3" w:rsidRDefault="008F1D50" w:rsidP="00EE2E3E">
            <w:pPr>
              <w:rPr>
                <w:rFonts w:ascii="Times New Roman" w:hAnsi="Times New Roman" w:cs="Times New Roman"/>
                <w:sz w:val="20"/>
                <w:szCs w:val="20"/>
              </w:rPr>
            </w:pPr>
          </w:p>
        </w:tc>
        <w:tc>
          <w:tcPr>
            <w:tcW w:w="1569" w:type="dxa"/>
            <w:vMerge/>
            <w:shd w:val="clear" w:color="auto" w:fill="auto"/>
          </w:tcPr>
          <w:p w14:paraId="2BB6BBDD" w14:textId="77777777" w:rsidR="008F1D50" w:rsidRPr="003763E3" w:rsidRDefault="008F1D50" w:rsidP="00EE2E3E">
            <w:pPr>
              <w:rPr>
                <w:rFonts w:ascii="Times New Roman" w:hAnsi="Times New Roman" w:cs="Times New Roman"/>
                <w:sz w:val="20"/>
                <w:szCs w:val="20"/>
              </w:rPr>
            </w:pPr>
          </w:p>
        </w:tc>
      </w:tr>
      <w:tr w:rsidR="00C741E5" w:rsidRPr="003763E3" w14:paraId="50851F61" w14:textId="77777777" w:rsidTr="00CE0BEA">
        <w:tblPrEx>
          <w:tblCellMar>
            <w:left w:w="108" w:type="dxa"/>
            <w:right w:w="108" w:type="dxa"/>
          </w:tblCellMar>
          <w:tblLook w:val="04A0" w:firstRow="1" w:lastRow="0" w:firstColumn="1" w:lastColumn="0" w:noHBand="0" w:noVBand="1"/>
        </w:tblPrEx>
        <w:trPr>
          <w:trHeight w:val="284"/>
        </w:trPr>
        <w:tc>
          <w:tcPr>
            <w:tcW w:w="1883" w:type="dxa"/>
            <w:vMerge/>
          </w:tcPr>
          <w:p w14:paraId="0BE05687" w14:textId="77777777" w:rsidR="008F1D50" w:rsidRPr="003763E3" w:rsidRDefault="008F1D50" w:rsidP="00EE2E3E">
            <w:pPr>
              <w:rPr>
                <w:rFonts w:ascii="Times New Roman" w:hAnsi="Times New Roman" w:cs="Times New Roman"/>
                <w:sz w:val="20"/>
                <w:szCs w:val="20"/>
              </w:rPr>
            </w:pPr>
          </w:p>
        </w:tc>
        <w:tc>
          <w:tcPr>
            <w:tcW w:w="3044" w:type="dxa"/>
            <w:vMerge/>
          </w:tcPr>
          <w:p w14:paraId="38642507" w14:textId="77777777" w:rsidR="008F1D50" w:rsidRPr="003763E3" w:rsidRDefault="008F1D50" w:rsidP="00EE2E3E">
            <w:pPr>
              <w:rPr>
                <w:rFonts w:ascii="Times New Roman" w:hAnsi="Times New Roman" w:cs="Times New Roman"/>
                <w:sz w:val="20"/>
                <w:szCs w:val="20"/>
              </w:rPr>
            </w:pPr>
          </w:p>
        </w:tc>
        <w:tc>
          <w:tcPr>
            <w:tcW w:w="2782" w:type="dxa"/>
            <w:vMerge/>
          </w:tcPr>
          <w:p w14:paraId="74ED48EB" w14:textId="77777777" w:rsidR="008F1D50" w:rsidRPr="003763E3" w:rsidRDefault="008F1D50" w:rsidP="00EE2E3E">
            <w:pPr>
              <w:rPr>
                <w:rFonts w:ascii="Times New Roman" w:hAnsi="Times New Roman" w:cs="Times New Roman"/>
                <w:sz w:val="20"/>
                <w:szCs w:val="20"/>
              </w:rPr>
            </w:pPr>
          </w:p>
        </w:tc>
        <w:tc>
          <w:tcPr>
            <w:tcW w:w="3571" w:type="dxa"/>
            <w:vMerge/>
            <w:shd w:val="clear" w:color="auto" w:fill="auto"/>
          </w:tcPr>
          <w:p w14:paraId="4E13553C" w14:textId="77777777" w:rsidR="008F1D50" w:rsidRPr="003763E3" w:rsidRDefault="008F1D50" w:rsidP="00EE2E3E">
            <w:pPr>
              <w:rPr>
                <w:rFonts w:ascii="Times New Roman" w:hAnsi="Times New Roman" w:cs="Times New Roman"/>
                <w:sz w:val="20"/>
                <w:szCs w:val="20"/>
              </w:rPr>
            </w:pPr>
          </w:p>
        </w:tc>
        <w:tc>
          <w:tcPr>
            <w:tcW w:w="1681" w:type="dxa"/>
            <w:vMerge/>
            <w:shd w:val="clear" w:color="auto" w:fill="auto"/>
          </w:tcPr>
          <w:p w14:paraId="56B9ADFF" w14:textId="77777777" w:rsidR="008F1D50" w:rsidRPr="003763E3" w:rsidRDefault="008F1D50" w:rsidP="00EE2E3E">
            <w:pPr>
              <w:rPr>
                <w:rFonts w:ascii="Times New Roman" w:hAnsi="Times New Roman" w:cs="Times New Roman"/>
                <w:sz w:val="20"/>
                <w:szCs w:val="20"/>
              </w:rPr>
            </w:pPr>
          </w:p>
        </w:tc>
        <w:tc>
          <w:tcPr>
            <w:tcW w:w="1569" w:type="dxa"/>
            <w:vMerge/>
            <w:shd w:val="clear" w:color="auto" w:fill="auto"/>
          </w:tcPr>
          <w:p w14:paraId="2C54E941" w14:textId="77777777" w:rsidR="008F1D50" w:rsidRPr="003763E3" w:rsidRDefault="008F1D50" w:rsidP="00EE2E3E">
            <w:pPr>
              <w:rPr>
                <w:rFonts w:ascii="Times New Roman" w:hAnsi="Times New Roman" w:cs="Times New Roman"/>
                <w:sz w:val="20"/>
                <w:szCs w:val="20"/>
              </w:rPr>
            </w:pPr>
          </w:p>
        </w:tc>
      </w:tr>
      <w:tr w:rsidR="00C741E5" w:rsidRPr="003763E3" w14:paraId="1CC3D8C3" w14:textId="77777777" w:rsidTr="00CE0BEA">
        <w:tblPrEx>
          <w:tblCellMar>
            <w:left w:w="108" w:type="dxa"/>
            <w:right w:w="108" w:type="dxa"/>
          </w:tblCellMar>
          <w:tblLook w:val="04A0" w:firstRow="1" w:lastRow="0" w:firstColumn="1" w:lastColumn="0" w:noHBand="0" w:noVBand="1"/>
        </w:tblPrEx>
        <w:trPr>
          <w:trHeight w:val="284"/>
        </w:trPr>
        <w:tc>
          <w:tcPr>
            <w:tcW w:w="1883" w:type="dxa"/>
            <w:vMerge/>
          </w:tcPr>
          <w:p w14:paraId="1E11B1FE" w14:textId="77777777" w:rsidR="008F1D50" w:rsidRPr="003763E3" w:rsidRDefault="008F1D50" w:rsidP="00EE2E3E">
            <w:pPr>
              <w:rPr>
                <w:rFonts w:ascii="Times New Roman" w:hAnsi="Times New Roman" w:cs="Times New Roman"/>
                <w:sz w:val="20"/>
                <w:szCs w:val="20"/>
              </w:rPr>
            </w:pPr>
          </w:p>
        </w:tc>
        <w:tc>
          <w:tcPr>
            <w:tcW w:w="3044" w:type="dxa"/>
            <w:vMerge/>
          </w:tcPr>
          <w:p w14:paraId="27E62A60" w14:textId="77777777" w:rsidR="008F1D50" w:rsidRPr="003763E3" w:rsidRDefault="008F1D50" w:rsidP="00EE2E3E">
            <w:pPr>
              <w:rPr>
                <w:rFonts w:ascii="Times New Roman" w:hAnsi="Times New Roman" w:cs="Times New Roman"/>
                <w:sz w:val="20"/>
                <w:szCs w:val="20"/>
              </w:rPr>
            </w:pPr>
          </w:p>
        </w:tc>
        <w:tc>
          <w:tcPr>
            <w:tcW w:w="2782" w:type="dxa"/>
            <w:vMerge/>
          </w:tcPr>
          <w:p w14:paraId="43F47B31" w14:textId="77777777" w:rsidR="008F1D50" w:rsidRPr="003763E3" w:rsidRDefault="008F1D50" w:rsidP="00EE2E3E">
            <w:pPr>
              <w:rPr>
                <w:rFonts w:ascii="Times New Roman" w:hAnsi="Times New Roman" w:cs="Times New Roman"/>
                <w:sz w:val="20"/>
                <w:szCs w:val="20"/>
              </w:rPr>
            </w:pPr>
          </w:p>
        </w:tc>
        <w:tc>
          <w:tcPr>
            <w:tcW w:w="3571" w:type="dxa"/>
            <w:vMerge/>
            <w:shd w:val="clear" w:color="auto" w:fill="auto"/>
          </w:tcPr>
          <w:p w14:paraId="1526EA3C" w14:textId="77777777" w:rsidR="008F1D50" w:rsidRPr="003763E3" w:rsidRDefault="008F1D50" w:rsidP="00EE2E3E">
            <w:pPr>
              <w:rPr>
                <w:rFonts w:ascii="Times New Roman" w:hAnsi="Times New Roman" w:cs="Times New Roman"/>
                <w:sz w:val="20"/>
                <w:szCs w:val="20"/>
              </w:rPr>
            </w:pPr>
          </w:p>
        </w:tc>
        <w:tc>
          <w:tcPr>
            <w:tcW w:w="1681" w:type="dxa"/>
            <w:vMerge/>
            <w:shd w:val="clear" w:color="auto" w:fill="auto"/>
          </w:tcPr>
          <w:p w14:paraId="10F4B4B3" w14:textId="77777777" w:rsidR="008F1D50" w:rsidRPr="003763E3" w:rsidRDefault="008F1D50" w:rsidP="00EE2E3E">
            <w:pPr>
              <w:rPr>
                <w:rFonts w:ascii="Times New Roman" w:hAnsi="Times New Roman" w:cs="Times New Roman"/>
                <w:sz w:val="20"/>
                <w:szCs w:val="20"/>
              </w:rPr>
            </w:pPr>
          </w:p>
        </w:tc>
        <w:tc>
          <w:tcPr>
            <w:tcW w:w="1569" w:type="dxa"/>
            <w:vMerge/>
            <w:shd w:val="clear" w:color="auto" w:fill="auto"/>
          </w:tcPr>
          <w:p w14:paraId="16C4F3A6" w14:textId="77777777" w:rsidR="008F1D50" w:rsidRPr="003763E3" w:rsidRDefault="008F1D50" w:rsidP="00EE2E3E">
            <w:pPr>
              <w:rPr>
                <w:rFonts w:ascii="Times New Roman" w:hAnsi="Times New Roman" w:cs="Times New Roman"/>
                <w:sz w:val="20"/>
                <w:szCs w:val="20"/>
              </w:rPr>
            </w:pPr>
          </w:p>
        </w:tc>
      </w:tr>
      <w:tr w:rsidR="00C741E5" w:rsidRPr="003763E3" w14:paraId="27DD9AE4" w14:textId="77777777" w:rsidTr="00CE0BEA">
        <w:tblPrEx>
          <w:tblCellMar>
            <w:left w:w="108" w:type="dxa"/>
            <w:right w:w="108" w:type="dxa"/>
          </w:tblCellMar>
          <w:tblLook w:val="04A0" w:firstRow="1" w:lastRow="0" w:firstColumn="1" w:lastColumn="0" w:noHBand="0" w:noVBand="1"/>
        </w:tblPrEx>
        <w:trPr>
          <w:trHeight w:val="284"/>
        </w:trPr>
        <w:tc>
          <w:tcPr>
            <w:tcW w:w="1883" w:type="dxa"/>
            <w:vMerge/>
          </w:tcPr>
          <w:p w14:paraId="205F5FD2" w14:textId="77777777" w:rsidR="008F1D50" w:rsidRPr="003763E3" w:rsidRDefault="008F1D50" w:rsidP="00EE2E3E">
            <w:pPr>
              <w:rPr>
                <w:rFonts w:ascii="Times New Roman" w:hAnsi="Times New Roman" w:cs="Times New Roman"/>
                <w:sz w:val="20"/>
                <w:szCs w:val="20"/>
              </w:rPr>
            </w:pPr>
          </w:p>
        </w:tc>
        <w:tc>
          <w:tcPr>
            <w:tcW w:w="3044" w:type="dxa"/>
            <w:vMerge/>
          </w:tcPr>
          <w:p w14:paraId="05EBD0DC" w14:textId="77777777" w:rsidR="008F1D50" w:rsidRPr="003763E3" w:rsidRDefault="008F1D50" w:rsidP="00EE2E3E">
            <w:pPr>
              <w:rPr>
                <w:rFonts w:ascii="Times New Roman" w:hAnsi="Times New Roman" w:cs="Times New Roman"/>
                <w:sz w:val="20"/>
                <w:szCs w:val="20"/>
              </w:rPr>
            </w:pPr>
          </w:p>
        </w:tc>
        <w:tc>
          <w:tcPr>
            <w:tcW w:w="2782" w:type="dxa"/>
            <w:vMerge/>
          </w:tcPr>
          <w:p w14:paraId="42B84C08" w14:textId="77777777" w:rsidR="008F1D50" w:rsidRPr="003763E3" w:rsidRDefault="008F1D50" w:rsidP="00EE2E3E">
            <w:pPr>
              <w:rPr>
                <w:rFonts w:ascii="Times New Roman" w:hAnsi="Times New Roman" w:cs="Times New Roman"/>
                <w:sz w:val="20"/>
                <w:szCs w:val="20"/>
              </w:rPr>
            </w:pPr>
          </w:p>
        </w:tc>
        <w:tc>
          <w:tcPr>
            <w:tcW w:w="3571" w:type="dxa"/>
            <w:vMerge/>
            <w:shd w:val="clear" w:color="auto" w:fill="auto"/>
          </w:tcPr>
          <w:p w14:paraId="3349AD04" w14:textId="77777777" w:rsidR="008F1D50" w:rsidRPr="003763E3" w:rsidRDefault="008F1D50" w:rsidP="00EE2E3E">
            <w:pPr>
              <w:rPr>
                <w:rFonts w:ascii="Times New Roman" w:hAnsi="Times New Roman" w:cs="Times New Roman"/>
                <w:sz w:val="20"/>
                <w:szCs w:val="20"/>
              </w:rPr>
            </w:pPr>
          </w:p>
        </w:tc>
        <w:tc>
          <w:tcPr>
            <w:tcW w:w="1681" w:type="dxa"/>
            <w:vMerge/>
            <w:shd w:val="clear" w:color="auto" w:fill="auto"/>
          </w:tcPr>
          <w:p w14:paraId="2C7F51B0" w14:textId="77777777" w:rsidR="008F1D50" w:rsidRPr="003763E3" w:rsidRDefault="008F1D50" w:rsidP="00EE2E3E">
            <w:pPr>
              <w:rPr>
                <w:rFonts w:ascii="Times New Roman" w:hAnsi="Times New Roman" w:cs="Times New Roman"/>
                <w:sz w:val="20"/>
                <w:szCs w:val="20"/>
              </w:rPr>
            </w:pPr>
          </w:p>
        </w:tc>
        <w:tc>
          <w:tcPr>
            <w:tcW w:w="1569" w:type="dxa"/>
            <w:vMerge/>
            <w:shd w:val="clear" w:color="auto" w:fill="auto"/>
          </w:tcPr>
          <w:p w14:paraId="2B6DA19C" w14:textId="77777777" w:rsidR="008F1D50" w:rsidRPr="003763E3" w:rsidRDefault="008F1D50" w:rsidP="00EE2E3E">
            <w:pPr>
              <w:rPr>
                <w:rFonts w:ascii="Times New Roman" w:hAnsi="Times New Roman" w:cs="Times New Roman"/>
                <w:sz w:val="20"/>
                <w:szCs w:val="20"/>
              </w:rPr>
            </w:pPr>
          </w:p>
        </w:tc>
      </w:tr>
    </w:tbl>
    <w:p w14:paraId="4010577F" w14:textId="77777777" w:rsidR="00F3071E" w:rsidRPr="003763E3" w:rsidRDefault="00F3071E" w:rsidP="00C46FFB">
      <w:pPr>
        <w:ind w:left="360"/>
        <w:rPr>
          <w:rFonts w:ascii="Times New Roman" w:hAnsi="Times New Roman" w:cs="Times New Roman"/>
          <w:b/>
          <w:sz w:val="20"/>
          <w:szCs w:val="20"/>
        </w:rPr>
      </w:pPr>
      <w:r w:rsidRPr="003763E3">
        <w:rPr>
          <w:rFonts w:ascii="Times New Roman" w:hAnsi="Times New Roman" w:cs="Times New Roman"/>
          <w:b/>
          <w:sz w:val="20"/>
          <w:szCs w:val="20"/>
        </w:rPr>
        <w:t>İHALE KATILIM ŞARTLARI</w:t>
      </w:r>
    </w:p>
    <w:p w14:paraId="4DF97BC7" w14:textId="6605075A" w:rsidR="00184252" w:rsidRPr="003763E3" w:rsidRDefault="00184252" w:rsidP="00C46FFB">
      <w:pPr>
        <w:pStyle w:val="ListeParagraf"/>
        <w:numPr>
          <w:ilvl w:val="0"/>
          <w:numId w:val="1"/>
        </w:numPr>
        <w:rPr>
          <w:rFonts w:ascii="Times New Roman" w:hAnsi="Times New Roman" w:cs="Times New Roman"/>
          <w:sz w:val="20"/>
          <w:szCs w:val="20"/>
        </w:rPr>
      </w:pPr>
      <w:r w:rsidRPr="003763E3">
        <w:rPr>
          <w:rFonts w:ascii="Times New Roman" w:hAnsi="Times New Roman" w:cs="Times New Roman"/>
          <w:sz w:val="20"/>
          <w:szCs w:val="20"/>
        </w:rPr>
        <w:t xml:space="preserve">Yukarıda </w:t>
      </w:r>
      <w:r w:rsidR="003C3D79" w:rsidRPr="003763E3">
        <w:rPr>
          <w:rFonts w:ascii="Times New Roman" w:hAnsi="Times New Roman" w:cs="Times New Roman"/>
          <w:sz w:val="20"/>
          <w:szCs w:val="20"/>
        </w:rPr>
        <w:t>miktarı</w:t>
      </w:r>
      <w:r w:rsidRPr="003763E3">
        <w:rPr>
          <w:rFonts w:ascii="Times New Roman" w:hAnsi="Times New Roman" w:cs="Times New Roman"/>
          <w:sz w:val="20"/>
          <w:szCs w:val="20"/>
        </w:rPr>
        <w:t xml:space="preserve"> belirtilen </w:t>
      </w:r>
      <w:r w:rsidR="003C3D79" w:rsidRPr="003763E3">
        <w:rPr>
          <w:rFonts w:ascii="Times New Roman" w:hAnsi="Times New Roman" w:cs="Times New Roman"/>
          <w:sz w:val="20"/>
          <w:szCs w:val="20"/>
        </w:rPr>
        <w:t>hurda</w:t>
      </w:r>
      <w:r w:rsidR="00F3071E" w:rsidRPr="003763E3">
        <w:rPr>
          <w:rFonts w:ascii="Times New Roman" w:hAnsi="Times New Roman" w:cs="Times New Roman"/>
          <w:sz w:val="20"/>
          <w:szCs w:val="20"/>
        </w:rPr>
        <w:t xml:space="preserve"> yivsiz av tüfeklerinin </w:t>
      </w:r>
      <w:r w:rsidRPr="003763E3">
        <w:rPr>
          <w:rFonts w:ascii="Times New Roman" w:hAnsi="Times New Roman" w:cs="Times New Roman"/>
          <w:sz w:val="20"/>
          <w:szCs w:val="20"/>
        </w:rPr>
        <w:t xml:space="preserve">satışı, 2886 </w:t>
      </w:r>
      <w:r w:rsidR="00FF3ECF">
        <w:rPr>
          <w:rFonts w:ascii="Times New Roman" w:hAnsi="Times New Roman" w:cs="Times New Roman"/>
          <w:sz w:val="20"/>
          <w:szCs w:val="20"/>
        </w:rPr>
        <w:t>Sayılı</w:t>
      </w:r>
      <w:r w:rsidRPr="003763E3">
        <w:rPr>
          <w:rFonts w:ascii="Times New Roman" w:hAnsi="Times New Roman" w:cs="Times New Roman"/>
          <w:sz w:val="20"/>
          <w:szCs w:val="20"/>
        </w:rPr>
        <w:t xml:space="preserve"> Devlet İhale Kanununun </w:t>
      </w:r>
      <w:r w:rsidR="003C3D79" w:rsidRPr="003763E3">
        <w:rPr>
          <w:rFonts w:ascii="Times New Roman" w:hAnsi="Times New Roman" w:cs="Times New Roman"/>
          <w:sz w:val="20"/>
          <w:szCs w:val="20"/>
        </w:rPr>
        <w:t>51/a</w:t>
      </w:r>
      <w:r w:rsidRPr="003763E3">
        <w:rPr>
          <w:rFonts w:ascii="Times New Roman" w:hAnsi="Times New Roman" w:cs="Times New Roman"/>
          <w:sz w:val="20"/>
          <w:szCs w:val="20"/>
        </w:rPr>
        <w:t xml:space="preserve"> maddesi uyarınca"</w:t>
      </w:r>
      <w:r w:rsidR="00416419" w:rsidRPr="003763E3">
        <w:rPr>
          <w:rFonts w:ascii="Times New Roman" w:hAnsi="Times New Roman" w:cs="Times New Roman"/>
          <w:sz w:val="20"/>
          <w:szCs w:val="20"/>
        </w:rPr>
        <w:t xml:space="preserve"> </w:t>
      </w:r>
      <w:r w:rsidR="003C3D79" w:rsidRPr="003763E3">
        <w:rPr>
          <w:rFonts w:ascii="Times New Roman" w:hAnsi="Times New Roman" w:cs="Times New Roman"/>
          <w:sz w:val="20"/>
          <w:szCs w:val="20"/>
        </w:rPr>
        <w:t>Pazarlık</w:t>
      </w:r>
      <w:r w:rsidRPr="003763E3">
        <w:rPr>
          <w:rFonts w:ascii="Times New Roman" w:hAnsi="Times New Roman" w:cs="Times New Roman"/>
          <w:sz w:val="20"/>
          <w:szCs w:val="20"/>
        </w:rPr>
        <w:t xml:space="preserve"> Usulü" ile yapılacaktır. İhaleler, Çevre</w:t>
      </w:r>
      <w:r w:rsidR="00FF3ECF">
        <w:rPr>
          <w:rFonts w:ascii="Times New Roman" w:hAnsi="Times New Roman" w:cs="Times New Roman"/>
          <w:sz w:val="20"/>
          <w:szCs w:val="20"/>
        </w:rPr>
        <w:t>, Şehircilik</w:t>
      </w:r>
      <w:r w:rsidRPr="003763E3">
        <w:rPr>
          <w:rFonts w:ascii="Times New Roman" w:hAnsi="Times New Roman" w:cs="Times New Roman"/>
          <w:sz w:val="20"/>
          <w:szCs w:val="20"/>
        </w:rPr>
        <w:t xml:space="preserve"> ve </w:t>
      </w:r>
      <w:r w:rsidR="00FF3ECF">
        <w:rPr>
          <w:rFonts w:ascii="Times New Roman" w:hAnsi="Times New Roman" w:cs="Times New Roman"/>
          <w:sz w:val="20"/>
          <w:szCs w:val="20"/>
        </w:rPr>
        <w:t>İklim Değişikliği</w:t>
      </w:r>
      <w:r w:rsidRPr="003763E3">
        <w:rPr>
          <w:rFonts w:ascii="Times New Roman" w:hAnsi="Times New Roman" w:cs="Times New Roman"/>
          <w:sz w:val="20"/>
          <w:szCs w:val="20"/>
        </w:rPr>
        <w:t xml:space="preserve"> İl Müdürlüğü İstiklal Mah. Alparslan Türkeş Bulvarı No: 126 MERKEZ/AKSARAY adresinde, Aksaray Milli Emlak Müdürlüğünce oluşturulacak komisyon</w:t>
      </w:r>
      <w:r w:rsidR="00A46AEC">
        <w:rPr>
          <w:rFonts w:ascii="Times New Roman" w:hAnsi="Times New Roman" w:cs="Times New Roman"/>
          <w:sz w:val="20"/>
          <w:szCs w:val="20"/>
        </w:rPr>
        <w:t xml:space="preserve"> tarafından</w:t>
      </w:r>
      <w:r w:rsidR="005B16AA">
        <w:rPr>
          <w:rFonts w:ascii="Times New Roman" w:hAnsi="Times New Roman" w:cs="Times New Roman"/>
          <w:sz w:val="20"/>
          <w:szCs w:val="20"/>
        </w:rPr>
        <w:t xml:space="preserve"> Müdürlüğümüz</w:t>
      </w:r>
      <w:r w:rsidRPr="003763E3">
        <w:rPr>
          <w:rFonts w:ascii="Times New Roman" w:hAnsi="Times New Roman" w:cs="Times New Roman"/>
          <w:sz w:val="20"/>
          <w:szCs w:val="20"/>
        </w:rPr>
        <w:t xml:space="preserve"> İhale Salonunda yapılacaktır. </w:t>
      </w:r>
    </w:p>
    <w:p w14:paraId="770E568F" w14:textId="77777777" w:rsidR="00184252" w:rsidRPr="003763E3" w:rsidRDefault="00184252" w:rsidP="00184252">
      <w:pPr>
        <w:pStyle w:val="ListeParagraf"/>
        <w:numPr>
          <w:ilvl w:val="0"/>
          <w:numId w:val="1"/>
        </w:numPr>
        <w:rPr>
          <w:rFonts w:ascii="Times New Roman" w:hAnsi="Times New Roman" w:cs="Times New Roman"/>
          <w:sz w:val="20"/>
          <w:szCs w:val="20"/>
        </w:rPr>
      </w:pPr>
      <w:r w:rsidRPr="003763E3">
        <w:rPr>
          <w:rFonts w:ascii="Times New Roman" w:hAnsi="Times New Roman" w:cs="Times New Roman"/>
          <w:sz w:val="20"/>
          <w:szCs w:val="20"/>
        </w:rPr>
        <w:t>İhaleye katılmak isteyen isteklilerin ihale saatine kadar; A) Geçici teminatı yatırmaları; (Geçici teminat olarak kabul edilebilecek değerler: 1) Tedavüldeki Türk Parası, 2) Mevduat ve katılım bankalarının verecekleri süresiz teminat mektupları, 3) Hazine Müsteşarlığınca İhraç edilen Devlet İç borçlanma senetleri veya bu senetler yerine düzenlenen belgeler) Türk Parası olarak yatırılacak geçici teminatlar Defterdarlık Muhasebe Müdürlüğü veznelerine yatırılması, Teminat mektuplarının (süresiz ve limit içi olarak düzenlenecek,</w:t>
      </w:r>
      <w:r w:rsidR="00416419" w:rsidRPr="003763E3">
        <w:rPr>
          <w:rFonts w:ascii="Times New Roman" w:hAnsi="Times New Roman" w:cs="Times New Roman"/>
          <w:sz w:val="20"/>
          <w:szCs w:val="20"/>
        </w:rPr>
        <w:t xml:space="preserve"> </w:t>
      </w:r>
      <w:r w:rsidRPr="003763E3">
        <w:rPr>
          <w:rFonts w:ascii="Times New Roman" w:hAnsi="Times New Roman" w:cs="Times New Roman"/>
          <w:sz w:val="20"/>
          <w:szCs w:val="20"/>
        </w:rPr>
        <w:t>şube limitleri ve işin özelliği belirtilecek, banka teyit yazısı ile birlikte getirilecektir) ve senetlerin 2886 sayılı Devlet İhale Kanuna göre düzenlenmesi gerekmektedir. B) Yasal yerleşim yerini gösterir belgeyi vermeleri, C) Tebligat için Türkiye'de adres göstermeleri, D) Gerçek kişilerin T.C. Kimlik numarasını bildirmeleri ve n</w:t>
      </w:r>
      <w:r w:rsidR="00416419" w:rsidRPr="003763E3">
        <w:rPr>
          <w:rFonts w:ascii="Times New Roman" w:hAnsi="Times New Roman" w:cs="Times New Roman"/>
          <w:sz w:val="20"/>
          <w:szCs w:val="20"/>
        </w:rPr>
        <w:t>ü</w:t>
      </w:r>
      <w:r w:rsidRPr="003763E3">
        <w:rPr>
          <w:rFonts w:ascii="Times New Roman" w:hAnsi="Times New Roman" w:cs="Times New Roman"/>
          <w:sz w:val="20"/>
          <w:szCs w:val="20"/>
        </w:rPr>
        <w:t>f</w:t>
      </w:r>
      <w:r w:rsidR="00416419" w:rsidRPr="003763E3">
        <w:rPr>
          <w:rFonts w:ascii="Times New Roman" w:hAnsi="Times New Roman" w:cs="Times New Roman"/>
          <w:sz w:val="20"/>
          <w:szCs w:val="20"/>
        </w:rPr>
        <w:t>u</w:t>
      </w:r>
      <w:r w:rsidRPr="003763E3">
        <w:rPr>
          <w:rFonts w:ascii="Times New Roman" w:hAnsi="Times New Roman" w:cs="Times New Roman"/>
          <w:sz w:val="20"/>
          <w:szCs w:val="20"/>
        </w:rPr>
        <w:t>s cüzdan s</w:t>
      </w:r>
      <w:r w:rsidR="00416419" w:rsidRPr="003763E3">
        <w:rPr>
          <w:rFonts w:ascii="Times New Roman" w:hAnsi="Times New Roman" w:cs="Times New Roman"/>
          <w:sz w:val="20"/>
          <w:szCs w:val="20"/>
        </w:rPr>
        <w:t>u</w:t>
      </w:r>
      <w:r w:rsidRPr="003763E3">
        <w:rPr>
          <w:rFonts w:ascii="Times New Roman" w:hAnsi="Times New Roman" w:cs="Times New Roman"/>
          <w:sz w:val="20"/>
          <w:szCs w:val="20"/>
        </w:rPr>
        <w:t xml:space="preserve">reti ile ikametgah belgelerini vermeleri, tüzel kişilerin vergi kimlik numaralarını bildirmeleri, Özel hukuk tüzel kişilerinin,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w:t>
      </w:r>
      <w:r w:rsidR="000F0AE4" w:rsidRPr="003763E3">
        <w:rPr>
          <w:rFonts w:ascii="Times New Roman" w:hAnsi="Times New Roman" w:cs="Times New Roman"/>
          <w:sz w:val="20"/>
          <w:szCs w:val="20"/>
        </w:rPr>
        <w:t xml:space="preserve">belge ile </w:t>
      </w:r>
      <w:r w:rsidRPr="003763E3">
        <w:rPr>
          <w:rFonts w:ascii="Times New Roman" w:hAnsi="Times New Roman" w:cs="Times New Roman"/>
          <w:sz w:val="20"/>
          <w:szCs w:val="20"/>
        </w:rPr>
        <w:t xml:space="preserve">noterlikçe tasdik edilmiş vekâletnameyi, Kamu tüzel kişilerinin ise, tüzel kişilik adına ihaleye katılacak veya teklifte bulunacak kişilerin tüzel kişiliği temsile yetkili olduğunu belirtir belgeyi; ihale saatine kadar İhale Komisyonu Başkanlığına başvurarak belgelerini teslim etmeleri gerekmektedir. </w:t>
      </w:r>
    </w:p>
    <w:p w14:paraId="7C1BA0E9" w14:textId="77777777" w:rsidR="004B14AF" w:rsidRPr="003763E3" w:rsidRDefault="004B14AF" w:rsidP="00184252">
      <w:pPr>
        <w:pStyle w:val="ListeParagraf"/>
        <w:numPr>
          <w:ilvl w:val="0"/>
          <w:numId w:val="1"/>
        </w:numPr>
        <w:rPr>
          <w:rFonts w:ascii="Times New Roman" w:hAnsi="Times New Roman" w:cs="Times New Roman"/>
          <w:sz w:val="20"/>
          <w:szCs w:val="20"/>
        </w:rPr>
      </w:pPr>
      <w:r w:rsidRPr="003763E3">
        <w:rPr>
          <w:rFonts w:ascii="Times New Roman" w:hAnsi="Times New Roman" w:cs="Times New Roman"/>
          <w:sz w:val="20"/>
          <w:szCs w:val="20"/>
        </w:rPr>
        <w:t xml:space="preserve">İhaleye katılacaklar, Banka şubeleri, internet bankacılığı, mobil bankacılık vb. aracılığıyla havale ve EFT yoluyla yapılan geçici teminat ödemeleri ihale gününden en az 1 iş günü öncesinde tamamlanarak yatırılan paranın geçici teminat olarak muhasebeleştirildiğine dair </w:t>
      </w:r>
      <w:r w:rsidR="003C3D79" w:rsidRPr="003763E3">
        <w:rPr>
          <w:rFonts w:ascii="Times New Roman" w:hAnsi="Times New Roman" w:cs="Times New Roman"/>
          <w:sz w:val="20"/>
          <w:szCs w:val="20"/>
        </w:rPr>
        <w:t>Aksaray</w:t>
      </w:r>
      <w:r w:rsidRPr="003763E3">
        <w:rPr>
          <w:rFonts w:ascii="Times New Roman" w:hAnsi="Times New Roman" w:cs="Times New Roman"/>
          <w:sz w:val="20"/>
          <w:szCs w:val="20"/>
        </w:rPr>
        <w:t xml:space="preserve"> Defte</w:t>
      </w:r>
      <w:r w:rsidR="003C3D79" w:rsidRPr="003763E3">
        <w:rPr>
          <w:rFonts w:ascii="Times New Roman" w:hAnsi="Times New Roman" w:cs="Times New Roman"/>
          <w:sz w:val="20"/>
          <w:szCs w:val="20"/>
        </w:rPr>
        <w:t xml:space="preserve">rdarlığı Muhasebe Müdürlüğünden </w:t>
      </w:r>
      <w:r w:rsidRPr="003763E3">
        <w:rPr>
          <w:rFonts w:ascii="Times New Roman" w:hAnsi="Times New Roman" w:cs="Times New Roman"/>
          <w:sz w:val="20"/>
          <w:szCs w:val="20"/>
        </w:rPr>
        <w:t xml:space="preserve">alınacak olan onaylı belgenin ihale saatinde, diğer istenilen belgelerle birlikte İhale Komisyonuna teslim edilmesi gerekmektedir. </w:t>
      </w:r>
    </w:p>
    <w:p w14:paraId="4AF8F950" w14:textId="77777777" w:rsidR="00F43C11" w:rsidRPr="003763E3" w:rsidRDefault="00F43C11" w:rsidP="00184252">
      <w:pPr>
        <w:pStyle w:val="ListeParagraf"/>
        <w:numPr>
          <w:ilvl w:val="0"/>
          <w:numId w:val="1"/>
        </w:numPr>
        <w:rPr>
          <w:rFonts w:ascii="Times New Roman" w:hAnsi="Times New Roman" w:cs="Times New Roman"/>
          <w:sz w:val="20"/>
          <w:szCs w:val="20"/>
        </w:rPr>
      </w:pPr>
      <w:r w:rsidRPr="003763E3">
        <w:rPr>
          <w:rFonts w:ascii="Times New Roman" w:hAnsi="Times New Roman" w:cs="Times New Roman"/>
          <w:sz w:val="20"/>
          <w:szCs w:val="20"/>
        </w:rPr>
        <w:t>Postayla yapılacak müracaatlarda teklifin 2886 sayılı Devlet İhale Kanununun 37. maddesine uygun hazırlanması ve teklifin ihale saatinden önce komisyona ulaşması şarttır. Postada meydana gelebilecek gecikmelerden dolayı idare ve komisyon her hangi bir sorumluluk kabul etmez.</w:t>
      </w:r>
      <w:r w:rsidR="00416419" w:rsidRPr="003763E3">
        <w:rPr>
          <w:rFonts w:ascii="Times New Roman" w:hAnsi="Times New Roman" w:cs="Times New Roman"/>
          <w:sz w:val="20"/>
          <w:szCs w:val="20"/>
        </w:rPr>
        <w:t xml:space="preserve"> </w:t>
      </w:r>
      <w:r w:rsidRPr="003763E3">
        <w:rPr>
          <w:rFonts w:ascii="Times New Roman" w:hAnsi="Times New Roman" w:cs="Times New Roman"/>
          <w:sz w:val="20"/>
          <w:szCs w:val="20"/>
        </w:rPr>
        <w:t>İhale komisyonu ihaleyi yapıp yapmamakta serbes</w:t>
      </w:r>
      <w:r w:rsidR="00416419" w:rsidRPr="003763E3">
        <w:rPr>
          <w:rFonts w:ascii="Times New Roman" w:hAnsi="Times New Roman" w:cs="Times New Roman"/>
          <w:sz w:val="20"/>
          <w:szCs w:val="20"/>
        </w:rPr>
        <w:t>t</w:t>
      </w:r>
      <w:r w:rsidRPr="003763E3">
        <w:rPr>
          <w:rFonts w:ascii="Times New Roman" w:hAnsi="Times New Roman" w:cs="Times New Roman"/>
          <w:sz w:val="20"/>
          <w:szCs w:val="20"/>
        </w:rPr>
        <w:t>tir</w:t>
      </w:r>
    </w:p>
    <w:p w14:paraId="4C8156D7" w14:textId="77777777" w:rsidR="00184252" w:rsidRPr="003763E3" w:rsidRDefault="004B14AF" w:rsidP="00184252">
      <w:pPr>
        <w:pStyle w:val="ListeParagraf"/>
        <w:numPr>
          <w:ilvl w:val="0"/>
          <w:numId w:val="1"/>
        </w:numPr>
        <w:rPr>
          <w:rFonts w:ascii="Times New Roman" w:hAnsi="Times New Roman" w:cs="Times New Roman"/>
          <w:sz w:val="20"/>
          <w:szCs w:val="20"/>
        </w:rPr>
      </w:pPr>
      <w:r w:rsidRPr="003763E3">
        <w:rPr>
          <w:rFonts w:ascii="Times New Roman" w:hAnsi="Times New Roman" w:cs="Times New Roman"/>
          <w:sz w:val="20"/>
          <w:szCs w:val="20"/>
        </w:rPr>
        <w:t>Banka şubeleri, internet bankacılığı vb. aracılığıyla</w:t>
      </w:r>
      <w:r w:rsidR="00416419" w:rsidRPr="003763E3">
        <w:rPr>
          <w:rFonts w:ascii="Times New Roman" w:hAnsi="Times New Roman" w:cs="Times New Roman"/>
          <w:sz w:val="20"/>
          <w:szCs w:val="20"/>
        </w:rPr>
        <w:t xml:space="preserve"> </w:t>
      </w:r>
      <w:r w:rsidR="00184252" w:rsidRPr="003763E3">
        <w:rPr>
          <w:rFonts w:ascii="Times New Roman" w:hAnsi="Times New Roman" w:cs="Times New Roman"/>
          <w:sz w:val="20"/>
          <w:szCs w:val="20"/>
        </w:rPr>
        <w:t xml:space="preserve">satış bedeli üzerinden tahakkuk edecek vergiler ile Karar Pulu bedeli ayrıca tahsil edilecek olup, satıştan ve tescil işlemlerinden doğacak her türlü vergi, resim, harç vb. alıcıya aittir. İhaleye katılanlar bu oranları görmüş ve </w:t>
      </w:r>
      <w:r w:rsidR="003C3D79" w:rsidRPr="003763E3">
        <w:rPr>
          <w:rFonts w:ascii="Times New Roman" w:hAnsi="Times New Roman" w:cs="Times New Roman"/>
          <w:sz w:val="20"/>
          <w:szCs w:val="20"/>
        </w:rPr>
        <w:t>buna</w:t>
      </w:r>
      <w:r w:rsidR="00184252" w:rsidRPr="003763E3">
        <w:rPr>
          <w:rFonts w:ascii="Times New Roman" w:hAnsi="Times New Roman" w:cs="Times New Roman"/>
          <w:sz w:val="20"/>
          <w:szCs w:val="20"/>
        </w:rPr>
        <w:t xml:space="preserve"> göre teklif vermiş sayılacaktır. </w:t>
      </w:r>
    </w:p>
    <w:p w14:paraId="18ED5BB6" w14:textId="77777777" w:rsidR="00DF7A3F" w:rsidRPr="003763E3" w:rsidRDefault="00184252" w:rsidP="00B667E0">
      <w:pPr>
        <w:pStyle w:val="ListeParagraf"/>
        <w:numPr>
          <w:ilvl w:val="0"/>
          <w:numId w:val="1"/>
        </w:numPr>
        <w:rPr>
          <w:rFonts w:ascii="Times New Roman" w:hAnsi="Times New Roman" w:cs="Times New Roman"/>
          <w:sz w:val="20"/>
          <w:szCs w:val="20"/>
        </w:rPr>
      </w:pPr>
      <w:r w:rsidRPr="003763E3">
        <w:rPr>
          <w:rFonts w:ascii="Times New Roman" w:hAnsi="Times New Roman" w:cs="Times New Roman"/>
          <w:sz w:val="20"/>
          <w:szCs w:val="20"/>
        </w:rPr>
        <w:t>İhale</w:t>
      </w:r>
      <w:r w:rsidR="00BA5A3F" w:rsidRPr="003763E3">
        <w:rPr>
          <w:rFonts w:ascii="Times New Roman" w:hAnsi="Times New Roman" w:cs="Times New Roman"/>
          <w:sz w:val="20"/>
          <w:szCs w:val="20"/>
        </w:rPr>
        <w:t>y</w:t>
      </w:r>
      <w:r w:rsidRPr="003763E3">
        <w:rPr>
          <w:rFonts w:ascii="Times New Roman" w:hAnsi="Times New Roman" w:cs="Times New Roman"/>
          <w:sz w:val="20"/>
          <w:szCs w:val="20"/>
        </w:rPr>
        <w:t xml:space="preserve">e ait Şartname ve ekleri mesai saatleri dahilinde Aksaray Milli Emlak Müdürlüğünde görülebilir. </w:t>
      </w:r>
    </w:p>
    <w:p w14:paraId="64E41448" w14:textId="77777777" w:rsidR="00184252" w:rsidRPr="003763E3" w:rsidRDefault="00184252" w:rsidP="00184252">
      <w:pPr>
        <w:pStyle w:val="ListeParagraf"/>
        <w:numPr>
          <w:ilvl w:val="0"/>
          <w:numId w:val="1"/>
        </w:numPr>
        <w:rPr>
          <w:rFonts w:ascii="Times New Roman" w:hAnsi="Times New Roman" w:cs="Times New Roman"/>
          <w:sz w:val="20"/>
          <w:szCs w:val="20"/>
        </w:rPr>
      </w:pPr>
      <w:r w:rsidRPr="003763E3">
        <w:rPr>
          <w:rFonts w:ascii="Times New Roman" w:hAnsi="Times New Roman" w:cs="Times New Roman"/>
          <w:sz w:val="20"/>
          <w:szCs w:val="20"/>
        </w:rPr>
        <w:t xml:space="preserve">İhale komisyonu ihaleyi yapıp yapmamakta serbesttir. </w:t>
      </w:r>
    </w:p>
    <w:p w14:paraId="1CEAECB8" w14:textId="77777777" w:rsidR="00F3071E" w:rsidRPr="003763E3" w:rsidRDefault="00F3071E" w:rsidP="00F3071E">
      <w:pPr>
        <w:pStyle w:val="ListeParagraf"/>
        <w:rPr>
          <w:rFonts w:ascii="Times New Roman" w:hAnsi="Times New Roman" w:cs="Times New Roman"/>
          <w:b/>
          <w:sz w:val="20"/>
          <w:szCs w:val="20"/>
        </w:rPr>
      </w:pPr>
      <w:r w:rsidRPr="003763E3">
        <w:rPr>
          <w:rFonts w:ascii="Times New Roman" w:hAnsi="Times New Roman" w:cs="Times New Roman"/>
          <w:b/>
          <w:sz w:val="20"/>
          <w:szCs w:val="20"/>
        </w:rPr>
        <w:t>ÖZEL ŞARTLAR</w:t>
      </w:r>
    </w:p>
    <w:p w14:paraId="7B880B28" w14:textId="77777777" w:rsidR="00AD1A51" w:rsidRPr="003763E3" w:rsidRDefault="003C0448" w:rsidP="002B0BB8">
      <w:pPr>
        <w:pStyle w:val="ListeParagraf"/>
        <w:numPr>
          <w:ilvl w:val="0"/>
          <w:numId w:val="1"/>
        </w:numPr>
        <w:rPr>
          <w:rFonts w:ascii="Times New Roman" w:hAnsi="Times New Roman" w:cs="Times New Roman"/>
          <w:sz w:val="20"/>
          <w:szCs w:val="20"/>
        </w:rPr>
      </w:pPr>
      <w:r w:rsidRPr="003763E3">
        <w:rPr>
          <w:rFonts w:ascii="Times New Roman" w:hAnsi="Times New Roman" w:cs="Times New Roman"/>
          <w:sz w:val="20"/>
          <w:szCs w:val="20"/>
        </w:rPr>
        <w:t>3065 Sayılı Katma Değer Vergisi Kanununun 17. Maddesi g bendi uyarınca h</w:t>
      </w:r>
      <w:r w:rsidR="00BA5A3F" w:rsidRPr="003763E3">
        <w:rPr>
          <w:rFonts w:ascii="Times New Roman" w:hAnsi="Times New Roman" w:cs="Times New Roman"/>
          <w:sz w:val="20"/>
          <w:szCs w:val="20"/>
        </w:rPr>
        <w:t>urda yivsiz av tüfekleri KDV’den muaftır.</w:t>
      </w:r>
    </w:p>
    <w:p w14:paraId="2D210634" w14:textId="77777777" w:rsidR="00E02048" w:rsidRPr="003763E3" w:rsidRDefault="00E02048" w:rsidP="002B0BB8">
      <w:pPr>
        <w:pStyle w:val="ListeParagraf"/>
        <w:numPr>
          <w:ilvl w:val="0"/>
          <w:numId w:val="1"/>
        </w:numPr>
        <w:rPr>
          <w:rFonts w:ascii="Times New Roman" w:hAnsi="Times New Roman" w:cs="Times New Roman"/>
          <w:sz w:val="20"/>
          <w:szCs w:val="20"/>
        </w:rPr>
      </w:pPr>
      <w:r w:rsidRPr="003763E3">
        <w:rPr>
          <w:rFonts w:ascii="Times New Roman" w:hAnsi="Times New Roman" w:cs="Times New Roman"/>
          <w:sz w:val="20"/>
          <w:szCs w:val="20"/>
        </w:rPr>
        <w:t>Hurda yivsiz av tüfeklerinin taşınacağı araç boş ve dolu tartıma Milli Emlak Müdürlüğü görevlisi gözetiminde girecektir.</w:t>
      </w:r>
    </w:p>
    <w:p w14:paraId="66F7B85A" w14:textId="77777777" w:rsidR="002868D1" w:rsidRPr="003763E3" w:rsidRDefault="00671898" w:rsidP="002B0BB8">
      <w:pPr>
        <w:pStyle w:val="ListeParagraf"/>
        <w:numPr>
          <w:ilvl w:val="0"/>
          <w:numId w:val="1"/>
        </w:numPr>
        <w:rPr>
          <w:rFonts w:ascii="Times New Roman" w:hAnsi="Times New Roman" w:cs="Times New Roman"/>
          <w:sz w:val="20"/>
          <w:szCs w:val="20"/>
        </w:rPr>
      </w:pPr>
      <w:r w:rsidRPr="003763E3">
        <w:rPr>
          <w:rFonts w:ascii="Times New Roman" w:hAnsi="Times New Roman" w:cs="Times New Roman"/>
          <w:sz w:val="20"/>
          <w:szCs w:val="20"/>
        </w:rPr>
        <w:t>Yukarıda belirtilen bedel tahmini bedel olup</w:t>
      </w:r>
      <w:r w:rsidR="007338AC" w:rsidRPr="003763E3">
        <w:rPr>
          <w:rFonts w:ascii="Times New Roman" w:hAnsi="Times New Roman" w:cs="Times New Roman"/>
          <w:sz w:val="20"/>
          <w:szCs w:val="20"/>
        </w:rPr>
        <w:t>;</w:t>
      </w:r>
      <w:r w:rsidRPr="003763E3">
        <w:rPr>
          <w:rFonts w:ascii="Times New Roman" w:hAnsi="Times New Roman" w:cs="Times New Roman"/>
          <w:sz w:val="20"/>
          <w:szCs w:val="20"/>
        </w:rPr>
        <w:t xml:space="preserve"> </w:t>
      </w:r>
      <w:r w:rsidR="007338AC" w:rsidRPr="003763E3">
        <w:rPr>
          <w:rFonts w:ascii="Times New Roman" w:hAnsi="Times New Roman" w:cs="Times New Roman"/>
          <w:sz w:val="20"/>
          <w:szCs w:val="20"/>
        </w:rPr>
        <w:t>ödenecek tutar,</w:t>
      </w:r>
      <w:r w:rsidRPr="003763E3">
        <w:rPr>
          <w:rFonts w:ascii="Times New Roman" w:hAnsi="Times New Roman" w:cs="Times New Roman"/>
          <w:sz w:val="20"/>
          <w:szCs w:val="20"/>
        </w:rPr>
        <w:t xml:space="preserve"> k</w:t>
      </w:r>
      <w:r w:rsidR="007338AC" w:rsidRPr="003763E3">
        <w:rPr>
          <w:rFonts w:ascii="Times New Roman" w:hAnsi="Times New Roman" w:cs="Times New Roman"/>
          <w:sz w:val="20"/>
          <w:szCs w:val="20"/>
        </w:rPr>
        <w:t>g birim bedel üzerinden tartı sonucu hesaplanacak miktardır.</w:t>
      </w:r>
    </w:p>
    <w:p w14:paraId="48684F21" w14:textId="77777777" w:rsidR="006D3762" w:rsidRPr="003763E3" w:rsidRDefault="006D3762" w:rsidP="002B0BB8">
      <w:pPr>
        <w:pStyle w:val="ListeParagraf"/>
        <w:numPr>
          <w:ilvl w:val="0"/>
          <w:numId w:val="1"/>
        </w:numPr>
        <w:rPr>
          <w:rFonts w:ascii="Times New Roman" w:hAnsi="Times New Roman" w:cs="Times New Roman"/>
          <w:sz w:val="20"/>
          <w:szCs w:val="20"/>
        </w:rPr>
      </w:pPr>
      <w:r w:rsidRPr="003763E3">
        <w:rPr>
          <w:rFonts w:ascii="Times New Roman" w:hAnsi="Times New Roman" w:cs="Times New Roman"/>
          <w:sz w:val="20"/>
          <w:szCs w:val="20"/>
        </w:rPr>
        <w:t>Hurda yivsiz av tüfekleri mevcut haliyle satılacak olup; hiçbir şekilde fire düşülmeyecektir.</w:t>
      </w:r>
    </w:p>
    <w:p w14:paraId="64B0772F" w14:textId="1D743657" w:rsidR="00E02048" w:rsidRPr="003763E3" w:rsidRDefault="00E02048" w:rsidP="002B0BB8">
      <w:pPr>
        <w:pStyle w:val="ListeParagraf"/>
        <w:numPr>
          <w:ilvl w:val="0"/>
          <w:numId w:val="1"/>
        </w:numPr>
        <w:rPr>
          <w:rFonts w:ascii="Times New Roman" w:hAnsi="Times New Roman" w:cs="Times New Roman"/>
          <w:sz w:val="20"/>
          <w:szCs w:val="20"/>
        </w:rPr>
      </w:pPr>
      <w:r w:rsidRPr="003763E3">
        <w:rPr>
          <w:rFonts w:ascii="Times New Roman" w:hAnsi="Times New Roman" w:cs="Times New Roman"/>
          <w:sz w:val="20"/>
          <w:szCs w:val="20"/>
        </w:rPr>
        <w:t xml:space="preserve">Hurda yivsiz av tüfekleri Milli Emlak Müdürlüğü görevlisi ve İl Emniyet Müdürlüğünce görevlendirilen polis memuru gözetiminde ezilerek kullanılamayacak hale getirilecektir. Ezme işlemi alıcı tarafından </w:t>
      </w:r>
      <w:r w:rsidR="006D3762" w:rsidRPr="003763E3">
        <w:rPr>
          <w:rFonts w:ascii="Times New Roman" w:hAnsi="Times New Roman" w:cs="Times New Roman"/>
          <w:sz w:val="20"/>
          <w:szCs w:val="20"/>
        </w:rPr>
        <w:t xml:space="preserve">yapılacak olup; </w:t>
      </w:r>
      <w:r w:rsidR="003763E3" w:rsidRPr="003763E3">
        <w:rPr>
          <w:rFonts w:ascii="Times New Roman" w:hAnsi="Times New Roman" w:cs="Times New Roman"/>
          <w:sz w:val="20"/>
          <w:szCs w:val="20"/>
        </w:rPr>
        <w:t xml:space="preserve">ayrıca </w:t>
      </w:r>
      <w:r w:rsidRPr="003763E3">
        <w:rPr>
          <w:rFonts w:ascii="Times New Roman" w:hAnsi="Times New Roman" w:cs="Times New Roman"/>
          <w:sz w:val="20"/>
          <w:szCs w:val="20"/>
        </w:rPr>
        <w:t>ücret talep edilmeyecektir.</w:t>
      </w:r>
    </w:p>
    <w:p w14:paraId="60D929E1" w14:textId="77777777" w:rsidR="00E02048" w:rsidRPr="003763E3" w:rsidRDefault="00E02048" w:rsidP="002B0BB8">
      <w:pPr>
        <w:pStyle w:val="ListeParagraf"/>
        <w:numPr>
          <w:ilvl w:val="0"/>
          <w:numId w:val="1"/>
        </w:numPr>
        <w:rPr>
          <w:rFonts w:ascii="Times New Roman" w:hAnsi="Times New Roman" w:cs="Times New Roman"/>
          <w:sz w:val="20"/>
          <w:szCs w:val="20"/>
        </w:rPr>
      </w:pPr>
      <w:r w:rsidRPr="003763E3">
        <w:rPr>
          <w:rFonts w:ascii="Times New Roman" w:hAnsi="Times New Roman" w:cs="Times New Roman"/>
          <w:sz w:val="20"/>
          <w:szCs w:val="20"/>
        </w:rPr>
        <w:t>İhale konusu hurda yivsiz av tüfeklerinin yüklenmesi, taşınması, boşaltılması ve ezilmesi süreçlerinde meydana gelebilecek kaza ve zararlara karşı her türlü önlemi almak alıcıya aittir. İdare bu konuda sorumlu değildir.</w:t>
      </w:r>
    </w:p>
    <w:p w14:paraId="0628747C" w14:textId="77777777" w:rsidR="00572F50" w:rsidRPr="003763E3" w:rsidRDefault="009464B5" w:rsidP="009464B5">
      <w:pPr>
        <w:ind w:left="360"/>
        <w:rPr>
          <w:rFonts w:ascii="Times New Roman" w:hAnsi="Times New Roman" w:cs="Times New Roman"/>
          <w:b/>
          <w:sz w:val="20"/>
          <w:szCs w:val="20"/>
        </w:rPr>
      </w:pPr>
      <w:r w:rsidRPr="003763E3">
        <w:rPr>
          <w:rFonts w:ascii="Times New Roman" w:hAnsi="Times New Roman" w:cs="Times New Roman"/>
          <w:b/>
          <w:sz w:val="20"/>
          <w:szCs w:val="20"/>
        </w:rPr>
        <w:t>İLAN OLUNUR.</w:t>
      </w:r>
    </w:p>
    <w:sectPr w:rsidR="00572F50" w:rsidRPr="003763E3" w:rsidSect="0051102B">
      <w:pgSz w:w="16838" w:h="11906" w:orient="landscape" w:code="9"/>
      <w:pgMar w:top="567" w:right="953"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E7936"/>
    <w:multiLevelType w:val="hybridMultilevel"/>
    <w:tmpl w:val="A4829676"/>
    <w:lvl w:ilvl="0" w:tplc="A6B060F0">
      <w:start w:val="1"/>
      <w:numFmt w:val="decimal"/>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97F5730"/>
    <w:multiLevelType w:val="hybridMultilevel"/>
    <w:tmpl w:val="DBB08A82"/>
    <w:lvl w:ilvl="0" w:tplc="546ACD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52"/>
    <w:rsid w:val="00057DD1"/>
    <w:rsid w:val="00070F80"/>
    <w:rsid w:val="000D567F"/>
    <w:rsid w:val="000E1BC1"/>
    <w:rsid w:val="000F0AE4"/>
    <w:rsid w:val="00184252"/>
    <w:rsid w:val="002868D1"/>
    <w:rsid w:val="002A49BE"/>
    <w:rsid w:val="002B0BB8"/>
    <w:rsid w:val="00352FD2"/>
    <w:rsid w:val="003536D7"/>
    <w:rsid w:val="003763E3"/>
    <w:rsid w:val="003C0448"/>
    <w:rsid w:val="003C3D79"/>
    <w:rsid w:val="003E272D"/>
    <w:rsid w:val="004058D0"/>
    <w:rsid w:val="00416419"/>
    <w:rsid w:val="004B14AF"/>
    <w:rsid w:val="004F3E19"/>
    <w:rsid w:val="0051102B"/>
    <w:rsid w:val="00561C1A"/>
    <w:rsid w:val="00564853"/>
    <w:rsid w:val="00572F50"/>
    <w:rsid w:val="00587553"/>
    <w:rsid w:val="005B16AA"/>
    <w:rsid w:val="005C2DB5"/>
    <w:rsid w:val="00640136"/>
    <w:rsid w:val="006536C2"/>
    <w:rsid w:val="00671898"/>
    <w:rsid w:val="006B3BB0"/>
    <w:rsid w:val="006D3762"/>
    <w:rsid w:val="006F3825"/>
    <w:rsid w:val="007338AC"/>
    <w:rsid w:val="00771C60"/>
    <w:rsid w:val="00773460"/>
    <w:rsid w:val="00790C01"/>
    <w:rsid w:val="007B139E"/>
    <w:rsid w:val="00833C4D"/>
    <w:rsid w:val="008F1D50"/>
    <w:rsid w:val="00933434"/>
    <w:rsid w:val="009464B5"/>
    <w:rsid w:val="00995380"/>
    <w:rsid w:val="00A2221F"/>
    <w:rsid w:val="00A46AEC"/>
    <w:rsid w:val="00AD1A51"/>
    <w:rsid w:val="00B5317A"/>
    <w:rsid w:val="00BA5A3F"/>
    <w:rsid w:val="00BC656B"/>
    <w:rsid w:val="00BE1D6F"/>
    <w:rsid w:val="00BF7039"/>
    <w:rsid w:val="00C46FFB"/>
    <w:rsid w:val="00C61DBA"/>
    <w:rsid w:val="00C741E5"/>
    <w:rsid w:val="00CA4304"/>
    <w:rsid w:val="00CC3717"/>
    <w:rsid w:val="00CE0BEA"/>
    <w:rsid w:val="00CE7175"/>
    <w:rsid w:val="00D16A66"/>
    <w:rsid w:val="00D50E40"/>
    <w:rsid w:val="00D52805"/>
    <w:rsid w:val="00D8792B"/>
    <w:rsid w:val="00D90E1B"/>
    <w:rsid w:val="00DF2E29"/>
    <w:rsid w:val="00DF7A3F"/>
    <w:rsid w:val="00E02048"/>
    <w:rsid w:val="00E70CDB"/>
    <w:rsid w:val="00EB01D5"/>
    <w:rsid w:val="00EE2E3E"/>
    <w:rsid w:val="00F3071E"/>
    <w:rsid w:val="00F43C11"/>
    <w:rsid w:val="00F65107"/>
    <w:rsid w:val="00F87868"/>
    <w:rsid w:val="00FB2E7D"/>
    <w:rsid w:val="00FD5C98"/>
    <w:rsid w:val="00FF2F33"/>
    <w:rsid w:val="00FF3E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5623"/>
  <w15:chartTrackingRefBased/>
  <w15:docId w15:val="{2FF8AD45-1A37-4BC3-8B8D-F2671271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4252"/>
    <w:pPr>
      <w:ind w:left="720"/>
      <w:contextualSpacing/>
    </w:pPr>
  </w:style>
  <w:style w:type="paragraph" w:styleId="BalonMetni">
    <w:name w:val="Balloon Text"/>
    <w:basedOn w:val="Normal"/>
    <w:link w:val="BalonMetniChar"/>
    <w:uiPriority w:val="99"/>
    <w:semiHidden/>
    <w:unhideWhenUsed/>
    <w:rsid w:val="00D50E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0E40"/>
    <w:rPr>
      <w:rFonts w:ascii="Segoe UI" w:hAnsi="Segoe UI" w:cs="Segoe UI"/>
      <w:sz w:val="18"/>
      <w:szCs w:val="18"/>
    </w:rPr>
  </w:style>
  <w:style w:type="table" w:styleId="TabloKlavuzu">
    <w:name w:val="Table Grid"/>
    <w:basedOn w:val="NormalTablo"/>
    <w:uiPriority w:val="39"/>
    <w:rsid w:val="00C46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80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2AB30-C0EA-4396-99F5-9A07BCEC8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Pages>
  <Words>704</Words>
  <Characters>4014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Muzaffer DAĞDAŞ</dc:creator>
  <cp:keywords/>
  <dc:description/>
  <cp:lastModifiedBy>Muzaffer DAĞDAŞ</cp:lastModifiedBy>
  <cp:revision>68</cp:revision>
  <cp:lastPrinted>2026-04-03T08:43:00Z</cp:lastPrinted>
  <dcterms:created xsi:type="dcterms:W3CDTF">2024-12-18T06:00:00Z</dcterms:created>
  <dcterms:modified xsi:type="dcterms:W3CDTF">2026-04-06T05:57:00Z</dcterms:modified>
</cp:coreProperties>
</file>