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AC9A" w14:textId="57ECFE0D" w:rsidR="0099124F" w:rsidRDefault="0099124F" w:rsidP="003B65BD">
      <w:pPr>
        <w:jc w:val="center"/>
      </w:pPr>
      <w:r w:rsidRPr="0099124F">
        <w:t xml:space="preserve">Düzenleme Şeklinde </w:t>
      </w:r>
      <w:proofErr w:type="spellStart"/>
      <w:r w:rsidRPr="0099124F">
        <w:t>Muvafakatname</w:t>
      </w:r>
      <w:proofErr w:type="spellEnd"/>
      <w:r w:rsidRPr="0099124F">
        <w:t xml:space="preserve"> ve </w:t>
      </w:r>
      <w:r w:rsidR="006F0B0A">
        <w:t>F</w:t>
      </w:r>
      <w:r w:rsidRPr="0099124F">
        <w:t>eragatname</w:t>
      </w:r>
      <w:r w:rsidR="006F0B0A">
        <w:t xml:space="preserve"> Taslağı </w:t>
      </w:r>
    </w:p>
    <w:p w14:paraId="35507A6B" w14:textId="77777777" w:rsidR="0099124F" w:rsidRDefault="0099124F" w:rsidP="00902087">
      <w:pPr>
        <w:autoSpaceDE w:val="0"/>
        <w:autoSpaceDN w:val="0"/>
        <w:adjustRightInd w:val="0"/>
        <w:jc w:val="both"/>
        <w:rPr>
          <w:sz w:val="23"/>
          <w:szCs w:val="23"/>
        </w:rPr>
      </w:pPr>
      <w:r>
        <w:t>“</w:t>
      </w:r>
      <w:r w:rsidRPr="00A2480C">
        <w:t xml:space="preserve">Aynı bağımsız bölüm üzerinde hissedar </w:t>
      </w:r>
      <w:proofErr w:type="gramStart"/>
      <w:r>
        <w:t>ol</w:t>
      </w:r>
      <w:r w:rsidR="00325174">
        <w:t>arak  hak</w:t>
      </w:r>
      <w:proofErr w:type="gramEnd"/>
      <w:r w:rsidR="00325174">
        <w:t xml:space="preserve"> sahibi olduğum, Uşak İli,</w:t>
      </w:r>
      <w:r>
        <w:t xml:space="preserve"> </w:t>
      </w:r>
      <w:r w:rsidR="000C021B">
        <w:t xml:space="preserve">İlimiz Merkez İlçesi, </w:t>
      </w:r>
      <w:r w:rsidR="00774E73">
        <w:t>……………………………</w:t>
      </w:r>
      <w:r w:rsidR="00FE6D9F">
        <w:t xml:space="preserve"> Mahallesi (Tapuda </w:t>
      </w:r>
      <w:r w:rsidR="00774E73">
        <w:t>……………………………..</w:t>
      </w:r>
      <w:r w:rsidR="00FE6D9F">
        <w:t xml:space="preserve"> Mahallesi), </w:t>
      </w:r>
      <w:r w:rsidR="00774E73">
        <w:t>………………………. (Cadde) C/S/B/M, No: ………</w:t>
      </w:r>
      <w:r w:rsidR="00FE6D9F">
        <w:t xml:space="preserve"> (</w:t>
      </w:r>
      <w:r w:rsidR="00136EBB">
        <w:t xml:space="preserve">YKN: </w:t>
      </w:r>
      <w:r w:rsidR="00774E73">
        <w:t>………………</w:t>
      </w:r>
      <w:r w:rsidR="00136EBB">
        <w:t xml:space="preserve"> </w:t>
      </w:r>
      <w:r w:rsidR="00FE6D9F">
        <w:t>Bina UAVT</w:t>
      </w:r>
      <w:r w:rsidR="00774E73">
        <w:t xml:space="preserve"> Kodu: …………………</w:t>
      </w:r>
      <w:proofErr w:type="gramStart"/>
      <w:r w:rsidR="00774E73">
        <w:t>…….</w:t>
      </w:r>
      <w:proofErr w:type="gramEnd"/>
      <w:r w:rsidR="00774E73">
        <w:t xml:space="preserve">) adresinde ve tapuda …………….. </w:t>
      </w:r>
      <w:proofErr w:type="gramStart"/>
      <w:r w:rsidR="00774E73">
        <w:t>pafta</w:t>
      </w:r>
      <w:proofErr w:type="gramEnd"/>
      <w:r w:rsidR="00774E73">
        <w:t>, ……………… ada, …………………..</w:t>
      </w:r>
      <w:r w:rsidR="00FE6D9F">
        <w:t xml:space="preserve"> </w:t>
      </w:r>
      <w:proofErr w:type="gramStart"/>
      <w:r w:rsidR="00FE6D9F">
        <w:t>parselde</w:t>
      </w:r>
      <w:proofErr w:type="gramEnd"/>
      <w:r w:rsidR="00FE6D9F">
        <w:t xml:space="preserve"> kayıtlı bulunan yapı </w:t>
      </w:r>
      <w:r w:rsidR="000C021B">
        <w:t xml:space="preserve">üzerine "6306 sayılı Kanun gereğince riskli yapıdır" </w:t>
      </w:r>
      <w:r w:rsidR="000C021B" w:rsidRPr="00FE6D9F">
        <w:t xml:space="preserve">belirtmesi </w:t>
      </w:r>
      <w:r w:rsidR="00774E73">
        <w:rPr>
          <w:rFonts w:eastAsiaTheme="minorHAnsi"/>
          <w:lang w:eastAsia="en-US"/>
        </w:rPr>
        <w:t>………………………….</w:t>
      </w:r>
      <w:r w:rsidR="00FE6D9F">
        <w:rPr>
          <w:rFonts w:ascii="TimesNewRomanPSMT" w:eastAsiaTheme="minorHAnsi" w:hAnsi="TimesNewRomanPSMT" w:cs="TimesNewRomanPSMT"/>
          <w:sz w:val="16"/>
          <w:szCs w:val="16"/>
          <w:lang w:eastAsia="en-US"/>
        </w:rPr>
        <w:t xml:space="preserve"> </w:t>
      </w:r>
      <w:proofErr w:type="gramStart"/>
      <w:r w:rsidR="000C021B">
        <w:t>tarih</w:t>
      </w:r>
      <w:proofErr w:type="gramEnd"/>
      <w:r w:rsidR="000C021B">
        <w:t xml:space="preserve"> </w:t>
      </w:r>
      <w:r w:rsidR="00774E73">
        <w:t>………………………………</w:t>
      </w:r>
      <w:r w:rsidR="000C021B">
        <w:t xml:space="preserve"> yevmiye </w:t>
      </w:r>
      <w:r>
        <w:t>ile</w:t>
      </w:r>
      <w:r w:rsidRPr="00A2480C">
        <w:t xml:space="preserve"> konulmuş</w:t>
      </w:r>
      <w:r>
        <w:t xml:space="preserve">, </w:t>
      </w:r>
      <w:r w:rsidRPr="00A2480C">
        <w:t xml:space="preserve">riskli yapı tespitine itiraz edilmemesi suretiyle, riskli yapı tespiti kesinleşmiştir. </w:t>
      </w:r>
      <w:r>
        <w:t>İş bu gayrimenkulün 6306 sayılı kanun kapsam</w:t>
      </w:r>
      <w:r w:rsidR="009B2F24">
        <w:t>ında yapılacak kira yardımından;</w:t>
      </w:r>
      <w:r>
        <w:t xml:space="preserve"> </w:t>
      </w:r>
      <w:r w:rsidR="00FE6D9F">
        <w:t>………</w:t>
      </w:r>
      <w:r>
        <w:t xml:space="preserve"> </w:t>
      </w:r>
      <w:proofErr w:type="spellStart"/>
      <w:r>
        <w:t>Nolu</w:t>
      </w:r>
      <w:proofErr w:type="spellEnd"/>
      <w:r>
        <w:t xml:space="preserve"> </w:t>
      </w:r>
      <w:r>
        <w:rPr>
          <w:sz w:val="23"/>
          <w:szCs w:val="23"/>
        </w:rPr>
        <w:t>bağımsız bölüm üzerindeki</w:t>
      </w:r>
      <w:r w:rsidR="00EE1C54">
        <w:rPr>
          <w:sz w:val="23"/>
          <w:szCs w:val="23"/>
        </w:rPr>
        <w:t xml:space="preserve"> kira yardımı</w:t>
      </w:r>
      <w:r>
        <w:rPr>
          <w:sz w:val="23"/>
          <w:szCs w:val="23"/>
        </w:rPr>
        <w:t xml:space="preserve"> hakkımdan, diğer hissedar lehine feragat ettiğimi, hiçbir hak ve talepte bulunmayacağımı ve faiz desteğinden de yararlanmayacağımı beyan eder, kira yardımının, </w:t>
      </w:r>
      <w:r w:rsidR="00A41C72" w:rsidRPr="00A41C72">
        <w:rPr>
          <w:sz w:val="23"/>
          <w:szCs w:val="23"/>
        </w:rPr>
        <w:tab/>
      </w:r>
      <w:r w:rsidR="00FE6D9F">
        <w:rPr>
          <w:sz w:val="23"/>
          <w:szCs w:val="23"/>
        </w:rPr>
        <w:t>…………………………</w:t>
      </w:r>
      <w:r>
        <w:rPr>
          <w:sz w:val="23"/>
          <w:szCs w:val="23"/>
        </w:rPr>
        <w:t xml:space="preserve"> T.C. kimlik </w:t>
      </w:r>
      <w:proofErr w:type="spellStart"/>
      <w:r>
        <w:rPr>
          <w:sz w:val="23"/>
          <w:szCs w:val="23"/>
        </w:rPr>
        <w:t>nolu</w:t>
      </w:r>
      <w:proofErr w:type="spellEnd"/>
      <w:r>
        <w:rPr>
          <w:sz w:val="23"/>
          <w:szCs w:val="23"/>
        </w:rPr>
        <w:t xml:space="preserve"> </w:t>
      </w:r>
      <w:r w:rsidR="00FE6D9F">
        <w:rPr>
          <w:sz w:val="23"/>
          <w:szCs w:val="23"/>
        </w:rPr>
        <w:t>……………</w:t>
      </w:r>
      <w:proofErr w:type="gramStart"/>
      <w:r w:rsidR="00FE6D9F">
        <w:rPr>
          <w:sz w:val="23"/>
          <w:szCs w:val="23"/>
        </w:rPr>
        <w:t>…….</w:t>
      </w:r>
      <w:proofErr w:type="gramEnd"/>
      <w:r w:rsidR="00FE6D9F">
        <w:rPr>
          <w:sz w:val="23"/>
          <w:szCs w:val="23"/>
        </w:rPr>
        <w:t xml:space="preserve">.  </w:t>
      </w:r>
      <w:r w:rsidR="002438E7">
        <w:rPr>
          <w:sz w:val="23"/>
          <w:szCs w:val="23"/>
        </w:rPr>
        <w:t>’a</w:t>
      </w:r>
      <w:r>
        <w:rPr>
          <w:sz w:val="23"/>
          <w:szCs w:val="23"/>
        </w:rPr>
        <w:t xml:space="preserve"> ödenmesine rıza ve muvafakatimin bulunduğunu kabul ve beyan derim.”</w:t>
      </w:r>
    </w:p>
    <w:p w14:paraId="6B75390E" w14:textId="77777777" w:rsidR="0099124F" w:rsidRDefault="0099124F" w:rsidP="0099124F">
      <w:pPr>
        <w:jc w:val="both"/>
        <w:rPr>
          <w:sz w:val="23"/>
          <w:szCs w:val="23"/>
        </w:rPr>
      </w:pPr>
      <w:r>
        <w:rPr>
          <w:sz w:val="23"/>
          <w:szCs w:val="23"/>
        </w:rPr>
        <w:t xml:space="preserve">Muvafakat Verenler:  </w:t>
      </w:r>
    </w:p>
    <w:p w14:paraId="0B1AB44B" w14:textId="77777777" w:rsidR="0099124F" w:rsidRPr="00745B51" w:rsidRDefault="0099124F" w:rsidP="00E15661">
      <w:pPr>
        <w:jc w:val="both"/>
        <w:rPr>
          <w:color w:val="FF0000"/>
        </w:rPr>
      </w:pPr>
      <w:r>
        <w:rPr>
          <w:sz w:val="23"/>
          <w:szCs w:val="23"/>
        </w:rPr>
        <w:t xml:space="preserve"> </w:t>
      </w:r>
      <w:r>
        <w:t xml:space="preserve">  ……. </w:t>
      </w:r>
      <w:r w:rsidRPr="00B56BC0">
        <w:t>T.C. Adres</w:t>
      </w:r>
      <w:r>
        <w:t xml:space="preserve">          </w:t>
      </w:r>
      <w:r w:rsidRPr="00745B51">
        <w:rPr>
          <w:color w:val="FF0000"/>
        </w:rPr>
        <w:t>Cep ( Varsa )</w:t>
      </w:r>
      <w:r w:rsidR="009630F3" w:rsidRPr="00745B51">
        <w:rPr>
          <w:color w:val="FF0000"/>
        </w:rPr>
        <w:t xml:space="preserve"> mutlaka yazılmalıdır. </w:t>
      </w:r>
    </w:p>
    <w:p w14:paraId="1A834B6F" w14:textId="77777777" w:rsidR="00CD462C" w:rsidRDefault="00CD462C" w:rsidP="00CD462C">
      <w:r>
        <w:t xml:space="preserve">Düzenleme Şeklinde </w:t>
      </w:r>
      <w:proofErr w:type="spellStart"/>
      <w:r>
        <w:t>Muvafakatname</w:t>
      </w:r>
      <w:proofErr w:type="spellEnd"/>
      <w:r>
        <w:t xml:space="preserve"> ve feragatname</w:t>
      </w:r>
    </w:p>
    <w:p w14:paraId="39F19EEA" w14:textId="77777777" w:rsidR="00CD462C" w:rsidRDefault="00CD462C" w:rsidP="00CD462C">
      <w:r>
        <w:t>Afet riski altındaki alanların dönüştürülmesi Hakkında kanunun 7 maddesinin 9 fıkrasında;</w:t>
      </w:r>
    </w:p>
    <w:p w14:paraId="056A5CB0" w14:textId="77777777" w:rsidR="00CD462C" w:rsidRDefault="00CD462C" w:rsidP="00CD462C">
      <w:pPr>
        <w:rPr>
          <w:b/>
          <w:color w:val="000000"/>
        </w:rPr>
      </w:pPr>
      <w:r w:rsidRPr="000E3A72">
        <w:rPr>
          <w:color w:val="000000"/>
        </w:rPr>
        <w:t>)</w:t>
      </w:r>
      <w:r w:rsidRPr="000E3A72">
        <w:rPr>
          <w:b/>
          <w:bCs/>
          <w:color w:val="000000"/>
        </w:rPr>
        <w:t xml:space="preserve"> (Değişik:29/11/2018-7153/24 </w:t>
      </w:r>
      <w:proofErr w:type="spellStart"/>
      <w:r w:rsidRPr="000E3A72">
        <w:rPr>
          <w:b/>
          <w:bCs/>
          <w:color w:val="000000"/>
        </w:rPr>
        <w:t>md.</w:t>
      </w:r>
      <w:proofErr w:type="spellEnd"/>
      <w:r w:rsidRPr="000E3A72">
        <w:rPr>
          <w:b/>
          <w:bCs/>
          <w:color w:val="000000"/>
        </w:rPr>
        <w:t>)</w:t>
      </w:r>
      <w:r w:rsidRPr="000E3A72">
        <w:rPr>
          <w:color w:val="000000"/>
        </w:rPr>
        <w:t xml:space="preserve"> Bu Kanun uyarınca yapılacak olan ve Bakanlık, TOKİ, İller Bankası Anonim Şirketi, İdare ve </w:t>
      </w:r>
      <w:r w:rsidRPr="000E3A72">
        <w:rPr>
          <w:b/>
          <w:color w:val="000000"/>
        </w:rPr>
        <w:t>dönüşüme konu yapıların inşası işini yüklenen müteahhit ile malik ve en az bir yıldır kiracı veya sınırlı ayni hak sahibi olarak riskli yapıyı kullanan gerçek kişiler veya özel hukuk tüzel kişilerinden birinin taraf olduğu;</w:t>
      </w:r>
    </w:p>
    <w:p w14:paraId="5C729212" w14:textId="77777777" w:rsidR="00CD462C" w:rsidRPr="000E3A72" w:rsidRDefault="00CD462C" w:rsidP="00CD462C">
      <w:pPr>
        <w:spacing w:line="240" w:lineRule="atLeast"/>
        <w:ind w:firstLine="566"/>
        <w:jc w:val="both"/>
        <w:rPr>
          <w:color w:val="000000"/>
        </w:rPr>
      </w:pPr>
      <w:r w:rsidRPr="000E3A72">
        <w:rPr>
          <w:color w:val="000000"/>
        </w:rPr>
        <w:t xml:space="preserve">c) Kanun kapsamında yapılacak uygulamalar </w:t>
      </w:r>
      <w:r>
        <w:rPr>
          <w:color w:val="000000"/>
        </w:rPr>
        <w:t>…………</w:t>
      </w:r>
      <w:proofErr w:type="gramStart"/>
      <w:r>
        <w:rPr>
          <w:color w:val="000000"/>
        </w:rPr>
        <w:t>…….</w:t>
      </w:r>
      <w:proofErr w:type="gramEnd"/>
      <w:r>
        <w:rPr>
          <w:color w:val="000000"/>
        </w:rPr>
        <w:t>.</w:t>
      </w:r>
      <w:r w:rsidRPr="000E3A72">
        <w:rPr>
          <w:color w:val="000000"/>
        </w:rPr>
        <w:t>,</w:t>
      </w:r>
    </w:p>
    <w:p w14:paraId="325A96FB" w14:textId="77777777" w:rsidR="00CD462C" w:rsidRDefault="00CD462C" w:rsidP="00CD462C">
      <w:pPr>
        <w:spacing w:line="240" w:lineRule="atLeast"/>
        <w:ind w:firstLine="566"/>
        <w:jc w:val="both"/>
      </w:pPr>
      <w:r w:rsidRPr="000E3A72">
        <w:rPr>
          <w:color w:val="000000"/>
        </w:rPr>
        <w:t xml:space="preserve">ile </w:t>
      </w:r>
      <w:r w:rsidRPr="000E3A72">
        <w:rPr>
          <w:b/>
          <w:color w:val="000000"/>
        </w:rPr>
        <w:t>bu bentlerde belirtilen yapıların dönüşümüne ilişkin olarak Kanun uyarınca yapılacak diğer işlemler</w:t>
      </w:r>
      <w:r w:rsidRPr="000E3A72">
        <w:rPr>
          <w:color w:val="000000"/>
        </w:rPr>
        <w:t xml:space="preserve"> </w:t>
      </w:r>
      <w:r w:rsidRPr="004E4736">
        <w:rPr>
          <w:b/>
          <w:color w:val="000000"/>
        </w:rPr>
        <w:t>noter harcı</w:t>
      </w:r>
      <w:r w:rsidRPr="000E3A72">
        <w:rPr>
          <w:color w:val="000000"/>
        </w:rPr>
        <w:t xml:space="preserve">, </w:t>
      </w:r>
      <w:r w:rsidRPr="000E3A72">
        <w:rPr>
          <w:b/>
          <w:color w:val="000000"/>
        </w:rPr>
        <w:t>tapu harcı</w:t>
      </w:r>
      <w:r w:rsidRPr="000E3A72">
        <w:rPr>
          <w:color w:val="000000"/>
        </w:rPr>
        <w:t xml:space="preserve">, belediyelerce alınan ücret ve harçlardan, veraset ve intikal vergisi, </w:t>
      </w:r>
      <w:r w:rsidRPr="000E3A72">
        <w:rPr>
          <w:b/>
          <w:color w:val="000000"/>
        </w:rPr>
        <w:t>döner sermaye ücreti ve diğer ücretlerden</w:t>
      </w:r>
      <w:r w:rsidRPr="000E3A72">
        <w:rPr>
          <w:color w:val="000000"/>
        </w:rPr>
        <w:t xml:space="preserve">, </w:t>
      </w:r>
      <w:r w:rsidRPr="000E3A72">
        <w:rPr>
          <w:b/>
          <w:color w:val="000000"/>
        </w:rPr>
        <w:t>bu işlemler nedeniyle düzenlenecek kâğıtlar, resmî dairelerin mal ve hizmet alımlarına ilişkin ödemeler sebebiyle düzenlenen kâğıtlar da dahil olmak üzere damga vergisinden</w:t>
      </w:r>
      <w:r w:rsidRPr="000E3A72">
        <w:rPr>
          <w:color w:val="000000"/>
        </w:rPr>
        <w:t xml:space="preserve">, bu Kanun kapsamındaki yapıların maliklerine ve malik olmasalar bile bu yapılarda kiracı veya sınırlı ayni hak sahibi olarak en az bir yıldır ikamet ettiği veya bunlarda işyeri bulunduğu tespit edilenlere bu amaçlarla kullandırılan krediler dolayısıyla lehe alınacak paralar, banka ve sigorta muameleleri vergisinden istisnadır. </w:t>
      </w:r>
      <w:r>
        <w:rPr>
          <w:color w:val="000000"/>
        </w:rPr>
        <w:t>….</w:t>
      </w:r>
    </w:p>
    <w:p w14:paraId="585ED7E0" w14:textId="77777777" w:rsidR="00CD462C" w:rsidRDefault="00CD462C" w:rsidP="00CD462C">
      <w:r>
        <w:t xml:space="preserve">27.03.2013 tarih ve 96995455-010.06-4184 Yazı İle Noterlere Harç </w:t>
      </w:r>
      <w:proofErr w:type="spellStart"/>
      <w:r>
        <w:t>Maufiyeti</w:t>
      </w:r>
      <w:proofErr w:type="spellEnd"/>
      <w:r>
        <w:t xml:space="preserve"> Genelgesi Gönderilmiştir.</w:t>
      </w:r>
    </w:p>
    <w:p w14:paraId="498C8B29" w14:textId="77777777" w:rsidR="00CD462C" w:rsidRPr="004040ED" w:rsidRDefault="00CD462C" w:rsidP="00CD462C">
      <w:pPr>
        <w:pStyle w:val="AralkYok"/>
        <w:jc w:val="both"/>
        <w:rPr>
          <w:rFonts w:ascii="Times New Roman" w:hAnsi="Times New Roman" w:cs="Times New Roman"/>
          <w:sz w:val="24"/>
          <w:szCs w:val="24"/>
        </w:rPr>
      </w:pPr>
      <w:r w:rsidRPr="004040ED">
        <w:rPr>
          <w:rFonts w:ascii="Times New Roman" w:hAnsi="Times New Roman" w:cs="Times New Roman"/>
          <w:sz w:val="24"/>
          <w:szCs w:val="24"/>
        </w:rPr>
        <w:t>15.12.2012 tarih ve 28498 Resmî Gazete Sayısında yayımlanan 6306 Sayılı Kanunun Uygulama Yönetmeliğinin Kira yardımı ve diğer yardımlar başlıklı 16 maddesinin 12 inci fıkrası; "(12) (</w:t>
      </w:r>
      <w:proofErr w:type="gramStart"/>
      <w:r w:rsidRPr="004040ED">
        <w:rPr>
          <w:rFonts w:ascii="Times New Roman" w:hAnsi="Times New Roman" w:cs="Times New Roman"/>
          <w:sz w:val="24"/>
          <w:szCs w:val="24"/>
        </w:rPr>
        <w:t>Ek:RG</w:t>
      </w:r>
      <w:proofErr w:type="gramEnd"/>
      <w:r w:rsidRPr="004040ED">
        <w:rPr>
          <w:rFonts w:ascii="Times New Roman" w:hAnsi="Times New Roman" w:cs="Times New Roman"/>
          <w:sz w:val="24"/>
          <w:szCs w:val="24"/>
        </w:rPr>
        <w:t xml:space="preserve">-21/6/2019-30808)Kanunun 7 </w:t>
      </w:r>
      <w:proofErr w:type="spellStart"/>
      <w:r w:rsidRPr="004040ED">
        <w:rPr>
          <w:rFonts w:ascii="Times New Roman" w:hAnsi="Times New Roman" w:cs="Times New Roman"/>
          <w:sz w:val="24"/>
          <w:szCs w:val="24"/>
        </w:rPr>
        <w:t>nci</w:t>
      </w:r>
      <w:proofErr w:type="spellEnd"/>
      <w:r w:rsidRPr="004040ED">
        <w:rPr>
          <w:rFonts w:ascii="Times New Roman" w:hAnsi="Times New Roman" w:cs="Times New Roman"/>
          <w:sz w:val="24"/>
          <w:szCs w:val="24"/>
        </w:rPr>
        <w:t xml:space="preserve"> maddesinin dokuzuncu ve onuncu fıkralarında belirtilen şartlar dahilinde alınmaması gereken harç, vergi ve ücretler şunlardır:"…</w:t>
      </w:r>
    </w:p>
    <w:p w14:paraId="2FC3751E" w14:textId="77777777" w:rsidR="00CD462C" w:rsidRPr="00745B51" w:rsidRDefault="00CD462C" w:rsidP="00CD462C">
      <w:pPr>
        <w:pStyle w:val="AralkYok"/>
        <w:jc w:val="both"/>
        <w:rPr>
          <w:rFonts w:ascii="Times New Roman" w:hAnsi="Times New Roman" w:cs="Times New Roman"/>
          <w:color w:val="FF0000"/>
          <w:sz w:val="24"/>
          <w:szCs w:val="24"/>
        </w:rPr>
      </w:pPr>
      <w:r w:rsidRPr="00745B51">
        <w:rPr>
          <w:rFonts w:ascii="Times New Roman" w:hAnsi="Times New Roman" w:cs="Times New Roman"/>
          <w:color w:val="FF0000"/>
          <w:sz w:val="24"/>
          <w:szCs w:val="24"/>
        </w:rPr>
        <w:t>a)</w:t>
      </w:r>
      <w:r w:rsidRPr="00745B51">
        <w:rPr>
          <w:rFonts w:ascii="Times New Roman" w:hAnsi="Times New Roman" w:cs="Times New Roman"/>
          <w:color w:val="FF0000"/>
          <w:sz w:val="24"/>
          <w:szCs w:val="24"/>
        </w:rPr>
        <w:tab/>
        <w:t>2/7/1964 tarihli ve 492 sayılı Harçlar Kanununun 38 inci maddesi uyarınca alınan noter harçları.</w:t>
      </w:r>
    </w:p>
    <w:p w14:paraId="7870D5D7" w14:textId="77777777" w:rsidR="00CD462C" w:rsidRPr="00745B51" w:rsidRDefault="00CD462C" w:rsidP="00CD462C">
      <w:pPr>
        <w:pStyle w:val="AralkYok"/>
        <w:jc w:val="both"/>
        <w:rPr>
          <w:rFonts w:ascii="Times New Roman" w:hAnsi="Times New Roman" w:cs="Times New Roman"/>
          <w:color w:val="FF0000"/>
          <w:sz w:val="24"/>
          <w:szCs w:val="24"/>
        </w:rPr>
      </w:pPr>
      <w:r w:rsidRPr="00745B51">
        <w:rPr>
          <w:rFonts w:ascii="Times New Roman" w:hAnsi="Times New Roman" w:cs="Times New Roman"/>
          <w:color w:val="FF0000"/>
          <w:sz w:val="24"/>
          <w:szCs w:val="24"/>
        </w:rPr>
        <w:t>ç) 1/7/1964 tarihli ve 488 sayılı Damga Vergisi Kanunu uyarınca damga vergisine tâbi kâğıtlar sebebiyle alınan damga vergisi.</w:t>
      </w:r>
    </w:p>
    <w:p w14:paraId="1BC8800F" w14:textId="77777777" w:rsidR="00CD462C" w:rsidRDefault="00CD462C" w:rsidP="00CD462C">
      <w:r w:rsidRPr="004040ED">
        <w:t>f)</w:t>
      </w:r>
      <w:r w:rsidRPr="004040ED">
        <w:tab/>
        <w:t>Kurum ve kuruluşlarca döner sermaye ücreti adı altında alınan bütün ücretler ile riskli olarak tespit edilen yapı ile bu yapının yerine yapılacak yeni yapıya ilişkin olarak belediye meclisi kararı ile belirlenen ve alınan her türlü ücret." Hükümleri çerçevesinde</w:t>
      </w:r>
    </w:p>
    <w:p w14:paraId="75E5891A" w14:textId="77777777" w:rsidR="00CD462C" w:rsidRDefault="00CD462C" w:rsidP="00CD462C">
      <w:r>
        <w:t>6306 sayılı kanun kapsamında harçtan muaftır.</w:t>
      </w:r>
    </w:p>
    <w:p w14:paraId="01C9997E" w14:textId="77777777" w:rsidR="00CD462C" w:rsidRDefault="00CD462C" w:rsidP="00CD462C">
      <w:r>
        <w:t xml:space="preserve">(Noterlikçe Harç Muafiyeti Uygulanması için ek risk analiz raporu veya riskli yapı belirtmesi tesis </w:t>
      </w:r>
      <w:proofErr w:type="gramStart"/>
      <w:r>
        <w:t>edilen  taşınmaza</w:t>
      </w:r>
      <w:proofErr w:type="gramEnd"/>
      <w:r>
        <w:t xml:space="preserve"> ait tapu kaydı)</w:t>
      </w:r>
    </w:p>
    <w:p w14:paraId="2E1231BE" w14:textId="77777777" w:rsidR="0099124F" w:rsidRDefault="00E15661" w:rsidP="00200F63">
      <w:pPr>
        <w:autoSpaceDE w:val="0"/>
        <w:autoSpaceDN w:val="0"/>
        <w:adjustRightInd w:val="0"/>
        <w:rPr>
          <w:rFonts w:eastAsiaTheme="minorHAnsi"/>
          <w:lang w:eastAsia="en-US"/>
        </w:rPr>
      </w:pPr>
      <w:r w:rsidRPr="00745B51">
        <w:rPr>
          <w:rFonts w:eastAsiaTheme="minorHAnsi"/>
          <w:color w:val="FF0000"/>
          <w:lang w:eastAsia="en-US"/>
        </w:rPr>
        <w:t>E-devlet hizmetlerinin yürütülmesine ilişkin usul v</w:t>
      </w:r>
      <w:r w:rsidR="00200F63" w:rsidRPr="00745B51">
        <w:rPr>
          <w:rFonts w:eastAsiaTheme="minorHAnsi"/>
          <w:color w:val="FF0000"/>
          <w:lang w:eastAsia="en-US"/>
        </w:rPr>
        <w:t>e esaslar hakkında yönetmeliğin Kamu kurum ve kuruluşlarının görev ve sorumlulukları başlıklı, 7 maddesinin 1 inci fıkrasının; l) bendinde ; “Kamu kurum ve kuruluşları sundukları hizmetler veya diğer işlemleri kapsamında gerçek</w:t>
      </w:r>
      <w:r w:rsidR="00A2151E" w:rsidRPr="00745B51">
        <w:rPr>
          <w:rFonts w:eastAsiaTheme="minorHAnsi"/>
          <w:color w:val="FF0000"/>
          <w:lang w:eastAsia="en-US"/>
        </w:rPr>
        <w:t xml:space="preserve"> </w:t>
      </w:r>
      <w:r w:rsidR="00200F63" w:rsidRPr="00745B51">
        <w:rPr>
          <w:rFonts w:eastAsiaTheme="minorHAnsi"/>
          <w:color w:val="FF0000"/>
          <w:lang w:eastAsia="en-US"/>
        </w:rPr>
        <w:t>veya tüzel kişileri doğrudan etkileyebilecek durumlar için e-Devlet Kapısı üzerinden resmi tebligat</w:t>
      </w:r>
      <w:r w:rsidR="00A2151E" w:rsidRPr="00745B51">
        <w:rPr>
          <w:rFonts w:eastAsiaTheme="minorHAnsi"/>
          <w:color w:val="FF0000"/>
          <w:lang w:eastAsia="en-US"/>
        </w:rPr>
        <w:t xml:space="preserve"> </w:t>
      </w:r>
      <w:r w:rsidR="00200F63" w:rsidRPr="00745B51">
        <w:rPr>
          <w:rFonts w:eastAsiaTheme="minorHAnsi"/>
          <w:color w:val="FF0000"/>
          <w:lang w:eastAsia="en-US"/>
        </w:rPr>
        <w:t>kabul edilmeyecek bildirimlerin yapılmasını sağlayacak alt yapının geliştirilmesine yönelik hazırlık</w:t>
      </w:r>
      <w:r w:rsidR="00A2151E" w:rsidRPr="00745B51">
        <w:rPr>
          <w:rFonts w:eastAsiaTheme="minorHAnsi"/>
          <w:color w:val="FF0000"/>
          <w:lang w:eastAsia="en-US"/>
        </w:rPr>
        <w:t xml:space="preserve"> </w:t>
      </w:r>
      <w:r w:rsidR="00200F63" w:rsidRPr="00745B51">
        <w:rPr>
          <w:rFonts w:eastAsiaTheme="minorHAnsi"/>
          <w:color w:val="FF0000"/>
          <w:lang w:eastAsia="en-US"/>
        </w:rPr>
        <w:t>çalışmalarını yapar</w:t>
      </w:r>
      <w:r w:rsidR="00A2151E" w:rsidRPr="00745B51">
        <w:rPr>
          <w:rFonts w:eastAsiaTheme="minorHAnsi"/>
          <w:color w:val="FF0000"/>
          <w:lang w:eastAsia="en-US"/>
        </w:rPr>
        <w:t>.” Kapsamında Cep iletişim numaraları</w:t>
      </w:r>
      <w:r w:rsidR="00745B51">
        <w:rPr>
          <w:rFonts w:eastAsiaTheme="minorHAnsi"/>
          <w:color w:val="FF0000"/>
          <w:lang w:eastAsia="en-US"/>
        </w:rPr>
        <w:t xml:space="preserve"> mutlaka yazılmalıdır.</w:t>
      </w:r>
      <w:r w:rsidR="00A2151E" w:rsidRPr="00745B51">
        <w:rPr>
          <w:rFonts w:eastAsiaTheme="minorHAnsi"/>
          <w:color w:val="FF0000"/>
          <w:lang w:eastAsia="en-US"/>
        </w:rPr>
        <w:t xml:space="preserve"> varsa Ev Numaraları yazılmalıdır.</w:t>
      </w:r>
    </w:p>
    <w:p w14:paraId="0B0B1DFF" w14:textId="77777777" w:rsidR="00C947B7" w:rsidRPr="00AC3290" w:rsidRDefault="00C947B7" w:rsidP="00C947B7">
      <w:pPr>
        <w:pStyle w:val="Default"/>
        <w:rPr>
          <w:rFonts w:eastAsia="Times New Roman"/>
          <w:b/>
          <w:color w:val="FF0000"/>
          <w:lang w:eastAsia="tr-TR"/>
        </w:rPr>
      </w:pPr>
      <w:proofErr w:type="gramStart"/>
      <w:r w:rsidRPr="001247CF">
        <w:rPr>
          <w:rFonts w:eastAsia="Times New Roman"/>
          <w:lang w:eastAsia="tr-TR"/>
        </w:rPr>
        <w:t>soğuk</w:t>
      </w:r>
      <w:proofErr w:type="gramEnd"/>
      <w:r w:rsidRPr="001247CF">
        <w:rPr>
          <w:rFonts w:eastAsia="Times New Roman"/>
          <w:lang w:eastAsia="tr-TR"/>
        </w:rPr>
        <w:t xml:space="preserve"> damga basılması uygulamasının titizlikle yerine getirilmesi hususu 2017/123 sayılı</w:t>
      </w:r>
      <w:r>
        <w:t xml:space="preserve"> Genel Yazı ile tüm noterliklere  duyurulduğu,</w:t>
      </w:r>
      <w:r w:rsidRPr="00C947B7">
        <w:t xml:space="preserve"> </w:t>
      </w:r>
      <w:r>
        <w:t xml:space="preserve"> </w:t>
      </w:r>
      <w:r>
        <w:rPr>
          <w:sz w:val="22"/>
          <w:szCs w:val="22"/>
        </w:rPr>
        <w:t xml:space="preserve">12.06.2019 tarih ve </w:t>
      </w:r>
      <w:r>
        <w:t xml:space="preserve"> </w:t>
      </w:r>
      <w:r>
        <w:rPr>
          <w:sz w:val="22"/>
          <w:szCs w:val="22"/>
        </w:rPr>
        <w:t xml:space="preserve">26450 sayı ve </w:t>
      </w:r>
      <w:r w:rsidRPr="00C947B7">
        <w:rPr>
          <w:sz w:val="22"/>
          <w:szCs w:val="22"/>
        </w:rPr>
        <w:t>G E N E L G E</w:t>
      </w:r>
      <w:r>
        <w:rPr>
          <w:sz w:val="22"/>
          <w:szCs w:val="22"/>
        </w:rPr>
        <w:t xml:space="preserve"> </w:t>
      </w:r>
      <w:r w:rsidRPr="00C947B7">
        <w:rPr>
          <w:sz w:val="22"/>
          <w:szCs w:val="22"/>
        </w:rPr>
        <w:t>No. (10)</w:t>
      </w:r>
      <w:r>
        <w:rPr>
          <w:sz w:val="22"/>
          <w:szCs w:val="22"/>
        </w:rPr>
        <w:t xml:space="preserve"> ile ayrıca duyurulduğu, </w:t>
      </w:r>
      <w:r w:rsidRPr="00AC3290">
        <w:rPr>
          <w:b/>
          <w:color w:val="FF0000"/>
          <w:sz w:val="22"/>
          <w:szCs w:val="22"/>
        </w:rPr>
        <w:t>Tüm Noterlik</w:t>
      </w:r>
      <w:r w:rsidR="00DA4366" w:rsidRPr="00AC3290">
        <w:rPr>
          <w:b/>
          <w:color w:val="FF0000"/>
          <w:sz w:val="22"/>
          <w:szCs w:val="22"/>
        </w:rPr>
        <w:t>çe düzenlenen belgelerde soğuk M</w:t>
      </w:r>
      <w:r w:rsidRPr="00AC3290">
        <w:rPr>
          <w:b/>
          <w:color w:val="FF0000"/>
          <w:sz w:val="22"/>
          <w:szCs w:val="22"/>
        </w:rPr>
        <w:t>ühür</w:t>
      </w:r>
      <w:r w:rsidR="00DA4366" w:rsidRPr="00AC3290">
        <w:rPr>
          <w:b/>
          <w:color w:val="FF0000"/>
          <w:sz w:val="22"/>
          <w:szCs w:val="22"/>
        </w:rPr>
        <w:t xml:space="preserve">’ </w:t>
      </w:r>
      <w:r w:rsidRPr="00AC3290">
        <w:rPr>
          <w:b/>
          <w:color w:val="FF0000"/>
          <w:sz w:val="22"/>
          <w:szCs w:val="22"/>
        </w:rPr>
        <w:t xml:space="preserve">ün </w:t>
      </w:r>
      <w:r w:rsidR="00A32983">
        <w:rPr>
          <w:b/>
          <w:color w:val="FF0000"/>
          <w:sz w:val="22"/>
          <w:szCs w:val="22"/>
        </w:rPr>
        <w:t xml:space="preserve">(soğuk damga ) </w:t>
      </w:r>
      <w:r w:rsidRPr="00AC3290">
        <w:rPr>
          <w:b/>
          <w:color w:val="FF0000"/>
          <w:sz w:val="22"/>
          <w:szCs w:val="22"/>
        </w:rPr>
        <w:t xml:space="preserve">olması gerektiği hususunda Bilgilerinize Sunulur. </w:t>
      </w:r>
    </w:p>
    <w:p w14:paraId="448A6D31" w14:textId="77777777" w:rsidR="00C947B7" w:rsidRPr="00200F63" w:rsidRDefault="00C947B7" w:rsidP="00200F63">
      <w:pPr>
        <w:autoSpaceDE w:val="0"/>
        <w:autoSpaceDN w:val="0"/>
        <w:adjustRightInd w:val="0"/>
      </w:pPr>
    </w:p>
    <w:sectPr w:rsidR="00C947B7" w:rsidRPr="00200F63" w:rsidSect="00431ACA">
      <w:pgSz w:w="11906" w:h="16838"/>
      <w:pgMar w:top="794" w:right="851" w:bottom="29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4F"/>
    <w:rsid w:val="000C021B"/>
    <w:rsid w:val="00136EBB"/>
    <w:rsid w:val="00200F63"/>
    <w:rsid w:val="00210CD9"/>
    <w:rsid w:val="002438E7"/>
    <w:rsid w:val="00325174"/>
    <w:rsid w:val="003B65BD"/>
    <w:rsid w:val="00431ACA"/>
    <w:rsid w:val="0058705D"/>
    <w:rsid w:val="005E529A"/>
    <w:rsid w:val="0068721A"/>
    <w:rsid w:val="006D0D7F"/>
    <w:rsid w:val="006F0B0A"/>
    <w:rsid w:val="0071613A"/>
    <w:rsid w:val="007347F2"/>
    <w:rsid w:val="00745B51"/>
    <w:rsid w:val="00774E73"/>
    <w:rsid w:val="008B3801"/>
    <w:rsid w:val="00902087"/>
    <w:rsid w:val="009630F3"/>
    <w:rsid w:val="0099124F"/>
    <w:rsid w:val="009B2F24"/>
    <w:rsid w:val="009B547A"/>
    <w:rsid w:val="00A2151E"/>
    <w:rsid w:val="00A32983"/>
    <w:rsid w:val="00A41C72"/>
    <w:rsid w:val="00A8147B"/>
    <w:rsid w:val="00A9246F"/>
    <w:rsid w:val="00AC3290"/>
    <w:rsid w:val="00C351D3"/>
    <w:rsid w:val="00C947B7"/>
    <w:rsid w:val="00CD462C"/>
    <w:rsid w:val="00DA4366"/>
    <w:rsid w:val="00E15661"/>
    <w:rsid w:val="00E222E0"/>
    <w:rsid w:val="00EE1C54"/>
    <w:rsid w:val="00F20C06"/>
    <w:rsid w:val="00FE6D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AA48"/>
  <w15:chartTrackingRefBased/>
  <w15:docId w15:val="{A798ED3E-2FC5-41FE-8711-0CBF2536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4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51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51D3"/>
    <w:rPr>
      <w:rFonts w:ascii="Segoe UI" w:eastAsia="Times New Roman" w:hAnsi="Segoe UI" w:cs="Segoe UI"/>
      <w:sz w:val="18"/>
      <w:szCs w:val="18"/>
      <w:lang w:eastAsia="tr-TR"/>
    </w:rPr>
  </w:style>
  <w:style w:type="paragraph" w:styleId="AralkYok">
    <w:name w:val="No Spacing"/>
    <w:uiPriority w:val="1"/>
    <w:qFormat/>
    <w:rsid w:val="00CD462C"/>
    <w:pPr>
      <w:spacing w:after="0" w:line="240" w:lineRule="auto"/>
    </w:pPr>
  </w:style>
  <w:style w:type="paragraph" w:customStyle="1" w:styleId="Default">
    <w:name w:val="Default"/>
    <w:rsid w:val="00C947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656</Words>
  <Characters>3745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Mucayit Ersoy</dc:creator>
  <cp:keywords/>
  <dc:description/>
  <cp:lastModifiedBy>Mücayit Ersoy</cp:lastModifiedBy>
  <cp:revision>143</cp:revision>
  <cp:lastPrinted>2019-02-27T14:15:00Z</cp:lastPrinted>
  <dcterms:created xsi:type="dcterms:W3CDTF">2018-05-15T13:32:00Z</dcterms:created>
  <dcterms:modified xsi:type="dcterms:W3CDTF">2025-05-14T13:24:00Z</dcterms:modified>
</cp:coreProperties>
</file>