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21" w:rsidRPr="00E8370B" w:rsidRDefault="00BC5A21" w:rsidP="00BC5A21">
      <w:pPr>
        <w:ind w:firstLine="708"/>
        <w:jc w:val="both"/>
        <w:rPr>
          <w:rFonts w:ascii="Times New Roman" w:hAnsi="Times New Roman" w:cs="Times New Roman"/>
          <w:sz w:val="24"/>
          <w:szCs w:val="24"/>
        </w:rPr>
      </w:pPr>
      <w:r w:rsidRPr="00E8370B">
        <w:rPr>
          <w:rFonts w:ascii="Times New Roman" w:hAnsi="Times New Roman" w:cs="Times New Roman"/>
          <w:sz w:val="24"/>
          <w:szCs w:val="24"/>
        </w:rPr>
        <w:t xml:space="preserve">6306 sayılı Afet Riski Altındaki Alanların Dönüştürülmesi Hakkında Kanunun </w:t>
      </w:r>
      <w:r w:rsidRPr="00E8370B">
        <w:rPr>
          <w:rFonts w:ascii="Times New Roman" w:hAnsi="Times New Roman" w:cs="Times New Roman"/>
          <w:sz w:val="24"/>
          <w:szCs w:val="24"/>
          <w:u w:val="single"/>
        </w:rPr>
        <w:t>7. Maddesinin 9. Fıkrasında</w:t>
      </w:r>
      <w:r w:rsidRPr="00E8370B">
        <w:rPr>
          <w:rFonts w:ascii="Times New Roman" w:hAnsi="Times New Roman" w:cs="Times New Roman"/>
          <w:sz w:val="24"/>
          <w:szCs w:val="24"/>
        </w:rPr>
        <w:t>; (</w:t>
      </w:r>
      <w:r w:rsidRPr="00E8370B">
        <w:rPr>
          <w:rFonts w:ascii="Times New Roman" w:hAnsi="Times New Roman" w:cs="Times New Roman"/>
          <w:b/>
          <w:sz w:val="24"/>
          <w:szCs w:val="24"/>
        </w:rPr>
        <w:t>Değişiklik;</w:t>
      </w:r>
      <w:r w:rsidRPr="00E8370B">
        <w:rPr>
          <w:rFonts w:ascii="Times New Roman" w:hAnsi="Times New Roman" w:cs="Times New Roman"/>
          <w:sz w:val="24"/>
          <w:szCs w:val="24"/>
        </w:rPr>
        <w:t xml:space="preserve"> 10.12.2018 tarih ve 30621 sayılı Resmi Gazete)  </w:t>
      </w:r>
      <w:r w:rsidRPr="00E8370B">
        <w:rPr>
          <w:rFonts w:ascii="Times New Roman" w:hAnsi="Times New Roman" w:cs="Times New Roman"/>
          <w:b/>
          <w:sz w:val="24"/>
          <w:szCs w:val="24"/>
        </w:rPr>
        <w:t xml:space="preserve">“ Bu Kanun uyarınca yapılacak olan ve Bakanlık, TOKİ, İller Bankası Anonim Şirketi, İdare ve dönüşüme konu yapıların inşası işini yüklenen </w:t>
      </w:r>
      <w:proofErr w:type="gramStart"/>
      <w:r w:rsidRPr="00E8370B">
        <w:rPr>
          <w:rFonts w:ascii="Times New Roman" w:hAnsi="Times New Roman" w:cs="Times New Roman"/>
          <w:b/>
          <w:sz w:val="24"/>
          <w:szCs w:val="24"/>
        </w:rPr>
        <w:t>müteahhit</w:t>
      </w:r>
      <w:proofErr w:type="gramEnd"/>
      <w:r w:rsidRPr="00E8370B">
        <w:rPr>
          <w:rFonts w:ascii="Times New Roman" w:hAnsi="Times New Roman" w:cs="Times New Roman"/>
          <w:b/>
          <w:sz w:val="24"/>
          <w:szCs w:val="24"/>
        </w:rPr>
        <w:t xml:space="preserve"> ile malik ve en az bir yıldır kiracı veya sınırlı ayni hak sahibi olarak riskli yapıyı kullanan gerçek kişiler veya özel hukuk tüzel kişilerinden birinin taraf olduğu;</w:t>
      </w:r>
    </w:p>
    <w:p w:rsidR="00BC5A21" w:rsidRPr="00E8370B" w:rsidRDefault="00BC5A21" w:rsidP="00BC5A21">
      <w:pPr>
        <w:ind w:firstLine="708"/>
        <w:jc w:val="both"/>
        <w:rPr>
          <w:rFonts w:ascii="Times New Roman" w:hAnsi="Times New Roman" w:cs="Times New Roman"/>
          <w:b/>
          <w:sz w:val="24"/>
          <w:szCs w:val="24"/>
        </w:rPr>
      </w:pPr>
      <w:r w:rsidRPr="00E8370B">
        <w:rPr>
          <w:rFonts w:ascii="Times New Roman" w:hAnsi="Times New Roman" w:cs="Times New Roman"/>
          <w:b/>
          <w:sz w:val="24"/>
          <w:szCs w:val="24"/>
        </w:rPr>
        <w:t xml:space="preserve">a) Bu Kanun kapsamındaki yapıların dönüşüme tabi tutulmadan önce ilk satışı, devri, tescili ve ipotek tesis edilmesi işlemleri ile bu Kanun kapsamında yapılacak uygulamalar neticesinde meydana gelen yeni yapıların malik, işi yüklenen </w:t>
      </w:r>
      <w:proofErr w:type="gramStart"/>
      <w:r w:rsidRPr="00E8370B">
        <w:rPr>
          <w:rFonts w:ascii="Times New Roman" w:hAnsi="Times New Roman" w:cs="Times New Roman"/>
          <w:b/>
          <w:sz w:val="24"/>
          <w:szCs w:val="24"/>
        </w:rPr>
        <w:t>müteahhit</w:t>
      </w:r>
      <w:proofErr w:type="gramEnd"/>
      <w:r w:rsidRPr="00E8370B">
        <w:rPr>
          <w:rFonts w:ascii="Times New Roman" w:hAnsi="Times New Roman" w:cs="Times New Roman"/>
          <w:b/>
          <w:sz w:val="24"/>
          <w:szCs w:val="24"/>
        </w:rPr>
        <w:t xml:space="preserve"> ve en az bir yıldır kiracı veya sınırlı ayni hak sahibi olarak riskli yapıyı kullanan gerçek kişiler veya özel hukuk tüzel kişilerine ilk satışı, devri, tescili ve ipotek tesis edilmesi işlemleri,</w:t>
      </w:r>
      <w:bookmarkStart w:id="0" w:name="_GoBack"/>
      <w:bookmarkEnd w:id="0"/>
    </w:p>
    <w:p w:rsidR="00BC5A21" w:rsidRPr="00E8370B" w:rsidRDefault="00BC5A21" w:rsidP="00BC5A21">
      <w:pPr>
        <w:ind w:firstLine="708"/>
        <w:jc w:val="both"/>
        <w:rPr>
          <w:rFonts w:ascii="Times New Roman" w:hAnsi="Times New Roman" w:cs="Times New Roman"/>
          <w:b/>
          <w:sz w:val="24"/>
          <w:szCs w:val="24"/>
        </w:rPr>
      </w:pPr>
      <w:r w:rsidRPr="00E8370B">
        <w:rPr>
          <w:rFonts w:ascii="Times New Roman" w:hAnsi="Times New Roman" w:cs="Times New Roman"/>
          <w:b/>
          <w:sz w:val="24"/>
          <w:szCs w:val="24"/>
        </w:rPr>
        <w:t>b) Bu Kanun kapsamındaki bir yapıdan dolayı, bu Kanun kapsamındaki parsellerde veya alanlarda veya söz konusu parsel ve alanların dışındaki parsellerde yeni bir yapı yapılması ya da mevcut bir yapının satın alınması veya ipotek tesis edilmesi işlemleri,</w:t>
      </w:r>
    </w:p>
    <w:p w:rsidR="00BC5A21" w:rsidRPr="00E8370B" w:rsidRDefault="00BC5A21" w:rsidP="00BC5A21">
      <w:pPr>
        <w:ind w:firstLine="708"/>
        <w:jc w:val="both"/>
        <w:rPr>
          <w:rFonts w:ascii="Times New Roman" w:hAnsi="Times New Roman" w:cs="Times New Roman"/>
          <w:b/>
          <w:sz w:val="24"/>
          <w:szCs w:val="24"/>
        </w:rPr>
      </w:pPr>
      <w:r w:rsidRPr="00E8370B">
        <w:rPr>
          <w:rFonts w:ascii="Times New Roman" w:hAnsi="Times New Roman" w:cs="Times New Roman"/>
          <w:b/>
          <w:sz w:val="24"/>
          <w:szCs w:val="24"/>
        </w:rPr>
        <w:t xml:space="preserve">c) Kanun kapsamında yapılacak uygulamalar neticesinde meydana gelen yeni yapıların işi yüklenen </w:t>
      </w:r>
      <w:proofErr w:type="gramStart"/>
      <w:r w:rsidRPr="00E8370B">
        <w:rPr>
          <w:rFonts w:ascii="Times New Roman" w:hAnsi="Times New Roman" w:cs="Times New Roman"/>
          <w:b/>
          <w:sz w:val="24"/>
          <w:szCs w:val="24"/>
        </w:rPr>
        <w:t>müteahhit</w:t>
      </w:r>
      <w:proofErr w:type="gramEnd"/>
      <w:r w:rsidRPr="00E8370B">
        <w:rPr>
          <w:rFonts w:ascii="Times New Roman" w:hAnsi="Times New Roman" w:cs="Times New Roman"/>
          <w:b/>
          <w:sz w:val="24"/>
          <w:szCs w:val="24"/>
        </w:rPr>
        <w:t>, Bakanlık, TOKİ, İller Bankası Anonim Şirketi, İdare ve bunların iştirakleri tarafından gerçekleştirilecek ilk satışı, devri, tescili ve ipotek tesis edilmesi işlemleri,</w:t>
      </w:r>
    </w:p>
    <w:p w:rsidR="00BC5A21" w:rsidRPr="00E8370B" w:rsidRDefault="00BC5A21" w:rsidP="00BC5A21">
      <w:pPr>
        <w:ind w:firstLine="708"/>
        <w:jc w:val="both"/>
        <w:rPr>
          <w:rFonts w:ascii="Times New Roman" w:hAnsi="Times New Roman" w:cs="Times New Roman"/>
          <w:b/>
          <w:sz w:val="24"/>
          <w:szCs w:val="24"/>
          <w:u w:val="single"/>
        </w:rPr>
      </w:pPr>
      <w:proofErr w:type="gramStart"/>
      <w:r w:rsidRPr="00E8370B">
        <w:rPr>
          <w:rFonts w:ascii="Times New Roman" w:hAnsi="Times New Roman" w:cs="Times New Roman"/>
          <w:b/>
          <w:sz w:val="24"/>
          <w:szCs w:val="24"/>
          <w:u w:val="single"/>
        </w:rPr>
        <w:t>ile</w:t>
      </w:r>
      <w:proofErr w:type="gramEnd"/>
      <w:r w:rsidRPr="00E8370B">
        <w:rPr>
          <w:rFonts w:ascii="Times New Roman" w:hAnsi="Times New Roman" w:cs="Times New Roman"/>
          <w:b/>
          <w:sz w:val="24"/>
          <w:szCs w:val="24"/>
          <w:u w:val="single"/>
        </w:rPr>
        <w:t xml:space="preserve"> bu bentlerde belirtilen yapıların dönüşümüne ilişkin olarak Kanun uyarınca yapılacak diğer işlemler noter harcı, tapu harcı, belediyelerce alınan ücret ve harçlardan, veraset ve intikal vergisi, döner sermaye ücreti ve diğer ücretlerden, bu işlemler nedeniyle düzenlenecek kâğıtlar, resmî dairelerin mal ve hizmet alımlarına ilişkin ödemeler sebebiyle düzenlenen kâğıtlar da dahil olmak üzere damga vergisinden, bu Kanun kapsamındaki yapıların maliklerine ve malik olmasalar bile bu yapılarda kiracı veya sınırlı ayni hak sahibi olarak en az bir yıldır ikamet ettiği veya bunlarda işyeri bulunduğu tespit edilenlere bu amaçlarla kullandırılan krediler dolayısıyla lehe alınacak paralar, banka ve sigorta muameleleri vergisinden istisnadır. Bu Kanun kapsamındaki iş, işlem ve uygulamalar, Bakanlık, TOKİ, İller Bankası Anonim Şirketi ve İdarenin, sermayesinin yarısından fazlasına sahip oldukları şirketleri tarafından yürütülüyor ise, bu şirketlerce yapılan iş, işlem ve uygulamalarda da bu fıkrada belirtilen vergi, harç ve ücret muafiyetleri uygulanır.</w:t>
      </w:r>
    </w:p>
    <w:p w:rsidR="00D62CA8" w:rsidRDefault="00BC5A21" w:rsidP="00BC5A21">
      <w:r w:rsidRPr="0099201B">
        <w:rPr>
          <w:rFonts w:ascii="Times New Roman" w:hAnsi="Times New Roman" w:cs="Times New Roman"/>
          <w:color w:val="000000" w:themeColor="text1"/>
          <w:sz w:val="24"/>
          <w:szCs w:val="24"/>
        </w:rPr>
        <w:t xml:space="preserve">Ayrıca, söz konusu Kanunun 10. Fıkrasında; </w:t>
      </w:r>
      <w:r w:rsidRPr="0099201B">
        <w:rPr>
          <w:rFonts w:ascii="Times New Roman" w:hAnsi="Times New Roman" w:cs="Times New Roman"/>
          <w:i/>
          <w:color w:val="000000" w:themeColor="text1"/>
          <w:sz w:val="24"/>
          <w:szCs w:val="24"/>
        </w:rPr>
        <w:t>“</w:t>
      </w:r>
      <w:r w:rsidRPr="0099201B">
        <w:rPr>
          <w:rFonts w:ascii="Times New Roman" w:hAnsi="Times New Roman" w:cs="Times New Roman"/>
          <w:b/>
          <w:i/>
          <w:color w:val="000000" w:themeColor="text1"/>
          <w:sz w:val="24"/>
          <w:szCs w:val="24"/>
        </w:rPr>
        <w:t xml:space="preserve">Riskli alanlarda, rezerv yapı alanlarında ve riskli yapıların bulunduğu parsellerde, gerçek kişilerce ve özel hukuk tüzel kişilerince uygulamada bulunulması halinde, fonksiyon değişikliğine bakılmaksızın, mevcut inşaat alanının </w:t>
      </w:r>
      <w:r w:rsidRPr="0099201B">
        <w:rPr>
          <w:rFonts w:ascii="Times New Roman" w:hAnsi="Times New Roman" w:cs="Times New Roman"/>
          <w:b/>
          <w:i/>
          <w:color w:val="000000" w:themeColor="text1"/>
          <w:sz w:val="24"/>
          <w:szCs w:val="24"/>
          <w:u w:val="single"/>
        </w:rPr>
        <w:t>bir buçuk katına kadar</w:t>
      </w:r>
      <w:r w:rsidRPr="0099201B">
        <w:rPr>
          <w:rFonts w:ascii="Times New Roman" w:hAnsi="Times New Roman" w:cs="Times New Roman"/>
          <w:b/>
          <w:i/>
          <w:color w:val="000000" w:themeColor="text1"/>
          <w:sz w:val="24"/>
          <w:szCs w:val="24"/>
        </w:rPr>
        <w:t xml:space="preserve"> olan yeni inşaat alanı için belediyelerce harç ve ücret alınmaz. Yeni inşaat konut ve işyerinden oluşuyor ise, muaf olunan inşaat alanı, yeni inşa edilen binadaki konut ve işyerinin bina içindeki metrekare cinsinden oranları çerçevesinde uygulanır.” </w:t>
      </w:r>
      <w:r w:rsidR="00AB2D22">
        <w:rPr>
          <w:rFonts w:ascii="Times New Roman" w:hAnsi="Times New Roman" w:cs="Times New Roman"/>
          <w:color w:val="000000" w:themeColor="text1"/>
          <w:sz w:val="24"/>
          <w:szCs w:val="24"/>
        </w:rPr>
        <w:t>hükmü yer almaktadır.</w:t>
      </w:r>
    </w:p>
    <w:sectPr w:rsidR="00D62CA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99" w:rsidRDefault="005C2999" w:rsidP="00B376E1">
      <w:pPr>
        <w:spacing w:after="0" w:line="240" w:lineRule="auto"/>
      </w:pPr>
      <w:r>
        <w:separator/>
      </w:r>
    </w:p>
  </w:endnote>
  <w:endnote w:type="continuationSeparator" w:id="0">
    <w:p w:rsidR="005C2999" w:rsidRDefault="005C2999" w:rsidP="00B3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99" w:rsidRDefault="005C2999" w:rsidP="00B376E1">
      <w:pPr>
        <w:spacing w:after="0" w:line="240" w:lineRule="auto"/>
      </w:pPr>
      <w:r>
        <w:separator/>
      </w:r>
    </w:p>
  </w:footnote>
  <w:footnote w:type="continuationSeparator" w:id="0">
    <w:p w:rsidR="005C2999" w:rsidRDefault="005C2999" w:rsidP="00B37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6E1" w:rsidRPr="00B376E1" w:rsidRDefault="00B376E1" w:rsidP="00B376E1">
    <w:pPr>
      <w:pStyle w:val="stBilgi"/>
      <w:jc w:val="center"/>
      <w:rPr>
        <w:rFonts w:ascii="Times New Roman" w:hAnsi="Times New Roman" w:cs="Times New Roman"/>
        <w:b/>
        <w:sz w:val="40"/>
        <w:u w:val="single"/>
      </w:rPr>
    </w:pPr>
    <w:r w:rsidRPr="00B376E1">
      <w:rPr>
        <w:rFonts w:ascii="Times New Roman" w:hAnsi="Times New Roman" w:cs="Times New Roman"/>
        <w:b/>
        <w:sz w:val="40"/>
        <w:u w:val="single"/>
      </w:rPr>
      <w:t>HARÇ MUAFİYETİ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91"/>
    <w:rsid w:val="005C2999"/>
    <w:rsid w:val="00AB2D22"/>
    <w:rsid w:val="00B376E1"/>
    <w:rsid w:val="00BC5A21"/>
    <w:rsid w:val="00D62CA8"/>
    <w:rsid w:val="00D96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6F55"/>
  <w15:chartTrackingRefBased/>
  <w15:docId w15:val="{20B2194B-9C96-4006-8493-B407F41D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2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76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76E1"/>
    <w:rPr>
      <w:rFonts w:eastAsiaTheme="minorEastAsia"/>
      <w:lang w:eastAsia="tr-TR"/>
    </w:rPr>
  </w:style>
  <w:style w:type="paragraph" w:styleId="AltBilgi">
    <w:name w:val="footer"/>
    <w:basedOn w:val="Normal"/>
    <w:link w:val="AltBilgiChar"/>
    <w:uiPriority w:val="99"/>
    <w:unhideWhenUsed/>
    <w:rsid w:val="00B376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76E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Aras</dc:creator>
  <cp:keywords/>
  <dc:description/>
  <cp:lastModifiedBy>Sinan Aras</cp:lastModifiedBy>
  <cp:revision>4</cp:revision>
  <dcterms:created xsi:type="dcterms:W3CDTF">2023-03-31T07:27:00Z</dcterms:created>
  <dcterms:modified xsi:type="dcterms:W3CDTF">2023-03-31T07:28:00Z</dcterms:modified>
</cp:coreProperties>
</file>