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E3" w:rsidRPr="00C73EA0" w:rsidRDefault="00C628E3" w:rsidP="00C62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3EA0">
        <w:rPr>
          <w:rFonts w:ascii="Times New Roman" w:hAnsi="Times New Roman" w:cs="Times New Roman"/>
          <w:b/>
          <w:sz w:val="24"/>
          <w:szCs w:val="24"/>
        </w:rPr>
        <w:t>STRATEJİK ÇEVRESEL DEĞERLENDİRME:</w:t>
      </w:r>
    </w:p>
    <w:p w:rsidR="007B783B" w:rsidRPr="007B783B" w:rsidRDefault="007B783B" w:rsidP="007B7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83B" w:rsidRDefault="007B783B" w:rsidP="007B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A0">
        <w:rPr>
          <w:rFonts w:ascii="Times New Roman" w:hAnsi="Times New Roman" w:cs="Times New Roman"/>
          <w:sz w:val="24"/>
          <w:szCs w:val="24"/>
        </w:rPr>
        <w:t>Sürdürülebilir kalkınmanın uygulamaya dönük bir aracı olan Stratejik Çevresel Değerlendirme (SÇD), plan, program ve politikaların çevre üzerindeki olası olumsuz etkilerinin değerlendirilmesi ve bu etkilerin en aza indirgenmesi süreci</w:t>
      </w:r>
      <w:r>
        <w:rPr>
          <w:rFonts w:ascii="Times New Roman" w:hAnsi="Times New Roman" w:cs="Times New Roman"/>
          <w:sz w:val="24"/>
          <w:szCs w:val="24"/>
        </w:rPr>
        <w:t xml:space="preserve">dir. </w:t>
      </w:r>
      <w:r w:rsidRPr="00C73EA0">
        <w:rPr>
          <w:rFonts w:ascii="Times New Roman" w:hAnsi="Times New Roman" w:cs="Times New Roman"/>
          <w:sz w:val="24"/>
          <w:szCs w:val="24"/>
        </w:rPr>
        <w:t xml:space="preserve">SÇD, üst düzeyde çevrenin korunmasını sağlamak, plan ve programların hazırlanması ve onayı/kabulü aşamasına sürdürülebilir kalkınma ilkesi doğrultusunda çevresel faktörlerin </w:t>
      </w:r>
      <w:proofErr w:type="gramStart"/>
      <w:r w:rsidRPr="00C73EA0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Pr="00C73EA0">
        <w:rPr>
          <w:rFonts w:ascii="Times New Roman" w:hAnsi="Times New Roman" w:cs="Times New Roman"/>
          <w:sz w:val="24"/>
          <w:szCs w:val="24"/>
        </w:rPr>
        <w:t xml:space="preserve"> edilmesine katkıda bulunmak üzere uygulanan bir değerlendirme sürecidir.</w:t>
      </w:r>
    </w:p>
    <w:p w:rsidR="007B783B" w:rsidRDefault="007B783B" w:rsidP="007B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3B" w:rsidRDefault="007B783B" w:rsidP="007B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74C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5E59EF54" wp14:editId="3B3F45D4">
                <wp:extent cx="3238500" cy="2457450"/>
                <wp:effectExtent l="0" t="0" r="19050" b="19050"/>
                <wp:docPr id="2" name="Tu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50" y="151462"/>
                            <a:ext cx="1181100" cy="3429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83B" w:rsidRPr="003D54E4" w:rsidRDefault="007B783B" w:rsidP="007B783B">
                              <w:pPr>
                                <w:jc w:val="center"/>
                              </w:pPr>
                              <w:r>
                                <w:t>Politika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150" y="589806"/>
                            <a:ext cx="1181100" cy="3429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83B" w:rsidRPr="003D54E4" w:rsidRDefault="007B783B" w:rsidP="007B783B">
                              <w:pPr>
                                <w:jc w:val="center"/>
                              </w:pPr>
                              <w:r>
                                <w:t>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0" y="1038353"/>
                            <a:ext cx="1181100" cy="3327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83B" w:rsidRPr="003D54E4" w:rsidRDefault="007B783B" w:rsidP="007B783B">
                              <w:pPr>
                                <w:jc w:val="center"/>
                              </w:pPr>
                              <w: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514475" y="228131"/>
                            <a:ext cx="1600200" cy="1000594"/>
                          </a:xfrm>
                          <a:prstGeom prst="leftArrow">
                            <a:avLst>
                              <a:gd name="adj1" fmla="val 50000"/>
                              <a:gd name="adj2" fmla="val 34025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83B" w:rsidRPr="003D54E4" w:rsidRDefault="007B783B" w:rsidP="007B783B">
                              <w:pPr>
                                <w:jc w:val="center"/>
                              </w:pPr>
                              <w:r>
                                <w:t>Stratejik Çevresel Değerlendirme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514475" y="1542229"/>
                            <a:ext cx="1600200" cy="886646"/>
                          </a:xfrm>
                          <a:prstGeom prst="leftArrow">
                            <a:avLst>
                              <a:gd name="adj1" fmla="val 50000"/>
                              <a:gd name="adj2" fmla="val 52083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83B" w:rsidRPr="003D54E4" w:rsidRDefault="007B783B" w:rsidP="007B783B">
                              <w:pPr>
                                <w:jc w:val="center"/>
                              </w:pPr>
                              <w:r>
                                <w:t>Çevresel Etki Değerlendirmesi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150" y="1837940"/>
                            <a:ext cx="1181100" cy="409389"/>
                          </a:xfrm>
                          <a:prstGeom prst="rect">
                            <a:avLst/>
                          </a:prstGeom>
                          <a:solidFill>
                            <a:srgbClr val="969696">
                              <a:alpha val="2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83B" w:rsidRPr="00901450" w:rsidRDefault="007B783B" w:rsidP="007B783B">
                              <w:pPr>
                                <w:jc w:val="center"/>
                              </w:pPr>
                              <w:r>
                                <w:t>Projeler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59EF54" id="Tuval 14" o:spid="_x0000_s1026" editas="canvas" style="width:255pt;height:193.5pt;mso-position-horizontal-relative:char;mso-position-vertical-relative:line" coordsize="32385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;height:24574;visibility:visible;mso-wrap-style:square" stroked="t">
                  <v:fill o:detectmouseclick="t"/>
                  <v:path o:connecttype="none"/>
                </v:shape>
                <v:rect id="Rectangle 12" o:spid="_x0000_s1028" style="position:absolute;left:571;top:1514;width:1181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" fillcolor="silver">
                  <v:textbox>
                    <w:txbxContent>
                      <w:p w:rsidR="007B783B" w:rsidRPr="003D54E4" w:rsidRDefault="007B783B" w:rsidP="007B783B">
                        <w:pPr>
                          <w:jc w:val="center"/>
                        </w:pPr>
                        <w:r>
                          <w:t>Politika</w:t>
                        </w:r>
                      </w:p>
                    </w:txbxContent>
                  </v:textbox>
                </v:rect>
                <v:rect id="Rectangle 13" o:spid="_x0000_s1029" style="position:absolute;left:571;top:5898;width:1181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" fillcolor="silver">
                  <v:textbox>
                    <w:txbxContent>
                      <w:p w:rsidR="007B783B" w:rsidRPr="003D54E4" w:rsidRDefault="007B783B" w:rsidP="007B783B">
                        <w:pPr>
                          <w:jc w:val="center"/>
                        </w:pPr>
                        <w:r>
                          <w:t>Plan</w:t>
                        </w:r>
                      </w:p>
                    </w:txbxContent>
                  </v:textbox>
                </v:rect>
                <v:rect id="Rectangle 14" o:spid="_x0000_s1030" style="position:absolute;left:571;top:10383;width:11811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" fillcolor="silver">
                  <v:textbox>
                    <w:txbxContent>
                      <w:p w:rsidR="007B783B" w:rsidRPr="003D54E4" w:rsidRDefault="007B783B" w:rsidP="007B783B">
                        <w:pPr>
                          <w:jc w:val="center"/>
                        </w:pPr>
                        <w:r>
                          <w:t>Program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5" o:spid="_x0000_s1031" type="#_x0000_t66" style="position:absolute;left:15144;top:2281;width:16002;height:10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" adj="4596" fillcolor="#8db3e2 [1311]">
                  <v:textbox>
                    <w:txbxContent>
                      <w:p w:rsidR="007B783B" w:rsidRPr="003D54E4" w:rsidRDefault="007B783B" w:rsidP="007B783B">
                        <w:pPr>
                          <w:jc w:val="center"/>
                        </w:pPr>
                        <w:r>
                          <w:t>Stratejik Çevresel Değerlendirme</w:t>
                        </w:r>
                      </w:p>
                    </w:txbxContent>
                  </v:textbox>
                </v:shape>
                <v:shape id="AutoShape 16" o:spid="_x0000_s1032" type="#_x0000_t66" style="position:absolute;left:15144;top:15422;width:16002;height:8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" adj="6233" fillcolor="#8db3e2 [1311]">
                  <v:textbox>
                    <w:txbxContent>
                      <w:p w:rsidR="007B783B" w:rsidRPr="003D54E4" w:rsidRDefault="007B783B" w:rsidP="007B783B">
                        <w:pPr>
                          <w:jc w:val="center"/>
                        </w:pPr>
                        <w:r>
                          <w:t>Çevresel Etki Değerlendirmesi</w:t>
                        </w:r>
                      </w:p>
                    </w:txbxContent>
                  </v:textbox>
                </v:shape>
                <v:rect id="Rectangle 17" o:spid="_x0000_s1033" style="position:absolute;left:571;top:18379;width:11811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" fillcolor="#969696">
                  <v:fill opacity="17733f"/>
                  <v:textbox>
                    <w:txbxContent>
                      <w:p w:rsidR="007B783B" w:rsidRPr="00901450" w:rsidRDefault="007B783B" w:rsidP="007B783B">
                        <w:pPr>
                          <w:jc w:val="center"/>
                        </w:pPr>
                        <w:r>
                          <w:t>Projeler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783B" w:rsidRDefault="007B783B" w:rsidP="007B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3B" w:rsidRDefault="007B783B" w:rsidP="007B7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Stratejik Çevresel Değerlendirme Yönetmeliği, Avrupa Birliği’ne uyum süreci çerçevesinde sürdürülebilir kalkınmanın sağlanmasına yönelik olarak ÇED sürecini desteklemek ve kolaylaştırmak ve aynı zamanda bölgesel anlamda birden fazla projenin </w:t>
      </w:r>
      <w:proofErr w:type="gramStart"/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>kümülatif</w:t>
      </w:r>
      <w:proofErr w:type="gramEnd"/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etkilerinin değerlendirilmesinin sağlanması amacıyla hazırlanmış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B7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8 Nisan 2017</w:t>
      </w:r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Resmi </w:t>
      </w:r>
      <w:proofErr w:type="spellStart"/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yayımlanarak yürürlüğe girmiştir. </w:t>
      </w:r>
    </w:p>
    <w:p w:rsidR="007B783B" w:rsidRPr="007B783B" w:rsidRDefault="007B783B" w:rsidP="007B7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83B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>Stratejik Çevresel Değerlendirme (SÇD) Yönetmeliği ile çevre kirliliğinin oluşmadan önlenmesi ve sürdürülebilir bir gelecek için “</w:t>
      </w:r>
      <w:r w:rsidRPr="007B7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çevre duyarlı kalkınma”</w:t>
      </w:r>
      <w:r w:rsidRPr="007B7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hedeflenmektedir.  </w:t>
      </w:r>
    </w:p>
    <w:p w:rsidR="007B783B" w:rsidRPr="007B783B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83B" w:rsidRDefault="007B783B" w:rsidP="007B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3B" w:rsidRDefault="007B783B" w:rsidP="007B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3B" w:rsidRPr="00C73EA0" w:rsidRDefault="007B783B" w:rsidP="007B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E3" w:rsidRDefault="00C628E3" w:rsidP="00C62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309" w:rsidRDefault="008E6309"/>
    <w:sectPr w:rsidR="008E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E3"/>
    <w:rsid w:val="00454254"/>
    <w:rsid w:val="007B783B"/>
    <w:rsid w:val="008E6309"/>
    <w:rsid w:val="009832D7"/>
    <w:rsid w:val="00C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4867-A808-478A-A7DF-BACC3F5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Şahin Hamamcı</dc:creator>
  <cp:lastModifiedBy>Hakan Acar</cp:lastModifiedBy>
  <cp:revision>2</cp:revision>
  <dcterms:created xsi:type="dcterms:W3CDTF">2019-09-05T12:04:00Z</dcterms:created>
  <dcterms:modified xsi:type="dcterms:W3CDTF">2019-09-05T12:04:00Z</dcterms:modified>
</cp:coreProperties>
</file>