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FAD8" w14:textId="77777777" w:rsidR="00F03B77" w:rsidRDefault="00F03B77" w:rsidP="00D77A1C">
      <w:pPr>
        <w:jc w:val="center"/>
        <w:rPr>
          <w:rFonts w:ascii="Arial" w:hAnsi="Arial" w:cs="Arial"/>
          <w:b/>
        </w:rPr>
      </w:pPr>
    </w:p>
    <w:p w14:paraId="78925963" w14:textId="6E891B08" w:rsidR="005F4F9C" w:rsidRDefault="005F4F9C" w:rsidP="00D77A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SÇD </w:t>
      </w:r>
      <w:r w:rsidRPr="00D35784">
        <w:rPr>
          <w:rFonts w:ascii="Arial" w:hAnsi="Arial" w:cs="Arial"/>
          <w:b/>
        </w:rPr>
        <w:t>GEREKÇELİ KARAR</w:t>
      </w:r>
      <w:r>
        <w:rPr>
          <w:rFonts w:ascii="Arial" w:hAnsi="Arial" w:cs="Arial"/>
          <w:b/>
        </w:rPr>
        <w:t>I</w:t>
      </w:r>
    </w:p>
    <w:p w14:paraId="531BDA0E" w14:textId="77777777" w:rsidR="00F03B77" w:rsidRPr="00D77A1C" w:rsidRDefault="00F03B77" w:rsidP="00D77A1C">
      <w:pPr>
        <w:jc w:val="center"/>
        <w:rPr>
          <w:rFonts w:ascii="Arial" w:hAnsi="Arial" w:cs="Arial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7"/>
        <w:gridCol w:w="5745"/>
      </w:tblGrid>
      <w:tr w:rsidR="005F4F9C" w:rsidRPr="00D35784" w14:paraId="239BA27B" w14:textId="77777777" w:rsidTr="004F54B7">
        <w:trPr>
          <w:trHeight w:val="709"/>
        </w:trPr>
        <w:tc>
          <w:tcPr>
            <w:tcW w:w="3369" w:type="dxa"/>
          </w:tcPr>
          <w:p w14:paraId="217C17EA" w14:textId="77777777" w:rsidR="005F4F9C" w:rsidRPr="00C70CC5" w:rsidRDefault="005F4F9C" w:rsidP="005F4F9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C5">
              <w:rPr>
                <w:rFonts w:ascii="Times New Roman" w:hAnsi="Times New Roman" w:cs="Times New Roman"/>
                <w:b/>
                <w:sz w:val="24"/>
                <w:szCs w:val="24"/>
              </w:rPr>
              <w:t>Plan/Program adı</w:t>
            </w:r>
          </w:p>
        </w:tc>
        <w:tc>
          <w:tcPr>
            <w:tcW w:w="5843" w:type="dxa"/>
          </w:tcPr>
          <w:p w14:paraId="30AE23AE" w14:textId="6982B5DB" w:rsidR="005F4F9C" w:rsidRPr="00C70CC5" w:rsidRDefault="00160332" w:rsidP="00C70CC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A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Türkiye’nin İkinci Ulusal Katkı Beyanı (NDC 3.0)</w:t>
            </w:r>
          </w:p>
        </w:tc>
      </w:tr>
      <w:tr w:rsidR="005F4F9C" w:rsidRPr="00D35784" w14:paraId="408B7616" w14:textId="77777777" w:rsidTr="004F54B7">
        <w:tc>
          <w:tcPr>
            <w:tcW w:w="3369" w:type="dxa"/>
          </w:tcPr>
          <w:p w14:paraId="24B4FB1D" w14:textId="77777777" w:rsidR="005F4F9C" w:rsidRPr="00C70CC5" w:rsidRDefault="005F4F9C" w:rsidP="005F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24460" w14:textId="77777777" w:rsidR="005F4F9C" w:rsidRPr="00C70CC5" w:rsidRDefault="005F4F9C" w:rsidP="005F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C5">
              <w:rPr>
                <w:rFonts w:ascii="Times New Roman" w:hAnsi="Times New Roman" w:cs="Times New Roman"/>
                <w:b/>
                <w:sz w:val="24"/>
                <w:szCs w:val="24"/>
              </w:rPr>
              <w:t>Yetkili Kurum</w:t>
            </w:r>
          </w:p>
          <w:p w14:paraId="2DD60399" w14:textId="77777777" w:rsidR="005F4F9C" w:rsidRPr="00C70CC5" w:rsidRDefault="005F4F9C" w:rsidP="005F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3" w:type="dxa"/>
          </w:tcPr>
          <w:p w14:paraId="01B17E42" w14:textId="77777777" w:rsidR="00160332" w:rsidRPr="004D3A56" w:rsidRDefault="00160332" w:rsidP="0016033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Çevre Şehircilik ve İklim Değişikliği Bakanlığı/ İklim Değişikliği Başkanlığı</w:t>
            </w:r>
          </w:p>
          <w:p w14:paraId="195DDA46" w14:textId="74FBF9F7" w:rsidR="00926E29" w:rsidRPr="00C70CC5" w:rsidRDefault="00926E29" w:rsidP="0092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F9C" w:rsidRPr="00D35784" w14:paraId="2FB39E0A" w14:textId="77777777" w:rsidTr="00D77A1C">
        <w:trPr>
          <w:trHeight w:val="783"/>
        </w:trPr>
        <w:tc>
          <w:tcPr>
            <w:tcW w:w="3369" w:type="dxa"/>
          </w:tcPr>
          <w:p w14:paraId="413E0ED9" w14:textId="77777777" w:rsidR="005F4F9C" w:rsidRPr="00C70CC5" w:rsidRDefault="005F4F9C" w:rsidP="005F4F9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C5">
              <w:rPr>
                <w:rFonts w:ascii="Times New Roman" w:hAnsi="Times New Roman" w:cs="Times New Roman"/>
                <w:b/>
                <w:sz w:val="24"/>
                <w:szCs w:val="24"/>
              </w:rPr>
              <w:t>Plan/Programın durumu</w:t>
            </w:r>
          </w:p>
        </w:tc>
        <w:tc>
          <w:tcPr>
            <w:tcW w:w="5843" w:type="dxa"/>
          </w:tcPr>
          <w:p w14:paraId="0911AE62" w14:textId="77777777" w:rsidR="005F4F9C" w:rsidRDefault="00825AF8" w:rsidP="00597ED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A61">
              <w:rPr>
                <w:rFonts w:ascii="Times New Roman" w:hAnsi="Times New Roman" w:cs="Times New Roman"/>
                <w:sz w:val="24"/>
                <w:szCs w:val="24"/>
              </w:rPr>
              <w:t xml:space="preserve">Planlama </w:t>
            </w:r>
            <w:r w:rsidR="00597EDE" w:rsidRPr="00AA4A61">
              <w:rPr>
                <w:rFonts w:ascii="Times New Roman" w:hAnsi="Times New Roman" w:cs="Times New Roman"/>
                <w:sz w:val="24"/>
                <w:szCs w:val="24"/>
              </w:rPr>
              <w:t xml:space="preserve">çalışmaları </w:t>
            </w:r>
            <w:r w:rsidR="00160332" w:rsidRPr="00AA4A61">
              <w:rPr>
                <w:rFonts w:ascii="Times New Roman" w:hAnsi="Times New Roman" w:cs="Times New Roman"/>
                <w:sz w:val="24"/>
                <w:szCs w:val="24"/>
              </w:rPr>
              <w:t>devam etmektedir.</w:t>
            </w:r>
          </w:p>
          <w:p w14:paraId="04CC610B" w14:textId="01B21A7A" w:rsidR="00AA4A61" w:rsidRPr="00AA4A61" w:rsidRDefault="00AA4A61" w:rsidP="00AA4A61">
            <w:pPr>
              <w:pStyle w:val="NormalWeb"/>
              <w:jc w:val="both"/>
              <w:rPr>
                <w:b/>
                <w:i/>
              </w:rPr>
            </w:pPr>
            <w:r w:rsidRPr="004D3A56">
              <w:t>NDC 3.0 belgesinin 2025 yılı sonuna kadar tamamlanarak UNFCCC Sekretaryasına sunulması ve kamuoyu ile paylaşılması planlanmaktadır</w:t>
            </w:r>
            <w:r w:rsidR="002F3ED8">
              <w:t>.</w:t>
            </w:r>
          </w:p>
        </w:tc>
      </w:tr>
      <w:tr w:rsidR="005F4F9C" w:rsidRPr="00D35784" w14:paraId="78B59B93" w14:textId="77777777" w:rsidTr="004F54B7">
        <w:tc>
          <w:tcPr>
            <w:tcW w:w="3369" w:type="dxa"/>
          </w:tcPr>
          <w:p w14:paraId="18C2C492" w14:textId="77777777" w:rsidR="005F4F9C" w:rsidRPr="00C70CC5" w:rsidRDefault="005F4F9C" w:rsidP="005F4F9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C5">
              <w:rPr>
                <w:rFonts w:ascii="Times New Roman" w:hAnsi="Times New Roman" w:cs="Times New Roman"/>
                <w:b/>
                <w:sz w:val="24"/>
                <w:szCs w:val="24"/>
              </w:rPr>
              <w:t>Plan/Programın Duyarlı Yöreler üzerine etkisi var mı?</w:t>
            </w:r>
          </w:p>
        </w:tc>
        <w:tc>
          <w:tcPr>
            <w:tcW w:w="5843" w:type="dxa"/>
          </w:tcPr>
          <w:p w14:paraId="5491CEC1" w14:textId="5260EDD0" w:rsidR="00794D13" w:rsidRPr="00C70CC5" w:rsidRDefault="004F1BD1" w:rsidP="00794D13">
            <w:pPr>
              <w:pStyle w:val="NormalWeb"/>
              <w:jc w:val="both"/>
            </w:pPr>
            <w:r w:rsidRPr="00506545">
              <w:rPr>
                <w:color w:val="000000" w:themeColor="text1"/>
              </w:rPr>
              <w:t>Türkiye’nin iklim değişikliğine uyum politikalarına yönelik olarak tarım, ormancılık, su, afet risk yönetimi, şehircilik, kırsal kalkınma ve halk sağlığı sek</w:t>
            </w:r>
            <w:r w:rsidR="00794D13">
              <w:rPr>
                <w:color w:val="000000" w:themeColor="text1"/>
              </w:rPr>
              <w:t xml:space="preserve">törlerinde uyuma katkı sağlayan </w:t>
            </w:r>
            <w:r w:rsidR="00794D13" w:rsidRPr="00506545">
              <w:rPr>
                <w:color w:val="000000" w:themeColor="text1"/>
              </w:rPr>
              <w:t>mevcut politika/plan/p</w:t>
            </w:r>
            <w:r w:rsidR="00794D13">
              <w:rPr>
                <w:color w:val="000000" w:themeColor="text1"/>
              </w:rPr>
              <w:t xml:space="preserve">rogram/stratejilerde yer alan uyum ve azaltım hedeflerine yer verildiği </w:t>
            </w:r>
            <w:r w:rsidR="00794D13" w:rsidRPr="00506545">
              <w:rPr>
                <w:color w:val="000000" w:themeColor="text1"/>
              </w:rPr>
              <w:t>anlaşılmaktadır</w:t>
            </w:r>
            <w:r w:rsidR="00794D13">
              <w:rPr>
                <w:color w:val="000000" w:themeColor="text1"/>
              </w:rPr>
              <w:t>.</w:t>
            </w:r>
          </w:p>
        </w:tc>
      </w:tr>
      <w:tr w:rsidR="005F4F9C" w:rsidRPr="00D35784" w14:paraId="7D313638" w14:textId="77777777" w:rsidTr="004F54B7">
        <w:tc>
          <w:tcPr>
            <w:tcW w:w="3369" w:type="dxa"/>
          </w:tcPr>
          <w:p w14:paraId="6A1E51F5" w14:textId="77777777" w:rsidR="005F4F9C" w:rsidRPr="00C70CC5" w:rsidRDefault="005F4F9C" w:rsidP="005F4F9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C5">
              <w:rPr>
                <w:rFonts w:ascii="Times New Roman" w:hAnsi="Times New Roman" w:cs="Times New Roman"/>
                <w:b/>
                <w:sz w:val="24"/>
                <w:szCs w:val="24"/>
              </w:rPr>
              <w:t>Plan/Program ÇED uygulamasını gerektiren projeler için çerçeve oluşturuyor mu?</w:t>
            </w:r>
          </w:p>
        </w:tc>
        <w:tc>
          <w:tcPr>
            <w:tcW w:w="5843" w:type="dxa"/>
          </w:tcPr>
          <w:p w14:paraId="283B1213" w14:textId="07107356" w:rsidR="00794D13" w:rsidRPr="006D0D8A" w:rsidRDefault="00A5770E" w:rsidP="00794D1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0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Türkiye’nin </w:t>
            </w:r>
            <w:r w:rsidR="004F1BD1" w:rsidRPr="0050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İkinci </w:t>
            </w:r>
            <w:r w:rsidRPr="0050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Ulusal Katkı Beyanı</w:t>
            </w:r>
            <w:r w:rsidR="004F1BD1" w:rsidRPr="0050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0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azaltım politikaları altında enerji sektörü, sanayi sektörü, ulaştırma sektörü, tarım sektörü, bina sektörü, atık sektörü ve arazi kullanımı, arazi kullanım değişikliği ve ormancılık </w:t>
            </w:r>
            <w:r w:rsidR="004F1BD1" w:rsidRPr="0050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vb.</w:t>
            </w:r>
            <w:r w:rsidR="0050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sektör</w:t>
            </w:r>
            <w:r w:rsidR="004F1BD1" w:rsidRPr="0050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lerini</w:t>
            </w:r>
            <w:r w:rsidRPr="0050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kapsa</w:t>
            </w:r>
            <w:r w:rsidR="004F1BD1" w:rsidRPr="0050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yan </w:t>
            </w:r>
            <w:r w:rsidRPr="0050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 kapsamlı azaltım ve uyum eylemlerinin yanı sıra uygulama araçlarına yönelik d</w:t>
            </w:r>
            <w:r w:rsidR="004F1BD1" w:rsidRPr="0050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eğerlendirmeleri de içeren beyan niteliğinde bir dokümandır.</w:t>
            </w:r>
            <w:r w:rsidRPr="0050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Her sektöre yönelik başlıca yol gösterici politika belgeleri ve sektörel mevzuatlar ile Türkiye'nin öne çıkan azaltı</w:t>
            </w:r>
            <w:r w:rsidR="004F1BD1" w:rsidRPr="0050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 politikaları dâhil edilmektedir</w:t>
            </w:r>
            <w:r w:rsidR="004F1BD1" w:rsidRPr="005065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</w:tr>
      <w:tr w:rsidR="005F4F9C" w:rsidRPr="00D35784" w14:paraId="1945798B" w14:textId="77777777" w:rsidTr="00D77A1C">
        <w:trPr>
          <w:trHeight w:val="1009"/>
        </w:trPr>
        <w:tc>
          <w:tcPr>
            <w:tcW w:w="3369" w:type="dxa"/>
          </w:tcPr>
          <w:p w14:paraId="63FA01F2" w14:textId="77777777" w:rsidR="005F4F9C" w:rsidRPr="00C70CC5" w:rsidRDefault="005F4F9C" w:rsidP="005F4F9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C5">
              <w:rPr>
                <w:rFonts w:ascii="Times New Roman" w:hAnsi="Times New Roman" w:cs="Times New Roman"/>
                <w:b/>
                <w:sz w:val="24"/>
                <w:szCs w:val="24"/>
              </w:rPr>
              <w:t>Plan/Programın diğer plan/programlarla etkileşimi var mı?</w:t>
            </w:r>
          </w:p>
        </w:tc>
        <w:tc>
          <w:tcPr>
            <w:tcW w:w="5843" w:type="dxa"/>
          </w:tcPr>
          <w:p w14:paraId="092987A5" w14:textId="5FAC9B11" w:rsidR="005F4F9C" w:rsidRPr="00EA72DD" w:rsidRDefault="00295EE8" w:rsidP="00EA72D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</w:t>
            </w:r>
            <w:r w:rsidRPr="004D3A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Türkiye’nin İkinci Ulusal Katkı Beyanı (NDC 3.0)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” üst ölçekli bir çerçeve belgesi olup; “</w:t>
            </w:r>
            <w:r w:rsidRPr="00B731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İklim Değişikliğine Uyum Stratejisi ve Eylem Planı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”, </w:t>
            </w:r>
            <w:r w:rsidRPr="00B731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  <w:r w:rsidRPr="00B731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İklim Değişikliği Azaltım Stratejisi ve Eylem Planı” ve “</w:t>
            </w:r>
            <w:r w:rsidRPr="00B731EA">
              <w:rPr>
                <w:rFonts w:ascii="Times New Roman" w:hAnsi="Times New Roman" w:cs="Times New Roman"/>
                <w:sz w:val="24"/>
                <w:szCs w:val="24"/>
              </w:rPr>
              <w:t>Türkiye’nin Uzun Dönemli İklim Stratejisi (2053 Net Sıfır Emisyon Hedefi)”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belgeleri ile doğrudan ilişkilidir.</w:t>
            </w:r>
          </w:p>
        </w:tc>
      </w:tr>
      <w:tr w:rsidR="005F4F9C" w:rsidRPr="00D35784" w14:paraId="1045E0BC" w14:textId="77777777" w:rsidTr="004F54B7">
        <w:trPr>
          <w:trHeight w:val="711"/>
        </w:trPr>
        <w:tc>
          <w:tcPr>
            <w:tcW w:w="3369" w:type="dxa"/>
          </w:tcPr>
          <w:p w14:paraId="1954909B" w14:textId="77777777" w:rsidR="005F4F9C" w:rsidRPr="002E1FD9" w:rsidRDefault="005F4F9C" w:rsidP="005F4F9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FD9">
              <w:rPr>
                <w:rFonts w:ascii="Times New Roman" w:hAnsi="Times New Roman" w:cs="Times New Roman"/>
                <w:b/>
                <w:sz w:val="24"/>
                <w:szCs w:val="24"/>
              </w:rPr>
              <w:t>Plan/Program ile ortaya çıkması muhtemel çevresel sorunlar var m</w:t>
            </w:r>
            <w:r w:rsidR="0078579C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  <w:r w:rsidRPr="002E1FD9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5843" w:type="dxa"/>
          </w:tcPr>
          <w:p w14:paraId="5C3C4C3E" w14:textId="0D342F1B" w:rsidR="005F4F9C" w:rsidRPr="000F2FF8" w:rsidRDefault="000F2FF8" w:rsidP="000F2FF8">
            <w:pPr>
              <w:pStyle w:val="NormalWeb"/>
              <w:jc w:val="both"/>
            </w:pPr>
            <w:r w:rsidRPr="004D3A56">
              <w:t>Fosil yakıt kullanımının azaltılması hava kalitesini iyileştirecek; Enerji verimliliği ve yenilenebilir enerji yatırımları sera gazı emisyonlarını düşürecek; Ulaşımda elektrifikasyon ile, gürültü ve hava kirliliğini azaltılacak, Sanayide düşük karbonlu üretim, atık ve su kirliliğini sınırlayacak</w:t>
            </w:r>
            <w:r>
              <w:t>tır</w:t>
            </w:r>
            <w:r w:rsidRPr="004D3A56">
              <w:t>.</w:t>
            </w:r>
          </w:p>
        </w:tc>
      </w:tr>
      <w:tr w:rsidR="005F4F9C" w:rsidRPr="00D35784" w14:paraId="0845591A" w14:textId="77777777" w:rsidTr="004F54B7">
        <w:trPr>
          <w:trHeight w:val="711"/>
        </w:trPr>
        <w:tc>
          <w:tcPr>
            <w:tcW w:w="3369" w:type="dxa"/>
          </w:tcPr>
          <w:p w14:paraId="63CB4996" w14:textId="77777777" w:rsidR="005F4F9C" w:rsidRPr="002E1FD9" w:rsidRDefault="00CA2410" w:rsidP="005F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61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Plan/Program</w:t>
            </w:r>
            <w:r w:rsidR="005F4F9C" w:rsidRPr="00BE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çevre mevzuatının uygulaması kapsamında bulunuyor mu?</w:t>
            </w:r>
          </w:p>
        </w:tc>
        <w:tc>
          <w:tcPr>
            <w:tcW w:w="5843" w:type="dxa"/>
          </w:tcPr>
          <w:p w14:paraId="07C76A4A" w14:textId="2728B697" w:rsidR="005F4F9C" w:rsidRPr="002E1FD9" w:rsidRDefault="000F2FF8" w:rsidP="006E72EC">
            <w:pPr>
              <w:pStyle w:val="NormalWeb"/>
              <w:jc w:val="both"/>
              <w:rPr>
                <w:highlight w:val="yellow"/>
              </w:rPr>
            </w:pPr>
            <w:r w:rsidRPr="004D3A56">
              <w:t>Türkiye’nin İkinci Ulusal Katkı Beyanı (NDC 3.0)</w:t>
            </w:r>
            <w:r>
              <w:t xml:space="preserve"> belgesi; </w:t>
            </w:r>
            <w:r w:rsidRPr="004D3A56">
              <w:t xml:space="preserve">İklim Kanunu, Birleşmiş Milletler İklim Değişikliği Çerçeve Sözleşmesi (BMİDÇS) kapsamında Paris Anlaşmasına taraf olunması </w:t>
            </w:r>
            <w:r>
              <w:t>kapsamında hazırlanmaktadır.</w:t>
            </w:r>
          </w:p>
        </w:tc>
      </w:tr>
      <w:tr w:rsidR="005F4F9C" w:rsidRPr="00D35784" w14:paraId="66DEC956" w14:textId="77777777" w:rsidTr="004F54B7">
        <w:tc>
          <w:tcPr>
            <w:tcW w:w="3369" w:type="dxa"/>
          </w:tcPr>
          <w:p w14:paraId="6777E11B" w14:textId="77777777" w:rsidR="005F4F9C" w:rsidRPr="00BE61EE" w:rsidRDefault="005F4F9C" w:rsidP="005F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EE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  <w:tc>
          <w:tcPr>
            <w:tcW w:w="5843" w:type="dxa"/>
          </w:tcPr>
          <w:p w14:paraId="7D03BE84" w14:textId="2C6874F2" w:rsidR="00BE61EE" w:rsidRPr="00982C1E" w:rsidRDefault="00BE61EE" w:rsidP="00457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9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A4A61" w:rsidRPr="004D3A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Türkiye’nin İkinci Ulusal Katkı Beyanı (NDC 3.0)</w:t>
            </w:r>
            <w:r w:rsidR="00CF234B" w:rsidRPr="00823D9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23D9F">
              <w:rPr>
                <w:rFonts w:ascii="Times New Roman" w:hAnsi="Times New Roman" w:cs="Times New Roman"/>
                <w:sz w:val="24"/>
                <w:szCs w:val="24"/>
              </w:rPr>
              <w:t xml:space="preserve"> SÇD Yönetmeliği Ek-1 listesi</w:t>
            </w:r>
            <w:r w:rsidR="00CF234B" w:rsidRPr="00823D9F">
              <w:rPr>
                <w:rFonts w:ascii="Times New Roman" w:hAnsi="Times New Roman" w:cs="Times New Roman"/>
                <w:sz w:val="24"/>
                <w:szCs w:val="24"/>
              </w:rPr>
              <w:t>nde yer almamakla beraber</w:t>
            </w:r>
            <w:r w:rsidRPr="00823D9F">
              <w:rPr>
                <w:rFonts w:ascii="Times New Roman" w:hAnsi="Times New Roman" w:cs="Times New Roman"/>
                <w:sz w:val="24"/>
                <w:szCs w:val="24"/>
              </w:rPr>
              <w:t xml:space="preserve"> 2nci maddenin birinci fıkrası kapsamında bulunan planlar kapsamında olduğundan S</w:t>
            </w:r>
            <w:r w:rsidR="00CF234B" w:rsidRPr="00823D9F">
              <w:rPr>
                <w:rFonts w:ascii="Times New Roman" w:hAnsi="Times New Roman" w:cs="Times New Roman"/>
                <w:sz w:val="24"/>
                <w:szCs w:val="24"/>
              </w:rPr>
              <w:t>ÇD’ye tabi olup olmayacağının</w:t>
            </w:r>
            <w:r w:rsidRPr="00823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C1E">
              <w:rPr>
                <w:rFonts w:ascii="Times New Roman" w:hAnsi="Times New Roman" w:cs="Times New Roman"/>
                <w:sz w:val="24"/>
                <w:szCs w:val="24"/>
              </w:rPr>
              <w:t xml:space="preserve">belirlenmesi amacıyla Yönetmelik Ek-2’de yer alan eleme süreci yürütülmüştür. Eleme Formunda belirtildiği üzere </w:t>
            </w:r>
          </w:p>
          <w:p w14:paraId="3E5B40A1" w14:textId="79AFF48B" w:rsidR="00982C1E" w:rsidRPr="0045756F" w:rsidRDefault="00982C1E" w:rsidP="00457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Türkiye’nin İkinci Ulusal Katkı Beyanı (NDC 3.0) </w:t>
            </w:r>
            <w:r w:rsidRPr="00982C1E">
              <w:rPr>
                <w:rFonts w:ascii="Times New Roman" w:hAnsi="Times New Roman" w:cs="Times New Roman"/>
                <w:sz w:val="24"/>
                <w:szCs w:val="24"/>
              </w:rPr>
              <w:t xml:space="preserve">belgesinin 2025 yılı sonuna kadar tamamlanarak </w:t>
            </w:r>
            <w:hyperlink r:id="rId5" w:anchor=":~:text=S%C3%B6zle%C5%9Fme%3B%20insan%20kaynakl%C4%B1%20%C3%A7evresel%20kirliliklerin,belli%20bir%20seviyede%20tutmay%C4%B1%20ama%C3%A7lamaktad%C4%B1r." w:history="1">
              <w:r w:rsidR="0045756F" w:rsidRPr="0045756F">
                <w:t xml:space="preserve"> </w:t>
              </w:r>
              <w:r w:rsidR="0045756F" w:rsidRPr="0045756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Birleşmiş Milletler İklim Değişikliği Çerçeve Sözleşmesi</w:t>
              </w:r>
            </w:hyperlink>
            <w:r w:rsidR="0045756F" w:rsidRPr="004575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5756F">
              <w:rPr>
                <w:rFonts w:ascii="Times New Roman" w:hAnsi="Times New Roman" w:cs="Times New Roman"/>
                <w:sz w:val="24"/>
                <w:szCs w:val="24"/>
              </w:rPr>
              <w:t>UNFCCC</w:t>
            </w:r>
            <w:r w:rsidR="0045756F" w:rsidRPr="00457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5756F">
              <w:rPr>
                <w:rFonts w:ascii="Times New Roman" w:hAnsi="Times New Roman" w:cs="Times New Roman"/>
                <w:sz w:val="24"/>
                <w:szCs w:val="24"/>
              </w:rPr>
              <w:t xml:space="preserve"> Sekretaryasına sunulması ve kamuoyu ile paylaşılması planlanmaktadır.</w:t>
            </w:r>
          </w:p>
          <w:p w14:paraId="08E5760D" w14:textId="65EE9954" w:rsidR="00982C1E" w:rsidRPr="00982C1E" w:rsidRDefault="00982C1E" w:rsidP="00BE6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E5DB1" w14:textId="4A3BE317" w:rsidR="009F2EEB" w:rsidRDefault="00BE61EE" w:rsidP="00BE61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3D9F">
              <w:rPr>
                <w:rFonts w:ascii="Times New Roman" w:hAnsi="Times New Roman" w:cs="Times New Roman"/>
                <w:sz w:val="24"/>
                <w:szCs w:val="24"/>
              </w:rPr>
              <w:t xml:space="preserve">Söz konusu </w:t>
            </w:r>
            <w:r w:rsidR="0045756F" w:rsidRPr="004D3A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Türkiye’nin İkinci Ulusal Katkı Beyanı (NDC 3.0)</w:t>
            </w:r>
            <w:r w:rsidR="004575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belgesi ulusal düzeyde hazırlanan ve uygulanan üst ölçekli bir politika belgesidir.</w:t>
            </w:r>
            <w:r w:rsidR="006E72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F2EEB" w:rsidRPr="0050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Türkiye’nin İkinci Ulusal Katkı Beyanı, azaltım politikaları altında enerji sektörü, sanayi sektörü, ulaştırma sektörü, tarım sektörü, bina sektörü, atık sektörü ve arazi kullanımı, arazi kullanım değişikliği ve ormancılık vb.</w:t>
            </w:r>
            <w:r w:rsidR="009F2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2EEB" w:rsidRPr="0050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sektörlerini kapsayan ve kapsamlı azaltım ve uyum </w:t>
            </w:r>
            <w:r w:rsidR="006E7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politika/</w:t>
            </w:r>
            <w:r w:rsidR="009F2EEB" w:rsidRPr="0050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eylemlerinin yanı sıra uygulama araçlarına yönelik değerlendirmeleri de içeren beyan doküman</w:t>
            </w:r>
            <w:r w:rsidR="009F2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</w:t>
            </w:r>
            <w:r w:rsidR="009F2EEB" w:rsidRPr="00506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dır. Her sektöre yönelik başlıca yol gösterici politika belgeleri ve sektörel mevzuatlar ile Türkiye'nin öne çıkan azaltım politikaları dâhil edilmektedir</w:t>
            </w:r>
            <w:r w:rsidR="009F2EEB" w:rsidRPr="005065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14:paraId="00CBE1B4" w14:textId="77777777" w:rsidR="009F2EEB" w:rsidRDefault="009F2EEB" w:rsidP="00BE61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9A2AA8E" w14:textId="0CED25B2" w:rsidR="0045756F" w:rsidRPr="00BE61EE" w:rsidRDefault="00E22005" w:rsidP="00BE6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Stratejik Çevresel Değerlendirme Yönetmeliği kamu kurum ve kuruluşlarınca hazırlanan ve onaya tabi olan plan/programlara uygulanmaktadır. SÇD Yönetmeliği, Avrupa Birliği Stratejik Çevresel Değerlendirme Direktifi ile uyumlu olarak politika belgelerini kapsamamaktadır.</w:t>
            </w:r>
            <w:r w:rsidR="003A6D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 kapsamda, </w:t>
            </w:r>
            <w:r w:rsidRPr="004D3A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Türkiye’nin İkinci Ulusal Katkı Beyanı (NDC 3.0)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belgesi </w:t>
            </w:r>
            <w:r w:rsidR="0045756F" w:rsidRPr="00D77A1C">
              <w:rPr>
                <w:rFonts w:ascii="Times New Roman" w:hAnsi="Times New Roman" w:cs="Times New Roman"/>
                <w:sz w:val="24"/>
                <w:szCs w:val="24"/>
              </w:rPr>
              <w:t>SÇD Yönetmeliğine tabi değildir.</w:t>
            </w:r>
          </w:p>
          <w:p w14:paraId="2AE679E3" w14:textId="77777777" w:rsidR="0005561C" w:rsidRPr="00BE61EE" w:rsidRDefault="0005561C" w:rsidP="00FA4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F9C" w:rsidRPr="00D35784" w14:paraId="4A70D970" w14:textId="77777777" w:rsidTr="004F54B7">
        <w:tc>
          <w:tcPr>
            <w:tcW w:w="3369" w:type="dxa"/>
          </w:tcPr>
          <w:p w14:paraId="0BDEDA36" w14:textId="77777777" w:rsidR="005F4F9C" w:rsidRPr="00C70CC5" w:rsidRDefault="005F4F9C" w:rsidP="005F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6607A7" w14:textId="77777777" w:rsidR="005F4F9C" w:rsidRPr="00C70CC5" w:rsidRDefault="005F4F9C" w:rsidP="005F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C5">
              <w:rPr>
                <w:rFonts w:ascii="Times New Roman" w:hAnsi="Times New Roman" w:cs="Times New Roman"/>
                <w:b/>
                <w:sz w:val="24"/>
                <w:szCs w:val="24"/>
              </w:rPr>
              <w:t>SÇD Eleme Kararı</w:t>
            </w:r>
          </w:p>
          <w:p w14:paraId="0840A129" w14:textId="77777777" w:rsidR="005F4F9C" w:rsidRPr="00C70CC5" w:rsidRDefault="005F4F9C" w:rsidP="005F4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3" w:type="dxa"/>
          </w:tcPr>
          <w:p w14:paraId="32734F61" w14:textId="77777777" w:rsidR="005F4F9C" w:rsidRPr="00C70CC5" w:rsidRDefault="005F4F9C" w:rsidP="004F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8F988" w14:textId="77777777" w:rsidR="005F4F9C" w:rsidRPr="00C70CC5" w:rsidRDefault="005F4F9C" w:rsidP="004F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CC5">
              <w:rPr>
                <w:rFonts w:ascii="Times New Roman" w:hAnsi="Times New Roman" w:cs="Times New Roman"/>
                <w:sz w:val="24"/>
                <w:szCs w:val="24"/>
              </w:rPr>
              <w:t>SÇD’ye Tabidir                             SÇD’ye Tabi Değildir.</w:t>
            </w:r>
          </w:p>
          <w:p w14:paraId="2F49A036" w14:textId="77777777" w:rsidR="0005561C" w:rsidRPr="00C70CC5" w:rsidRDefault="0005561C" w:rsidP="004F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40E3C" w14:textId="77777777" w:rsidR="005F4F9C" w:rsidRPr="00C70CC5" w:rsidRDefault="00B134A6" w:rsidP="00B134A6">
            <w:pPr>
              <w:tabs>
                <w:tab w:val="left" w:pos="10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C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58755B" wp14:editId="0A9ACD59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30480</wp:posOffset>
                      </wp:positionV>
                      <wp:extent cx="323850" cy="269875"/>
                      <wp:effectExtent l="0" t="0" r="19050" b="1587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6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4F6DDC6" w14:textId="30CB2B5C" w:rsidR="005F4F9C" w:rsidRPr="00AA4A61" w:rsidRDefault="00AA4A61" w:rsidP="005F4F9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A4A61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875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195pt;margin-top:2.4pt;width:25.5pt;height:2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YAXQIAAMMEAAAOAAAAZHJzL2Uyb0RvYy54bWysVFtP2zAUfp+0/2D5faQNl0FFijpQp2kM&#10;kGDi2XUcGs3x8WynSffr99lJC4M9TeuD63PxuXznOzm/6BvNNsr5mkzBpwcTzpSRVNbmqeDfH5Yf&#10;TjnzQZhSaDKq4Fvl+cX8/bvzzs5UTmvSpXIMQYyfdbbg6xDsLMu8XKtG+AOyysBYkWtEgOiestKJ&#10;DtEbneWTyUnWkSutI6m8h/ZqMPJ5il9VSobbqvIqMF1w1BbS6dK5imc2PxezJyfsupZjGeIfqmhE&#10;bZB0H+pKBMFaV78J1dTSkacqHEhqMqqqWqrUA7qZTl51c78WVqVeAI63e5j8/wsrbzZ3jtVlwXPO&#10;jGgwom8q1IZ9bUPrW5ZHhDrrZ3C8t3AN/SfqMemd3kMZG+8r18R/tMRgB9bbPb6qD0xCeZgfnh7D&#10;ImHKT85OPx7HKNnzY+t8+KyoYfFScIfxJVTF5tqHwXXnEnN50nW5rLVOwtZfasc2ApMGQUrqONPC&#10;BygLvky/Mdsfz7RhXcFPDlHXm5Ax1z7mSgv5420EVK9NfKkS28Y6I2IDMvEW+lU/wriicgsUHQ1M&#10;9FYua2S5RqF3woF6gAfrFG5xVJpQGo03ztbkfv1NH/3BCFg560DlgvufrXAK/X8x4MrZ9Ogocj8J&#10;R8cfcwjupWX10mLa5pKA4RSLa2W6Rv+gd9fKUfOIrVvErDAJI5G74GF3vQzDgmFrpVoskhPYbkW4&#10;NvdWxtARsIjuQ/8onB3HHcCTG9qRXsxeTX3wjS8NLdpAVZ0oEQEeUAWVooBNSaQatzqu4ks5eT1/&#10;e+a/AQAA//8DAFBLAwQUAAYACAAAACEAVQl2r9wAAAAIAQAADwAAAGRycy9kb3ducmV2LnhtbEyP&#10;wU7DMBBE70j8g7VI3KhTGtE2xKkQEkeESHuAm2svidt4HcVuGvr1LCe47WhGs/PKzeQ7MeIQXSAF&#10;81kGAskE66hRsNu+3K1AxKTJ6i4QKvjGCJvq+qrUhQ1nesexTo3gEoqFVtCm1BdSRtOi13EWeiT2&#10;vsLgdWI5NNIO+szlvpP3WfYgvXbEH1rd43OL5lifvAJLH4HMp3u9OKqNW1/eVgczKnV7Mz09gkg4&#10;pb8w/M7n6VDxpn04kY2iU7BYZ8ySFORMwH6ez1nv+VguQFal/A9Q/QAAAP//AwBQSwECLQAUAAYA&#10;CAAAACEAtoM4kv4AAADhAQAAEwAAAAAAAAAAAAAAAAAAAAAAW0NvbnRlbnRfVHlwZXNdLnhtbFBL&#10;AQItABQABgAIAAAAIQA4/SH/1gAAAJQBAAALAAAAAAAAAAAAAAAAAC8BAABfcmVscy8ucmVsc1BL&#10;AQItABQABgAIAAAAIQDKbuYAXQIAAMMEAAAOAAAAAAAAAAAAAAAAAC4CAABkcnMvZTJvRG9jLnht&#10;bFBLAQItABQABgAIAAAAIQBVCXav3AAAAAgBAAAPAAAAAAAAAAAAAAAAALcEAABkcnMvZG93bnJl&#10;di54bWxQSwUGAAAAAAQABADzAAAAwAUAAAAA&#10;" fillcolor="window" strokeweight=".5pt">
                      <v:textbox>
                        <w:txbxContent>
                          <w:p w14:paraId="54F6DDC6" w14:textId="30CB2B5C" w:rsidR="005F4F9C" w:rsidRPr="00AA4A61" w:rsidRDefault="00AA4A61" w:rsidP="005F4F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4A61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4F9C" w:rsidRPr="00C70CC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48607" wp14:editId="6156AB4F">
                      <wp:simplePos x="0" y="0"/>
                      <wp:positionH relativeFrom="column">
                        <wp:posOffset>205022</wp:posOffset>
                      </wp:positionH>
                      <wp:positionV relativeFrom="paragraph">
                        <wp:posOffset>30728</wp:posOffset>
                      </wp:positionV>
                      <wp:extent cx="295275" cy="270345"/>
                      <wp:effectExtent l="0" t="0" r="28575" b="158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703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50EF974" w14:textId="7D4B41F5" w:rsidR="005F4F9C" w:rsidRPr="005F4F9C" w:rsidRDefault="005F4F9C" w:rsidP="005F4F9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48607" id="Metin Kutusu 1" o:spid="_x0000_s1027" type="#_x0000_t202" style="position:absolute;left:0;text-align:left;margin-left:16.15pt;margin-top:2.4pt;width:23.25pt;height:2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54YAIAAMoEAAAOAAAAZHJzL2Uyb0RvYy54bWysVFtv2jAUfp+0/2D5fQQolDUiVIyKaVrX&#10;VqJTn43jEGuOj2c7JPTX79gJlLZ7msaD8bn4XL7zncyv20qRvbBOgs7oaDCkRGgOudS7jP58XH/6&#10;TInzTOdMgRYZPQhHrxcfP8wbk4oxlKByYQkG0S5tTEZL702aJI6XomJuAEZoNBZgK+ZRtLskt6zB&#10;6JVKxsPhZdKAzY0FLpxD7U1npIsYvygE9/dF4YQnKqNYm4+njec2nMliztKdZaaUvC+D/UMVFZMa&#10;k55C3TDPSG3lu1CV5BYcFH7AoUqgKCQXsQfsZjR8082mZEbEXhAcZ04wuf8Xlt/tHyyROc6OEs0q&#10;HNEP4aUm32tfu5qMAkKNcSk6bgy6+vYLtMG71ztUhsbbwlbhH1siaEesDyd8ResJR+X4ajqeTSnh&#10;aBrPhheTaYiSvDw21vmvAioSLhm1OL6IKtvfOt+5Hl1CLgdK5mupVBQObqUs2TOcNBIkh4YSxZxH&#10;ZUbX8ddne/VMadJk9PJiOoyZXtlCrlPMrWL81/sIWL3SIb+IbOvrDIh1yISbb7dtj3GP2hbyA4Jp&#10;oSOkM3wtMdkt1vvALDIQ8cOt8vd4FAqwQuhvlJRgn/+mD/5IDLRS0iCjM+p+18wKhOGbRspcjSaT&#10;sAJRmExnYxTsuWV7btF1tQKEEmmB1cVr8PfqeC0sVE+4fMuQFU1Mc8ydUX+8rny3Z7i8XCyX0QlJ&#10;b5i/1RvDQ+iAWwD5sX1i1vRT90iXOzhyn6Vvht/5hpcalrWHQkZmBJw7VJFRQcCFidzqlzts5Lkc&#10;vV4+QYs/AAAA//8DAFBLAwQUAAYACAAAACEAukgDitsAAAAGAQAADwAAAGRycy9kb3ducmV2Lnht&#10;bEyPwU7DMBBE70j9B2uRuFGHtqIhxKkqJI4IkXKAm2svidt4HcVuGvr1LCc4rUYzmn1TbibfiRGH&#10;6AIpuJtnIJBMsI4aBe+759scREyarO4CoYJvjLCpZlelLmw40xuOdWoEl1AstII2pb6QMpoWvY7z&#10;0COx9xUGrxPLoZF20Gcu951cZNm99NoRf2h1j08tmmN98gosfQQyn+7l4qg27uHymh/MqNTN9bR9&#10;BJFwSn9h+MVndKiYaR9OZKPoFCwXS04qWPEAttc53z3L9QpkVcr/+NUPAAAA//8DAFBLAQItABQA&#10;BgAIAAAAIQC2gziS/gAAAOEBAAATAAAAAAAAAAAAAAAAAAAAAABbQ29udGVudF9UeXBlc10ueG1s&#10;UEsBAi0AFAAGAAgAAAAhADj9If/WAAAAlAEAAAsAAAAAAAAAAAAAAAAALwEAAF9yZWxzLy5yZWxz&#10;UEsBAi0AFAAGAAgAAAAhAMHJznhgAgAAygQAAA4AAAAAAAAAAAAAAAAALgIAAGRycy9lMm9Eb2Mu&#10;eG1sUEsBAi0AFAAGAAgAAAAhALpIA4rbAAAABgEAAA8AAAAAAAAAAAAAAAAAugQAAGRycy9kb3du&#10;cmV2LnhtbFBLBQYAAAAABAAEAPMAAADCBQAAAAA=&#10;" fillcolor="window" strokeweight=".5pt">
                      <v:textbox>
                        <w:txbxContent>
                          <w:p w14:paraId="250EF974" w14:textId="7D4B41F5" w:rsidR="005F4F9C" w:rsidRPr="005F4F9C" w:rsidRDefault="005F4F9C" w:rsidP="005F4F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0CC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68F2ECBC" w14:textId="77777777" w:rsidR="005F4F9C" w:rsidRPr="00C70CC5" w:rsidRDefault="005F4F9C" w:rsidP="004F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2822A" w14:textId="77777777" w:rsidR="005F4F9C" w:rsidRPr="00F53EAA" w:rsidRDefault="005F4F9C" w:rsidP="005459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4F9C" w:rsidRPr="00F53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F61C8"/>
    <w:multiLevelType w:val="hybridMultilevel"/>
    <w:tmpl w:val="0A40818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02DF8"/>
    <w:multiLevelType w:val="hybridMultilevel"/>
    <w:tmpl w:val="A08CB90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F291D"/>
    <w:multiLevelType w:val="hybridMultilevel"/>
    <w:tmpl w:val="8A0ED608"/>
    <w:lvl w:ilvl="0" w:tplc="5E185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44D21"/>
    <w:multiLevelType w:val="hybridMultilevel"/>
    <w:tmpl w:val="C90A3D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26DB2"/>
    <w:multiLevelType w:val="hybridMultilevel"/>
    <w:tmpl w:val="0D04C4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14E0A"/>
    <w:multiLevelType w:val="hybridMultilevel"/>
    <w:tmpl w:val="C90A3D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43261"/>
    <w:multiLevelType w:val="hybridMultilevel"/>
    <w:tmpl w:val="F040837A"/>
    <w:lvl w:ilvl="0" w:tplc="5E185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AA"/>
    <w:rsid w:val="00024D84"/>
    <w:rsid w:val="00050BA9"/>
    <w:rsid w:val="0005561C"/>
    <w:rsid w:val="00091934"/>
    <w:rsid w:val="000F143A"/>
    <w:rsid w:val="000F2FF8"/>
    <w:rsid w:val="00120EFA"/>
    <w:rsid w:val="00121044"/>
    <w:rsid w:val="001305BA"/>
    <w:rsid w:val="00151DDA"/>
    <w:rsid w:val="00160332"/>
    <w:rsid w:val="0016513D"/>
    <w:rsid w:val="001A0443"/>
    <w:rsid w:val="001C51A7"/>
    <w:rsid w:val="001F0639"/>
    <w:rsid w:val="00275F80"/>
    <w:rsid w:val="00295EE8"/>
    <w:rsid w:val="002A6FF6"/>
    <w:rsid w:val="002D46E2"/>
    <w:rsid w:val="002E1FD9"/>
    <w:rsid w:val="002F3ED8"/>
    <w:rsid w:val="00317C21"/>
    <w:rsid w:val="00320FCA"/>
    <w:rsid w:val="0033737E"/>
    <w:rsid w:val="00345BB1"/>
    <w:rsid w:val="003960C6"/>
    <w:rsid w:val="003A6D23"/>
    <w:rsid w:val="003E14A4"/>
    <w:rsid w:val="00432B51"/>
    <w:rsid w:val="0045756F"/>
    <w:rsid w:val="00487CCD"/>
    <w:rsid w:val="004B2369"/>
    <w:rsid w:val="004C79A6"/>
    <w:rsid w:val="004E5463"/>
    <w:rsid w:val="004F1BD1"/>
    <w:rsid w:val="00506545"/>
    <w:rsid w:val="0054592E"/>
    <w:rsid w:val="005727C9"/>
    <w:rsid w:val="0058215A"/>
    <w:rsid w:val="00597EDE"/>
    <w:rsid w:val="005A1AE7"/>
    <w:rsid w:val="005F4F9C"/>
    <w:rsid w:val="00616730"/>
    <w:rsid w:val="00616E13"/>
    <w:rsid w:val="00641CE3"/>
    <w:rsid w:val="00642EEA"/>
    <w:rsid w:val="00665568"/>
    <w:rsid w:val="00694CFB"/>
    <w:rsid w:val="006B2899"/>
    <w:rsid w:val="006D0D8A"/>
    <w:rsid w:val="006D7E9E"/>
    <w:rsid w:val="006E72EC"/>
    <w:rsid w:val="007165D6"/>
    <w:rsid w:val="0074042A"/>
    <w:rsid w:val="00772328"/>
    <w:rsid w:val="0078579C"/>
    <w:rsid w:val="00794D13"/>
    <w:rsid w:val="007C405F"/>
    <w:rsid w:val="007D214D"/>
    <w:rsid w:val="007D4111"/>
    <w:rsid w:val="00823D9F"/>
    <w:rsid w:val="00825AF8"/>
    <w:rsid w:val="00872D44"/>
    <w:rsid w:val="00887B8C"/>
    <w:rsid w:val="008A2366"/>
    <w:rsid w:val="00913933"/>
    <w:rsid w:val="009245D1"/>
    <w:rsid w:val="00926E29"/>
    <w:rsid w:val="009718D8"/>
    <w:rsid w:val="00982C1E"/>
    <w:rsid w:val="009934EA"/>
    <w:rsid w:val="009C7BD5"/>
    <w:rsid w:val="009E034C"/>
    <w:rsid w:val="009E6CCC"/>
    <w:rsid w:val="009F2EEB"/>
    <w:rsid w:val="00A1318B"/>
    <w:rsid w:val="00A24DC1"/>
    <w:rsid w:val="00A45437"/>
    <w:rsid w:val="00A5770E"/>
    <w:rsid w:val="00A87A09"/>
    <w:rsid w:val="00AA4A61"/>
    <w:rsid w:val="00AA7494"/>
    <w:rsid w:val="00B134A6"/>
    <w:rsid w:val="00B16484"/>
    <w:rsid w:val="00B55886"/>
    <w:rsid w:val="00B57039"/>
    <w:rsid w:val="00B75AAE"/>
    <w:rsid w:val="00B82821"/>
    <w:rsid w:val="00BC5106"/>
    <w:rsid w:val="00BE61EE"/>
    <w:rsid w:val="00C12115"/>
    <w:rsid w:val="00C70CC5"/>
    <w:rsid w:val="00C741B3"/>
    <w:rsid w:val="00C858DA"/>
    <w:rsid w:val="00CA2410"/>
    <w:rsid w:val="00CE3ECE"/>
    <w:rsid w:val="00CF234B"/>
    <w:rsid w:val="00CF71BB"/>
    <w:rsid w:val="00D23D8D"/>
    <w:rsid w:val="00D56428"/>
    <w:rsid w:val="00D77A1C"/>
    <w:rsid w:val="00D80F67"/>
    <w:rsid w:val="00D9425E"/>
    <w:rsid w:val="00D96D97"/>
    <w:rsid w:val="00DA48D3"/>
    <w:rsid w:val="00DB6391"/>
    <w:rsid w:val="00DF75C0"/>
    <w:rsid w:val="00E03054"/>
    <w:rsid w:val="00E22005"/>
    <w:rsid w:val="00E65B0F"/>
    <w:rsid w:val="00EA72DD"/>
    <w:rsid w:val="00F03B77"/>
    <w:rsid w:val="00F1286E"/>
    <w:rsid w:val="00F22DE8"/>
    <w:rsid w:val="00F33C10"/>
    <w:rsid w:val="00F35153"/>
    <w:rsid w:val="00F53EAA"/>
    <w:rsid w:val="00F802F7"/>
    <w:rsid w:val="00FA4291"/>
    <w:rsid w:val="00FA563A"/>
    <w:rsid w:val="00FB4CF1"/>
    <w:rsid w:val="00FD166A"/>
    <w:rsid w:val="00FE5191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0A12"/>
  <w15:docId w15:val="{24A8E547-20E1-4DB1-AA81-2FDFDA2F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1C"/>
  </w:style>
  <w:style w:type="paragraph" w:styleId="Balk3">
    <w:name w:val="heading 3"/>
    <w:basedOn w:val="Normal"/>
    <w:link w:val="Balk3Char"/>
    <w:uiPriority w:val="9"/>
    <w:qFormat/>
    <w:rsid w:val="004575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4D84"/>
    <w:pPr>
      <w:ind w:left="720"/>
      <w:contextualSpacing/>
    </w:pPr>
  </w:style>
  <w:style w:type="table" w:styleId="TabloKlavuzu">
    <w:name w:val="Table Grid"/>
    <w:basedOn w:val="NormalTablo"/>
    <w:uiPriority w:val="59"/>
    <w:rsid w:val="005F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4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5756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457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.wikipedia.org/wiki/Birle%C5%9Fmi%C5%9F_Milletler_%C4%B0klim_De%C4%9Fi%C5%9Fikli%C4%9Fi_%C3%87er%C3%A7eve_S%C3%B6zle%C5%9Fme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Erdem</dc:creator>
  <cp:lastModifiedBy>Aysun Boşça</cp:lastModifiedBy>
  <cp:revision>2</cp:revision>
  <dcterms:created xsi:type="dcterms:W3CDTF">2025-09-04T12:34:00Z</dcterms:created>
  <dcterms:modified xsi:type="dcterms:W3CDTF">2025-09-04T12:34:00Z</dcterms:modified>
</cp:coreProperties>
</file>