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9C" w:rsidRPr="00D77A1C" w:rsidRDefault="005F4F9C" w:rsidP="00D77A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SÇD </w:t>
      </w:r>
      <w:r w:rsidRPr="00D35784">
        <w:rPr>
          <w:rFonts w:ascii="Arial" w:hAnsi="Arial" w:cs="Arial"/>
          <w:b/>
        </w:rPr>
        <w:t>GEREKÇELİ KARAR</w:t>
      </w:r>
      <w:r>
        <w:rPr>
          <w:rFonts w:ascii="Arial" w:hAnsi="Arial" w:cs="Arial"/>
          <w:b/>
        </w:rPr>
        <w:t>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31"/>
        <w:gridCol w:w="5731"/>
      </w:tblGrid>
      <w:tr w:rsidR="001101B4" w:rsidRPr="00D35784" w:rsidTr="004F54B7">
        <w:trPr>
          <w:trHeight w:val="709"/>
        </w:trPr>
        <w:tc>
          <w:tcPr>
            <w:tcW w:w="3369" w:type="dxa"/>
          </w:tcPr>
          <w:p w:rsidR="005F4F9C" w:rsidRPr="00C70CC5" w:rsidRDefault="005F4F9C" w:rsidP="005F4F9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C5">
              <w:rPr>
                <w:rFonts w:ascii="Times New Roman" w:hAnsi="Times New Roman" w:cs="Times New Roman"/>
                <w:b/>
                <w:sz w:val="24"/>
                <w:szCs w:val="24"/>
              </w:rPr>
              <w:t>Plan/Program adı</w:t>
            </w:r>
          </w:p>
        </w:tc>
        <w:tc>
          <w:tcPr>
            <w:tcW w:w="5843" w:type="dxa"/>
          </w:tcPr>
          <w:p w:rsidR="005F4F9C" w:rsidRPr="00C70CC5" w:rsidRDefault="00B32636" w:rsidP="00C70CC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Balıkesir İli Karesi İlçesi ve Balya İlçesi sınırları içerisinde kalan 946,7984 hektar alanda “Teknolojik Sanayi Alanı ve Lojistik Tesis Alanı” yapılmasına yönelik “Sanayi ve Depolama Bölgesi”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amaçlı </w:t>
            </w:r>
            <w:r w:rsidR="00F963BD">
              <w:rPr>
                <w:rFonts w:ascii="Times New Roman" w:hAnsi="Times New Roman" w:cs="Times New Roman"/>
                <w:sz w:val="24"/>
                <w:szCs w:val="24"/>
              </w:rPr>
              <w:t xml:space="preserve">Balıkesir Çanakkale Planlama Bölgesi </w:t>
            </w:r>
            <w:r w:rsidR="00B962E1">
              <w:rPr>
                <w:rFonts w:ascii="Times New Roman" w:hAnsi="Times New Roman" w:cs="Times New Roman"/>
                <w:sz w:val="24"/>
                <w:szCs w:val="24"/>
              </w:rPr>
              <w:t>1/100 000</w:t>
            </w:r>
            <w:r w:rsidR="004B1598" w:rsidRPr="004B1598">
              <w:rPr>
                <w:rFonts w:ascii="Times New Roman" w:hAnsi="Times New Roman" w:cs="Times New Roman"/>
                <w:sz w:val="24"/>
                <w:szCs w:val="24"/>
              </w:rPr>
              <w:t xml:space="preserve"> Ölçekli Çevre Düzeni Plan</w:t>
            </w:r>
            <w:r w:rsidR="00F963B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4B1598" w:rsidRPr="004B1598">
              <w:rPr>
                <w:rFonts w:ascii="Times New Roman" w:hAnsi="Times New Roman" w:cs="Times New Roman"/>
                <w:sz w:val="24"/>
                <w:szCs w:val="24"/>
              </w:rPr>
              <w:t xml:space="preserve"> Değişikliği</w:t>
            </w:r>
            <w:r w:rsidR="00872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01B4" w:rsidRPr="00D35784" w:rsidTr="004F54B7">
        <w:tc>
          <w:tcPr>
            <w:tcW w:w="3369" w:type="dxa"/>
          </w:tcPr>
          <w:p w:rsidR="005F4F9C" w:rsidRPr="00C70CC5" w:rsidRDefault="005F4F9C" w:rsidP="005F4F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F9C" w:rsidRPr="00C70CC5" w:rsidRDefault="005F4F9C" w:rsidP="005F4F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C5">
              <w:rPr>
                <w:rFonts w:ascii="Times New Roman" w:hAnsi="Times New Roman" w:cs="Times New Roman"/>
                <w:b/>
                <w:sz w:val="24"/>
                <w:szCs w:val="24"/>
              </w:rPr>
              <w:t>Yetkili Kurum</w:t>
            </w:r>
          </w:p>
          <w:p w:rsidR="005F4F9C" w:rsidRPr="00C70CC5" w:rsidRDefault="005F4F9C" w:rsidP="005F4F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3" w:type="dxa"/>
          </w:tcPr>
          <w:p w:rsidR="004B1598" w:rsidRPr="004B1598" w:rsidRDefault="00F963BD" w:rsidP="004B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Balıkesir Büyükşehir Belediyesi</w:t>
            </w:r>
          </w:p>
          <w:p w:rsidR="00926E29" w:rsidRPr="00C70CC5" w:rsidRDefault="00926E29" w:rsidP="0092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DE" w:rsidRPr="00D35784" w:rsidTr="004F54B7">
        <w:tc>
          <w:tcPr>
            <w:tcW w:w="3369" w:type="dxa"/>
          </w:tcPr>
          <w:p w:rsidR="0063707D" w:rsidRDefault="0063707D" w:rsidP="005F4F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Plan/Programın düzeyi</w:t>
            </w:r>
          </w:p>
          <w:p w:rsidR="0063707D" w:rsidRDefault="0063707D" w:rsidP="005F4F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07D" w:rsidRPr="00C70CC5" w:rsidRDefault="0063707D" w:rsidP="005F4F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3" w:type="dxa"/>
          </w:tcPr>
          <w:p w:rsidR="0063707D" w:rsidRDefault="0063707D" w:rsidP="004B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</w:tr>
      <w:tr w:rsidR="001101B4" w:rsidRPr="00D35784" w:rsidTr="00D77A1C">
        <w:trPr>
          <w:trHeight w:val="783"/>
        </w:trPr>
        <w:tc>
          <w:tcPr>
            <w:tcW w:w="3369" w:type="dxa"/>
          </w:tcPr>
          <w:p w:rsidR="005F4F9C" w:rsidRPr="00C70CC5" w:rsidRDefault="005F4F9C" w:rsidP="005F4F9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C5">
              <w:rPr>
                <w:rFonts w:ascii="Times New Roman" w:hAnsi="Times New Roman" w:cs="Times New Roman"/>
                <w:b/>
                <w:sz w:val="24"/>
                <w:szCs w:val="24"/>
              </w:rPr>
              <w:t>Plan/Programın durumu</w:t>
            </w:r>
          </w:p>
        </w:tc>
        <w:tc>
          <w:tcPr>
            <w:tcW w:w="5843" w:type="dxa"/>
          </w:tcPr>
          <w:p w:rsidR="00E02EAB" w:rsidRPr="00465CC6" w:rsidRDefault="00E02EAB" w:rsidP="00E560D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C6">
              <w:rPr>
                <w:rFonts w:ascii="Times New Roman" w:hAnsi="Times New Roman" w:cs="Times New Roman"/>
                <w:sz w:val="24"/>
                <w:szCs w:val="24"/>
              </w:rPr>
              <w:t>Planlama alanı</w:t>
            </w:r>
            <w:r w:rsidR="00465C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5CC6">
              <w:rPr>
                <w:rFonts w:ascii="Times New Roman" w:hAnsi="Times New Roman" w:cs="Times New Roman"/>
                <w:sz w:val="24"/>
                <w:szCs w:val="24"/>
              </w:rPr>
              <w:t xml:space="preserve"> 20.08.2014 tarihinde mülga Çevre ve Şehircilik Bakanlığı </w:t>
            </w:r>
            <w:r w:rsidR="00465CC6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465CC6">
              <w:rPr>
                <w:rFonts w:ascii="Times New Roman" w:hAnsi="Times New Roman" w:cs="Times New Roman"/>
                <w:sz w:val="24"/>
                <w:szCs w:val="24"/>
              </w:rPr>
              <w:t xml:space="preserve"> onaylanan 1/100.000 Ölçekli “Balıkesir-Çanakkale Planlama Bölgesi 1/100.000 Ölçekli Çevre Düzeni Planı”nda, “Tarım Alanı” sınırları içinde kalmaktadır.</w:t>
            </w:r>
          </w:p>
          <w:p w:rsidR="005F4F9C" w:rsidRDefault="00E560D8" w:rsidP="00AE59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C6">
              <w:rPr>
                <w:rFonts w:ascii="Times New Roman" w:hAnsi="Times New Roman" w:cs="Times New Roman"/>
                <w:sz w:val="24"/>
                <w:szCs w:val="24"/>
              </w:rPr>
              <w:t xml:space="preserve">Söz konusu ÇDP değişiklik teklifine dair alan </w:t>
            </w:r>
            <w:r w:rsidR="00E54F2A" w:rsidRPr="00465CC6">
              <w:rPr>
                <w:rFonts w:ascii="Times New Roman" w:hAnsi="Times New Roman" w:cs="Times New Roman"/>
                <w:sz w:val="24"/>
                <w:szCs w:val="24"/>
              </w:rPr>
              <w:t xml:space="preserve">946,7984 </w:t>
            </w:r>
            <w:r w:rsidRPr="00465CC6">
              <w:rPr>
                <w:rFonts w:ascii="Times New Roman" w:hAnsi="Times New Roman" w:cs="Times New Roman"/>
                <w:sz w:val="24"/>
                <w:szCs w:val="24"/>
              </w:rPr>
              <w:t>hektardan oluşmaktadır. Mevcut ÇDP’de “</w:t>
            </w:r>
            <w:r w:rsidR="00E54F2A" w:rsidRPr="00465CC6">
              <w:rPr>
                <w:rFonts w:ascii="Times New Roman" w:hAnsi="Times New Roman" w:cs="Times New Roman"/>
                <w:sz w:val="24"/>
                <w:szCs w:val="24"/>
              </w:rPr>
              <w:t>Tarım Alanı</w:t>
            </w:r>
            <w:r w:rsidRPr="00465CC6">
              <w:rPr>
                <w:rFonts w:ascii="Times New Roman" w:hAnsi="Times New Roman" w:cs="Times New Roman"/>
                <w:sz w:val="24"/>
                <w:szCs w:val="24"/>
              </w:rPr>
              <w:t xml:space="preserve">” sınırları içinde kalan bahse konu alanın </w:t>
            </w:r>
            <w:r w:rsidR="00E02EAB" w:rsidRPr="00465CC6">
              <w:rPr>
                <w:rFonts w:ascii="Times New Roman" w:hAnsi="Times New Roman" w:cs="Times New Roman"/>
                <w:sz w:val="24"/>
                <w:szCs w:val="24"/>
              </w:rPr>
              <w:t xml:space="preserve">Balıkesir İli, Balya ve Karesi ilçelerinin kesişiminde İzmir-İstanbul Otoyolu ile Çanakkale-Balıkesir Otoyolunun kesişimindeki alanda </w:t>
            </w:r>
            <w:r w:rsidR="00E54F2A" w:rsidRPr="00465CC6">
              <w:rPr>
                <w:rFonts w:ascii="Times New Roman" w:hAnsi="Times New Roman" w:cs="Times New Roman"/>
                <w:sz w:val="24"/>
                <w:szCs w:val="24"/>
              </w:rPr>
              <w:t xml:space="preserve">“Teknolojik Sanayi Alanı ve Lojistik Tesis Alanı” yapılmasına yönelik “Sanayi ve Depolama Bölgesi” </w:t>
            </w:r>
            <w:r w:rsidRPr="00465CC6">
              <w:rPr>
                <w:rFonts w:ascii="Times New Roman" w:hAnsi="Times New Roman" w:cs="Times New Roman"/>
                <w:sz w:val="24"/>
                <w:szCs w:val="24"/>
              </w:rPr>
              <w:t>olarak değiştirilmesi talep edilmektedir.</w:t>
            </w:r>
          </w:p>
          <w:p w:rsidR="00F70A4A" w:rsidRPr="00C70CC5" w:rsidRDefault="00F70A4A" w:rsidP="001B794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Değişiklik teklifi ile İstanbul bölgesinin teknolojik ve lojistik ihtiyaçlarının bu bölgeye taşınması; hem limanlara kolay erişim hem de karayolu bağlantı avantajları ile yüksek teknolojili sanayi oluşumları üniversite-sanayi işbirliği ile bu bölgeye çekmek amaçlanmaktadır. İlk aşamada, planlama alanı 2000 ha. alan olarak kurum ve kuruluşlardan alınan görüşler ile belirlenmiş ancak dah</w:t>
            </w:r>
            <w:r w:rsidR="001B794D">
              <w:rPr>
                <w:rFonts w:ascii="Times New Roman" w:hAnsi="Times New Roman" w:cs="Times New Roman"/>
                <w:sz w:val="24"/>
                <w:szCs w:val="24"/>
              </w:rPr>
              <w:t xml:space="preserve">a sonra Çevre, Şehircilik ve İklim Değişikliği Bakanlığı’ndan 19.07.2022 tarihli Makam Oluru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“Kamu Yararı Kararı”</w:t>
            </w:r>
            <w:r w:rsidR="001B794D">
              <w:rPr>
                <w:rFonts w:ascii="Times New Roman" w:hAnsi="Times New Roman" w:cs="Times New Roman"/>
                <w:sz w:val="24"/>
                <w:szCs w:val="24"/>
              </w:rPr>
              <w:t xml:space="preserve"> alındığı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1B794D">
              <w:rPr>
                <w:rFonts w:ascii="Times New Roman" w:hAnsi="Times New Roman" w:cs="Times New Roman"/>
                <w:sz w:val="24"/>
                <w:szCs w:val="24"/>
              </w:rPr>
              <w:t xml:space="preserve">Tarım ve Orman Bakanlığı Bakanlık Makamından alınan 02.01.2024 tarihli Olur ile talep edilen amaçla alanın kullanılmasına izin verilmiştir.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Balıkesir İl Tarım ve Orman Müdürlüğü’nün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18.05.2024 tarihli yazısı ile </w:t>
            </w:r>
            <w:r w:rsidR="001B794D">
              <w:rPr>
                <w:rFonts w:ascii="Times New Roman" w:hAnsi="Times New Roman" w:cs="Times New Roman"/>
                <w:sz w:val="24"/>
                <w:szCs w:val="24"/>
              </w:rPr>
              <w:t xml:space="preserve">de söz konusu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belirttiği </w:t>
            </w:r>
            <w:r w:rsidR="001B794D">
              <w:rPr>
                <w:rFonts w:ascii="Times New Roman" w:hAnsi="Times New Roman" w:cs="Times New Roman"/>
                <w:sz w:val="24"/>
                <w:szCs w:val="24"/>
              </w:rPr>
              <w:t>946,7984 hektar alanda “Toprak Koruma Projesi” hükümlerine uyulmak kaydıyla teklin bu alanda yapılmasının uygun bulunduğu anlaşılmaktadır.</w:t>
            </w:r>
          </w:p>
        </w:tc>
      </w:tr>
      <w:tr w:rsidR="001101B4" w:rsidRPr="00D35784" w:rsidTr="004F54B7">
        <w:tc>
          <w:tcPr>
            <w:tcW w:w="3369" w:type="dxa"/>
          </w:tcPr>
          <w:p w:rsidR="005F4F9C" w:rsidRPr="00C70CC5" w:rsidRDefault="005F4F9C" w:rsidP="005F4F9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Plan/Programın Duyarlı Yöreler üzerine etkisi var mı?</w:t>
            </w:r>
          </w:p>
        </w:tc>
        <w:tc>
          <w:tcPr>
            <w:tcW w:w="5843" w:type="dxa"/>
          </w:tcPr>
          <w:p w:rsidR="004B1598" w:rsidRDefault="003E0FB2" w:rsidP="003E0F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Çevre Düzeni </w:t>
            </w:r>
            <w:r w:rsidR="00B65E1F">
              <w:rPr>
                <w:rFonts w:ascii="Times New Roman" w:hAnsi="Times New Roman" w:cs="Times New Roman"/>
                <w:bCs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ı</w:t>
            </w:r>
            <w:r w:rsidR="00B6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değişikliği talebi bulunan </w:t>
            </w:r>
            <w:r w:rsidR="006F355C">
              <w:rPr>
                <w:rFonts w:ascii="Times New Roman" w:hAnsi="Times New Roman" w:cs="Times New Roman"/>
                <w:bCs/>
                <w:sz w:val="24"/>
                <w:szCs w:val="24"/>
              </w:rPr>
              <w:t>946,7984 ha alana</w:t>
            </w:r>
            <w:r w:rsidR="004E6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Tarım ve Orman Bakanlığından Tarım Dışı kullanım </w:t>
            </w:r>
            <w:r w:rsidR="006F3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izni </w:t>
            </w:r>
            <w:r w:rsidR="004E6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verilmiş, </w:t>
            </w:r>
            <w:r w:rsidR="00996B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alanın 546,028’lik kısmında 5403 sayılı Toprak Koruma ve Arazi Kullanım Kanunun 13’üncü maddesinin (d) bendi uyarınca kamu yararı kararı verilmiştir. </w:t>
            </w:r>
            <w:r w:rsidR="00C52CE9">
              <w:rPr>
                <w:rFonts w:ascii="Times New Roman" w:hAnsi="Times New Roman" w:cs="Times New Roman"/>
                <w:bCs/>
                <w:sz w:val="24"/>
                <w:szCs w:val="24"/>
              </w:rPr>
              <w:t>İlk aşamada belirlenen a</w:t>
            </w:r>
            <w:r w:rsidR="00996B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landa bulunan </w:t>
            </w:r>
            <w:r w:rsidR="00C52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Sulama Göletleri ve </w:t>
            </w:r>
            <w:r w:rsidR="00996B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Zeytinlik Alanlar Planlama </w:t>
            </w:r>
            <w:r w:rsidR="00C52CE9">
              <w:rPr>
                <w:rFonts w:ascii="Times New Roman" w:hAnsi="Times New Roman" w:cs="Times New Roman"/>
                <w:bCs/>
                <w:sz w:val="24"/>
                <w:szCs w:val="24"/>
              </w:rPr>
              <w:t>alanından</w:t>
            </w:r>
            <w:r w:rsidR="00996B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çıkarılmıştır. Kalan Alanlar ise marjinal saha olarak Tarım Dışı amaçlı kullanıma uygunluk görüşü alınmıştır. Plan alanında ayrıca herhangi bir </w:t>
            </w:r>
            <w:r w:rsidR="00C52CE9">
              <w:rPr>
                <w:rFonts w:ascii="Times New Roman" w:hAnsi="Times New Roman" w:cs="Times New Roman"/>
                <w:bCs/>
                <w:sz w:val="24"/>
                <w:szCs w:val="24"/>
              </w:rPr>
              <w:t>ulusal ve uluslara</w:t>
            </w:r>
            <w:r w:rsidR="00E05743">
              <w:rPr>
                <w:rFonts w:ascii="Times New Roman" w:hAnsi="Times New Roman" w:cs="Times New Roman"/>
                <w:bCs/>
                <w:sz w:val="24"/>
                <w:szCs w:val="24"/>
              </w:rPr>
              <w:t>rası</w:t>
            </w:r>
            <w:r w:rsidR="00C52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statüde korunması gerekli bir alan; </w:t>
            </w:r>
            <w:r w:rsidR="00996B4D">
              <w:rPr>
                <w:rFonts w:ascii="Times New Roman" w:hAnsi="Times New Roman" w:cs="Times New Roman"/>
                <w:bCs/>
                <w:sz w:val="24"/>
                <w:szCs w:val="24"/>
              </w:rPr>
              <w:t>sit alanı</w:t>
            </w:r>
            <w:r w:rsidR="00C52CE9">
              <w:rPr>
                <w:rFonts w:ascii="Times New Roman" w:hAnsi="Times New Roman" w:cs="Times New Roman"/>
                <w:bCs/>
                <w:sz w:val="24"/>
                <w:szCs w:val="24"/>
              </w:rPr>
              <w:t>, tescilli bir kültür varlığı yer almamaktadır.</w:t>
            </w:r>
          </w:p>
          <w:p w:rsidR="00FD549C" w:rsidRPr="00C70CC5" w:rsidRDefault="00FD549C" w:rsidP="003E0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1B4" w:rsidRPr="00D35784" w:rsidTr="004F54B7">
        <w:tc>
          <w:tcPr>
            <w:tcW w:w="3369" w:type="dxa"/>
          </w:tcPr>
          <w:p w:rsidR="005F4F9C" w:rsidRPr="00C70CC5" w:rsidRDefault="005F4F9C" w:rsidP="005F4F9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C5">
              <w:rPr>
                <w:rFonts w:ascii="Times New Roman" w:hAnsi="Times New Roman" w:cs="Times New Roman"/>
                <w:b/>
                <w:sz w:val="24"/>
                <w:szCs w:val="24"/>
              </w:rPr>
              <w:t>Plan/Program ÇED uygulamasını gerektiren projeler için çerçeve oluşturuyor mu?</w:t>
            </w:r>
          </w:p>
        </w:tc>
        <w:tc>
          <w:tcPr>
            <w:tcW w:w="5843" w:type="dxa"/>
          </w:tcPr>
          <w:p w:rsidR="005F4F9C" w:rsidRPr="00D91C61" w:rsidRDefault="00D2567B" w:rsidP="003545C7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Planın uygulanması </w:t>
            </w:r>
            <w:r w:rsidRPr="0056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“Teknolojik Sanayi Alanı ve Lojistik Tesis Alanı”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olarak planlanmakta olup, ÇED </w:t>
            </w:r>
            <w:r w:rsidR="00354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Yönetmeliği ek listelerinde yer alan herhangi bir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 önerilmemektedir. Ancak, ileride teknolojik üretim sebebiyle ÇED’e tabi uygulamalar söz konusu olması durumunda, ÇED Yönetmeliği hükümleri geçerli olacaktır.</w:t>
            </w:r>
          </w:p>
        </w:tc>
      </w:tr>
      <w:tr w:rsidR="001101B4" w:rsidRPr="00D35784" w:rsidTr="00D77A1C">
        <w:trPr>
          <w:trHeight w:val="1009"/>
        </w:trPr>
        <w:tc>
          <w:tcPr>
            <w:tcW w:w="3369" w:type="dxa"/>
          </w:tcPr>
          <w:p w:rsidR="005F4F9C" w:rsidRPr="00C70CC5" w:rsidRDefault="005F4F9C" w:rsidP="005F4F9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C5">
              <w:rPr>
                <w:rFonts w:ascii="Times New Roman" w:hAnsi="Times New Roman" w:cs="Times New Roman"/>
                <w:b/>
                <w:sz w:val="24"/>
                <w:szCs w:val="24"/>
              </w:rPr>
              <w:t>Plan/Programın diğer plan/programlarla etkileşimi var mı?</w:t>
            </w:r>
          </w:p>
        </w:tc>
        <w:tc>
          <w:tcPr>
            <w:tcW w:w="5843" w:type="dxa"/>
          </w:tcPr>
          <w:p w:rsidR="005F4F9C" w:rsidRPr="00EA72DD" w:rsidRDefault="00D415A2" w:rsidP="00EA72DD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Bölge planları, kentsel gelişim planları ve mekânsal planlar başta olmak üzere tüm sektörel (sanayi,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tarım, enerji, ulaştırma</w:t>
            </w:r>
            <w:r w:rsidRPr="00D41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vb.) plan ve programlar ile ilişkilidir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101B4" w:rsidRPr="00D35784" w:rsidTr="004F54B7">
        <w:trPr>
          <w:trHeight w:val="711"/>
        </w:trPr>
        <w:tc>
          <w:tcPr>
            <w:tcW w:w="3369" w:type="dxa"/>
          </w:tcPr>
          <w:p w:rsidR="005F4F9C" w:rsidRPr="002E1FD9" w:rsidRDefault="005F4F9C" w:rsidP="005F4F9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D9">
              <w:rPr>
                <w:rFonts w:ascii="Times New Roman" w:hAnsi="Times New Roman" w:cs="Times New Roman"/>
                <w:b/>
                <w:sz w:val="24"/>
                <w:szCs w:val="24"/>
              </w:rPr>
              <w:t>Plan/Program ile ortaya çıkması muhtemel çevresel sorunlar var m</w:t>
            </w:r>
            <w:r w:rsidR="0078579C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2E1FD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5843" w:type="dxa"/>
          </w:tcPr>
          <w:p w:rsidR="005F4F9C" w:rsidRDefault="000F324B" w:rsidP="000F324B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Yapılan plan çalışması</w:t>
            </w:r>
            <w:r w:rsidR="004B1598" w:rsidRPr="004B1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5B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Teknolojik Sanayi Alanı ve Lojistik Tesis Alanı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 ol</w:t>
            </w:r>
            <w:r w:rsidR="00A95B70">
              <w:rPr>
                <w:rFonts w:ascii="Times New Roman" w:hAnsi="Times New Roman" w:cs="Times New Roman"/>
                <w:bCs/>
                <w:sz w:val="24"/>
                <w:szCs w:val="24"/>
              </w:rPr>
              <w:t>arak kullanım planlamakta olduğu anlaşılmakta olup olası 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nemli </w:t>
            </w:r>
            <w:r w:rsidR="00A95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çevresel etki</w:t>
            </w:r>
            <w:r w:rsidR="00A95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yaratması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beklenmemektedir. </w:t>
            </w:r>
          </w:p>
          <w:p w:rsidR="000F324B" w:rsidRDefault="000F324B" w:rsidP="000F324B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DSİ </w:t>
            </w:r>
            <w:r w:rsidR="00EF1C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Genel Müdürlüğü yazısında, alanda bulunan dere yatakları ve taşkın riski bulunan bölgelerde gerekli önlemlerin alınması koşuluyla sakınca görülmediği belirtilmiştir. </w:t>
            </w:r>
          </w:p>
          <w:p w:rsidR="0042611D" w:rsidRPr="000F143A" w:rsidRDefault="0042611D" w:rsidP="000F324B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Tarım ve Orman Bakanlığı pro</w:t>
            </w:r>
            <w:r w:rsidR="00451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jenin uygulanabildiğini toprak koruma projesine uyulması şartıyla olumlu bulunmuştur. </w:t>
            </w:r>
          </w:p>
        </w:tc>
      </w:tr>
      <w:tr w:rsidR="001101B4" w:rsidRPr="00D35784" w:rsidTr="004F54B7">
        <w:trPr>
          <w:trHeight w:val="711"/>
        </w:trPr>
        <w:tc>
          <w:tcPr>
            <w:tcW w:w="3369" w:type="dxa"/>
          </w:tcPr>
          <w:p w:rsidR="005F4F9C" w:rsidRPr="002E1FD9" w:rsidRDefault="00CA2410" w:rsidP="005F4F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E61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Plan/Program</w:t>
            </w:r>
            <w:r w:rsidR="005F4F9C" w:rsidRPr="00BE6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çevre mevzuatının uygulaması kapsamında bulunuyor mu?</w:t>
            </w:r>
          </w:p>
        </w:tc>
        <w:tc>
          <w:tcPr>
            <w:tcW w:w="5843" w:type="dxa"/>
          </w:tcPr>
          <w:p w:rsidR="005F4F9C" w:rsidRDefault="00B71217" w:rsidP="00487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1/100.</w:t>
            </w:r>
            <w:r w:rsidR="00D055C8">
              <w:rPr>
                <w:rFonts w:ascii="Times New Roman" w:hAnsi="Times New Roman" w:cs="Times New Roman"/>
                <w:sz w:val="24"/>
                <w:szCs w:val="24"/>
              </w:rPr>
              <w:t xml:space="preserve">000 Ölçekli Çevre Düzeni Planı Değişikliği </w:t>
            </w:r>
            <w:r w:rsidR="00D055C8" w:rsidRPr="00D055C8">
              <w:rPr>
                <w:rFonts w:ascii="Times New Roman" w:hAnsi="Times New Roman" w:cs="Times New Roman"/>
                <w:sz w:val="24"/>
                <w:szCs w:val="24"/>
              </w:rPr>
              <w:t>3194 Sayılı İmar Kanunu</w:t>
            </w:r>
            <w:r w:rsidR="00393A38">
              <w:rPr>
                <w:rFonts w:ascii="Times New Roman" w:hAnsi="Times New Roman" w:cs="Times New Roman"/>
                <w:sz w:val="24"/>
                <w:szCs w:val="24"/>
              </w:rPr>
              <w:t xml:space="preserve"> kapsamında bulunmaktadır.</w:t>
            </w:r>
          </w:p>
          <w:p w:rsidR="00393A38" w:rsidRDefault="00393A38" w:rsidP="00487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A38" w:rsidRDefault="00393A38" w:rsidP="00487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Ayrıca </w:t>
            </w:r>
            <w:r w:rsidRPr="00393A38">
              <w:rPr>
                <w:rFonts w:ascii="Times New Roman" w:hAnsi="Times New Roman" w:cs="Times New Roman"/>
                <w:sz w:val="24"/>
                <w:szCs w:val="24"/>
              </w:rPr>
              <w:t>3/7/2005 tarihli ve 5403 sayılı Toprak Koruma ve Arazi Kullanımı Kanunu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Su Kir</w:t>
            </w:r>
            <w:r w:rsidR="002758F8">
              <w:rPr>
                <w:rFonts w:ascii="Times New Roman" w:hAnsi="Times New Roman" w:cs="Times New Roman"/>
                <w:sz w:val="24"/>
                <w:szCs w:val="24"/>
              </w:rPr>
              <w:t xml:space="preserve">liliği ve Kontrolü Yönetmeliği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ile ilişkili bulunmaktadır.</w:t>
            </w:r>
          </w:p>
          <w:p w:rsidR="00393A38" w:rsidRPr="002E1FD9" w:rsidRDefault="00393A38" w:rsidP="00487CC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01B4" w:rsidRPr="00D35784" w:rsidTr="004F54B7">
        <w:tc>
          <w:tcPr>
            <w:tcW w:w="3369" w:type="dxa"/>
          </w:tcPr>
          <w:p w:rsidR="005F4F9C" w:rsidRPr="00BE61EE" w:rsidRDefault="005F4F9C" w:rsidP="005F4F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EE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  <w:tc>
          <w:tcPr>
            <w:tcW w:w="5843" w:type="dxa"/>
          </w:tcPr>
          <w:p w:rsidR="00712E08" w:rsidRDefault="00712E08" w:rsidP="00B7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Balıkesir İli, Karesi ve Balya ilçeleri sınırları içerisinde yer alan 946,8 hektarlık alanın “ Teknolojik Sanayi Alanı ve Lojistik Alanı” alanı olarak seçilmesinin nedeni İstanbul, İzmir ve Bursa gibi ekonomik merkezlere yakınlığı, Bandırma Limanı, Gölköy Lojistik Merkezi ve demiryolu-karayolu entegrasyonu ile destekleyen altyapısıdır. Ayrıca İstanbul-İzmir Otoyolu, Çanakkale-Balıkesir Otoyolu ve Balıkesir karayolu-demiryolu ağları sayesinde </w:t>
            </w:r>
            <w:r w:rsidR="00DF4717">
              <w:rPr>
                <w:rFonts w:ascii="Times New Roman" w:hAnsi="Times New Roman" w:cs="Times New Roman"/>
                <w:sz w:val="24"/>
                <w:szCs w:val="24"/>
              </w:rPr>
              <w:t>üretim ve dağıtım maliyetlerinde avantajlar sağlaması beklenmektedir.</w:t>
            </w:r>
          </w:p>
          <w:p w:rsidR="00712E08" w:rsidRDefault="00712E08" w:rsidP="00B7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AF" w:rsidRDefault="00B71217" w:rsidP="00B7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7">
              <w:rPr>
                <w:rFonts w:ascii="Times New Roman" w:hAnsi="Times New Roman" w:cs="Times New Roman"/>
                <w:sz w:val="24"/>
                <w:szCs w:val="24"/>
              </w:rPr>
              <w:t xml:space="preserve">Söz konusu ÇDP değişiklik teklifine dair alan </w:t>
            </w:r>
            <w:r w:rsidR="00FC7C5E">
              <w:rPr>
                <w:rFonts w:ascii="Times New Roman" w:hAnsi="Times New Roman" w:cs="Times New Roman"/>
                <w:sz w:val="24"/>
                <w:szCs w:val="24"/>
              </w:rPr>
              <w:t xml:space="preserve">946,8 hektar olup,  alanın 702,3 hektarı kuru marjinal tarım arazisi, 217,7 </w:t>
            </w:r>
            <w:r w:rsidR="00211965">
              <w:rPr>
                <w:rFonts w:ascii="Times New Roman" w:hAnsi="Times New Roman" w:cs="Times New Roman"/>
                <w:sz w:val="24"/>
                <w:szCs w:val="24"/>
              </w:rPr>
              <w:t>hektarı özel</w:t>
            </w:r>
            <w:r w:rsidR="00FC7C5E">
              <w:rPr>
                <w:rFonts w:ascii="Times New Roman" w:hAnsi="Times New Roman" w:cs="Times New Roman"/>
                <w:sz w:val="24"/>
                <w:szCs w:val="24"/>
              </w:rPr>
              <w:t xml:space="preserve"> ürün arazisi, </w:t>
            </w:r>
            <w:r w:rsidR="005633AF">
              <w:rPr>
                <w:rFonts w:ascii="Times New Roman" w:hAnsi="Times New Roman" w:cs="Times New Roman"/>
                <w:sz w:val="24"/>
                <w:szCs w:val="24"/>
              </w:rPr>
              <w:t>2,72 hektarı kuru mutlak tarım arazisi ve 0,025 hektarı tescil harici alandır.</w:t>
            </w:r>
          </w:p>
          <w:p w:rsidR="002D03C2" w:rsidRDefault="005633AF" w:rsidP="00B7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Tarım alanları için Tarım ve Orman Bakanlığından </w:t>
            </w:r>
            <w:r w:rsidR="00FC7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Tarım Dışı Kullanım</w:t>
            </w:r>
            <w:r w:rsidR="00C944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izni verilmiştir.</w:t>
            </w:r>
            <w:r w:rsidR="002F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E78" w:rsidRPr="00B71217">
              <w:rPr>
                <w:rFonts w:ascii="Times New Roman" w:hAnsi="Times New Roman" w:cs="Times New Roman"/>
                <w:sz w:val="24"/>
                <w:szCs w:val="24"/>
              </w:rPr>
              <w:t xml:space="preserve">ÇDP değişiklik teklifine dair alan </w:t>
            </w:r>
            <w:r w:rsidR="002D03C2">
              <w:rPr>
                <w:rFonts w:ascii="Times New Roman" w:hAnsi="Times New Roman" w:cs="Times New Roman"/>
                <w:sz w:val="24"/>
                <w:szCs w:val="24"/>
              </w:rPr>
              <w:t>için Çevre, Şehircilik ve İklim Değişikliği Bakanlığı’ndan 19.07.2022 tarihli Makam Oluru ile “Kamu Yararı Kararı” alınmıştır.</w:t>
            </w:r>
          </w:p>
          <w:p w:rsidR="002D03C2" w:rsidRDefault="002D03C2" w:rsidP="00B7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AF" w:rsidRDefault="005633AF" w:rsidP="00B7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değişikliği alanı </w:t>
            </w:r>
            <w:r w:rsidR="00B975DB">
              <w:rPr>
                <w:rFonts w:ascii="Times New Roman" w:hAnsi="Times New Roman" w:cs="Times New Roman"/>
                <w:sz w:val="24"/>
                <w:szCs w:val="24"/>
              </w:rPr>
              <w:t xml:space="preserve">“tarım alanı” olup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içerisinde</w:t>
            </w:r>
            <w:r w:rsidR="00B975DB">
              <w:rPr>
                <w:rFonts w:ascii="Times New Roman" w:hAnsi="Times New Roman" w:cs="Times New Roman"/>
                <w:sz w:val="24"/>
                <w:szCs w:val="24"/>
              </w:rPr>
              <w:t xml:space="preserve"> Duyarlı Yöre bulunmamaktadır.</w:t>
            </w:r>
            <w:r w:rsidR="002D0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2FC" w:rsidRDefault="005152FC" w:rsidP="00786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68" w:rsidRDefault="006D546D" w:rsidP="004222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Sonuç olarak, </w:t>
            </w:r>
            <w:r w:rsidR="00563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 değişikliği </w:t>
            </w:r>
            <w:r w:rsidR="00444868">
              <w:rPr>
                <w:rFonts w:ascii="Times New Roman" w:hAnsi="Times New Roman" w:cs="Times New Roman"/>
                <w:bCs/>
                <w:sz w:val="24"/>
                <w:szCs w:val="24"/>
              </w:rPr>
              <w:t>talebi değerlendirildiğinde;</w:t>
            </w:r>
          </w:p>
          <w:p w:rsidR="006D546D" w:rsidRPr="00FD549C" w:rsidRDefault="002F1E78" w:rsidP="004222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 değişikliğine konu alanın ÇDP’de “tarım alanı”nda </w:t>
            </w:r>
            <w:r w:rsidR="001101B4">
              <w:rPr>
                <w:rFonts w:ascii="Times New Roman" w:eastAsia="Calibri" w:hAnsi="Times New Roman" w:cs="Times New Roman"/>
                <w:sz w:val="24"/>
                <w:szCs w:val="24"/>
              </w:rPr>
              <w:t>kaldığı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ancak anılan alana dair “kamu yararı kararı”nın ve tarım dışı amaçla kullanım izni”nin bulunduğu; </w:t>
            </w:r>
            <w:r w:rsidR="00FD549C" w:rsidRPr="002F1E78">
              <w:rPr>
                <w:rFonts w:ascii="Times New Roman" w:eastAsia="Calibri" w:hAnsi="Times New Roman" w:cs="Times New Roman"/>
                <w:sz w:val="24"/>
                <w:szCs w:val="24"/>
              </w:rPr>
              <w:t>“Teknolojik Sanayi Alanı ve Lojistik Alanı”</w:t>
            </w:r>
            <w:r w:rsidR="00FD5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549C" w:rsidRPr="00FD549C">
              <w:rPr>
                <w:rFonts w:ascii="Times New Roman" w:eastAsia="Calibri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arak</w:t>
            </w:r>
            <w:r w:rsidR="00FD5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planlan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dığından kirletici vasfı yüksek bir</w:t>
            </w:r>
            <w:r w:rsidR="00C94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sanayi üretim modelinin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öngörülmediği;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ÇED Yönetmeliği ek listelerinde yer alan herhangi bir proje önerilmediği</w:t>
            </w:r>
            <w:r w:rsidR="00110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502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alan </w:t>
            </w:r>
            <w:r w:rsidR="00110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içinde </w:t>
            </w:r>
            <w:r w:rsidR="005027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duyarlı yöreler bulunmadığından </w:t>
            </w:r>
            <w:r w:rsidR="001101B4">
              <w:rPr>
                <w:rFonts w:ascii="Times New Roman" w:eastAsia="Calibri" w:hAnsi="Times New Roman" w:cs="Times New Roman"/>
                <w:sz w:val="24"/>
                <w:szCs w:val="24"/>
              </w:rPr>
              <w:t>dolayı</w:t>
            </w:r>
            <w:r w:rsidR="00FD5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4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söz konusu plan değişiklik teklifi </w:t>
            </w:r>
            <w:r w:rsidR="006D5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SÇD </w:t>
            </w:r>
            <w:r w:rsidR="000058E8">
              <w:rPr>
                <w:rFonts w:ascii="Times New Roman" w:hAnsi="Times New Roman" w:cs="Times New Roman"/>
                <w:bCs/>
                <w:sz w:val="24"/>
                <w:szCs w:val="24"/>
              </w:rPr>
              <w:t>Yönetmeliği</w:t>
            </w:r>
            <w:r w:rsidR="001B4355">
              <w:rPr>
                <w:rFonts w:ascii="Times New Roman" w:hAnsi="Times New Roman" w:cs="Times New Roman"/>
                <w:bCs/>
                <w:sz w:val="24"/>
                <w:szCs w:val="24"/>
              </w:rPr>
              <w:t>ne tabi değildir.</w:t>
            </w:r>
          </w:p>
          <w:p w:rsidR="005152FC" w:rsidRPr="00786018" w:rsidRDefault="005152FC" w:rsidP="00786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1B4" w:rsidRPr="00D35784" w:rsidTr="004F54B7">
        <w:tc>
          <w:tcPr>
            <w:tcW w:w="3369" w:type="dxa"/>
          </w:tcPr>
          <w:p w:rsidR="005F4F9C" w:rsidRPr="00C70CC5" w:rsidRDefault="005F4F9C" w:rsidP="005F4F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F9C" w:rsidRPr="00C70CC5" w:rsidRDefault="005F4F9C" w:rsidP="005F4F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C5">
              <w:rPr>
                <w:rFonts w:ascii="Times New Roman" w:hAnsi="Times New Roman" w:cs="Times New Roman"/>
                <w:b/>
                <w:sz w:val="24"/>
                <w:szCs w:val="24"/>
              </w:rPr>
              <w:t>SÇD Eleme Kararı</w:t>
            </w:r>
          </w:p>
          <w:p w:rsidR="005F4F9C" w:rsidRPr="00C70CC5" w:rsidRDefault="005F4F9C" w:rsidP="005F4F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3" w:type="dxa"/>
          </w:tcPr>
          <w:p w:rsidR="005F4F9C" w:rsidRPr="00C70CC5" w:rsidRDefault="005F4F9C" w:rsidP="004F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F9C" w:rsidRPr="00C70CC5" w:rsidRDefault="005F4F9C" w:rsidP="004F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CC5">
              <w:rPr>
                <w:rFonts w:ascii="Times New Roman" w:hAnsi="Times New Roman" w:cs="Times New Roman"/>
                <w:sz w:val="24"/>
                <w:szCs w:val="24"/>
              </w:rPr>
              <w:t>SÇD’ye Tabidir                             SÇD’ye Tabi Değildir.</w:t>
            </w:r>
          </w:p>
          <w:p w:rsidR="0005561C" w:rsidRPr="00C70CC5" w:rsidRDefault="0005561C" w:rsidP="004F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F9C" w:rsidRPr="00C70CC5" w:rsidRDefault="00B134A6" w:rsidP="00B134A6">
            <w:pPr>
              <w:tabs>
                <w:tab w:val="left" w:pos="10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C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2B3182" wp14:editId="18172A16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30480</wp:posOffset>
                      </wp:positionV>
                      <wp:extent cx="323850" cy="269875"/>
                      <wp:effectExtent l="0" t="0" r="19050" b="1587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058E8" w:rsidRPr="000058E8" w:rsidRDefault="000058E8" w:rsidP="000058E8">
                                  <w:r w:rsidRPr="000058E8">
                                    <w:t>X</w:t>
                                  </w:r>
                                </w:p>
                                <w:p w:rsidR="005F4F9C" w:rsidRPr="00B134A6" w:rsidRDefault="005F4F9C" w:rsidP="005F4F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B31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95pt;margin-top:2.4pt;width:25.5pt;height:2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" fillcolor="window" strokeweight=".5pt">
                      <v:textbox>
                        <w:txbxContent>
                          <w:p w:rsidR="000058E8" w:rsidRPr="000058E8" w:rsidRDefault="000058E8" w:rsidP="000058E8">
                            <w:r w:rsidRPr="000058E8">
                              <w:t>X</w:t>
                            </w:r>
                          </w:p>
                          <w:p w:rsidR="005F4F9C" w:rsidRPr="00B134A6" w:rsidRDefault="005F4F9C" w:rsidP="005F4F9C"/>
                        </w:txbxContent>
                      </v:textbox>
                    </v:shape>
                  </w:pict>
                </mc:Fallback>
              </mc:AlternateContent>
            </w:r>
            <w:r w:rsidR="005F4F9C" w:rsidRPr="00C70CC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64A02" wp14:editId="2B421B86">
                      <wp:simplePos x="0" y="0"/>
                      <wp:positionH relativeFrom="column">
                        <wp:posOffset>205022</wp:posOffset>
                      </wp:positionH>
                      <wp:positionV relativeFrom="paragraph">
                        <wp:posOffset>30728</wp:posOffset>
                      </wp:positionV>
                      <wp:extent cx="295275" cy="270345"/>
                      <wp:effectExtent l="0" t="0" r="28575" b="1587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703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F4F9C" w:rsidRPr="005F4F9C" w:rsidRDefault="005F4F9C" w:rsidP="005F4F9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64A02" id="Metin Kutusu 1" o:spid="_x0000_s1027" type="#_x0000_t202" style="position:absolute;left:0;text-align:left;margin-left:16.15pt;margin-top:2.4pt;width:23.25pt;height:2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" fillcolor="window" strokeweight=".5pt">
                      <v:textbox>
                        <w:txbxContent>
                          <w:p w:rsidR="005F4F9C" w:rsidRPr="005F4F9C" w:rsidRDefault="005F4F9C" w:rsidP="005F4F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CC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F4F9C" w:rsidRPr="00C70CC5" w:rsidRDefault="005F4F9C" w:rsidP="004F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F9C" w:rsidRPr="00F53EAA" w:rsidRDefault="005F4F9C" w:rsidP="005459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4F9C" w:rsidRPr="00F53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61C8"/>
    <w:multiLevelType w:val="hybridMultilevel"/>
    <w:tmpl w:val="0A40818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2DF8"/>
    <w:multiLevelType w:val="hybridMultilevel"/>
    <w:tmpl w:val="A08CB90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F291D"/>
    <w:multiLevelType w:val="hybridMultilevel"/>
    <w:tmpl w:val="8A0ED608"/>
    <w:lvl w:ilvl="0" w:tplc="5E1859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44D21"/>
    <w:multiLevelType w:val="hybridMultilevel"/>
    <w:tmpl w:val="C90A3D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26DB2"/>
    <w:multiLevelType w:val="hybridMultilevel"/>
    <w:tmpl w:val="0D04C4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14E0A"/>
    <w:multiLevelType w:val="hybridMultilevel"/>
    <w:tmpl w:val="C90A3D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43261"/>
    <w:multiLevelType w:val="hybridMultilevel"/>
    <w:tmpl w:val="F040837A"/>
    <w:lvl w:ilvl="0" w:tplc="5E1859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AA"/>
    <w:rsid w:val="000058E8"/>
    <w:rsid w:val="00024D84"/>
    <w:rsid w:val="00050BA9"/>
    <w:rsid w:val="0005561C"/>
    <w:rsid w:val="00091934"/>
    <w:rsid w:val="000F143A"/>
    <w:rsid w:val="000F324B"/>
    <w:rsid w:val="00103806"/>
    <w:rsid w:val="001076DD"/>
    <w:rsid w:val="001101B4"/>
    <w:rsid w:val="00120EFA"/>
    <w:rsid w:val="00121044"/>
    <w:rsid w:val="001234FD"/>
    <w:rsid w:val="001305BA"/>
    <w:rsid w:val="00152495"/>
    <w:rsid w:val="0016513D"/>
    <w:rsid w:val="001A0443"/>
    <w:rsid w:val="001B4355"/>
    <w:rsid w:val="001B794D"/>
    <w:rsid w:val="001C51A7"/>
    <w:rsid w:val="001D7632"/>
    <w:rsid w:val="001F0639"/>
    <w:rsid w:val="00211965"/>
    <w:rsid w:val="002758F8"/>
    <w:rsid w:val="00275F80"/>
    <w:rsid w:val="002A6FF6"/>
    <w:rsid w:val="002D03C2"/>
    <w:rsid w:val="002D46E2"/>
    <w:rsid w:val="002E1FD9"/>
    <w:rsid w:val="002F1E78"/>
    <w:rsid w:val="00317C21"/>
    <w:rsid w:val="00320FCA"/>
    <w:rsid w:val="0033737E"/>
    <w:rsid w:val="003545C7"/>
    <w:rsid w:val="00376443"/>
    <w:rsid w:val="00393A38"/>
    <w:rsid w:val="003960C6"/>
    <w:rsid w:val="003E0FB2"/>
    <w:rsid w:val="003E14A4"/>
    <w:rsid w:val="00422220"/>
    <w:rsid w:val="0042611D"/>
    <w:rsid w:val="00432B51"/>
    <w:rsid w:val="00444868"/>
    <w:rsid w:val="00451B90"/>
    <w:rsid w:val="00465CC6"/>
    <w:rsid w:val="00476866"/>
    <w:rsid w:val="00487CCD"/>
    <w:rsid w:val="004B1598"/>
    <w:rsid w:val="004B2369"/>
    <w:rsid w:val="004C79A6"/>
    <w:rsid w:val="004E5463"/>
    <w:rsid w:val="004E65C7"/>
    <w:rsid w:val="005027DE"/>
    <w:rsid w:val="005152FC"/>
    <w:rsid w:val="0054592E"/>
    <w:rsid w:val="005633AF"/>
    <w:rsid w:val="0058215A"/>
    <w:rsid w:val="00597EDE"/>
    <w:rsid w:val="005A0780"/>
    <w:rsid w:val="005A1AE7"/>
    <w:rsid w:val="005B7795"/>
    <w:rsid w:val="005E0342"/>
    <w:rsid w:val="005E3F5D"/>
    <w:rsid w:val="005F4F9C"/>
    <w:rsid w:val="00616730"/>
    <w:rsid w:val="00616E13"/>
    <w:rsid w:val="0063707D"/>
    <w:rsid w:val="00641CE3"/>
    <w:rsid w:val="00642EEA"/>
    <w:rsid w:val="00665568"/>
    <w:rsid w:val="00694CFB"/>
    <w:rsid w:val="006A325A"/>
    <w:rsid w:val="006B2899"/>
    <w:rsid w:val="006D546D"/>
    <w:rsid w:val="006D7E9E"/>
    <w:rsid w:val="006F355C"/>
    <w:rsid w:val="00712E08"/>
    <w:rsid w:val="007165D6"/>
    <w:rsid w:val="0074042A"/>
    <w:rsid w:val="00772328"/>
    <w:rsid w:val="0078579C"/>
    <w:rsid w:val="00786018"/>
    <w:rsid w:val="007B6466"/>
    <w:rsid w:val="007C405F"/>
    <w:rsid w:val="007D214D"/>
    <w:rsid w:val="00823D9F"/>
    <w:rsid w:val="00825AF8"/>
    <w:rsid w:val="00872D44"/>
    <w:rsid w:val="00872D76"/>
    <w:rsid w:val="00887B8C"/>
    <w:rsid w:val="00897B79"/>
    <w:rsid w:val="008A2366"/>
    <w:rsid w:val="00913933"/>
    <w:rsid w:val="009231F1"/>
    <w:rsid w:val="009245D1"/>
    <w:rsid w:val="00926E29"/>
    <w:rsid w:val="00934E25"/>
    <w:rsid w:val="009718D8"/>
    <w:rsid w:val="009934EA"/>
    <w:rsid w:val="00996B4D"/>
    <w:rsid w:val="009C7BD5"/>
    <w:rsid w:val="009E034C"/>
    <w:rsid w:val="009E6CCC"/>
    <w:rsid w:val="00A1318B"/>
    <w:rsid w:val="00A24DC1"/>
    <w:rsid w:val="00A45437"/>
    <w:rsid w:val="00A87A09"/>
    <w:rsid w:val="00A95B70"/>
    <w:rsid w:val="00AA7494"/>
    <w:rsid w:val="00AE5904"/>
    <w:rsid w:val="00B134A6"/>
    <w:rsid w:val="00B16484"/>
    <w:rsid w:val="00B32636"/>
    <w:rsid w:val="00B55886"/>
    <w:rsid w:val="00B57039"/>
    <w:rsid w:val="00B65E1F"/>
    <w:rsid w:val="00B71217"/>
    <w:rsid w:val="00B75AAE"/>
    <w:rsid w:val="00B82821"/>
    <w:rsid w:val="00B962E1"/>
    <w:rsid w:val="00B975DB"/>
    <w:rsid w:val="00BC5106"/>
    <w:rsid w:val="00BE61EE"/>
    <w:rsid w:val="00C12115"/>
    <w:rsid w:val="00C25C98"/>
    <w:rsid w:val="00C42048"/>
    <w:rsid w:val="00C52CE9"/>
    <w:rsid w:val="00C70CC5"/>
    <w:rsid w:val="00C741B3"/>
    <w:rsid w:val="00C858DA"/>
    <w:rsid w:val="00C944A8"/>
    <w:rsid w:val="00CA2410"/>
    <w:rsid w:val="00CC3B32"/>
    <w:rsid w:val="00CE3ECE"/>
    <w:rsid w:val="00CF234B"/>
    <w:rsid w:val="00CF71BB"/>
    <w:rsid w:val="00D055C8"/>
    <w:rsid w:val="00D2567B"/>
    <w:rsid w:val="00D415A2"/>
    <w:rsid w:val="00D77A1C"/>
    <w:rsid w:val="00D80F67"/>
    <w:rsid w:val="00D91C61"/>
    <w:rsid w:val="00D9425E"/>
    <w:rsid w:val="00D96D97"/>
    <w:rsid w:val="00DA48D3"/>
    <w:rsid w:val="00DB6391"/>
    <w:rsid w:val="00DF4717"/>
    <w:rsid w:val="00DF75C0"/>
    <w:rsid w:val="00E02EAB"/>
    <w:rsid w:val="00E03054"/>
    <w:rsid w:val="00E05743"/>
    <w:rsid w:val="00E54F2A"/>
    <w:rsid w:val="00E560D8"/>
    <w:rsid w:val="00E612BA"/>
    <w:rsid w:val="00E65B0F"/>
    <w:rsid w:val="00EA72DD"/>
    <w:rsid w:val="00EF1C8D"/>
    <w:rsid w:val="00F1286E"/>
    <w:rsid w:val="00F33C10"/>
    <w:rsid w:val="00F35153"/>
    <w:rsid w:val="00F53EAA"/>
    <w:rsid w:val="00F61EE8"/>
    <w:rsid w:val="00F70A4A"/>
    <w:rsid w:val="00F802F7"/>
    <w:rsid w:val="00F94D56"/>
    <w:rsid w:val="00F963BD"/>
    <w:rsid w:val="00FA4291"/>
    <w:rsid w:val="00FA563A"/>
    <w:rsid w:val="00FC7C5E"/>
    <w:rsid w:val="00FD166A"/>
    <w:rsid w:val="00FD549C"/>
    <w:rsid w:val="00FE1B8D"/>
    <w:rsid w:val="00FE5191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8E547-20E1-4DB1-AA81-2FDFDA2F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A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99"/>
    <w:qFormat/>
    <w:rsid w:val="00024D84"/>
    <w:pPr>
      <w:ind w:left="720"/>
      <w:contextualSpacing/>
    </w:pPr>
  </w:style>
  <w:style w:type="table" w:styleId="TabloKlavuzu">
    <w:name w:val="Table Grid"/>
    <w:basedOn w:val="NormalTablo"/>
    <w:uiPriority w:val="59"/>
    <w:rsid w:val="005F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4A6"/>
    <w:rPr>
      <w:rFonts w:ascii="Tahoma" w:hAnsi="Tahoma" w:cs="Tahoma"/>
      <w:sz w:val="16"/>
      <w:szCs w:val="16"/>
    </w:rPr>
  </w:style>
  <w:style w:type="character" w:customStyle="1" w:styleId="ListeParagrafChar">
    <w:name w:val="Liste Paragraf Char"/>
    <w:link w:val="ListeParagraf"/>
    <w:uiPriority w:val="99"/>
    <w:locked/>
    <w:rsid w:val="0078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Erdem</dc:creator>
  <cp:lastModifiedBy>Özge Erdem</cp:lastModifiedBy>
  <cp:revision>2</cp:revision>
  <dcterms:created xsi:type="dcterms:W3CDTF">2025-09-12T13:31:00Z</dcterms:created>
  <dcterms:modified xsi:type="dcterms:W3CDTF">2025-09-12T13:31:00Z</dcterms:modified>
</cp:coreProperties>
</file>