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863119">
        <w:rPr>
          <w:rFonts w:eastAsiaTheme="minorHAnsi"/>
          <w:b/>
          <w:sz w:val="28"/>
          <w:szCs w:val="28"/>
        </w:rPr>
        <w:t>D</w:t>
      </w:r>
      <w:r w:rsidR="000B1C84">
        <w:rPr>
          <w:rFonts w:eastAsiaTheme="minorHAnsi"/>
          <w:b/>
          <w:sz w:val="28"/>
          <w:szCs w:val="28"/>
        </w:rPr>
        <w:t>1</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CF7CFD">
        <w:rPr>
          <w:rFonts w:eastAsiaTheme="minorHAnsi"/>
          <w:i/>
          <w:szCs w:val="24"/>
        </w:rPr>
        <w:t>2</w:t>
      </w:r>
      <w:r w:rsidRPr="006A25C6">
        <w:rPr>
          <w:rFonts w:eastAsiaTheme="minorHAnsi"/>
          <w:i/>
          <w:szCs w:val="24"/>
        </w:rPr>
        <w:t>.</w:t>
      </w:r>
      <w:r w:rsidR="000B1C84">
        <w:rPr>
          <w:rFonts w:eastAsiaTheme="minorHAnsi"/>
          <w:i/>
          <w:szCs w:val="24"/>
        </w:rPr>
        <w:t>325</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0B1C84">
        <w:rPr>
          <w:rFonts w:eastAsiaTheme="minorHAnsi"/>
          <w:i/>
          <w:szCs w:val="24"/>
        </w:rPr>
        <w:t>9</w:t>
      </w:r>
      <w:r w:rsidRPr="006A25C6">
        <w:rPr>
          <w:rFonts w:eastAsiaTheme="minorHAnsi"/>
          <w:i/>
          <w:szCs w:val="24"/>
        </w:rPr>
        <w:t>.</w:t>
      </w:r>
      <w:r w:rsidR="000B1C84">
        <w:rPr>
          <w:rFonts w:eastAsiaTheme="minorHAnsi"/>
          <w:i/>
          <w:szCs w:val="24"/>
        </w:rPr>
        <w:t>350</w:t>
      </w:r>
      <w:r w:rsidRPr="006A25C6">
        <w:rPr>
          <w:rFonts w:eastAsiaTheme="minorHAnsi"/>
          <w:i/>
          <w:szCs w:val="24"/>
        </w:rPr>
        <w:t>,0</w:t>
      </w:r>
      <w:bookmarkStart w:id="0" w:name="_GoBack"/>
      <w:bookmarkEnd w:id="0"/>
      <w:r w:rsidRPr="006A25C6">
        <w:rPr>
          <w:rFonts w:eastAsiaTheme="minorHAnsi"/>
          <w:i/>
          <w:szCs w:val="24"/>
        </w:rPr>
        <w:t>0 TL.</w:t>
      </w:r>
    </w:p>
    <w:p w:rsidR="00993251"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 xml:space="preserve">Gelmeden Önce Yukarıda Yer Alan Ücretlerden </w:t>
      </w:r>
      <w:r w:rsidR="00442298" w:rsidRPr="001C37CD">
        <w:rPr>
          <w:rFonts w:eastAsiaTheme="minorHAnsi"/>
          <w:b/>
          <w:i/>
          <w:szCs w:val="24"/>
          <w:u w:val="single"/>
        </w:rPr>
        <w:t>YAMBİS Kayıt Ücreti</w:t>
      </w:r>
      <w:r w:rsidR="00442298">
        <w:rPr>
          <w:rFonts w:eastAsiaTheme="minorHAnsi"/>
          <w:i/>
          <w:szCs w:val="24"/>
        </w:rPr>
        <w:t xml:space="preserve"> </w:t>
      </w:r>
      <w:r w:rsidR="000B55A7">
        <w:rPr>
          <w:rFonts w:eastAsiaTheme="minorHAnsi"/>
          <w:i/>
          <w:szCs w:val="24"/>
        </w:rPr>
        <w:t xml:space="preserve">İle </w:t>
      </w:r>
      <w:r w:rsidR="00442298" w:rsidRPr="001C37CD">
        <w:rPr>
          <w:rFonts w:eastAsiaTheme="minorHAnsi"/>
          <w:b/>
          <w:i/>
          <w:szCs w:val="24"/>
          <w:u w:val="single"/>
        </w:rPr>
        <w:t>İnceleme Ücreti</w:t>
      </w:r>
      <w:r w:rsidR="000B55A7" w:rsidRPr="001C37CD">
        <w:rPr>
          <w:rFonts w:eastAsiaTheme="minorHAnsi"/>
          <w:b/>
          <w:i/>
          <w:szCs w:val="24"/>
          <w:u w:val="single"/>
        </w:rPr>
        <w:t>,</w:t>
      </w:r>
      <w:r w:rsidR="000B55A7">
        <w:rPr>
          <w:rFonts w:eastAsiaTheme="minorHAnsi"/>
          <w:i/>
          <w:szCs w:val="24"/>
        </w:rPr>
        <w:t xml:space="preserve"> 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AB29B8">
        <w:rPr>
          <w:rFonts w:eastAsiaTheme="minorHAnsi"/>
          <w:i/>
          <w:szCs w:val="24"/>
        </w:rPr>
        <w:t xml:space="preserve">Başvuru </w:t>
      </w:r>
      <w:r w:rsidR="000B55A7">
        <w:rPr>
          <w:rFonts w:eastAsiaTheme="minorHAnsi"/>
          <w:i/>
          <w:szCs w:val="24"/>
        </w:rPr>
        <w:t xml:space="preserve">Dosyası </w:t>
      </w:r>
      <w:r w:rsidR="00AB29B8">
        <w:rPr>
          <w:rFonts w:eastAsiaTheme="minorHAnsi"/>
          <w:i/>
          <w:szCs w:val="24"/>
        </w:rPr>
        <w:t xml:space="preserve">İl Müteahhitlik Komisyonundan </w:t>
      </w:r>
      <w:r w:rsidR="000B55A7">
        <w:rPr>
          <w:rFonts w:eastAsiaTheme="minorHAnsi"/>
          <w:i/>
          <w:szCs w:val="24"/>
        </w:rPr>
        <w:t xml:space="preserve">Geçtiği Takdirde Cep Telefonunuza Gelecek </w:t>
      </w:r>
      <w:r w:rsidR="00AB29B8">
        <w:rPr>
          <w:rFonts w:eastAsiaTheme="minorHAnsi"/>
          <w:i/>
          <w:szCs w:val="24"/>
        </w:rPr>
        <w:t xml:space="preserve">Bakanlık </w:t>
      </w:r>
      <w:r w:rsidR="000B55A7">
        <w:rPr>
          <w:rFonts w:eastAsiaTheme="minorHAnsi"/>
          <w:i/>
          <w:szCs w:val="24"/>
        </w:rPr>
        <w:t xml:space="preserve">Mesajı Doğrultusunda  Yukarıda Belirtilen Son Harç Olan </w:t>
      </w:r>
      <w:r w:rsidR="00AB29B8" w:rsidRPr="001C37CD">
        <w:rPr>
          <w:rFonts w:eastAsiaTheme="minorHAnsi"/>
          <w:b/>
          <w:i/>
          <w:szCs w:val="24"/>
          <w:u w:val="single"/>
        </w:rPr>
        <w:t>Grup Ücreti</w:t>
      </w:r>
      <w:r w:rsidR="00AB29B8">
        <w:rPr>
          <w:rFonts w:eastAsiaTheme="minorHAnsi"/>
          <w:i/>
          <w:szCs w:val="24"/>
        </w:rPr>
        <w:t xml:space="preserve"> </w:t>
      </w:r>
      <w:r w:rsidR="000B55A7">
        <w:rPr>
          <w:rFonts w:eastAsiaTheme="minorHAnsi"/>
          <w:i/>
          <w:szCs w:val="24"/>
        </w:rPr>
        <w:t xml:space="preserve">Herhangi Bir </w:t>
      </w:r>
      <w:r>
        <w:rPr>
          <w:rFonts w:eastAsiaTheme="minorHAnsi"/>
          <w:i/>
          <w:szCs w:val="24"/>
        </w:rPr>
        <w:t xml:space="preserve">Halkbankası Şubesine </w:t>
      </w:r>
      <w:r w:rsidR="000B55A7">
        <w:rPr>
          <w:rFonts w:eastAsiaTheme="minorHAnsi"/>
          <w:i/>
          <w:szCs w:val="24"/>
        </w:rPr>
        <w:t xml:space="preserve">Yatırılacaktır. </w:t>
      </w:r>
      <w:r w:rsidR="000F767C">
        <w:rPr>
          <w:rFonts w:eastAsiaTheme="minorHAnsi"/>
          <w:i/>
          <w:szCs w:val="24"/>
        </w:rPr>
        <w:t xml:space="preserve">İl Müdürlüğümüz Muhasebe Servisinde </w:t>
      </w:r>
      <w:r w:rsidR="000B55A7">
        <w:rPr>
          <w:rFonts w:eastAsiaTheme="minorHAnsi"/>
          <w:i/>
          <w:szCs w:val="24"/>
        </w:rPr>
        <w:t xml:space="preserve">Bu Dekonta Da  Fatura Kestirilip, Faturanın Fotokopisi </w:t>
      </w:r>
      <w:r>
        <w:rPr>
          <w:rFonts w:eastAsiaTheme="minorHAnsi"/>
          <w:i/>
          <w:szCs w:val="24"/>
        </w:rPr>
        <w:t xml:space="preserve">İl Müdürlüğümüz Müteahhitlik Komisyonuna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t xml:space="preserve">EĞER ÜZERİNDE BİNA YAPILAN ARSA MÜTEAHHİDE AİTSE YANİ HEM ARSA SAHİBİ HEMDE YAPI MÜTEAHHİDİ AYNI KİŞİ VEYA TÜZEL KİŞİLİK İSE “EKAP” KAYDI SÖZLEŞME OLMADIĞINDAN </w:t>
      </w:r>
      <w:r w:rsidRPr="002E2CDE">
        <w:rPr>
          <w:b/>
          <w:bCs/>
          <w:color w:val="auto"/>
        </w:rPr>
        <w:lastRenderedPageBreak/>
        <w:t>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lastRenderedPageBreak/>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DOĞRULTUSUNDA HESAPLANANARAK DOLDURULUR VE İMZALANIR. BU KRİTER UYGUN DEĞER </w:t>
      </w:r>
      <w:r w:rsidRPr="002E2CDE">
        <w:rPr>
          <w:rFonts w:asciiTheme="minorHAnsi" w:hAnsiTheme="minorHAnsi" w:cstheme="minorHAnsi"/>
          <w:b/>
          <w:bCs/>
          <w:szCs w:val="24"/>
        </w:rPr>
        <w:lastRenderedPageBreak/>
        <w:t>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2E" w:rsidRDefault="00891B2E" w:rsidP="000A6C94">
      <w:r>
        <w:separator/>
      </w:r>
    </w:p>
  </w:endnote>
  <w:endnote w:type="continuationSeparator" w:id="0">
    <w:p w:rsidR="00891B2E" w:rsidRDefault="00891B2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2E" w:rsidRDefault="00891B2E" w:rsidP="000A6C94">
      <w:r>
        <w:separator/>
      </w:r>
    </w:p>
  </w:footnote>
  <w:footnote w:type="continuationSeparator" w:id="0">
    <w:p w:rsidR="00891B2E" w:rsidRDefault="00891B2E"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1C8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410"/>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CA5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9123-4FDD-4B5B-87F8-83E37119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13</Pages>
  <Words>4128</Words>
  <Characters>23533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181</cp:revision>
  <cp:lastPrinted>2019-01-30T07:58:00Z</cp:lastPrinted>
  <dcterms:created xsi:type="dcterms:W3CDTF">2020-10-12T10:25:00Z</dcterms:created>
  <dcterms:modified xsi:type="dcterms:W3CDTF">2020-10-16T11:43:00Z</dcterms:modified>
</cp:coreProperties>
</file>