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1338"/>
        <w:gridCol w:w="1515"/>
        <w:gridCol w:w="1326"/>
        <w:gridCol w:w="1405"/>
        <w:gridCol w:w="1986"/>
        <w:gridCol w:w="935"/>
        <w:gridCol w:w="1020"/>
      </w:tblGrid>
      <w:tr w:rsidR="00206A0B" w:rsidRPr="00206A0B" w:rsidTr="00EE7DA3">
        <w:trPr>
          <w:trHeight w:val="248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206A0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YAPI MÜTEAHHİTLİĞİ GRUPLARI LİMİTLERİ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– (2019 YILI</w:t>
            </w:r>
            <w:r w:rsidR="00EE7DA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İÇİN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6A0B" w:rsidRPr="00206A0B" w:rsidTr="00EE7DA3">
        <w:trPr>
          <w:trHeight w:val="248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2157A" w:rsidRPr="00206A0B" w:rsidTr="00EE7DA3">
        <w:trPr>
          <w:trHeight w:val="600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2157A" w:rsidRPr="00206A0B" w:rsidRDefault="0072157A" w:rsidP="00206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06A0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EŞİK DEĞER: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157A" w:rsidRPr="00206A0B" w:rsidRDefault="0072157A" w:rsidP="007215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06A0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60.742.537 ₺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57A" w:rsidRPr="00206A0B" w:rsidRDefault="0072157A" w:rsidP="00206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157A" w:rsidRPr="00206A0B" w:rsidRDefault="0072157A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6A0B" w:rsidRPr="00206A0B" w:rsidTr="00EE7DA3">
        <w:trPr>
          <w:trHeight w:val="1046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YETKİ GRUBU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BİLANÇO ORANLARI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ASGARİ </w:t>
            </w: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 xml:space="preserve">İŞ DENEYİM MİKTARI- </w:t>
            </w:r>
            <w:r w:rsidR="00B709E9" w:rsidRPr="00206A0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ASGARİ BANKA REFERANS TUTARI -</w:t>
            </w:r>
            <w:r w:rsidR="00B709E9" w:rsidRPr="00206A0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CİRO (İŞ HACMİ) MİKTARI-</w:t>
            </w:r>
            <w:r w:rsidR="00B709E9" w:rsidRPr="00206A0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0B" w:rsidRPr="00206A0B" w:rsidRDefault="00206A0B" w:rsidP="00E3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TEK </w:t>
            </w:r>
            <w:r w:rsidR="00E375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PARSELDE </w:t>
            </w: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YAPILABİLECEK</w:t>
            </w: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 xml:space="preserve"> YAPI MALİYETİ-</w:t>
            </w:r>
            <w:r w:rsidR="00B709E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B709E9" w:rsidRPr="00206A0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₺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>GRUP TAYİN ÜCRETİ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>GRUP KAYIT ÜCRETİ</w:t>
            </w:r>
          </w:p>
        </w:tc>
      </w:tr>
      <w:tr w:rsidR="00206A0B" w:rsidRPr="00206A0B" w:rsidTr="00EE7DA3">
        <w:trPr>
          <w:trHeight w:val="27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121.485.074,00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6.074.253,70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24.297.014,80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>Sınırsız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24.000,00</w:t>
            </w:r>
          </w:p>
        </w:tc>
      </w:tr>
      <w:tr w:rsidR="00206A0B" w:rsidRPr="00206A0B" w:rsidTr="00EE7DA3">
        <w:trPr>
          <w:trHeight w:val="27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85.039.551,80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4.251.977,59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17.007.910,36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85.039.551,80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18.000,00</w:t>
            </w:r>
          </w:p>
        </w:tc>
      </w:tr>
      <w:tr w:rsidR="00206A0B" w:rsidRPr="00206A0B" w:rsidTr="00EE7DA3">
        <w:trPr>
          <w:trHeight w:val="27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60.742.537,00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3.037.126,85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12.148.507,40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60.742.537,00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3.400,00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13.500,00</w:t>
            </w:r>
          </w:p>
        </w:tc>
      </w:tr>
      <w:tr w:rsidR="00206A0B" w:rsidRPr="00206A0B" w:rsidTr="00EE7DA3">
        <w:trPr>
          <w:trHeight w:val="27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40.495.024,67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2.024.751,23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8.099.004,93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40.495.024,67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10.150,00</w:t>
            </w:r>
          </w:p>
        </w:tc>
      </w:tr>
      <w:tr w:rsidR="00206A0B" w:rsidRPr="00206A0B" w:rsidTr="00EE7DA3">
        <w:trPr>
          <w:trHeight w:val="27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20.247.512,33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1.012.375,62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4.049.502,47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20.247.512,33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1.700,00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6.750,00</w:t>
            </w:r>
          </w:p>
        </w:tc>
      </w:tr>
      <w:tr w:rsidR="00206A0B" w:rsidRPr="00206A0B" w:rsidTr="00EE7DA3">
        <w:trPr>
          <w:trHeight w:val="27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</w:t>
            </w: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6.074.253,70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303.712,69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607.425,37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12.148.507,40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4.500,00</w:t>
            </w:r>
          </w:p>
        </w:tc>
      </w:tr>
      <w:tr w:rsidR="00206A0B" w:rsidRPr="00206A0B" w:rsidTr="00EE7DA3">
        <w:trPr>
          <w:trHeight w:val="27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G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4.251.977,59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212.598,88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6.377.966,39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750</w:t>
            </w:r>
            <w:r w:rsidR="00997F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3.000,00</w:t>
            </w:r>
          </w:p>
        </w:tc>
      </w:tr>
      <w:tr w:rsidR="00206A0B" w:rsidRPr="00206A0B" w:rsidTr="00EE7DA3">
        <w:trPr>
          <w:trHeight w:val="274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lang w:eastAsia="tr-TR"/>
              </w:rPr>
              <w:t xml:space="preserve">2.551.186,55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</w:t>
            </w:r>
            <w:r w:rsidR="00997F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06A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1.000,00</w:t>
            </w:r>
          </w:p>
        </w:tc>
      </w:tr>
      <w:tr w:rsidR="00206A0B" w:rsidRPr="00206A0B" w:rsidTr="00EE7DA3">
        <w:trPr>
          <w:trHeight w:val="248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A0B" w:rsidRPr="00206A0B" w:rsidRDefault="00206A0B" w:rsidP="00206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050CB" w:rsidRPr="00FB1DA5" w:rsidRDefault="001050CB" w:rsidP="003011D0">
      <w:pPr>
        <w:pStyle w:val="ListeParagraf"/>
        <w:numPr>
          <w:ilvl w:val="0"/>
          <w:numId w:val="1"/>
        </w:numPr>
        <w:spacing w:after="4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B1DA5">
        <w:rPr>
          <w:rFonts w:ascii="Arial" w:eastAsia="Times New Roman" w:hAnsi="Arial" w:cs="Arial"/>
          <w:b/>
          <w:sz w:val="20"/>
          <w:szCs w:val="20"/>
          <w:lang w:eastAsia="tr-TR"/>
        </w:rPr>
        <w:t>EKONOMİK YETERLİLİK</w:t>
      </w:r>
    </w:p>
    <w:p w:rsidR="001050CB" w:rsidRDefault="001050CB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BİLANÇO ORANLARI:</w:t>
      </w:r>
    </w:p>
    <w:p w:rsidR="001050CB" w:rsidRDefault="001050CB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a) Cari oranın (dönen varlıklar/kısa vadeli borçlar) en az 0,50,</w:t>
      </w:r>
    </w:p>
    <w:p w:rsidR="001050CB" w:rsidRDefault="001050CB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b) Öz kaynak oranının (öz kaynaklar/toplam aktif) en az 0,10,</w:t>
      </w:r>
    </w:p>
    <w:p w:rsidR="00874C85" w:rsidRDefault="001050CB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c) Kısa vadeli banka borçlarının öz kaynak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lara oranının 0,75’ten küçük ** </w:t>
      </w:r>
      <w:r w:rsidRPr="00206A0B">
        <w:rPr>
          <w:rFonts w:ascii="Arial" w:eastAsia="Times New Roman" w:hAnsi="Arial" w:cs="Arial"/>
          <w:sz w:val="20"/>
          <w:szCs w:val="20"/>
          <w:lang w:eastAsia="tr-TR"/>
        </w:rPr>
        <w:t>olması gerekir.</w:t>
      </w:r>
    </w:p>
    <w:p w:rsidR="00874C85" w:rsidRDefault="00874C85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* </w:t>
      </w:r>
      <w:r w:rsidR="001050CB">
        <w:rPr>
          <w:rFonts w:ascii="Arial" w:eastAsia="Times New Roman" w:hAnsi="Arial" w:cs="Arial"/>
          <w:sz w:val="20"/>
          <w:szCs w:val="20"/>
          <w:lang w:eastAsia="tr-TR"/>
        </w:rPr>
        <w:t>Ayrıca başvurudan önceki yıl (ya da 6 yıla kadar ortalaması ) tabloda yer alan tutarda iş hacmi-ciro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tutarını sağlaması gerekmektedir. </w:t>
      </w:r>
      <w:r w:rsidRPr="00206A0B">
        <w:rPr>
          <w:rFonts w:ascii="Arial" w:eastAsia="Times New Roman" w:hAnsi="Arial" w:cs="Arial"/>
          <w:sz w:val="20"/>
          <w:szCs w:val="20"/>
          <w:lang w:eastAsia="tr-TR"/>
        </w:rPr>
        <w:t>Ciro tutarları si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stem tarafından (ÜFE oranında) </w:t>
      </w:r>
      <w:r w:rsidRPr="00206A0B">
        <w:rPr>
          <w:rFonts w:ascii="Arial" w:eastAsia="Times New Roman" w:hAnsi="Arial" w:cs="Arial"/>
          <w:sz w:val="20"/>
          <w:szCs w:val="20"/>
          <w:lang w:eastAsia="tr-TR"/>
        </w:rPr>
        <w:t>güncellenere</w:t>
      </w:r>
      <w:r>
        <w:rPr>
          <w:rFonts w:ascii="Arial" w:eastAsia="Times New Roman" w:hAnsi="Arial" w:cs="Arial"/>
          <w:sz w:val="20"/>
          <w:szCs w:val="20"/>
          <w:lang w:eastAsia="tr-TR"/>
        </w:rPr>
        <w:t>k yeterlilik değerlendirilmesi</w:t>
      </w:r>
      <w:r w:rsidRPr="00206A0B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yapılmaktadır.</w:t>
      </w:r>
    </w:p>
    <w:p w:rsidR="001050CB" w:rsidRDefault="00874C85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 H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 xml:space="preserve"> grubu başvurularda </w:t>
      </w:r>
      <w:proofErr w:type="gramStart"/>
      <w:r w:rsidR="00E642EF">
        <w:rPr>
          <w:rFonts w:ascii="Arial" w:eastAsia="Times New Roman" w:hAnsi="Arial" w:cs="Arial"/>
          <w:sz w:val="20"/>
          <w:szCs w:val="20"/>
          <w:lang w:eastAsia="tr-TR"/>
        </w:rPr>
        <w:t>iş  deneyim</w:t>
      </w:r>
      <w:proofErr w:type="gramEnd"/>
      <w:r w:rsidR="00E642EF">
        <w:rPr>
          <w:rFonts w:ascii="Arial" w:eastAsia="Times New Roman" w:hAnsi="Arial" w:cs="Arial"/>
          <w:sz w:val="20"/>
          <w:szCs w:val="20"/>
          <w:lang w:eastAsia="tr-TR"/>
        </w:rPr>
        <w:t xml:space="preserve"> ve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ekonomik yeterlilik belgeleri istenmez. </w:t>
      </w:r>
    </w:p>
    <w:p w:rsidR="001050CB" w:rsidRDefault="001050CB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* G grubu yetki belgesi numarası almak isteyenlerden, ekonomik ve mali yeterliklerden yalnızca banka referans mektubu istenir.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gramStart"/>
      <w:r w:rsidR="00D23257">
        <w:rPr>
          <w:rFonts w:ascii="Arial" w:eastAsia="Times New Roman" w:hAnsi="Arial" w:cs="Arial"/>
          <w:sz w:val="20"/>
          <w:szCs w:val="20"/>
          <w:lang w:eastAsia="tr-TR"/>
        </w:rPr>
        <w:t>iş</w:t>
      </w:r>
      <w:proofErr w:type="gramEnd"/>
      <w:r w:rsidR="00D23257">
        <w:rPr>
          <w:rFonts w:ascii="Arial" w:eastAsia="Times New Roman" w:hAnsi="Arial" w:cs="Arial"/>
          <w:sz w:val="20"/>
          <w:szCs w:val="20"/>
          <w:lang w:eastAsia="tr-TR"/>
        </w:rPr>
        <w:t xml:space="preserve"> hacmi ve bilanço bilgilerine</w:t>
      </w:r>
      <w:r w:rsidR="00874C85">
        <w:rPr>
          <w:rFonts w:ascii="Arial" w:eastAsia="Times New Roman" w:hAnsi="Arial" w:cs="Arial"/>
          <w:sz w:val="20"/>
          <w:szCs w:val="20"/>
          <w:lang w:eastAsia="tr-TR"/>
        </w:rPr>
        <w:t xml:space="preserve"> gerek bulunmama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>ktadır.</w:t>
      </w:r>
      <w:r w:rsidR="00874C85">
        <w:rPr>
          <w:rFonts w:ascii="Arial" w:eastAsia="Times New Roman" w:hAnsi="Arial" w:cs="Arial"/>
          <w:sz w:val="20"/>
          <w:szCs w:val="20"/>
          <w:lang w:eastAsia="tr-TR"/>
        </w:rPr>
        <w:t xml:space="preserve"> %</w:t>
      </w:r>
      <w:r w:rsidRPr="00206A0B">
        <w:rPr>
          <w:rFonts w:ascii="Arial" w:eastAsia="Times New Roman" w:hAnsi="Arial" w:cs="Arial"/>
          <w:sz w:val="20"/>
          <w:szCs w:val="20"/>
          <w:lang w:eastAsia="tr-TR"/>
        </w:rPr>
        <w:t>51 veya daha fazla hissesi beş yıldır mimar veya mühendis ortağa ait olan tüzel kişiler ile mimar veya mühendis gerçek kişilerden banka referans mektubu da istenmez.</w:t>
      </w:r>
    </w:p>
    <w:p w:rsidR="00C42936" w:rsidRPr="00E642EF" w:rsidRDefault="001050CB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 xml:space="preserve">** Bilanço oranlarındaki (c) bendi ile İş gücü </w:t>
      </w:r>
      <w:proofErr w:type="gramStart"/>
      <w:r w:rsidRPr="00206A0B">
        <w:rPr>
          <w:rFonts w:ascii="Arial" w:eastAsia="Times New Roman" w:hAnsi="Arial" w:cs="Arial"/>
          <w:sz w:val="20"/>
          <w:szCs w:val="20"/>
          <w:lang w:eastAsia="tr-TR"/>
        </w:rPr>
        <w:t>kriterleri</w:t>
      </w:r>
      <w:proofErr w:type="gramEnd"/>
      <w:r w:rsidRPr="00206A0B">
        <w:rPr>
          <w:rFonts w:ascii="Arial" w:eastAsia="Times New Roman" w:hAnsi="Arial" w:cs="Arial"/>
          <w:sz w:val="20"/>
          <w:szCs w:val="20"/>
          <w:lang w:eastAsia="tr-TR"/>
        </w:rPr>
        <w:t xml:space="preserve"> yeterlilik şartları 02.06.2022 tarihine kadar aranmayacaktı</w:t>
      </w:r>
      <w:r w:rsidR="00C42936">
        <w:rPr>
          <w:rFonts w:ascii="Arial" w:eastAsia="Times New Roman" w:hAnsi="Arial" w:cs="Arial"/>
          <w:b/>
          <w:sz w:val="20"/>
          <w:szCs w:val="20"/>
          <w:lang w:eastAsia="tr-TR"/>
        </w:rPr>
        <w:t>r</w:t>
      </w:r>
      <w:r w:rsidR="00FB1DA5" w:rsidRPr="00E642EF">
        <w:rPr>
          <w:rFonts w:ascii="Arial" w:eastAsia="Times New Roman" w:hAnsi="Arial" w:cs="Arial"/>
          <w:sz w:val="20"/>
          <w:szCs w:val="20"/>
          <w:lang w:eastAsia="tr-TR"/>
        </w:rPr>
        <w:t>.</w:t>
      </w:r>
      <w:r w:rsidR="00E642EF" w:rsidRPr="00E642E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766192">
        <w:rPr>
          <w:rFonts w:ascii="Arial" w:eastAsia="Times New Roman" w:hAnsi="Arial" w:cs="Arial"/>
          <w:sz w:val="20"/>
          <w:szCs w:val="20"/>
          <w:lang w:eastAsia="tr-TR"/>
        </w:rPr>
        <w:t>H grubu dışındaki başvurularda</w:t>
      </w:r>
      <w:r w:rsidR="00E642EF" w:rsidRPr="00E642EF">
        <w:rPr>
          <w:rFonts w:ascii="Arial" w:eastAsia="Times New Roman" w:hAnsi="Arial" w:cs="Arial"/>
          <w:sz w:val="20"/>
          <w:szCs w:val="20"/>
          <w:lang w:eastAsia="tr-TR"/>
        </w:rPr>
        <w:t xml:space="preserve"> başvuru sahiplerinin i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>ş gücü bilgilerini gösteren EK-4</w:t>
      </w:r>
      <w:r w:rsidR="00E642EF" w:rsidRPr="00E642EF">
        <w:rPr>
          <w:rFonts w:ascii="Arial" w:eastAsia="Times New Roman" w:hAnsi="Arial" w:cs="Arial"/>
          <w:sz w:val="20"/>
          <w:szCs w:val="20"/>
          <w:lang w:eastAsia="tr-TR"/>
        </w:rPr>
        <w:t xml:space="preserve"> formunu sunmaları gerekmektedir. </w:t>
      </w:r>
    </w:p>
    <w:p w:rsidR="00FB1DA5" w:rsidRPr="00FB1DA5" w:rsidRDefault="00FB1DA5" w:rsidP="003011D0">
      <w:pPr>
        <w:pStyle w:val="ListeParagraf"/>
        <w:numPr>
          <w:ilvl w:val="0"/>
          <w:numId w:val="1"/>
        </w:numPr>
        <w:spacing w:after="4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B1DA5">
        <w:rPr>
          <w:rFonts w:ascii="Arial" w:eastAsia="Times New Roman" w:hAnsi="Arial" w:cs="Arial"/>
          <w:b/>
          <w:sz w:val="20"/>
          <w:szCs w:val="20"/>
          <w:lang w:eastAsia="tr-TR"/>
        </w:rPr>
        <w:t>İŞ DENEYİM BELGELERİ</w:t>
      </w:r>
    </w:p>
    <w:p w:rsidR="00766192" w:rsidRDefault="00AF69B2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874C85">
        <w:rPr>
          <w:rFonts w:ascii="Arial" w:eastAsia="Times New Roman" w:hAnsi="Arial" w:cs="Arial"/>
          <w:sz w:val="20"/>
          <w:szCs w:val="20"/>
          <w:lang w:eastAsia="tr-TR"/>
        </w:rPr>
        <w:t>Fir</w:t>
      </w:r>
      <w:r w:rsidR="00874C85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manın iş deneyimini göstermek üzere </w:t>
      </w:r>
      <w:r w:rsidR="004727E1">
        <w:rPr>
          <w:rFonts w:ascii="Arial" w:eastAsia="Times New Roman" w:hAnsi="Arial" w:cs="Arial"/>
          <w:sz w:val="20"/>
          <w:szCs w:val="20"/>
          <w:lang w:eastAsia="tr-TR"/>
        </w:rPr>
        <w:t xml:space="preserve">son 15 yılda tamamlanan, Benzer İş Tebliği’ne göre </w:t>
      </w:r>
      <w:r w:rsidR="004727E1" w:rsidRPr="004727E1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Üstyapı (Bina) işlerine ait</w:t>
      </w:r>
      <w:r w:rsidR="004727E1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F76A0C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176CCF" w:rsidRPr="00176CCF">
        <w:rPr>
          <w:rFonts w:ascii="Arial" w:eastAsia="Times New Roman" w:hAnsi="Arial" w:cs="Arial"/>
          <w:sz w:val="20"/>
          <w:szCs w:val="20"/>
          <w:u w:val="single"/>
          <w:lang w:eastAsia="tr-TR"/>
        </w:rPr>
        <w:t>iş bitirme</w:t>
      </w:r>
      <w:r w:rsidR="00176CC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="00F76A0C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176CCF" w:rsidRPr="00176CCF">
        <w:rPr>
          <w:rFonts w:ascii="Arial" w:eastAsia="Times New Roman" w:hAnsi="Arial" w:cs="Arial"/>
          <w:sz w:val="20"/>
          <w:szCs w:val="20"/>
          <w:u w:val="single"/>
          <w:lang w:eastAsia="tr-TR"/>
        </w:rPr>
        <w:t>iş yönetme</w:t>
      </w:r>
      <w:r w:rsidR="00176CCF">
        <w:rPr>
          <w:rFonts w:ascii="Arial" w:eastAsia="Times New Roman" w:hAnsi="Arial" w:cs="Arial"/>
          <w:sz w:val="20"/>
          <w:szCs w:val="20"/>
          <w:lang w:eastAsia="tr-TR"/>
        </w:rPr>
        <w:t>,</w:t>
      </w:r>
      <w:r w:rsidR="00F76A0C"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176CC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176CCF" w:rsidRPr="00176CCF">
        <w:rPr>
          <w:rFonts w:ascii="Arial" w:eastAsia="Times New Roman" w:hAnsi="Arial" w:cs="Arial"/>
          <w:sz w:val="20"/>
          <w:szCs w:val="20"/>
          <w:u w:val="single"/>
          <w:lang w:eastAsia="tr-TR"/>
        </w:rPr>
        <w:t>iş denetleme</w:t>
      </w:r>
      <w:r w:rsidR="00176CCF">
        <w:rPr>
          <w:rFonts w:ascii="Arial" w:eastAsia="Times New Roman" w:hAnsi="Arial" w:cs="Arial"/>
          <w:sz w:val="20"/>
          <w:szCs w:val="20"/>
          <w:lang w:eastAsia="tr-TR"/>
        </w:rPr>
        <w:t xml:space="preserve"> belgeleri ile </w:t>
      </w:r>
      <w:r w:rsidR="00176CCF" w:rsidRPr="00176CCF">
        <w:rPr>
          <w:rFonts w:ascii="Arial" w:eastAsia="Times New Roman" w:hAnsi="Arial" w:cs="Arial"/>
          <w:sz w:val="20"/>
          <w:szCs w:val="20"/>
          <w:u w:val="single"/>
          <w:lang w:eastAsia="tr-TR"/>
        </w:rPr>
        <w:t>İnşaat Müh./Mimara ait mezuniyet belgeleri</w:t>
      </w:r>
      <w:r w:rsidR="00874C85">
        <w:rPr>
          <w:rFonts w:ascii="Arial" w:eastAsia="Times New Roman" w:hAnsi="Arial" w:cs="Arial"/>
          <w:sz w:val="20"/>
          <w:szCs w:val="20"/>
          <w:lang w:eastAsia="tr-TR"/>
        </w:rPr>
        <w:t xml:space="preserve"> i</w:t>
      </w:r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>ş deneyim belgeleri</w:t>
      </w:r>
      <w:r w:rsidR="00874C85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176CCF">
        <w:rPr>
          <w:rFonts w:ascii="Arial" w:eastAsia="Times New Roman" w:hAnsi="Arial" w:cs="Arial"/>
          <w:sz w:val="20"/>
          <w:szCs w:val="20"/>
          <w:lang w:eastAsia="tr-TR"/>
        </w:rPr>
        <w:t xml:space="preserve">olarak </w:t>
      </w:r>
      <w:r w:rsidR="00874C85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sunulabilir. </w:t>
      </w:r>
      <w:r w:rsidR="00034086">
        <w:rPr>
          <w:rFonts w:ascii="Arial" w:eastAsia="Times New Roman" w:hAnsi="Arial" w:cs="Arial"/>
          <w:sz w:val="20"/>
          <w:szCs w:val="20"/>
          <w:lang w:eastAsia="tr-TR"/>
        </w:rPr>
        <w:t xml:space="preserve">İş Deneyim belgeleri ihale yapan </w:t>
      </w:r>
      <w:r w:rsidR="00034086" w:rsidRPr="007B73E3">
        <w:rPr>
          <w:rFonts w:ascii="Arial" w:eastAsia="Times New Roman" w:hAnsi="Arial" w:cs="Arial"/>
          <w:b/>
          <w:sz w:val="20"/>
          <w:szCs w:val="20"/>
          <w:lang w:eastAsia="tr-TR"/>
        </w:rPr>
        <w:t>kurum</w:t>
      </w:r>
      <w:r w:rsidR="00034086">
        <w:rPr>
          <w:rFonts w:ascii="Arial" w:eastAsia="Times New Roman" w:hAnsi="Arial" w:cs="Arial"/>
          <w:sz w:val="20"/>
          <w:szCs w:val="20"/>
          <w:lang w:eastAsia="tr-TR"/>
        </w:rPr>
        <w:t xml:space="preserve"> y</w:t>
      </w:r>
      <w:r w:rsidR="007B73E3">
        <w:rPr>
          <w:rFonts w:ascii="Arial" w:eastAsia="Times New Roman" w:hAnsi="Arial" w:cs="Arial"/>
          <w:sz w:val="20"/>
          <w:szCs w:val="20"/>
          <w:lang w:eastAsia="tr-TR"/>
        </w:rPr>
        <w:t>a</w:t>
      </w:r>
      <w:r w:rsidR="00034086">
        <w:rPr>
          <w:rFonts w:ascii="Arial" w:eastAsia="Times New Roman" w:hAnsi="Arial" w:cs="Arial"/>
          <w:sz w:val="20"/>
          <w:szCs w:val="20"/>
          <w:lang w:eastAsia="tr-TR"/>
        </w:rPr>
        <w:t xml:space="preserve"> da </w:t>
      </w:r>
      <w:r w:rsidR="00034086" w:rsidRPr="007B73E3">
        <w:rPr>
          <w:rFonts w:ascii="Arial" w:eastAsia="Times New Roman" w:hAnsi="Arial" w:cs="Arial"/>
          <w:b/>
          <w:sz w:val="20"/>
          <w:szCs w:val="20"/>
          <w:lang w:eastAsia="tr-TR"/>
        </w:rPr>
        <w:t>Ruhsat veren idare</w:t>
      </w:r>
      <w:r w:rsidR="00034086">
        <w:rPr>
          <w:rFonts w:ascii="Arial" w:eastAsia="Times New Roman" w:hAnsi="Arial" w:cs="Arial"/>
          <w:sz w:val="20"/>
          <w:szCs w:val="20"/>
          <w:lang w:eastAsia="tr-TR"/>
        </w:rPr>
        <w:t xml:space="preserve"> tarafından düzenlenebilmektedir. </w:t>
      </w:r>
      <w:r>
        <w:rPr>
          <w:rFonts w:ascii="Arial" w:eastAsia="Times New Roman" w:hAnsi="Arial" w:cs="Arial"/>
          <w:sz w:val="20"/>
          <w:szCs w:val="20"/>
          <w:lang w:eastAsia="tr-TR"/>
        </w:rPr>
        <w:t>İş Deneyim belge</w:t>
      </w:r>
      <w:r w:rsidR="00766192">
        <w:rPr>
          <w:rFonts w:ascii="Arial" w:eastAsia="Times New Roman" w:hAnsi="Arial" w:cs="Arial"/>
          <w:sz w:val="20"/>
          <w:szCs w:val="20"/>
          <w:lang w:eastAsia="tr-TR"/>
        </w:rPr>
        <w:t>le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ri </w:t>
      </w:r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İhale mevzuatına göre güncellenerek hesaplanacaktır. Güncellenen tutardan: </w:t>
      </w:r>
    </w:p>
    <w:p w:rsidR="00766192" w:rsidRDefault="00766192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</w:t>
      </w:r>
      <w:r w:rsidR="007B73E3">
        <w:rPr>
          <w:rFonts w:ascii="Arial" w:eastAsia="Times New Roman" w:hAnsi="Arial" w:cs="Arial"/>
          <w:sz w:val="20"/>
          <w:szCs w:val="20"/>
          <w:lang w:eastAsia="tr-TR"/>
        </w:rPr>
        <w:t xml:space="preserve">    *</w:t>
      </w:r>
      <w:r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on beş yıl içerisinde alınmış iş deneyim belgelerinin en fazla miktarda olanın iki katı alınarak </w:t>
      </w:r>
      <w:proofErr w:type="gramStart"/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>veya</w:t>
      </w:r>
      <w:r>
        <w:rPr>
          <w:rFonts w:ascii="Arial" w:eastAsia="Times New Roman" w:hAnsi="Arial" w:cs="Arial"/>
          <w:sz w:val="20"/>
          <w:szCs w:val="20"/>
          <w:lang w:eastAsia="tr-TR"/>
        </w:rPr>
        <w:t>;</w:t>
      </w:r>
      <w:proofErr w:type="gramEnd"/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1050CB" w:rsidRPr="00766192" w:rsidRDefault="00766192" w:rsidP="003011D0">
      <w:pPr>
        <w:spacing w:after="4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</w:t>
      </w:r>
      <w:r w:rsidR="007B73E3">
        <w:rPr>
          <w:rFonts w:ascii="Arial" w:eastAsia="Times New Roman" w:hAnsi="Arial" w:cs="Arial"/>
          <w:sz w:val="20"/>
          <w:szCs w:val="20"/>
          <w:lang w:eastAsia="tr-TR"/>
        </w:rPr>
        <w:t xml:space="preserve">   *</w:t>
      </w:r>
      <w:r>
        <w:rPr>
          <w:rFonts w:ascii="Arial" w:eastAsia="Times New Roman" w:hAnsi="Arial" w:cs="Arial"/>
          <w:sz w:val="20"/>
          <w:szCs w:val="20"/>
          <w:lang w:eastAsia="tr-TR"/>
        </w:rPr>
        <w:t>-</w:t>
      </w:r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>daha büyük sonuç vermek şartıyla, bitirilen işler içinde geriye doğru son beş yıl içinde bitirdiği işlerin bedelinin toplamı alınarak iş deneyim tutarı be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lirlenir. </w:t>
      </w:r>
      <w:r w:rsidR="001050CB" w:rsidRPr="00874C85">
        <w:rPr>
          <w:rFonts w:ascii="Arial" w:eastAsia="Times New Roman" w:hAnsi="Arial" w:cs="Arial"/>
          <w:sz w:val="20"/>
          <w:szCs w:val="20"/>
          <w:lang w:eastAsia="tr-TR"/>
        </w:rPr>
        <w:t xml:space="preserve">Toplama işleminde son on beş yıl içerisindeki </w:t>
      </w:r>
      <w:r w:rsidR="001050CB" w:rsidRPr="00874C85">
        <w:rPr>
          <w:rFonts w:ascii="Arial" w:eastAsia="Times New Roman" w:hAnsi="Arial" w:cs="Arial"/>
          <w:b/>
          <w:sz w:val="20"/>
          <w:szCs w:val="20"/>
          <w:lang w:eastAsia="tr-TR"/>
        </w:rPr>
        <w:t>en büyük işin iş deneyim miktarının üç katından fazlası dikkate alınmaz.</w:t>
      </w:r>
    </w:p>
    <w:p w:rsidR="001050CB" w:rsidRDefault="001050CB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* İnşaat Müh./Mimar diplomalarının iş deneyim olarak kullanılmak istenmesi durumunda yılık 334.368 TL iş deneyim olarak kabul edilir. Bu tutara herhangi bir artırım uygulanmaz. Tüzel kişilerde son 5 yıldır kesintisiz olarak şirketin %51 ve üzerinde hissesi bulunan Mühendis/Mimar ortağına ait diploma iş deneyim yerine sunulabilir. Bu durumun ek bir belge ile bel</w:t>
      </w:r>
      <w:r w:rsidR="007B73E3">
        <w:rPr>
          <w:rFonts w:ascii="Arial" w:eastAsia="Times New Roman" w:hAnsi="Arial" w:cs="Arial"/>
          <w:sz w:val="20"/>
          <w:szCs w:val="20"/>
          <w:lang w:eastAsia="tr-TR"/>
        </w:rPr>
        <w:t xml:space="preserve">gelenmesi zorunludur. </w:t>
      </w:r>
      <w:r>
        <w:rPr>
          <w:rFonts w:ascii="Arial" w:eastAsia="Times New Roman" w:hAnsi="Arial" w:cs="Arial"/>
          <w:sz w:val="20"/>
          <w:szCs w:val="20"/>
          <w:lang w:eastAsia="tr-TR"/>
        </w:rPr>
        <w:t>Diplomanın değerlendirilmesinde herhangi bir iş deneyimi olmayan Mühendis /Mimarların mezuniyetten sonra en fazla 15 yılı değerlendirmeye alınır.</w:t>
      </w:r>
    </w:p>
    <w:p w:rsidR="00AF69B2" w:rsidRDefault="00AF69B2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* Yapı müteahhidinin aynı zamanda yapı sahibi (%100) olması nedeniyle sözleşmeden muaf olduğu durumlarda iş deneyim belgesi olarak yapı kullanma izin belgesi ve yapı ruhsatının idare onaylı örnekleri sunulabilir. </w:t>
      </w:r>
    </w:p>
    <w:p w:rsidR="00AF69B2" w:rsidRDefault="00AF69B2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* Kat karşılığı, ya da kendi arazisine yaptığı işler için müteahhidin iş deneyimi hesabında yapı maliyetinin %60’ı dikkate alınır.  </w:t>
      </w:r>
    </w:p>
    <w:p w:rsidR="00AF69B2" w:rsidRDefault="00AF69B2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* 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>Müteahhidin talebi halinde a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ynı parselde aynı </w:t>
      </w:r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müteahhit</w:t>
      </w:r>
      <w:proofErr w:type="gram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tarafından yapılan 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>(toplu yapı</w:t>
      </w:r>
      <w:r w:rsidR="00034086">
        <w:rPr>
          <w:rFonts w:ascii="Arial" w:eastAsia="Times New Roman" w:hAnsi="Arial" w:cs="Arial"/>
          <w:sz w:val="20"/>
          <w:szCs w:val="20"/>
          <w:lang w:eastAsia="tr-TR"/>
        </w:rPr>
        <w:t xml:space="preserve"> niteliğindeki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işlerin bedelleri toplanarak tek bir iş deneyim olarak 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>dikkate alınır.</w:t>
      </w:r>
      <w:r w:rsidR="0003408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E642EF">
        <w:rPr>
          <w:rFonts w:ascii="Arial" w:eastAsia="Times New Roman" w:hAnsi="Arial" w:cs="Arial"/>
          <w:sz w:val="20"/>
          <w:szCs w:val="20"/>
          <w:lang w:eastAsia="tr-TR"/>
        </w:rPr>
        <w:t xml:space="preserve">(Bu durumun yapı kullanma izin belgesi ile belgelenmesi gerekmektedir.) </w:t>
      </w:r>
    </w:p>
    <w:p w:rsidR="00FB1DA5" w:rsidRDefault="00FB1DA5" w:rsidP="003011D0">
      <w:pPr>
        <w:spacing w:after="4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206A0B">
        <w:rPr>
          <w:rFonts w:ascii="Arial" w:eastAsia="Times New Roman" w:hAnsi="Arial" w:cs="Arial"/>
          <w:sz w:val="20"/>
          <w:szCs w:val="20"/>
          <w:lang w:eastAsia="tr-TR"/>
        </w:rPr>
        <w:t>** Başvurularda alınan grup tayin ücretleri iade edilmez. Grup kayıt ücretleri</w:t>
      </w:r>
      <w:r w:rsidR="001B4D5A">
        <w:rPr>
          <w:rFonts w:ascii="Arial" w:eastAsia="Times New Roman" w:hAnsi="Arial" w:cs="Arial"/>
          <w:sz w:val="20"/>
          <w:szCs w:val="20"/>
          <w:lang w:eastAsia="tr-TR"/>
        </w:rPr>
        <w:t xml:space="preserve"> ise</w:t>
      </w:r>
      <w:r w:rsidRPr="00206A0B">
        <w:rPr>
          <w:rFonts w:ascii="Arial" w:eastAsia="Times New Roman" w:hAnsi="Arial" w:cs="Arial"/>
          <w:sz w:val="20"/>
          <w:szCs w:val="20"/>
          <w:lang w:eastAsia="tr-TR"/>
        </w:rPr>
        <w:t xml:space="preserve"> komisyon tarafından yapılacak değerlendirme sonunda kesinleşen grup türüne göre yatırılacaktır.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Yapı Mütea</w:t>
      </w:r>
      <w:r w:rsidRPr="00997F5B">
        <w:rPr>
          <w:rFonts w:ascii="Arial" w:eastAsia="Times New Roman" w:hAnsi="Arial" w:cs="Arial"/>
          <w:sz w:val="20"/>
          <w:szCs w:val="20"/>
          <w:lang w:eastAsia="tr-TR"/>
        </w:rPr>
        <w:t>hhitliği yetki belge numarası olmayan gerçek ve tüzel kişiler için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ayrıca</w:t>
      </w:r>
      <w:r w:rsidRPr="00997F5B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İlk kayıt bedeli (</w:t>
      </w:r>
      <w:r w:rsidRPr="00997F5B">
        <w:rPr>
          <w:rFonts w:ascii="Arial" w:eastAsia="Times New Roman" w:hAnsi="Arial" w:cs="Arial"/>
          <w:sz w:val="20"/>
          <w:szCs w:val="20"/>
          <w:lang w:eastAsia="tr-TR"/>
        </w:rPr>
        <w:t>Yapı Müteahhitliği Kayıt İşlem ücreti</w:t>
      </w:r>
      <w:r>
        <w:rPr>
          <w:rFonts w:ascii="Arial" w:eastAsia="Times New Roman" w:hAnsi="Arial" w:cs="Arial"/>
          <w:sz w:val="20"/>
          <w:szCs w:val="20"/>
          <w:lang w:eastAsia="tr-TR"/>
        </w:rPr>
        <w:t>)</w:t>
      </w:r>
      <w:r w:rsidRPr="00997F5B">
        <w:rPr>
          <w:rFonts w:ascii="Arial" w:eastAsia="Times New Roman" w:hAnsi="Arial" w:cs="Arial"/>
          <w:sz w:val="20"/>
          <w:szCs w:val="20"/>
          <w:lang w:eastAsia="tr-TR"/>
        </w:rPr>
        <w:t xml:space="preserve"> 2.500,00 TL </w:t>
      </w:r>
      <w:proofErr w:type="spellStart"/>
      <w:r w:rsidRPr="00997F5B">
        <w:rPr>
          <w:rFonts w:ascii="Arial" w:eastAsia="Times New Roman" w:hAnsi="Arial" w:cs="Arial"/>
          <w:sz w:val="20"/>
          <w:szCs w:val="20"/>
          <w:lang w:eastAsia="tr-TR"/>
        </w:rPr>
        <w:t>dir</w:t>
      </w:r>
      <w:proofErr w:type="spellEnd"/>
      <w:r w:rsidRPr="00997F5B">
        <w:rPr>
          <w:rFonts w:ascii="Arial" w:eastAsia="Times New Roman" w:hAnsi="Arial" w:cs="Arial"/>
          <w:sz w:val="20"/>
          <w:szCs w:val="20"/>
          <w:lang w:eastAsia="tr-TR"/>
        </w:rPr>
        <w:t>.</w:t>
      </w:r>
    </w:p>
    <w:p w:rsidR="00E642EF" w:rsidRPr="00206A0B" w:rsidRDefault="00E642EF" w:rsidP="003011D0">
      <w:pPr>
        <w:spacing w:after="40"/>
        <w:jc w:val="both"/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** Adi ortaklık adına yeni yapı </w:t>
      </w:r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müteahhitliği</w:t>
      </w:r>
      <w:proofErr w:type="gram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kaydı </w:t>
      </w:r>
      <w:r w:rsidRPr="00766192">
        <w:rPr>
          <w:rFonts w:ascii="Arial" w:eastAsia="Times New Roman" w:hAnsi="Arial" w:cs="Arial"/>
          <w:sz w:val="20"/>
          <w:szCs w:val="20"/>
          <w:u w:val="single"/>
          <w:lang w:eastAsia="tr-TR"/>
        </w:rPr>
        <w:t>yapılamamaktadır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. Ancak </w:t>
      </w:r>
      <w:r w:rsidRPr="00E642EF">
        <w:rPr>
          <w:rFonts w:ascii="Arial" w:eastAsia="Times New Roman" w:hAnsi="Arial" w:cs="Arial"/>
          <w:b/>
          <w:sz w:val="20"/>
          <w:szCs w:val="20"/>
          <w:lang w:eastAsia="tr-TR"/>
        </w:rPr>
        <w:t>Ortak girişim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olarak başvurulması ve gerekli şartların sağlanması durumunda yapı </w:t>
      </w:r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müteahhitliği</w:t>
      </w:r>
      <w:proofErr w:type="gram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başvurusu yapılabilmektedir. </w:t>
      </w:r>
    </w:p>
    <w:sectPr w:rsidR="00E642EF" w:rsidRPr="00206A0B" w:rsidSect="00A42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032"/>
    <w:multiLevelType w:val="hybridMultilevel"/>
    <w:tmpl w:val="DDEC5CDA"/>
    <w:lvl w:ilvl="0" w:tplc="667654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5EA"/>
    <w:multiLevelType w:val="hybridMultilevel"/>
    <w:tmpl w:val="3D347F2C"/>
    <w:lvl w:ilvl="0" w:tplc="D400C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4908"/>
    <w:multiLevelType w:val="hybridMultilevel"/>
    <w:tmpl w:val="E61C3DD4"/>
    <w:lvl w:ilvl="0" w:tplc="FE9AFFF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C4BDC"/>
    <w:multiLevelType w:val="hybridMultilevel"/>
    <w:tmpl w:val="E50472FA"/>
    <w:lvl w:ilvl="0" w:tplc="FE9AFF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967EF"/>
    <w:multiLevelType w:val="hybridMultilevel"/>
    <w:tmpl w:val="907E9408"/>
    <w:lvl w:ilvl="0" w:tplc="FE9AFF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74170"/>
    <w:multiLevelType w:val="hybridMultilevel"/>
    <w:tmpl w:val="9E7ED2E0"/>
    <w:lvl w:ilvl="0" w:tplc="D22800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C0A5D"/>
    <w:multiLevelType w:val="hybridMultilevel"/>
    <w:tmpl w:val="84CE327C"/>
    <w:lvl w:ilvl="0" w:tplc="FE9AFFF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30"/>
    <w:rsid w:val="00034086"/>
    <w:rsid w:val="00085488"/>
    <w:rsid w:val="001050CB"/>
    <w:rsid w:val="00176CCF"/>
    <w:rsid w:val="001B4D5A"/>
    <w:rsid w:val="00206A0B"/>
    <w:rsid w:val="003011D0"/>
    <w:rsid w:val="0045191B"/>
    <w:rsid w:val="004727E1"/>
    <w:rsid w:val="0072157A"/>
    <w:rsid w:val="007657E4"/>
    <w:rsid w:val="00766192"/>
    <w:rsid w:val="007B73E3"/>
    <w:rsid w:val="00872A9C"/>
    <w:rsid w:val="00874C85"/>
    <w:rsid w:val="00997F5B"/>
    <w:rsid w:val="00A42430"/>
    <w:rsid w:val="00AF69B2"/>
    <w:rsid w:val="00B709E9"/>
    <w:rsid w:val="00B838C2"/>
    <w:rsid w:val="00C42936"/>
    <w:rsid w:val="00D23257"/>
    <w:rsid w:val="00D85612"/>
    <w:rsid w:val="00D9684D"/>
    <w:rsid w:val="00E375DF"/>
    <w:rsid w:val="00E642EF"/>
    <w:rsid w:val="00EB68F1"/>
    <w:rsid w:val="00EE7DA3"/>
    <w:rsid w:val="00F76A0C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88C25-B59B-40EB-B2CD-817BDC05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F5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B1DA5"/>
    <w:pPr>
      <w:ind w:left="720"/>
      <w:contextualSpacing/>
    </w:pPr>
  </w:style>
  <w:style w:type="table" w:styleId="TabloKlavuzu">
    <w:name w:val="Table Grid"/>
    <w:basedOn w:val="NormalTablo"/>
    <w:uiPriority w:val="39"/>
    <w:rsid w:val="00EE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AB2B2-0F3A-4EAB-95EC-A0A8796D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Yuce</dc:creator>
  <cp:keywords/>
  <dc:description/>
  <cp:lastModifiedBy>Caner Çınar</cp:lastModifiedBy>
  <cp:revision>2</cp:revision>
  <cp:lastPrinted>2019-12-20T06:26:00Z</cp:lastPrinted>
  <dcterms:created xsi:type="dcterms:W3CDTF">2019-12-20T06:32:00Z</dcterms:created>
  <dcterms:modified xsi:type="dcterms:W3CDTF">2019-12-20T06:32:00Z</dcterms:modified>
</cp:coreProperties>
</file>