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bookmarkStart w:id="0" w:name="_GoBack"/>
      <w:bookmarkEnd w:id="0"/>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YIKIM İŞLERi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1" w:name="_Hlk60829062"/>
      <w:r>
        <w:rPr>
          <w:szCs w:val="24"/>
        </w:rPr>
        <w:t>Yıkım işleri müteahhiti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r w:rsidR="001D494B">
        <w:rPr>
          <w:spacing w:val="-1"/>
          <w:szCs w:val="24"/>
        </w:rPr>
        <w:t>(ŞİFRESİZ GİRİŞ YAPILIR)</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Nace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r w:rsidRPr="00537F8B">
        <w:rPr>
          <w:bCs/>
          <w:szCs w:val="24"/>
        </w:rPr>
        <w:t>Halkb</w:t>
      </w:r>
      <w:r w:rsidR="001825B0" w:rsidRPr="00537F8B">
        <w:rPr>
          <w:bCs/>
          <w:szCs w:val="24"/>
        </w:rPr>
        <w:t>ankası’na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2C2702" w:rsidRPr="00537F8B">
        <w:rPr>
          <w:bCs/>
          <w:szCs w:val="24"/>
        </w:rPr>
        <w:t xml:space="preserve">telefonla </w:t>
      </w:r>
      <w:r w:rsidR="001825B0" w:rsidRPr="00537F8B">
        <w:rPr>
          <w:bCs/>
          <w:szCs w:val="24"/>
        </w:rPr>
        <w:t>alın</w:t>
      </w:r>
      <w:r w:rsidR="00CC07E1" w:rsidRPr="00537F8B">
        <w:rPr>
          <w:bCs/>
          <w:szCs w:val="24"/>
        </w:rPr>
        <w:t>abilir.</w:t>
      </w:r>
      <w:r w:rsidR="009F568A">
        <w:rPr>
          <w:bCs/>
          <w:szCs w:val="24"/>
        </w:rPr>
        <w:t xml:space="preserve"> (DÖNER SERMAYE BİRİMİNDEN TELEFONLA ALINABİLİR </w:t>
      </w:r>
      <w:r w:rsidR="006D110B">
        <w:rPr>
          <w:rStyle w:val="Gl"/>
          <w:rFonts w:ascii="Arial" w:hAnsi="Arial" w:cs="Arial"/>
          <w:color w:val="333333"/>
          <w:sz w:val="21"/>
          <w:szCs w:val="21"/>
          <w:shd w:val="clear" w:color="auto" w:fill="FFFFFF"/>
        </w:rPr>
        <w:t>(</w:t>
      </w:r>
      <w:r w:rsidR="006D110B">
        <w:rPr>
          <w:rFonts w:ascii="Arial" w:hAnsi="Arial" w:cs="Arial"/>
          <w:color w:val="333333"/>
          <w:sz w:val="21"/>
          <w:szCs w:val="21"/>
          <w:shd w:val="clear" w:color="auto" w:fill="FFFFFF"/>
        </w:rPr>
        <w:t>0 (252) 214 12 58 - 0 (252) 214 00 35 </w:t>
      </w:r>
      <w:r w:rsidR="006D110B">
        <w:rPr>
          <w:rStyle w:val="Gl"/>
          <w:rFonts w:ascii="Arial" w:hAnsi="Arial" w:cs="Arial"/>
          <w:color w:val="333333"/>
          <w:sz w:val="21"/>
          <w:szCs w:val="21"/>
          <w:shd w:val="clear" w:color="auto" w:fill="FFFFFF"/>
        </w:rPr>
        <w:t>Dahili</w:t>
      </w:r>
      <w:r w:rsidR="006D110B">
        <w:rPr>
          <w:rFonts w:ascii="Arial" w:hAnsi="Arial" w:cs="Arial"/>
          <w:color w:val="333333"/>
          <w:sz w:val="21"/>
          <w:szCs w:val="21"/>
          <w:shd w:val="clear" w:color="auto" w:fill="FFFFFF"/>
        </w:rPr>
        <w:t>:1056</w:t>
      </w:r>
      <w:r w:rsidR="006D110B">
        <w:rPr>
          <w:rStyle w:val="Gl"/>
          <w:rFonts w:ascii="Arial" w:hAnsi="Arial" w:cs="Arial"/>
          <w:color w:val="333333"/>
          <w:sz w:val="21"/>
          <w:szCs w:val="21"/>
          <w:shd w:val="clear" w:color="auto" w:fill="FFFFFF"/>
        </w:rPr>
        <w:t> )</w:t>
      </w:r>
      <w:r w:rsidR="009F568A">
        <w:rPr>
          <w:bCs/>
          <w:szCs w:val="24"/>
        </w:rPr>
        <w:t>)</w:t>
      </w:r>
      <w:r w:rsidR="00CC07E1" w:rsidRPr="00537F8B">
        <w:rPr>
          <w:bCs/>
          <w:szCs w:val="24"/>
        </w:rPr>
        <w:t xml:space="preserve"> </w:t>
      </w:r>
    </w:p>
    <w:p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Yıkım veya yapım müteahhiti</w:t>
      </w:r>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r w:rsidR="007E7D0E" w:rsidRPr="007E7D0E">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
    <w:p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1E195F" w:rsidRDefault="001E195F" w:rsidP="00717C11">
      <w:pPr>
        <w:spacing w:line="276" w:lineRule="auto"/>
        <w:rPr>
          <w:rFonts w:ascii="Times New Roman" w:hAnsi="Times New Roman" w:cs="Times New Roman"/>
          <w:b/>
          <w:bCs/>
          <w:sz w:val="24"/>
          <w:szCs w:val="24"/>
        </w:rPr>
      </w:pPr>
    </w:p>
    <w:p w:rsidR="00717C11" w:rsidRPr="00717C11" w:rsidRDefault="00717C11" w:rsidP="00717C11">
      <w:pPr>
        <w:spacing w:line="276" w:lineRule="auto"/>
        <w:rPr>
          <w:szCs w:val="24"/>
        </w:rPr>
      </w:pPr>
    </w:p>
    <w:p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lastRenderedPageBreak/>
        <w:t xml:space="preserve"> </w:t>
      </w:r>
    </w:p>
    <w:p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 xml:space="preserve">şdeneyimini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Elektronik Kamu Alımları Platformu (EKAP) üzerinden veya,</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Yıkımı gerçekleştirilen işin toplam yapı inşaat alanı, işi üstlenen gerçek veya tüzel kişi ile yıkım tarihi açıkça belirtilecek şekilde ilgili idarelerinden alınacak resmi yazı ile veyahut,</w:t>
      </w:r>
    </w:p>
    <w:p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2F11A1">
        <w:rPr>
          <w:color w:val="FF0000"/>
          <w:sz w:val="22"/>
          <w:szCs w:val="24"/>
        </w:rPr>
        <w:t xml:space="preserve"> </w:t>
      </w:r>
      <w:r w:rsidRPr="002F11A1">
        <w:rPr>
          <w:color w:val="FF0000"/>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150.000 m2 yıkım işi yapılmış olmalı ve bunlardan en az bir tanesinin yapı yüksekliği 30,50 mt yi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mt yi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1"/>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260 HP paletli 2 adet ekskavatör (Biri 20 mt çalışma yüksekliğine sahip olmalı),</w:t>
      </w:r>
    </w:p>
    <w:p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- 1 adet pulverize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mt çalışma yüksekliğine sahip olmalı),</w:t>
      </w:r>
    </w:p>
    <w:p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lastRenderedPageBreak/>
        <w:t>- 1 adet 5 ton su sandıklı arazöz,</w:t>
      </w:r>
      <w:r w:rsidR="00B0414B">
        <w:rPr>
          <w:sz w:val="22"/>
          <w:szCs w:val="24"/>
        </w:rPr>
        <w:t xml:space="preserve"> </w:t>
      </w:r>
    </w:p>
    <w:p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pulverize su ile toz bastırma sistemi, </w:t>
      </w:r>
      <w:r w:rsidR="00A114DE" w:rsidRPr="00652CE4">
        <w:rPr>
          <w:b/>
          <w:i/>
          <w:color w:val="00B050"/>
          <w:sz w:val="22"/>
          <w:szCs w:val="24"/>
        </w:rPr>
        <w:t>(Kendi malı veya geçici ithalle getirilmiş veyahut finansal kiralama olacak.)</w:t>
      </w: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1 adet pulverize su ile toz bastırma sistemi,</w:t>
      </w:r>
      <w:r>
        <w:rPr>
          <w:sz w:val="22"/>
          <w:szCs w:val="24"/>
        </w:rPr>
        <w:t xml:space="preserve"> </w:t>
      </w:r>
    </w:p>
    <w:p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rsidR="001825B0" w:rsidRPr="008314CF" w:rsidRDefault="001825B0" w:rsidP="001825B0">
      <w:pPr>
        <w:pStyle w:val="ListeParagraf"/>
        <w:ind w:left="397"/>
        <w:rPr>
          <w:b/>
          <w:bCs/>
          <w:szCs w:val="24"/>
        </w:rPr>
      </w:pPr>
    </w:p>
    <w:p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 xml:space="preserve">37 ay </w:t>
      </w:r>
      <w:r w:rsidRPr="00E223BD">
        <w:rPr>
          <w:bCs/>
          <w:szCs w:val="24"/>
          <w:highlight w:val="yellow"/>
        </w:rPr>
        <w:t>ol</w:t>
      </w:r>
      <w:r w:rsidR="003E3B46" w:rsidRPr="00E223BD">
        <w:rPr>
          <w:bCs/>
          <w:szCs w:val="24"/>
          <w:highlight w:val="yellow"/>
        </w:rPr>
        <w:t>malıdır</w:t>
      </w:r>
      <w:r w:rsidRPr="00E223BD">
        <w:rPr>
          <w:bCs/>
          <w:szCs w:val="24"/>
          <w:highlight w:val="yellow"/>
        </w:rPr>
        <w:t>.</w:t>
      </w:r>
    </w:p>
    <w:p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grubu : </w:t>
      </w:r>
      <w:r w:rsidRPr="00580F8A">
        <w:rPr>
          <w:bCs/>
          <w:szCs w:val="24"/>
        </w:rPr>
        <w:t>Sınırsız</w:t>
      </w:r>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grubu : </w:t>
      </w:r>
      <w:r w:rsidRPr="00580F8A">
        <w:rPr>
          <w:bCs/>
          <w:szCs w:val="24"/>
        </w:rPr>
        <w:t xml:space="preserve">Bina yüksekliği 51,50 mt’yi  geçmeyen </w:t>
      </w:r>
      <w:r>
        <w:rPr>
          <w:bCs/>
          <w:szCs w:val="24"/>
        </w:rPr>
        <w:t xml:space="preserve">işler </w:t>
      </w:r>
      <w:r w:rsidRPr="00580F8A">
        <w:rPr>
          <w:bCs/>
          <w:szCs w:val="24"/>
        </w:rPr>
        <w:t>(patlayıcı kullanamaz)</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grubu : </w:t>
      </w:r>
      <w:r>
        <w:rPr>
          <w:bCs/>
          <w:szCs w:val="24"/>
        </w:rPr>
        <w:t>Bina yüksekliği 13</w:t>
      </w:r>
      <w:r w:rsidRPr="00580F8A">
        <w:rPr>
          <w:bCs/>
          <w:szCs w:val="24"/>
        </w:rPr>
        <w:t xml:space="preserve">,50 mt’yi  </w:t>
      </w:r>
      <w:r>
        <w:rPr>
          <w:bCs/>
          <w:szCs w:val="24"/>
        </w:rPr>
        <w:t xml:space="preserve">ve yapı yüksekliği 17,50 mt’yi </w:t>
      </w:r>
      <w:r w:rsidRPr="00580F8A">
        <w:rPr>
          <w:bCs/>
          <w:szCs w:val="24"/>
        </w:rPr>
        <w:t xml:space="preserve">geçmeyen işler </w:t>
      </w:r>
    </w:p>
    <w:p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2"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2"/>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6D110B" w:rsidRDefault="006D110B"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lastRenderedPageBreak/>
        <w:t xml:space="preserve">YIKIM </w:t>
      </w:r>
      <w:r w:rsidR="00292744" w:rsidRPr="002A6068">
        <w:rPr>
          <w:rFonts w:ascii="Century Gothic" w:eastAsia="Times New Roman" w:hAnsi="Century Gothic" w:cs="Times New Roman"/>
          <w:b/>
          <w:szCs w:val="18"/>
        </w:rPr>
        <w:t xml:space="preserve">MÜTEAHHİT YETERLİK SİSTEMİNE KAYIT OLACAKLAR İÇİN </w:t>
      </w:r>
    </w:p>
    <w:p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…./…/20...</w:t>
      </w:r>
    </w:p>
    <w:p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İSTANBUL ÇEVRE VE ŞEHİRCİLİK İL MÜDÜRLÜĞÜNE</w:t>
      </w: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r w:rsidR="0097482B">
        <w:rPr>
          <w:rFonts w:ascii="Tahoma" w:eastAsia="Times New Roman" w:hAnsi="Tahoma" w:cs="Tahoma"/>
        </w:rPr>
        <w:t xml:space="preserve"> </w:t>
      </w:r>
      <w:r w:rsidR="00194FE8">
        <w:rPr>
          <w:rFonts w:ascii="Tahoma" w:eastAsia="Times New Roman" w:hAnsi="Tahoma" w:cs="Tahoma"/>
        </w:rPr>
        <w:t>:</w:t>
      </w:r>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r w:rsidR="00194FE8">
        <w:rPr>
          <w:rFonts w:ascii="Tahoma" w:eastAsia="Times New Roman" w:hAnsi="Tahoma" w:cs="Tahoma"/>
        </w:rPr>
        <w:t>@..........</w:t>
      </w:r>
      <w:r w:rsidRPr="00292744">
        <w:rPr>
          <w:rFonts w:ascii="Tahoma" w:eastAsia="Times New Roman" w:hAnsi="Tahoma" w:cs="Tahoma"/>
        </w:rPr>
        <w:t xml:space="preserve">kep.tr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A637B" w:rsidRDefault="001A637B"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ve yapım işleri için …….. grubum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3D5BE8" w:rsidRDefault="003D5BE8"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Ünvanı</w:t>
            </w:r>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Adı Soyadı ve Ünvanı</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0C1A97"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r w:rsidRPr="00961F97">
        <w:rPr>
          <w:rFonts w:ascii="Times New Roman" w:hAnsi="Times New Roman" w:cs="Times New Roman"/>
          <w:sz w:val="24"/>
          <w:szCs w:val="24"/>
        </w:rPr>
        <w:t xml:space="preserve">pulverize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6D110B">
        <w:rPr>
          <w:rFonts w:ascii="Times New Roman" w:hAnsi="Times New Roman" w:cs="Times New Roman"/>
          <w:sz w:val="24"/>
          <w:szCs w:val="24"/>
        </w:rPr>
        <w:t>mugla</w:t>
      </w:r>
      <w:r w:rsidR="001A2687">
        <w:rPr>
          <w:rFonts w:ascii="Times New Roman" w:hAnsi="Times New Roman" w:cs="Times New Roman"/>
          <w:sz w:val="24"/>
          <w:szCs w:val="24"/>
        </w:rPr>
        <w:t>.csb.gov.tr adresinde mevcut)</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6D" w:rsidRDefault="0032096D" w:rsidP="00292744">
      <w:pPr>
        <w:spacing w:after="0" w:line="240" w:lineRule="auto"/>
      </w:pPr>
      <w:r>
        <w:separator/>
      </w:r>
    </w:p>
  </w:endnote>
  <w:endnote w:type="continuationSeparator" w:id="0">
    <w:p w:rsidR="0032096D" w:rsidRDefault="0032096D"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6D" w:rsidRDefault="0032096D" w:rsidP="00292744">
      <w:pPr>
        <w:spacing w:after="0" w:line="240" w:lineRule="auto"/>
      </w:pPr>
      <w:r>
        <w:separator/>
      </w:r>
    </w:p>
  </w:footnote>
  <w:footnote w:type="continuationSeparator" w:id="0">
    <w:p w:rsidR="0032096D" w:rsidRDefault="0032096D" w:rsidP="00292744">
      <w:pPr>
        <w:spacing w:after="0" w:line="240" w:lineRule="auto"/>
      </w:pPr>
      <w:r>
        <w:continuationSeparator/>
      </w:r>
    </w:p>
  </w:footnote>
  <w:footnote w:id="1">
    <w:p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567FC"/>
    <w:rsid w:val="000630B6"/>
    <w:rsid w:val="000671D6"/>
    <w:rsid w:val="000701A0"/>
    <w:rsid w:val="000A1135"/>
    <w:rsid w:val="000B5755"/>
    <w:rsid w:val="000C1A97"/>
    <w:rsid w:val="000E063D"/>
    <w:rsid w:val="00152715"/>
    <w:rsid w:val="001825B0"/>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096D"/>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7261"/>
    <w:rsid w:val="005F2654"/>
    <w:rsid w:val="00652CE4"/>
    <w:rsid w:val="00653E7F"/>
    <w:rsid w:val="006661D6"/>
    <w:rsid w:val="006A7D54"/>
    <w:rsid w:val="006D110B"/>
    <w:rsid w:val="006F2A90"/>
    <w:rsid w:val="006F7BE4"/>
    <w:rsid w:val="00715F79"/>
    <w:rsid w:val="00717C11"/>
    <w:rsid w:val="00755077"/>
    <w:rsid w:val="007A122D"/>
    <w:rsid w:val="007E7D0E"/>
    <w:rsid w:val="0080663C"/>
    <w:rsid w:val="008314CF"/>
    <w:rsid w:val="0083462D"/>
    <w:rsid w:val="00853F80"/>
    <w:rsid w:val="008810D5"/>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542EE"/>
    <w:rsid w:val="00BE131D"/>
    <w:rsid w:val="00C47478"/>
    <w:rsid w:val="00C8529D"/>
    <w:rsid w:val="00C97FF8"/>
    <w:rsid w:val="00CA387D"/>
    <w:rsid w:val="00CC07E1"/>
    <w:rsid w:val="00D4035E"/>
    <w:rsid w:val="00D7682D"/>
    <w:rsid w:val="00D852EF"/>
    <w:rsid w:val="00DB05F6"/>
    <w:rsid w:val="00DF1C1E"/>
    <w:rsid w:val="00E223BD"/>
    <w:rsid w:val="00E44C71"/>
    <w:rsid w:val="00E517D8"/>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styleId="Gl">
    <w:name w:val="Strong"/>
    <w:basedOn w:val="VarsaylanParagrafYazTipi"/>
    <w:uiPriority w:val="22"/>
    <w:qFormat/>
    <w:rsid w:val="006D1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2651</Words>
  <Characters>15116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Ahmet Emin ÖZEN</cp:lastModifiedBy>
  <cp:revision>2</cp:revision>
  <cp:lastPrinted>2022-04-13T11:30:00Z</cp:lastPrinted>
  <dcterms:created xsi:type="dcterms:W3CDTF">2023-08-29T11:07:00Z</dcterms:created>
  <dcterms:modified xsi:type="dcterms:W3CDTF">2023-08-29T11:07:00Z</dcterms:modified>
</cp:coreProperties>
</file>