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05C" w:rsidRPr="00FF0682" w:rsidRDefault="00B6005C" w:rsidP="009519D6">
      <w:pPr>
        <w:jc w:val="center"/>
        <w:rPr>
          <w:rFonts w:ascii="Times New Roman" w:hAnsi="Times New Roman" w:cs="Times New Roman"/>
          <w:b/>
          <w:sz w:val="32"/>
          <w:szCs w:val="32"/>
        </w:rPr>
      </w:pPr>
      <w:r w:rsidRPr="00FF0682">
        <w:rPr>
          <w:rFonts w:ascii="Times New Roman" w:hAnsi="Times New Roman" w:cs="Times New Roman"/>
          <w:b/>
          <w:sz w:val="32"/>
          <w:szCs w:val="32"/>
        </w:rPr>
        <w:t>MARMARİS MİLLİ EMLAK MÜDÜRLÜĞÜ</w:t>
      </w:r>
      <w:r w:rsidR="00A92D77">
        <w:rPr>
          <w:rFonts w:ascii="Times New Roman" w:hAnsi="Times New Roman" w:cs="Times New Roman"/>
          <w:b/>
          <w:sz w:val="32"/>
          <w:szCs w:val="32"/>
        </w:rPr>
        <w:t>’</w:t>
      </w:r>
      <w:r w:rsidRPr="00FF0682">
        <w:rPr>
          <w:rFonts w:ascii="Times New Roman" w:hAnsi="Times New Roman" w:cs="Times New Roman"/>
          <w:b/>
          <w:sz w:val="32"/>
          <w:szCs w:val="32"/>
        </w:rPr>
        <w:t>NDEN</w:t>
      </w:r>
    </w:p>
    <w:p w:rsidR="00513D38" w:rsidRDefault="000711D0" w:rsidP="009172ED">
      <w:pPr>
        <w:spacing w:after="0"/>
        <w:jc w:val="center"/>
        <w:rPr>
          <w:rFonts w:ascii="Times New Roman" w:hAnsi="Times New Roman" w:cs="Times New Roman"/>
          <w:b/>
          <w:sz w:val="32"/>
          <w:szCs w:val="32"/>
        </w:rPr>
      </w:pPr>
      <w:r w:rsidRPr="00FF0682">
        <w:rPr>
          <w:rFonts w:ascii="Times New Roman" w:hAnsi="Times New Roman" w:cs="Times New Roman"/>
          <w:b/>
          <w:sz w:val="32"/>
          <w:szCs w:val="32"/>
        </w:rPr>
        <w:t>İHALE İLANI</w:t>
      </w:r>
    </w:p>
    <w:tbl>
      <w:tblPr>
        <w:tblStyle w:val="TabloKlavuzu"/>
        <w:tblW w:w="0" w:type="auto"/>
        <w:tblInd w:w="-5" w:type="dxa"/>
        <w:tblLook w:val="04A0" w:firstRow="1" w:lastRow="0" w:firstColumn="1" w:lastColumn="0" w:noHBand="0" w:noVBand="1"/>
      </w:tblPr>
      <w:tblGrid>
        <w:gridCol w:w="1572"/>
        <w:gridCol w:w="1966"/>
        <w:gridCol w:w="612"/>
        <w:gridCol w:w="750"/>
        <w:gridCol w:w="1194"/>
        <w:gridCol w:w="833"/>
        <w:gridCol w:w="882"/>
        <w:gridCol w:w="1656"/>
        <w:gridCol w:w="1349"/>
        <w:gridCol w:w="1277"/>
        <w:gridCol w:w="1128"/>
        <w:gridCol w:w="1339"/>
      </w:tblGrid>
      <w:tr w:rsidR="00BF2E6D" w:rsidRPr="002436F7" w:rsidTr="00A70625">
        <w:tc>
          <w:tcPr>
            <w:tcW w:w="14558" w:type="dxa"/>
            <w:gridSpan w:val="12"/>
          </w:tcPr>
          <w:p w:rsidR="00BF2E6D" w:rsidRPr="003A278E" w:rsidRDefault="00BF2E6D" w:rsidP="00BF2E6D">
            <w:pPr>
              <w:jc w:val="center"/>
              <w:rPr>
                <w:rFonts w:ascii="Times New Roman" w:hAnsi="Times New Roman" w:cs="Times New Roman"/>
                <w:b/>
                <w:sz w:val="24"/>
                <w:szCs w:val="24"/>
              </w:rPr>
            </w:pPr>
            <w:r w:rsidRPr="003A278E">
              <w:rPr>
                <w:rFonts w:ascii="Times New Roman" w:hAnsi="Times New Roman" w:cs="Times New Roman"/>
                <w:b/>
                <w:sz w:val="24"/>
                <w:szCs w:val="24"/>
              </w:rPr>
              <w:t xml:space="preserve">2886 SAYILI DEVLET İHALE KANUNU’NUN 45.MADDESİ UYARINCA AÇIK TEKLİF USULÜNE GÖRE </w:t>
            </w:r>
          </w:p>
          <w:p w:rsidR="00BF2E6D" w:rsidRDefault="00BF2E6D" w:rsidP="00BF2E6D">
            <w:pPr>
              <w:jc w:val="center"/>
              <w:rPr>
                <w:rFonts w:ascii="Times New Roman" w:hAnsi="Times New Roman" w:cs="Times New Roman"/>
                <w:b/>
                <w:sz w:val="32"/>
                <w:szCs w:val="32"/>
              </w:rPr>
            </w:pPr>
            <w:r w:rsidRPr="003A278E">
              <w:rPr>
                <w:rFonts w:ascii="Times New Roman" w:hAnsi="Times New Roman" w:cs="Times New Roman"/>
                <w:b/>
                <w:sz w:val="24"/>
                <w:szCs w:val="24"/>
              </w:rPr>
              <w:t>SATIŞ İHALESİ YAPILACAK TAŞINMAZ</w:t>
            </w:r>
          </w:p>
          <w:p w:rsidR="00BF2E6D" w:rsidRPr="002436F7" w:rsidRDefault="00BF2E6D" w:rsidP="00035758">
            <w:pPr>
              <w:jc w:val="center"/>
              <w:rPr>
                <w:rFonts w:ascii="Times New Roman" w:hAnsi="Times New Roman" w:cs="Times New Roman"/>
                <w:b/>
                <w:sz w:val="20"/>
                <w:szCs w:val="20"/>
              </w:rPr>
            </w:pPr>
          </w:p>
        </w:tc>
      </w:tr>
      <w:tr w:rsidR="00B158FD" w:rsidRPr="002436F7" w:rsidTr="00A44DE8">
        <w:tc>
          <w:tcPr>
            <w:tcW w:w="1572" w:type="dxa"/>
          </w:tcPr>
          <w:p w:rsidR="00B158FD" w:rsidRPr="002436F7" w:rsidRDefault="00B158FD" w:rsidP="00035758">
            <w:pPr>
              <w:jc w:val="center"/>
              <w:rPr>
                <w:rFonts w:ascii="Times New Roman" w:hAnsi="Times New Roman" w:cs="Times New Roman"/>
                <w:b/>
                <w:sz w:val="20"/>
                <w:szCs w:val="20"/>
              </w:rPr>
            </w:pPr>
            <w:r w:rsidRPr="002436F7">
              <w:rPr>
                <w:rFonts w:ascii="Times New Roman" w:hAnsi="Times New Roman" w:cs="Times New Roman"/>
                <w:b/>
                <w:sz w:val="20"/>
                <w:szCs w:val="20"/>
              </w:rPr>
              <w:t>İli/İlçesi</w:t>
            </w:r>
          </w:p>
        </w:tc>
        <w:tc>
          <w:tcPr>
            <w:tcW w:w="1966" w:type="dxa"/>
          </w:tcPr>
          <w:p w:rsidR="00B158FD" w:rsidRPr="002436F7" w:rsidRDefault="00B158FD" w:rsidP="00035758">
            <w:pPr>
              <w:jc w:val="center"/>
              <w:rPr>
                <w:rFonts w:ascii="Times New Roman" w:hAnsi="Times New Roman" w:cs="Times New Roman"/>
                <w:b/>
                <w:sz w:val="20"/>
                <w:szCs w:val="20"/>
              </w:rPr>
            </w:pPr>
            <w:r w:rsidRPr="002436F7">
              <w:rPr>
                <w:rFonts w:ascii="Times New Roman" w:hAnsi="Times New Roman" w:cs="Times New Roman"/>
                <w:b/>
                <w:sz w:val="20"/>
                <w:szCs w:val="20"/>
              </w:rPr>
              <w:t>Mahalle/</w:t>
            </w:r>
          </w:p>
          <w:p w:rsidR="00B158FD" w:rsidRPr="002436F7" w:rsidRDefault="00B158FD" w:rsidP="00035758">
            <w:pPr>
              <w:jc w:val="center"/>
              <w:rPr>
                <w:rFonts w:ascii="Times New Roman" w:hAnsi="Times New Roman" w:cs="Times New Roman"/>
                <w:b/>
                <w:sz w:val="20"/>
                <w:szCs w:val="20"/>
              </w:rPr>
            </w:pPr>
            <w:r w:rsidRPr="002436F7">
              <w:rPr>
                <w:rFonts w:ascii="Times New Roman" w:hAnsi="Times New Roman" w:cs="Times New Roman"/>
                <w:b/>
                <w:sz w:val="20"/>
                <w:szCs w:val="20"/>
              </w:rPr>
              <w:t>Mevkii</w:t>
            </w:r>
          </w:p>
        </w:tc>
        <w:tc>
          <w:tcPr>
            <w:tcW w:w="612" w:type="dxa"/>
          </w:tcPr>
          <w:p w:rsidR="00B158FD" w:rsidRPr="002436F7" w:rsidRDefault="00B158FD" w:rsidP="00035758">
            <w:pPr>
              <w:jc w:val="center"/>
              <w:rPr>
                <w:rFonts w:ascii="Times New Roman" w:hAnsi="Times New Roman" w:cs="Times New Roman"/>
                <w:b/>
                <w:sz w:val="20"/>
                <w:szCs w:val="20"/>
              </w:rPr>
            </w:pPr>
            <w:r w:rsidRPr="002436F7">
              <w:rPr>
                <w:rFonts w:ascii="Times New Roman" w:hAnsi="Times New Roman" w:cs="Times New Roman"/>
                <w:b/>
                <w:sz w:val="20"/>
                <w:szCs w:val="20"/>
              </w:rPr>
              <w:t>Ada</w:t>
            </w:r>
          </w:p>
        </w:tc>
        <w:tc>
          <w:tcPr>
            <w:tcW w:w="750" w:type="dxa"/>
          </w:tcPr>
          <w:p w:rsidR="00B158FD" w:rsidRPr="002436F7" w:rsidRDefault="00B158FD" w:rsidP="00035758">
            <w:pPr>
              <w:jc w:val="center"/>
              <w:rPr>
                <w:rFonts w:ascii="Times New Roman" w:hAnsi="Times New Roman" w:cs="Times New Roman"/>
                <w:b/>
                <w:sz w:val="20"/>
                <w:szCs w:val="20"/>
              </w:rPr>
            </w:pPr>
            <w:r w:rsidRPr="002436F7">
              <w:rPr>
                <w:rFonts w:ascii="Times New Roman" w:hAnsi="Times New Roman" w:cs="Times New Roman"/>
                <w:b/>
                <w:sz w:val="20"/>
                <w:szCs w:val="20"/>
              </w:rPr>
              <w:t>Parsel</w:t>
            </w:r>
          </w:p>
        </w:tc>
        <w:tc>
          <w:tcPr>
            <w:tcW w:w="1194" w:type="dxa"/>
          </w:tcPr>
          <w:p w:rsidR="00B158FD" w:rsidRPr="002436F7" w:rsidRDefault="00B158FD" w:rsidP="00035758">
            <w:pPr>
              <w:jc w:val="center"/>
              <w:rPr>
                <w:rFonts w:ascii="Times New Roman" w:hAnsi="Times New Roman" w:cs="Times New Roman"/>
                <w:b/>
                <w:sz w:val="20"/>
                <w:szCs w:val="20"/>
              </w:rPr>
            </w:pPr>
            <w:r w:rsidRPr="002436F7">
              <w:rPr>
                <w:rFonts w:ascii="Times New Roman" w:hAnsi="Times New Roman" w:cs="Times New Roman"/>
                <w:b/>
                <w:sz w:val="20"/>
                <w:szCs w:val="20"/>
              </w:rPr>
              <w:t>Yüzölçümü</w:t>
            </w:r>
          </w:p>
          <w:p w:rsidR="00B158FD" w:rsidRPr="002436F7" w:rsidRDefault="00B158FD" w:rsidP="00035758">
            <w:pPr>
              <w:jc w:val="center"/>
              <w:rPr>
                <w:rFonts w:ascii="Times New Roman" w:hAnsi="Times New Roman" w:cs="Times New Roman"/>
                <w:b/>
                <w:sz w:val="20"/>
                <w:szCs w:val="20"/>
              </w:rPr>
            </w:pPr>
            <w:r w:rsidRPr="002436F7">
              <w:rPr>
                <w:rFonts w:ascii="Times New Roman" w:hAnsi="Times New Roman" w:cs="Times New Roman"/>
                <w:b/>
                <w:sz w:val="20"/>
                <w:szCs w:val="20"/>
              </w:rPr>
              <w:t>(m</w:t>
            </w:r>
            <w:r w:rsidRPr="002436F7">
              <w:rPr>
                <w:rFonts w:ascii="Times New Roman" w:hAnsi="Times New Roman" w:cs="Times New Roman"/>
                <w:b/>
                <w:sz w:val="20"/>
                <w:szCs w:val="20"/>
                <w:vertAlign w:val="superscript"/>
              </w:rPr>
              <w:t>2)</w:t>
            </w:r>
          </w:p>
        </w:tc>
        <w:tc>
          <w:tcPr>
            <w:tcW w:w="833" w:type="dxa"/>
          </w:tcPr>
          <w:p w:rsidR="00B158FD" w:rsidRPr="002436F7" w:rsidRDefault="00B158FD" w:rsidP="00035758">
            <w:pPr>
              <w:jc w:val="center"/>
              <w:rPr>
                <w:rFonts w:ascii="Times New Roman" w:hAnsi="Times New Roman" w:cs="Times New Roman"/>
                <w:b/>
                <w:sz w:val="20"/>
                <w:szCs w:val="20"/>
              </w:rPr>
            </w:pPr>
            <w:r w:rsidRPr="002436F7">
              <w:rPr>
                <w:rFonts w:ascii="Times New Roman" w:hAnsi="Times New Roman" w:cs="Times New Roman"/>
                <w:b/>
                <w:sz w:val="20"/>
                <w:szCs w:val="20"/>
              </w:rPr>
              <w:t>Hazine</w:t>
            </w:r>
          </w:p>
          <w:p w:rsidR="00B158FD" w:rsidRPr="002436F7" w:rsidRDefault="00B158FD" w:rsidP="00035758">
            <w:pPr>
              <w:jc w:val="center"/>
              <w:rPr>
                <w:rFonts w:ascii="Times New Roman" w:hAnsi="Times New Roman" w:cs="Times New Roman"/>
                <w:b/>
                <w:sz w:val="20"/>
                <w:szCs w:val="20"/>
              </w:rPr>
            </w:pPr>
            <w:r w:rsidRPr="002436F7">
              <w:rPr>
                <w:rFonts w:ascii="Times New Roman" w:hAnsi="Times New Roman" w:cs="Times New Roman"/>
                <w:b/>
                <w:sz w:val="20"/>
                <w:szCs w:val="20"/>
              </w:rPr>
              <w:t>Hissesi</w:t>
            </w:r>
          </w:p>
        </w:tc>
        <w:tc>
          <w:tcPr>
            <w:tcW w:w="882" w:type="dxa"/>
          </w:tcPr>
          <w:p w:rsidR="00B158FD" w:rsidRPr="002436F7" w:rsidRDefault="00B158FD" w:rsidP="00035758">
            <w:pPr>
              <w:jc w:val="center"/>
              <w:rPr>
                <w:rFonts w:ascii="Times New Roman" w:hAnsi="Times New Roman" w:cs="Times New Roman"/>
                <w:b/>
                <w:sz w:val="20"/>
                <w:szCs w:val="20"/>
              </w:rPr>
            </w:pPr>
            <w:r w:rsidRPr="002436F7">
              <w:rPr>
                <w:rFonts w:ascii="Times New Roman" w:hAnsi="Times New Roman" w:cs="Times New Roman"/>
                <w:b/>
                <w:sz w:val="20"/>
                <w:szCs w:val="20"/>
              </w:rPr>
              <w:t>Cinsi</w:t>
            </w:r>
          </w:p>
        </w:tc>
        <w:tc>
          <w:tcPr>
            <w:tcW w:w="1656" w:type="dxa"/>
          </w:tcPr>
          <w:p w:rsidR="00B158FD" w:rsidRPr="002436F7" w:rsidRDefault="00B158FD" w:rsidP="00035758">
            <w:pPr>
              <w:jc w:val="center"/>
              <w:rPr>
                <w:rFonts w:ascii="Times New Roman" w:hAnsi="Times New Roman" w:cs="Times New Roman"/>
                <w:b/>
                <w:sz w:val="20"/>
                <w:szCs w:val="20"/>
              </w:rPr>
            </w:pPr>
            <w:r w:rsidRPr="002436F7">
              <w:rPr>
                <w:rFonts w:ascii="Times New Roman" w:hAnsi="Times New Roman" w:cs="Times New Roman"/>
                <w:b/>
                <w:sz w:val="20"/>
                <w:szCs w:val="20"/>
              </w:rPr>
              <w:t>İmar Durumu</w:t>
            </w:r>
          </w:p>
        </w:tc>
        <w:tc>
          <w:tcPr>
            <w:tcW w:w="1349" w:type="dxa"/>
          </w:tcPr>
          <w:p w:rsidR="00B158FD" w:rsidRPr="002436F7" w:rsidRDefault="00B158FD" w:rsidP="00035758">
            <w:pPr>
              <w:jc w:val="center"/>
              <w:rPr>
                <w:rFonts w:ascii="Times New Roman" w:hAnsi="Times New Roman" w:cs="Times New Roman"/>
                <w:b/>
                <w:sz w:val="20"/>
                <w:szCs w:val="20"/>
              </w:rPr>
            </w:pPr>
            <w:r w:rsidRPr="002436F7">
              <w:rPr>
                <w:rFonts w:ascii="Times New Roman" w:hAnsi="Times New Roman" w:cs="Times New Roman"/>
                <w:b/>
                <w:sz w:val="20"/>
                <w:szCs w:val="20"/>
              </w:rPr>
              <w:t>Tahmini Bedeli (TL)</w:t>
            </w:r>
          </w:p>
        </w:tc>
        <w:tc>
          <w:tcPr>
            <w:tcW w:w="1277" w:type="dxa"/>
          </w:tcPr>
          <w:p w:rsidR="00B158FD" w:rsidRPr="002436F7" w:rsidRDefault="00B158FD" w:rsidP="00035758">
            <w:pPr>
              <w:jc w:val="center"/>
              <w:rPr>
                <w:rFonts w:ascii="Times New Roman" w:hAnsi="Times New Roman" w:cs="Times New Roman"/>
                <w:b/>
                <w:sz w:val="20"/>
                <w:szCs w:val="20"/>
              </w:rPr>
            </w:pPr>
            <w:r w:rsidRPr="002436F7">
              <w:rPr>
                <w:rFonts w:ascii="Times New Roman" w:hAnsi="Times New Roman" w:cs="Times New Roman"/>
                <w:b/>
                <w:sz w:val="20"/>
                <w:szCs w:val="20"/>
              </w:rPr>
              <w:t>Geçici Teminat Tutarı (TL)</w:t>
            </w:r>
          </w:p>
        </w:tc>
        <w:tc>
          <w:tcPr>
            <w:tcW w:w="2467" w:type="dxa"/>
            <w:gridSpan w:val="2"/>
          </w:tcPr>
          <w:p w:rsidR="00B158FD" w:rsidRPr="002436F7" w:rsidRDefault="00B158FD" w:rsidP="00035758">
            <w:pPr>
              <w:jc w:val="center"/>
              <w:rPr>
                <w:rFonts w:ascii="Times New Roman" w:hAnsi="Times New Roman" w:cs="Times New Roman"/>
                <w:b/>
                <w:sz w:val="20"/>
                <w:szCs w:val="20"/>
              </w:rPr>
            </w:pPr>
            <w:r w:rsidRPr="002436F7">
              <w:rPr>
                <w:rFonts w:ascii="Times New Roman" w:hAnsi="Times New Roman" w:cs="Times New Roman"/>
                <w:b/>
                <w:sz w:val="20"/>
                <w:szCs w:val="20"/>
              </w:rPr>
              <w:t xml:space="preserve">İhale Tarihi </w:t>
            </w:r>
          </w:p>
          <w:p w:rsidR="00B158FD" w:rsidRPr="002436F7" w:rsidRDefault="00B158FD" w:rsidP="00035758">
            <w:pPr>
              <w:jc w:val="center"/>
              <w:rPr>
                <w:rFonts w:ascii="Times New Roman" w:hAnsi="Times New Roman" w:cs="Times New Roman"/>
                <w:b/>
                <w:sz w:val="20"/>
                <w:szCs w:val="20"/>
              </w:rPr>
            </w:pPr>
            <w:proofErr w:type="gramStart"/>
            <w:r w:rsidRPr="002436F7">
              <w:rPr>
                <w:rFonts w:ascii="Times New Roman" w:hAnsi="Times New Roman" w:cs="Times New Roman"/>
                <w:b/>
                <w:sz w:val="20"/>
                <w:szCs w:val="20"/>
              </w:rPr>
              <w:t>ve</w:t>
            </w:r>
            <w:proofErr w:type="gramEnd"/>
            <w:r w:rsidRPr="002436F7">
              <w:rPr>
                <w:rFonts w:ascii="Times New Roman" w:hAnsi="Times New Roman" w:cs="Times New Roman"/>
                <w:b/>
                <w:sz w:val="20"/>
                <w:szCs w:val="20"/>
              </w:rPr>
              <w:t xml:space="preserve"> Saati</w:t>
            </w:r>
          </w:p>
        </w:tc>
      </w:tr>
      <w:tr w:rsidR="00B158FD" w:rsidRPr="002436F7" w:rsidTr="00A44DE8">
        <w:tc>
          <w:tcPr>
            <w:tcW w:w="1572" w:type="dxa"/>
            <w:vAlign w:val="center"/>
          </w:tcPr>
          <w:p w:rsidR="00B158FD" w:rsidRDefault="00B158FD" w:rsidP="0018184F">
            <w:pPr>
              <w:rPr>
                <w:rFonts w:ascii="Times New Roman" w:hAnsi="Times New Roman" w:cs="Times New Roman"/>
                <w:sz w:val="20"/>
                <w:szCs w:val="20"/>
              </w:rPr>
            </w:pPr>
            <w:r>
              <w:rPr>
                <w:rFonts w:ascii="Times New Roman" w:hAnsi="Times New Roman" w:cs="Times New Roman"/>
                <w:sz w:val="20"/>
                <w:szCs w:val="20"/>
              </w:rPr>
              <w:t>Muğla/Marmaris</w:t>
            </w:r>
          </w:p>
        </w:tc>
        <w:tc>
          <w:tcPr>
            <w:tcW w:w="1966" w:type="dxa"/>
            <w:vAlign w:val="center"/>
          </w:tcPr>
          <w:p w:rsidR="00B158FD" w:rsidRDefault="00DD7A88" w:rsidP="00803F51">
            <w:pPr>
              <w:rPr>
                <w:rFonts w:ascii="Times New Roman" w:hAnsi="Times New Roman" w:cs="Times New Roman"/>
                <w:sz w:val="20"/>
                <w:szCs w:val="20"/>
              </w:rPr>
            </w:pPr>
            <w:r>
              <w:rPr>
                <w:rFonts w:ascii="Times New Roman" w:hAnsi="Times New Roman" w:cs="Times New Roman"/>
                <w:sz w:val="20"/>
                <w:szCs w:val="20"/>
              </w:rPr>
              <w:t>Söğüt</w:t>
            </w:r>
            <w:r w:rsidR="00B158FD">
              <w:rPr>
                <w:rFonts w:ascii="Times New Roman" w:hAnsi="Times New Roman" w:cs="Times New Roman"/>
                <w:sz w:val="20"/>
                <w:szCs w:val="20"/>
              </w:rPr>
              <w:t xml:space="preserve"> Mahallesi /</w:t>
            </w:r>
          </w:p>
          <w:p w:rsidR="00B158FD" w:rsidRDefault="00DD7A88" w:rsidP="00803F51">
            <w:pPr>
              <w:rPr>
                <w:rFonts w:ascii="Times New Roman" w:hAnsi="Times New Roman" w:cs="Times New Roman"/>
                <w:sz w:val="20"/>
                <w:szCs w:val="20"/>
              </w:rPr>
            </w:pPr>
            <w:r>
              <w:rPr>
                <w:rFonts w:ascii="Times New Roman" w:hAnsi="Times New Roman" w:cs="Times New Roman"/>
                <w:sz w:val="20"/>
                <w:szCs w:val="20"/>
              </w:rPr>
              <w:t>Çavdır</w:t>
            </w:r>
            <w:r w:rsidR="00B158FD">
              <w:rPr>
                <w:rFonts w:ascii="Times New Roman" w:hAnsi="Times New Roman" w:cs="Times New Roman"/>
                <w:sz w:val="20"/>
                <w:szCs w:val="20"/>
              </w:rPr>
              <w:t xml:space="preserve"> Mevkii</w:t>
            </w:r>
          </w:p>
        </w:tc>
        <w:tc>
          <w:tcPr>
            <w:tcW w:w="612" w:type="dxa"/>
            <w:vAlign w:val="center"/>
          </w:tcPr>
          <w:p w:rsidR="00B158FD" w:rsidRDefault="00DD7A88" w:rsidP="0018184F">
            <w:pPr>
              <w:jc w:val="center"/>
              <w:rPr>
                <w:rFonts w:ascii="Times New Roman" w:hAnsi="Times New Roman" w:cs="Times New Roman"/>
                <w:sz w:val="20"/>
                <w:szCs w:val="20"/>
              </w:rPr>
            </w:pPr>
            <w:r>
              <w:rPr>
                <w:rFonts w:ascii="Times New Roman" w:hAnsi="Times New Roman" w:cs="Times New Roman"/>
                <w:sz w:val="20"/>
                <w:szCs w:val="20"/>
              </w:rPr>
              <w:t>323</w:t>
            </w:r>
          </w:p>
        </w:tc>
        <w:tc>
          <w:tcPr>
            <w:tcW w:w="750" w:type="dxa"/>
            <w:vAlign w:val="center"/>
          </w:tcPr>
          <w:p w:rsidR="00B158FD" w:rsidRDefault="00DD7A88" w:rsidP="0018184F">
            <w:pPr>
              <w:rPr>
                <w:rFonts w:ascii="Times New Roman" w:hAnsi="Times New Roman" w:cs="Times New Roman"/>
                <w:sz w:val="20"/>
                <w:szCs w:val="20"/>
              </w:rPr>
            </w:pPr>
            <w:r>
              <w:rPr>
                <w:rFonts w:ascii="Times New Roman" w:hAnsi="Times New Roman" w:cs="Times New Roman"/>
                <w:sz w:val="20"/>
                <w:szCs w:val="20"/>
              </w:rPr>
              <w:t>1</w:t>
            </w:r>
          </w:p>
        </w:tc>
        <w:tc>
          <w:tcPr>
            <w:tcW w:w="1194" w:type="dxa"/>
            <w:vAlign w:val="center"/>
          </w:tcPr>
          <w:p w:rsidR="00B158FD" w:rsidRDefault="00DD7A88" w:rsidP="0018184F">
            <w:pPr>
              <w:jc w:val="center"/>
              <w:rPr>
                <w:rFonts w:ascii="Times New Roman" w:hAnsi="Times New Roman" w:cs="Times New Roman"/>
                <w:sz w:val="20"/>
                <w:szCs w:val="20"/>
              </w:rPr>
            </w:pPr>
            <w:r>
              <w:rPr>
                <w:rFonts w:ascii="Times New Roman" w:hAnsi="Times New Roman" w:cs="Times New Roman"/>
                <w:sz w:val="20"/>
                <w:szCs w:val="20"/>
              </w:rPr>
              <w:t>1095,63</w:t>
            </w:r>
          </w:p>
        </w:tc>
        <w:tc>
          <w:tcPr>
            <w:tcW w:w="833" w:type="dxa"/>
            <w:vAlign w:val="center"/>
          </w:tcPr>
          <w:p w:rsidR="00B158FD" w:rsidRDefault="00B158FD" w:rsidP="0018184F">
            <w:pPr>
              <w:jc w:val="center"/>
              <w:rPr>
                <w:rFonts w:ascii="Times New Roman" w:hAnsi="Times New Roman" w:cs="Times New Roman"/>
                <w:sz w:val="20"/>
                <w:szCs w:val="20"/>
              </w:rPr>
            </w:pPr>
            <w:r>
              <w:rPr>
                <w:rFonts w:ascii="Times New Roman" w:hAnsi="Times New Roman" w:cs="Times New Roman"/>
                <w:sz w:val="20"/>
                <w:szCs w:val="20"/>
              </w:rPr>
              <w:t>Tam</w:t>
            </w:r>
          </w:p>
        </w:tc>
        <w:tc>
          <w:tcPr>
            <w:tcW w:w="882" w:type="dxa"/>
            <w:vAlign w:val="center"/>
          </w:tcPr>
          <w:p w:rsidR="00B158FD" w:rsidRDefault="00B158FD" w:rsidP="0018184F">
            <w:pPr>
              <w:jc w:val="center"/>
              <w:rPr>
                <w:rFonts w:ascii="Times New Roman" w:hAnsi="Times New Roman" w:cs="Times New Roman"/>
                <w:sz w:val="20"/>
                <w:szCs w:val="20"/>
              </w:rPr>
            </w:pPr>
            <w:r>
              <w:rPr>
                <w:rFonts w:ascii="Times New Roman" w:hAnsi="Times New Roman" w:cs="Times New Roman"/>
                <w:sz w:val="20"/>
                <w:szCs w:val="20"/>
              </w:rPr>
              <w:t>Tarla</w:t>
            </w:r>
          </w:p>
        </w:tc>
        <w:tc>
          <w:tcPr>
            <w:tcW w:w="1656" w:type="dxa"/>
            <w:vAlign w:val="center"/>
          </w:tcPr>
          <w:p w:rsidR="00B158FD" w:rsidRPr="00DD7A88" w:rsidRDefault="00DD7A88" w:rsidP="00DD7A88">
            <w:pPr>
              <w:rPr>
                <w:rFonts w:ascii="Times New Roman" w:hAnsi="Times New Roman" w:cs="Times New Roman"/>
                <w:sz w:val="18"/>
                <w:szCs w:val="18"/>
              </w:rPr>
            </w:pPr>
            <w:r w:rsidRPr="00DD7A88">
              <w:rPr>
                <w:rFonts w:ascii="Times New Roman" w:hAnsi="Times New Roman" w:cs="Times New Roman"/>
                <w:color w:val="000000"/>
                <w:sz w:val="18"/>
                <w:szCs w:val="18"/>
              </w:rPr>
              <w:t>Datça-</w:t>
            </w:r>
            <w:proofErr w:type="spellStart"/>
            <w:r w:rsidRPr="00DD7A88">
              <w:rPr>
                <w:rFonts w:ascii="Times New Roman" w:hAnsi="Times New Roman" w:cs="Times New Roman"/>
                <w:color w:val="000000"/>
                <w:sz w:val="18"/>
                <w:szCs w:val="18"/>
              </w:rPr>
              <w:t>Bozburun</w:t>
            </w:r>
            <w:proofErr w:type="spellEnd"/>
            <w:r w:rsidRPr="00DD7A88">
              <w:rPr>
                <w:rFonts w:ascii="Times New Roman" w:hAnsi="Times New Roman" w:cs="Times New Roman"/>
                <w:color w:val="000000"/>
                <w:sz w:val="18"/>
                <w:szCs w:val="18"/>
              </w:rPr>
              <w:t xml:space="preserve"> 1/25000 ölçekli Özel Çevre Koruma Bölgesi Çevre Düzeni Planı Revizyonunda “Tarım Odaklı Kırsal Nitelikli Turizm Alanı (Ekoloj</w:t>
            </w:r>
            <w:r w:rsidR="002A1150">
              <w:rPr>
                <w:rFonts w:ascii="Times New Roman" w:hAnsi="Times New Roman" w:cs="Times New Roman"/>
                <w:color w:val="000000"/>
                <w:sz w:val="18"/>
                <w:szCs w:val="18"/>
              </w:rPr>
              <w:t>ik Tarım Turizmi/</w:t>
            </w:r>
            <w:proofErr w:type="spellStart"/>
            <w:r w:rsidR="002A1150">
              <w:rPr>
                <w:rFonts w:ascii="Times New Roman" w:hAnsi="Times New Roman" w:cs="Times New Roman"/>
                <w:color w:val="000000"/>
                <w:sz w:val="18"/>
                <w:szCs w:val="18"/>
              </w:rPr>
              <w:t>Agro</w:t>
            </w:r>
            <w:proofErr w:type="spellEnd"/>
            <w:r w:rsidR="002A1150">
              <w:rPr>
                <w:rFonts w:ascii="Times New Roman" w:hAnsi="Times New Roman" w:cs="Times New Roman"/>
                <w:color w:val="000000"/>
                <w:sz w:val="18"/>
                <w:szCs w:val="18"/>
              </w:rPr>
              <w:t xml:space="preserve"> Turizm)  A</w:t>
            </w:r>
            <w:r w:rsidRPr="00DD7A88">
              <w:rPr>
                <w:rFonts w:ascii="Times New Roman" w:hAnsi="Times New Roman" w:cs="Times New Roman"/>
                <w:color w:val="000000"/>
                <w:sz w:val="18"/>
                <w:szCs w:val="18"/>
              </w:rPr>
              <w:t>lanında</w:t>
            </w:r>
            <w:r w:rsidR="002A1150">
              <w:rPr>
                <w:rFonts w:ascii="Times New Roman" w:hAnsi="Times New Roman" w:cs="Times New Roman"/>
                <w:color w:val="000000"/>
                <w:sz w:val="18"/>
                <w:szCs w:val="18"/>
              </w:rPr>
              <w:t>’’</w:t>
            </w:r>
            <w:r w:rsidRPr="00DD7A88">
              <w:rPr>
                <w:rFonts w:ascii="Times New Roman" w:hAnsi="Times New Roman" w:cs="Times New Roman"/>
                <w:color w:val="000000"/>
                <w:sz w:val="18"/>
                <w:szCs w:val="18"/>
              </w:rPr>
              <w:t xml:space="preserve"> kalmaktadır.</w:t>
            </w:r>
          </w:p>
        </w:tc>
        <w:tc>
          <w:tcPr>
            <w:tcW w:w="1349" w:type="dxa"/>
            <w:vAlign w:val="center"/>
          </w:tcPr>
          <w:p w:rsidR="00B158FD" w:rsidRDefault="00DD7A88" w:rsidP="0018184F">
            <w:pPr>
              <w:jc w:val="center"/>
              <w:rPr>
                <w:rFonts w:ascii="Times New Roman" w:hAnsi="Times New Roman" w:cs="Times New Roman"/>
                <w:sz w:val="20"/>
                <w:szCs w:val="20"/>
              </w:rPr>
            </w:pPr>
            <w:r>
              <w:rPr>
                <w:rFonts w:ascii="Times New Roman" w:hAnsi="Times New Roman" w:cs="Times New Roman"/>
                <w:sz w:val="20"/>
                <w:szCs w:val="20"/>
              </w:rPr>
              <w:t>7.770.000,00</w:t>
            </w:r>
            <w:r w:rsidR="00B158FD">
              <w:rPr>
                <w:rFonts w:ascii="Times New Roman" w:hAnsi="Times New Roman" w:cs="Times New Roman"/>
                <w:sz w:val="20"/>
                <w:szCs w:val="20"/>
              </w:rPr>
              <w:t xml:space="preserve"> </w:t>
            </w:r>
          </w:p>
        </w:tc>
        <w:tc>
          <w:tcPr>
            <w:tcW w:w="1277" w:type="dxa"/>
            <w:vAlign w:val="center"/>
          </w:tcPr>
          <w:p w:rsidR="00B158FD" w:rsidRDefault="00DD7A88" w:rsidP="0018184F">
            <w:pPr>
              <w:jc w:val="center"/>
              <w:rPr>
                <w:rFonts w:ascii="Times New Roman" w:hAnsi="Times New Roman" w:cs="Times New Roman"/>
                <w:sz w:val="20"/>
                <w:szCs w:val="20"/>
              </w:rPr>
            </w:pPr>
            <w:r>
              <w:rPr>
                <w:rFonts w:ascii="Times New Roman" w:hAnsi="Times New Roman" w:cs="Times New Roman"/>
                <w:sz w:val="20"/>
                <w:szCs w:val="20"/>
              </w:rPr>
              <w:t>777.000,00</w:t>
            </w:r>
          </w:p>
        </w:tc>
        <w:tc>
          <w:tcPr>
            <w:tcW w:w="1128" w:type="dxa"/>
            <w:vAlign w:val="center"/>
          </w:tcPr>
          <w:p w:rsidR="00B158FD" w:rsidRPr="002436F7" w:rsidRDefault="00B158FD" w:rsidP="00DD7A88">
            <w:pPr>
              <w:rPr>
                <w:rFonts w:ascii="Times New Roman" w:hAnsi="Times New Roman" w:cs="Times New Roman"/>
                <w:sz w:val="20"/>
                <w:szCs w:val="20"/>
              </w:rPr>
            </w:pPr>
            <w:r>
              <w:rPr>
                <w:rFonts w:ascii="Times New Roman" w:hAnsi="Times New Roman" w:cs="Times New Roman"/>
                <w:sz w:val="20"/>
                <w:szCs w:val="20"/>
              </w:rPr>
              <w:t>2</w:t>
            </w:r>
            <w:r w:rsidR="00DD7A88">
              <w:rPr>
                <w:rFonts w:ascii="Times New Roman" w:hAnsi="Times New Roman" w:cs="Times New Roman"/>
                <w:sz w:val="20"/>
                <w:szCs w:val="20"/>
              </w:rPr>
              <w:t>6/11/2024</w:t>
            </w:r>
          </w:p>
        </w:tc>
        <w:tc>
          <w:tcPr>
            <w:tcW w:w="1339" w:type="dxa"/>
            <w:vAlign w:val="center"/>
          </w:tcPr>
          <w:p w:rsidR="00B158FD" w:rsidRDefault="00B158FD" w:rsidP="0018184F">
            <w:pPr>
              <w:jc w:val="center"/>
              <w:rPr>
                <w:rFonts w:ascii="Times New Roman" w:hAnsi="Times New Roman" w:cs="Times New Roman"/>
                <w:sz w:val="20"/>
                <w:szCs w:val="20"/>
              </w:rPr>
            </w:pPr>
            <w:r>
              <w:rPr>
                <w:rFonts w:ascii="Times New Roman" w:hAnsi="Times New Roman" w:cs="Times New Roman"/>
                <w:sz w:val="20"/>
                <w:szCs w:val="20"/>
              </w:rPr>
              <w:t>14:00</w:t>
            </w:r>
          </w:p>
        </w:tc>
      </w:tr>
    </w:tbl>
    <w:p w:rsidR="006E2535" w:rsidRPr="002436F7" w:rsidRDefault="006E2535" w:rsidP="00FF0682">
      <w:pPr>
        <w:spacing w:after="0"/>
        <w:jc w:val="both"/>
        <w:rPr>
          <w:sz w:val="20"/>
          <w:szCs w:val="20"/>
        </w:rPr>
      </w:pPr>
    </w:p>
    <w:p w:rsidR="00F75C43" w:rsidRPr="00C64E6D" w:rsidRDefault="00033364" w:rsidP="000632F1">
      <w:pPr>
        <w:spacing w:after="0"/>
        <w:ind w:firstLine="708"/>
        <w:jc w:val="both"/>
        <w:rPr>
          <w:rFonts w:ascii="Times New Roman" w:hAnsi="Times New Roman" w:cs="Times New Roman"/>
          <w:sz w:val="24"/>
          <w:szCs w:val="24"/>
        </w:rPr>
      </w:pPr>
      <w:r w:rsidRPr="00C64E6D">
        <w:rPr>
          <w:rFonts w:ascii="Times New Roman" w:hAnsi="Times New Roman" w:cs="Times New Roman"/>
          <w:sz w:val="24"/>
          <w:szCs w:val="24"/>
        </w:rPr>
        <w:t>1</w:t>
      </w:r>
      <w:r w:rsidR="00C64E6D" w:rsidRPr="00C64E6D">
        <w:rPr>
          <w:rFonts w:ascii="Times New Roman" w:hAnsi="Times New Roman" w:cs="Times New Roman"/>
          <w:sz w:val="24"/>
          <w:szCs w:val="24"/>
        </w:rPr>
        <w:t>)</w:t>
      </w:r>
      <w:r w:rsidRPr="00C64E6D">
        <w:rPr>
          <w:rFonts w:ascii="Times New Roman" w:hAnsi="Times New Roman" w:cs="Times New Roman"/>
          <w:sz w:val="24"/>
          <w:szCs w:val="24"/>
        </w:rPr>
        <w:t xml:space="preserve">-Yukarıda </w:t>
      </w:r>
      <w:r w:rsidR="009C3278" w:rsidRPr="00C64E6D">
        <w:rPr>
          <w:rFonts w:ascii="Times New Roman" w:hAnsi="Times New Roman" w:cs="Times New Roman"/>
          <w:sz w:val="24"/>
          <w:szCs w:val="24"/>
        </w:rPr>
        <w:t xml:space="preserve">belirtilen </w:t>
      </w:r>
      <w:r w:rsidR="002A1150">
        <w:rPr>
          <w:rFonts w:ascii="Times New Roman" w:hAnsi="Times New Roman" w:cs="Times New Roman"/>
          <w:sz w:val="24"/>
          <w:szCs w:val="24"/>
        </w:rPr>
        <w:t>taşınmazın satış</w:t>
      </w:r>
      <w:r w:rsidR="00CF02C8">
        <w:rPr>
          <w:rFonts w:ascii="Times New Roman" w:hAnsi="Times New Roman" w:cs="Times New Roman"/>
          <w:sz w:val="24"/>
          <w:szCs w:val="24"/>
        </w:rPr>
        <w:t xml:space="preserve"> ihalesi</w:t>
      </w:r>
      <w:r w:rsidR="00B6005C" w:rsidRPr="00C64E6D">
        <w:rPr>
          <w:rFonts w:ascii="Times New Roman" w:hAnsi="Times New Roman" w:cs="Times New Roman"/>
          <w:sz w:val="24"/>
          <w:szCs w:val="24"/>
        </w:rPr>
        <w:t xml:space="preserve"> </w:t>
      </w:r>
      <w:r w:rsidR="00B6005C" w:rsidRPr="00F80F08">
        <w:rPr>
          <w:rFonts w:ascii="Times New Roman" w:hAnsi="Times New Roman" w:cs="Times New Roman"/>
          <w:sz w:val="24"/>
          <w:szCs w:val="24"/>
        </w:rPr>
        <w:t>2886 Sayılı Devlet İhale Kanununun 45. Maddesi uyarınca “Açık tekli</w:t>
      </w:r>
      <w:r w:rsidR="00F72DCE" w:rsidRPr="00F80F08">
        <w:rPr>
          <w:rFonts w:ascii="Times New Roman" w:hAnsi="Times New Roman" w:cs="Times New Roman"/>
          <w:sz w:val="24"/>
          <w:szCs w:val="24"/>
        </w:rPr>
        <w:t>f usulü”</w:t>
      </w:r>
      <w:r w:rsidR="00F72DCE" w:rsidRPr="00C64E6D">
        <w:rPr>
          <w:rFonts w:ascii="Times New Roman" w:hAnsi="Times New Roman" w:cs="Times New Roman"/>
          <w:b/>
          <w:sz w:val="24"/>
          <w:szCs w:val="24"/>
        </w:rPr>
        <w:t xml:space="preserve"> </w:t>
      </w:r>
      <w:r w:rsidR="002A1150" w:rsidRPr="00C64E6D">
        <w:rPr>
          <w:rFonts w:ascii="Times New Roman" w:hAnsi="Times New Roman" w:cs="Times New Roman"/>
          <w:sz w:val="24"/>
          <w:szCs w:val="24"/>
        </w:rPr>
        <w:t>ile</w:t>
      </w:r>
      <w:r w:rsidR="002A1150">
        <w:rPr>
          <w:rFonts w:ascii="Times New Roman" w:hAnsi="Times New Roman" w:cs="Times New Roman"/>
          <w:sz w:val="24"/>
          <w:szCs w:val="24"/>
        </w:rPr>
        <w:t xml:space="preserve"> hizasında</w:t>
      </w:r>
      <w:r w:rsidR="00E524C1" w:rsidRPr="00C64E6D">
        <w:rPr>
          <w:rFonts w:ascii="Times New Roman" w:hAnsi="Times New Roman" w:cs="Times New Roman"/>
          <w:sz w:val="24"/>
          <w:szCs w:val="24"/>
        </w:rPr>
        <w:t xml:space="preserve"> belirtilen tarih ve saatte</w:t>
      </w:r>
      <w:r w:rsidRPr="00C64E6D">
        <w:rPr>
          <w:rFonts w:ascii="Times New Roman" w:hAnsi="Times New Roman" w:cs="Times New Roman"/>
          <w:sz w:val="24"/>
          <w:szCs w:val="24"/>
        </w:rPr>
        <w:t xml:space="preserve">, </w:t>
      </w:r>
      <w:r w:rsidR="00E524C1" w:rsidRPr="00C64E6D">
        <w:rPr>
          <w:rFonts w:ascii="Times New Roman" w:hAnsi="Times New Roman" w:cs="Times New Roman"/>
          <w:sz w:val="24"/>
          <w:szCs w:val="24"/>
        </w:rPr>
        <w:t xml:space="preserve"> Marmaris Milli Emlak Müdürü Makam odasında toplanacak ihale komisyonu huzurunda yapılacaktır.</w:t>
      </w:r>
    </w:p>
    <w:p w:rsidR="000632F1" w:rsidRPr="00C64E6D" w:rsidRDefault="00E524C1" w:rsidP="00FF0682">
      <w:pPr>
        <w:spacing w:after="0"/>
        <w:jc w:val="both"/>
        <w:rPr>
          <w:rFonts w:ascii="Times New Roman" w:hAnsi="Times New Roman" w:cs="Times New Roman"/>
          <w:sz w:val="24"/>
          <w:szCs w:val="24"/>
        </w:rPr>
      </w:pPr>
      <w:r w:rsidRPr="00C64E6D">
        <w:rPr>
          <w:rFonts w:ascii="Times New Roman" w:hAnsi="Times New Roman" w:cs="Times New Roman"/>
          <w:sz w:val="24"/>
          <w:szCs w:val="24"/>
        </w:rPr>
        <w:tab/>
      </w:r>
      <w:r w:rsidR="00F72DCE" w:rsidRPr="00C64E6D">
        <w:rPr>
          <w:rFonts w:ascii="Times New Roman" w:hAnsi="Times New Roman" w:cs="Times New Roman"/>
          <w:sz w:val="24"/>
          <w:szCs w:val="24"/>
        </w:rPr>
        <w:t>2</w:t>
      </w:r>
      <w:r w:rsidR="00C64E6D" w:rsidRPr="00C64E6D">
        <w:rPr>
          <w:rFonts w:ascii="Times New Roman" w:hAnsi="Times New Roman" w:cs="Times New Roman"/>
          <w:sz w:val="24"/>
          <w:szCs w:val="24"/>
        </w:rPr>
        <w:t>)</w:t>
      </w:r>
      <w:r w:rsidR="00F72DCE" w:rsidRPr="00C64E6D">
        <w:rPr>
          <w:rFonts w:ascii="Times New Roman" w:hAnsi="Times New Roman" w:cs="Times New Roman"/>
          <w:sz w:val="24"/>
          <w:szCs w:val="24"/>
        </w:rPr>
        <w:t>-İhaleye katılmak isteyenlerin</w:t>
      </w:r>
      <w:r w:rsidR="000632F1" w:rsidRPr="00C64E6D">
        <w:rPr>
          <w:rFonts w:ascii="Times New Roman" w:hAnsi="Times New Roman" w:cs="Times New Roman"/>
          <w:sz w:val="24"/>
          <w:szCs w:val="24"/>
        </w:rPr>
        <w:t xml:space="preserve"> ihale saatine kadar ihale komisyonuna</w:t>
      </w:r>
      <w:r w:rsidRPr="00C64E6D">
        <w:rPr>
          <w:rFonts w:ascii="Times New Roman" w:hAnsi="Times New Roman" w:cs="Times New Roman"/>
          <w:sz w:val="24"/>
          <w:szCs w:val="24"/>
        </w:rPr>
        <w:t>;</w:t>
      </w:r>
    </w:p>
    <w:p w:rsidR="000632F1" w:rsidRPr="00C64E6D" w:rsidRDefault="000632F1" w:rsidP="00FF0682">
      <w:pPr>
        <w:spacing w:after="0"/>
        <w:jc w:val="both"/>
        <w:rPr>
          <w:rFonts w:ascii="Times New Roman" w:hAnsi="Times New Roman" w:cs="Times New Roman"/>
          <w:sz w:val="24"/>
          <w:szCs w:val="24"/>
        </w:rPr>
      </w:pPr>
      <w:r w:rsidRPr="00C64E6D">
        <w:rPr>
          <w:rFonts w:ascii="Times New Roman" w:hAnsi="Times New Roman" w:cs="Times New Roman"/>
          <w:sz w:val="24"/>
          <w:szCs w:val="24"/>
        </w:rPr>
        <w:t xml:space="preserve">              </w:t>
      </w:r>
      <w:r w:rsidR="00D9174B" w:rsidRPr="00C64E6D">
        <w:rPr>
          <w:rFonts w:ascii="Times New Roman" w:hAnsi="Times New Roman" w:cs="Times New Roman"/>
          <w:sz w:val="24"/>
          <w:szCs w:val="24"/>
        </w:rPr>
        <w:t xml:space="preserve"> </w:t>
      </w:r>
      <w:r w:rsidRPr="00C64E6D">
        <w:rPr>
          <w:rFonts w:ascii="Times New Roman" w:hAnsi="Times New Roman" w:cs="Times New Roman"/>
          <w:sz w:val="24"/>
          <w:szCs w:val="24"/>
        </w:rPr>
        <w:t>a)- Tebligat için Türkiye’de gösterilecek adres beyanı,</w:t>
      </w:r>
    </w:p>
    <w:p w:rsidR="000632F1" w:rsidRPr="00C64E6D" w:rsidRDefault="000632F1" w:rsidP="00FF0682">
      <w:pPr>
        <w:spacing w:after="0"/>
        <w:jc w:val="both"/>
        <w:rPr>
          <w:rFonts w:ascii="Times New Roman" w:hAnsi="Times New Roman" w:cs="Times New Roman"/>
          <w:sz w:val="24"/>
          <w:szCs w:val="24"/>
        </w:rPr>
      </w:pPr>
      <w:r w:rsidRPr="00C64E6D">
        <w:rPr>
          <w:rFonts w:ascii="Times New Roman" w:hAnsi="Times New Roman" w:cs="Times New Roman"/>
          <w:sz w:val="24"/>
          <w:szCs w:val="24"/>
        </w:rPr>
        <w:t xml:space="preserve">             </w:t>
      </w:r>
      <w:r w:rsidR="00FF0DB4" w:rsidRPr="00C64E6D">
        <w:rPr>
          <w:rFonts w:ascii="Times New Roman" w:hAnsi="Times New Roman" w:cs="Times New Roman"/>
          <w:sz w:val="24"/>
          <w:szCs w:val="24"/>
        </w:rPr>
        <w:t xml:space="preserve">  </w:t>
      </w:r>
      <w:r w:rsidRPr="00C64E6D">
        <w:rPr>
          <w:rFonts w:ascii="Times New Roman" w:hAnsi="Times New Roman" w:cs="Times New Roman"/>
          <w:sz w:val="24"/>
          <w:szCs w:val="24"/>
        </w:rPr>
        <w:t>b)- Gerçek kişilerin T.C Kimlik Numarasını, tüzel kişilerin vergi kimlik numarasını,</w:t>
      </w:r>
    </w:p>
    <w:p w:rsidR="000632F1" w:rsidRPr="00C64E6D" w:rsidRDefault="000632F1" w:rsidP="00FF0682">
      <w:pPr>
        <w:spacing w:after="0"/>
        <w:jc w:val="both"/>
        <w:rPr>
          <w:rFonts w:ascii="Times New Roman" w:hAnsi="Times New Roman" w:cs="Times New Roman"/>
          <w:sz w:val="24"/>
          <w:szCs w:val="24"/>
        </w:rPr>
      </w:pPr>
      <w:r w:rsidRPr="00C64E6D">
        <w:rPr>
          <w:rFonts w:ascii="Times New Roman" w:hAnsi="Times New Roman" w:cs="Times New Roman"/>
          <w:sz w:val="24"/>
          <w:szCs w:val="24"/>
        </w:rPr>
        <w:tab/>
      </w:r>
      <w:r w:rsidR="00FF0DB4" w:rsidRPr="00C64E6D">
        <w:rPr>
          <w:rFonts w:ascii="Times New Roman" w:hAnsi="Times New Roman" w:cs="Times New Roman"/>
          <w:sz w:val="24"/>
          <w:szCs w:val="24"/>
        </w:rPr>
        <w:t xml:space="preserve">  </w:t>
      </w:r>
      <w:r w:rsidRPr="00C64E6D">
        <w:rPr>
          <w:rFonts w:ascii="Times New Roman" w:hAnsi="Times New Roman" w:cs="Times New Roman"/>
          <w:sz w:val="24"/>
          <w:szCs w:val="24"/>
        </w:rPr>
        <w:t xml:space="preserve"> </w:t>
      </w:r>
      <w:r w:rsidR="009C3278" w:rsidRPr="00C64E6D">
        <w:rPr>
          <w:rFonts w:ascii="Times New Roman" w:hAnsi="Times New Roman" w:cs="Times New Roman"/>
          <w:sz w:val="24"/>
          <w:szCs w:val="24"/>
        </w:rPr>
        <w:t xml:space="preserve">c)- Geçici teminata ait belge veya banka geçici teminat mektubu </w:t>
      </w:r>
      <w:r w:rsidR="00FF0DB4" w:rsidRPr="00C64E6D">
        <w:rPr>
          <w:rFonts w:ascii="Times New Roman" w:hAnsi="Times New Roman" w:cs="Times New Roman"/>
          <w:sz w:val="24"/>
          <w:szCs w:val="24"/>
        </w:rPr>
        <w:t xml:space="preserve"> </w:t>
      </w:r>
      <w:r w:rsidR="009C3278" w:rsidRPr="00C64E6D">
        <w:rPr>
          <w:rFonts w:ascii="Times New Roman" w:hAnsi="Times New Roman" w:cs="Times New Roman"/>
          <w:sz w:val="24"/>
          <w:szCs w:val="24"/>
        </w:rPr>
        <w:t>(g</w:t>
      </w:r>
      <w:r w:rsidR="00504819" w:rsidRPr="00C64E6D">
        <w:rPr>
          <w:rFonts w:ascii="Times New Roman" w:hAnsi="Times New Roman" w:cs="Times New Roman"/>
          <w:sz w:val="24"/>
          <w:szCs w:val="24"/>
        </w:rPr>
        <w:t>eçici teminat bedeli, gerekli açıklama yazılmak suretiyle</w:t>
      </w:r>
      <w:r w:rsidR="00940201">
        <w:rPr>
          <w:rFonts w:ascii="Times New Roman" w:hAnsi="Times New Roman" w:cs="Times New Roman"/>
          <w:sz w:val="24"/>
          <w:szCs w:val="24"/>
        </w:rPr>
        <w:t xml:space="preserve"> Marmaris Mal Müdürlüğü veznesine nakit </w:t>
      </w:r>
      <w:proofErr w:type="gramStart"/>
      <w:r w:rsidR="002A1150">
        <w:rPr>
          <w:rFonts w:ascii="Times New Roman" w:hAnsi="Times New Roman" w:cs="Times New Roman"/>
          <w:sz w:val="24"/>
          <w:szCs w:val="24"/>
        </w:rPr>
        <w:t>yada</w:t>
      </w:r>
      <w:proofErr w:type="gramEnd"/>
      <w:r w:rsidR="00940201">
        <w:rPr>
          <w:rFonts w:ascii="Times New Roman" w:hAnsi="Times New Roman" w:cs="Times New Roman"/>
          <w:sz w:val="24"/>
          <w:szCs w:val="24"/>
        </w:rPr>
        <w:t xml:space="preserve"> </w:t>
      </w:r>
      <w:r w:rsidR="00504819" w:rsidRPr="00C64E6D">
        <w:rPr>
          <w:rFonts w:ascii="Times New Roman" w:hAnsi="Times New Roman" w:cs="Times New Roman"/>
          <w:sz w:val="24"/>
          <w:szCs w:val="24"/>
        </w:rPr>
        <w:t xml:space="preserve">TC Ziraat Bankası Marmaris </w:t>
      </w:r>
      <w:r w:rsidR="002A1150" w:rsidRPr="00C64E6D">
        <w:rPr>
          <w:rFonts w:ascii="Times New Roman" w:hAnsi="Times New Roman" w:cs="Times New Roman"/>
          <w:sz w:val="24"/>
          <w:szCs w:val="24"/>
        </w:rPr>
        <w:t>Şubesinde Marmaris</w:t>
      </w:r>
      <w:r w:rsidR="00504819" w:rsidRPr="00C64E6D">
        <w:rPr>
          <w:rFonts w:ascii="Times New Roman" w:hAnsi="Times New Roman" w:cs="Times New Roman"/>
          <w:sz w:val="24"/>
          <w:szCs w:val="24"/>
        </w:rPr>
        <w:t xml:space="preserve"> </w:t>
      </w:r>
      <w:proofErr w:type="spellStart"/>
      <w:r w:rsidR="00504819" w:rsidRPr="00C64E6D">
        <w:rPr>
          <w:rFonts w:ascii="Times New Roman" w:hAnsi="Times New Roman" w:cs="Times New Roman"/>
          <w:sz w:val="24"/>
          <w:szCs w:val="24"/>
        </w:rPr>
        <w:t>Malmüdürlüğüne</w:t>
      </w:r>
      <w:proofErr w:type="spellEnd"/>
      <w:r w:rsidR="00504819" w:rsidRPr="00C64E6D">
        <w:rPr>
          <w:rFonts w:ascii="Times New Roman" w:hAnsi="Times New Roman" w:cs="Times New Roman"/>
          <w:sz w:val="24"/>
          <w:szCs w:val="24"/>
        </w:rPr>
        <w:t xml:space="preserve"> </w:t>
      </w:r>
      <w:r w:rsidR="002A1150" w:rsidRPr="00C64E6D">
        <w:rPr>
          <w:rFonts w:ascii="Times New Roman" w:hAnsi="Times New Roman" w:cs="Times New Roman"/>
          <w:sz w:val="24"/>
          <w:szCs w:val="24"/>
        </w:rPr>
        <w:t>ait TR</w:t>
      </w:r>
      <w:r w:rsidR="00504819" w:rsidRPr="00C64E6D">
        <w:rPr>
          <w:rFonts w:ascii="Times New Roman" w:hAnsi="Times New Roman" w:cs="Times New Roman"/>
          <w:sz w:val="24"/>
          <w:szCs w:val="24"/>
        </w:rPr>
        <w:t xml:space="preserve"> 49 000 1000 204 000 010 00 </w:t>
      </w:r>
      <w:r w:rsidR="002A1150" w:rsidRPr="00C64E6D">
        <w:rPr>
          <w:rFonts w:ascii="Times New Roman" w:hAnsi="Times New Roman" w:cs="Times New Roman"/>
          <w:sz w:val="24"/>
          <w:szCs w:val="24"/>
        </w:rPr>
        <w:t xml:space="preserve">5701 </w:t>
      </w:r>
      <w:proofErr w:type="spellStart"/>
      <w:r w:rsidR="002A1150" w:rsidRPr="00C64E6D">
        <w:rPr>
          <w:rFonts w:ascii="Times New Roman" w:hAnsi="Times New Roman" w:cs="Times New Roman"/>
          <w:sz w:val="24"/>
          <w:szCs w:val="24"/>
        </w:rPr>
        <w:t>İban</w:t>
      </w:r>
      <w:proofErr w:type="spellEnd"/>
      <w:r w:rsidR="00504819" w:rsidRPr="00C64E6D">
        <w:rPr>
          <w:rFonts w:ascii="Times New Roman" w:hAnsi="Times New Roman" w:cs="Times New Roman"/>
          <w:sz w:val="24"/>
          <w:szCs w:val="24"/>
        </w:rPr>
        <w:t xml:space="preserve"> no.lu </w:t>
      </w:r>
      <w:r w:rsidR="002A1150" w:rsidRPr="00C64E6D">
        <w:rPr>
          <w:rFonts w:ascii="Times New Roman" w:hAnsi="Times New Roman" w:cs="Times New Roman"/>
          <w:sz w:val="24"/>
          <w:szCs w:val="24"/>
        </w:rPr>
        <w:t>hesaba yatırılacaktır</w:t>
      </w:r>
      <w:r w:rsidR="002C6E9B" w:rsidRPr="00C64E6D">
        <w:rPr>
          <w:rFonts w:ascii="Times New Roman" w:hAnsi="Times New Roman" w:cs="Times New Roman"/>
          <w:sz w:val="24"/>
          <w:szCs w:val="24"/>
        </w:rPr>
        <w:t>, banka geçici teminat mektubu doğrudan Komisyona sunulacak olup süresiz ve limit içi özellikte olacaktır</w:t>
      </w:r>
      <w:r w:rsidR="00504819" w:rsidRPr="00C64E6D">
        <w:rPr>
          <w:rFonts w:ascii="Times New Roman" w:hAnsi="Times New Roman" w:cs="Times New Roman"/>
          <w:sz w:val="24"/>
          <w:szCs w:val="24"/>
        </w:rPr>
        <w:t xml:space="preserve">) </w:t>
      </w:r>
    </w:p>
    <w:p w:rsidR="0087784B" w:rsidRPr="00C64E6D" w:rsidRDefault="0087784B" w:rsidP="00FF0682">
      <w:pPr>
        <w:spacing w:after="0"/>
        <w:jc w:val="both"/>
        <w:rPr>
          <w:rFonts w:ascii="Times New Roman" w:hAnsi="Times New Roman" w:cs="Times New Roman"/>
          <w:sz w:val="24"/>
          <w:szCs w:val="24"/>
        </w:rPr>
      </w:pPr>
      <w:r w:rsidRPr="00C64E6D">
        <w:rPr>
          <w:rFonts w:ascii="Times New Roman" w:hAnsi="Times New Roman" w:cs="Times New Roman"/>
          <w:sz w:val="24"/>
          <w:szCs w:val="24"/>
        </w:rPr>
        <w:t xml:space="preserve">           </w:t>
      </w:r>
      <w:r w:rsidR="00FF0DB4" w:rsidRPr="00C64E6D">
        <w:rPr>
          <w:rFonts w:ascii="Times New Roman" w:hAnsi="Times New Roman" w:cs="Times New Roman"/>
          <w:sz w:val="24"/>
          <w:szCs w:val="24"/>
        </w:rPr>
        <w:t xml:space="preserve">    </w:t>
      </w:r>
      <w:proofErr w:type="gramStart"/>
      <w:r w:rsidRPr="00C64E6D">
        <w:rPr>
          <w:rFonts w:ascii="Times New Roman" w:hAnsi="Times New Roman" w:cs="Times New Roman"/>
          <w:sz w:val="24"/>
          <w:szCs w:val="24"/>
        </w:rPr>
        <w:t>d)-</w:t>
      </w:r>
      <w:r w:rsidR="00E524C1" w:rsidRPr="00C64E6D">
        <w:rPr>
          <w:rFonts w:ascii="Times New Roman" w:hAnsi="Times New Roman" w:cs="Times New Roman"/>
          <w:sz w:val="24"/>
          <w:szCs w:val="24"/>
        </w:rPr>
        <w:t xml:space="preserve"> </w:t>
      </w:r>
      <w:r w:rsidRPr="00C64E6D">
        <w:rPr>
          <w:rFonts w:ascii="Times New Roman" w:hAnsi="Times New Roman" w:cs="Times New Roman"/>
          <w:sz w:val="24"/>
          <w:szCs w:val="24"/>
        </w:rPr>
        <w:t xml:space="preserve"> Özel hukuk tüzel kişilerinin yukarıda belirtilen şartlardan ayrı olarak,  i</w:t>
      </w:r>
      <w:r w:rsidR="00E524C1" w:rsidRPr="00C64E6D">
        <w:rPr>
          <w:rFonts w:ascii="Times New Roman" w:hAnsi="Times New Roman" w:cs="Times New Roman"/>
          <w:sz w:val="24"/>
          <w:szCs w:val="24"/>
        </w:rPr>
        <w:t>dare merkezlerinin bulunduğu yer mahkemesinden v</w:t>
      </w:r>
      <w:r w:rsidR="00F72DCE" w:rsidRPr="00C64E6D">
        <w:rPr>
          <w:rFonts w:ascii="Times New Roman" w:hAnsi="Times New Roman" w:cs="Times New Roman"/>
          <w:sz w:val="24"/>
          <w:szCs w:val="24"/>
        </w:rPr>
        <w:t>eya siciline kayıtlı bulunduğu T</w:t>
      </w:r>
      <w:r w:rsidR="00E524C1" w:rsidRPr="00C64E6D">
        <w:rPr>
          <w:rFonts w:ascii="Times New Roman" w:hAnsi="Times New Roman" w:cs="Times New Roman"/>
          <w:sz w:val="24"/>
          <w:szCs w:val="24"/>
        </w:rPr>
        <w:t>icaret veya Sanayi Odasından yahut be</w:t>
      </w:r>
      <w:r w:rsidR="002A1150">
        <w:rPr>
          <w:rFonts w:ascii="Times New Roman" w:hAnsi="Times New Roman" w:cs="Times New Roman"/>
          <w:sz w:val="24"/>
          <w:szCs w:val="24"/>
        </w:rPr>
        <w:t>nzeri mesleki kuruluşlardan</w:t>
      </w:r>
      <w:r w:rsidR="002A1150" w:rsidRPr="002A1150">
        <w:rPr>
          <w:rFonts w:ascii="Times New Roman" w:hAnsi="Times New Roman" w:cs="Times New Roman"/>
          <w:color w:val="FF0000"/>
          <w:sz w:val="24"/>
          <w:szCs w:val="24"/>
        </w:rPr>
        <w:t xml:space="preserve"> 2024</w:t>
      </w:r>
      <w:r w:rsidR="00E524C1" w:rsidRPr="002A1150">
        <w:rPr>
          <w:rFonts w:ascii="Times New Roman" w:hAnsi="Times New Roman" w:cs="Times New Roman"/>
          <w:color w:val="FF0000"/>
          <w:sz w:val="24"/>
          <w:szCs w:val="24"/>
        </w:rPr>
        <w:t xml:space="preserve"> </w:t>
      </w:r>
      <w:r w:rsidR="00E524C1" w:rsidRPr="00C64E6D">
        <w:rPr>
          <w:rFonts w:ascii="Times New Roman" w:hAnsi="Times New Roman" w:cs="Times New Roman"/>
          <w:sz w:val="24"/>
          <w:szCs w:val="24"/>
        </w:rPr>
        <w:t>yılı içi</w:t>
      </w:r>
      <w:r w:rsidRPr="00C64E6D">
        <w:rPr>
          <w:rFonts w:ascii="Times New Roman" w:hAnsi="Times New Roman" w:cs="Times New Roman"/>
          <w:sz w:val="24"/>
          <w:szCs w:val="24"/>
        </w:rPr>
        <w:t>nde alınmış sicil kayıt belgesi ile</w:t>
      </w:r>
      <w:r w:rsidR="00E524C1" w:rsidRPr="00C64E6D">
        <w:rPr>
          <w:rFonts w:ascii="Times New Roman" w:hAnsi="Times New Roman" w:cs="Times New Roman"/>
          <w:sz w:val="24"/>
          <w:szCs w:val="24"/>
        </w:rPr>
        <w:t xml:space="preserve"> tüzel kişilik adına ihaleye katılacak</w:t>
      </w:r>
      <w:r w:rsidRPr="00C64E6D">
        <w:rPr>
          <w:rFonts w:ascii="Times New Roman" w:hAnsi="Times New Roman" w:cs="Times New Roman"/>
          <w:sz w:val="24"/>
          <w:szCs w:val="24"/>
        </w:rPr>
        <w:t xml:space="preserve"> veya teklifte bulunacak kişilerin tüzel kişiliği</w:t>
      </w:r>
      <w:r w:rsidR="00E524C1" w:rsidRPr="00C64E6D">
        <w:rPr>
          <w:rFonts w:ascii="Times New Roman" w:hAnsi="Times New Roman" w:cs="Times New Roman"/>
          <w:sz w:val="24"/>
          <w:szCs w:val="24"/>
        </w:rPr>
        <w:t xml:space="preserve"> temsile tam yetkili olduklarını gösterir noterlikçe tasdik edilmiş imza sirküleri</w:t>
      </w:r>
      <w:r w:rsidRPr="00C64E6D">
        <w:rPr>
          <w:rFonts w:ascii="Times New Roman" w:hAnsi="Times New Roman" w:cs="Times New Roman"/>
          <w:sz w:val="24"/>
          <w:szCs w:val="24"/>
        </w:rPr>
        <w:t>ni</w:t>
      </w:r>
      <w:r w:rsidR="00E524C1" w:rsidRPr="00C64E6D">
        <w:rPr>
          <w:rFonts w:ascii="Times New Roman" w:hAnsi="Times New Roman" w:cs="Times New Roman"/>
          <w:sz w:val="24"/>
          <w:szCs w:val="24"/>
        </w:rPr>
        <w:t xml:space="preserve"> ve</w:t>
      </w:r>
      <w:r w:rsidRPr="00C64E6D">
        <w:rPr>
          <w:rFonts w:ascii="Times New Roman" w:hAnsi="Times New Roman" w:cs="Times New Roman"/>
          <w:sz w:val="24"/>
          <w:szCs w:val="24"/>
        </w:rPr>
        <w:t xml:space="preserve">ya </w:t>
      </w:r>
      <w:r w:rsidR="002A1150" w:rsidRPr="00C64E6D">
        <w:rPr>
          <w:rFonts w:ascii="Times New Roman" w:hAnsi="Times New Roman" w:cs="Times New Roman"/>
          <w:sz w:val="24"/>
          <w:szCs w:val="24"/>
        </w:rPr>
        <w:t>vekâletnameyi</w:t>
      </w:r>
      <w:r w:rsidRPr="00C64E6D">
        <w:rPr>
          <w:rFonts w:ascii="Times New Roman" w:hAnsi="Times New Roman" w:cs="Times New Roman"/>
          <w:sz w:val="24"/>
          <w:szCs w:val="24"/>
        </w:rPr>
        <w:t xml:space="preserve"> vermeleri, </w:t>
      </w:r>
      <w:r w:rsidR="00E524C1" w:rsidRPr="00C64E6D">
        <w:rPr>
          <w:rFonts w:ascii="Times New Roman" w:hAnsi="Times New Roman" w:cs="Times New Roman"/>
          <w:sz w:val="24"/>
          <w:szCs w:val="24"/>
        </w:rPr>
        <w:t xml:space="preserve"> </w:t>
      </w:r>
      <w:r w:rsidRPr="00C64E6D">
        <w:rPr>
          <w:rFonts w:ascii="Times New Roman" w:hAnsi="Times New Roman" w:cs="Times New Roman"/>
          <w:sz w:val="24"/>
          <w:szCs w:val="24"/>
        </w:rPr>
        <w:t>kamu tüzel kişilerinin ise geçici teminata ilişkin belge ile tüzel kişilik adına ihaleye katılacak veya teklifte bulunacak kişilerin tüzel kişiliği temsile yetkili olduğunu belirtir belgeyi ve tatbiki imza örneklerinin,</w:t>
      </w:r>
      <w:proofErr w:type="gramEnd"/>
    </w:p>
    <w:p w:rsidR="00F1048C" w:rsidRDefault="0087784B" w:rsidP="00F1048C">
      <w:pPr>
        <w:spacing w:after="0"/>
        <w:jc w:val="both"/>
        <w:rPr>
          <w:rFonts w:ascii="Times New Roman" w:hAnsi="Times New Roman" w:cs="Times New Roman"/>
          <w:sz w:val="24"/>
          <w:szCs w:val="24"/>
        </w:rPr>
      </w:pPr>
      <w:r w:rsidRPr="00C64E6D">
        <w:rPr>
          <w:rFonts w:ascii="Times New Roman" w:hAnsi="Times New Roman" w:cs="Times New Roman"/>
          <w:sz w:val="24"/>
          <w:szCs w:val="24"/>
        </w:rPr>
        <w:t xml:space="preserve">          </w:t>
      </w:r>
      <w:r w:rsidR="00FF0DB4" w:rsidRPr="00C64E6D">
        <w:rPr>
          <w:rFonts w:ascii="Times New Roman" w:hAnsi="Times New Roman" w:cs="Times New Roman"/>
          <w:sz w:val="24"/>
          <w:szCs w:val="24"/>
        </w:rPr>
        <w:t xml:space="preserve"> </w:t>
      </w:r>
      <w:r w:rsidR="00C64E6D">
        <w:rPr>
          <w:rFonts w:ascii="Times New Roman" w:hAnsi="Times New Roman" w:cs="Times New Roman"/>
          <w:sz w:val="24"/>
          <w:szCs w:val="24"/>
        </w:rPr>
        <w:t xml:space="preserve">  </w:t>
      </w:r>
      <w:r w:rsidRPr="00C64E6D">
        <w:rPr>
          <w:rFonts w:ascii="Times New Roman" w:hAnsi="Times New Roman" w:cs="Times New Roman"/>
          <w:sz w:val="24"/>
          <w:szCs w:val="24"/>
        </w:rPr>
        <w:t xml:space="preserve"> e)- Gerçek kişiler adına </w:t>
      </w:r>
      <w:proofErr w:type="gramStart"/>
      <w:r w:rsidRPr="00C64E6D">
        <w:rPr>
          <w:rFonts w:ascii="Times New Roman" w:hAnsi="Times New Roman" w:cs="Times New Roman"/>
          <w:sz w:val="24"/>
          <w:szCs w:val="24"/>
        </w:rPr>
        <w:t>vekaleten</w:t>
      </w:r>
      <w:proofErr w:type="gramEnd"/>
      <w:r w:rsidRPr="00C64E6D">
        <w:rPr>
          <w:rFonts w:ascii="Times New Roman" w:hAnsi="Times New Roman" w:cs="Times New Roman"/>
          <w:sz w:val="24"/>
          <w:szCs w:val="24"/>
        </w:rPr>
        <w:t xml:space="preserve"> katılacakların noter tasdikli vekaletnameyi,</w:t>
      </w:r>
    </w:p>
    <w:p w:rsidR="00B27419" w:rsidRDefault="00F74AD1" w:rsidP="00F1048C">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3</w:t>
      </w:r>
      <w:r w:rsidR="00B27419">
        <w:rPr>
          <w:rFonts w:ascii="Times New Roman" w:hAnsi="Times New Roman" w:cs="Times New Roman"/>
          <w:sz w:val="24"/>
          <w:szCs w:val="24"/>
        </w:rPr>
        <w:t>)</w:t>
      </w:r>
      <w:r w:rsidR="00B27419" w:rsidRPr="00D454B7">
        <w:rPr>
          <w:rFonts w:ascii="Times New Roman" w:hAnsi="Times New Roman" w:cs="Times New Roman"/>
          <w:sz w:val="24"/>
          <w:szCs w:val="24"/>
        </w:rPr>
        <w:t>-4706 sayılı Kanun gereğince, Hazine tarafından yapılan taşınmaz mal satış işlemleri ve bu işlemler sırasında düzenlenen belgeler vergi, resim ve harçlardan (KDV, karar pu</w:t>
      </w:r>
      <w:r w:rsidR="00B27419">
        <w:rPr>
          <w:rFonts w:ascii="Times New Roman" w:hAnsi="Times New Roman" w:cs="Times New Roman"/>
          <w:sz w:val="24"/>
          <w:szCs w:val="24"/>
        </w:rPr>
        <w:t>lu bedeli ve tapu harcı) müstesnadır,  ayrıca, 5 (beş) yıl süreyle emlak vergisinden muaftır.</w:t>
      </w:r>
    </w:p>
    <w:p w:rsidR="003A4263" w:rsidRPr="00D454B7" w:rsidRDefault="003A4263" w:rsidP="00B2741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4)-İhale sonucu oluşan satış bedeli </w:t>
      </w:r>
      <w:r w:rsidR="002A1150">
        <w:rPr>
          <w:rFonts w:ascii="Times New Roman" w:hAnsi="Times New Roman" w:cs="Times New Roman"/>
          <w:sz w:val="24"/>
          <w:szCs w:val="24"/>
        </w:rPr>
        <w:t>üzerinden, 5</w:t>
      </w:r>
      <w:r>
        <w:rPr>
          <w:rFonts w:ascii="Times New Roman" w:hAnsi="Times New Roman" w:cs="Times New Roman"/>
          <w:sz w:val="24"/>
          <w:szCs w:val="24"/>
        </w:rPr>
        <w:t xml:space="preserve"> Milyon TL’ye kadar olan kısmı için %1 (yüzde </w:t>
      </w:r>
      <w:r w:rsidR="00A44DE8">
        <w:rPr>
          <w:rFonts w:ascii="Times New Roman" w:hAnsi="Times New Roman" w:cs="Times New Roman"/>
          <w:sz w:val="24"/>
          <w:szCs w:val="24"/>
        </w:rPr>
        <w:t>b</w:t>
      </w:r>
      <w:r>
        <w:rPr>
          <w:rFonts w:ascii="Times New Roman" w:hAnsi="Times New Roman" w:cs="Times New Roman"/>
          <w:sz w:val="24"/>
          <w:szCs w:val="24"/>
        </w:rPr>
        <w:t xml:space="preserve">ir),5 Milyon TL’den 10 Milyon </w:t>
      </w:r>
      <w:proofErr w:type="spellStart"/>
      <w:r>
        <w:rPr>
          <w:rFonts w:ascii="Times New Roman" w:hAnsi="Times New Roman" w:cs="Times New Roman"/>
          <w:sz w:val="24"/>
          <w:szCs w:val="24"/>
        </w:rPr>
        <w:t>Tl’ye</w:t>
      </w:r>
      <w:proofErr w:type="spellEnd"/>
      <w:r>
        <w:rPr>
          <w:rFonts w:ascii="Times New Roman" w:hAnsi="Times New Roman" w:cs="Times New Roman"/>
          <w:sz w:val="24"/>
          <w:szCs w:val="24"/>
        </w:rPr>
        <w:t xml:space="preserve"> kadar olan kısmı için % 0.5 (binde beş),10 Milyon TL’yi aşan kısmı için % 0.25 (on binde yirmi beş) “işlem bedeli” Bakanlığımız döner sermaye hesabına ayrıca peşin olarak tahsil edilecektir.</w:t>
      </w:r>
    </w:p>
    <w:p w:rsidR="007826DC" w:rsidRPr="00C64E6D" w:rsidRDefault="00037F10" w:rsidP="00FF068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5</w:t>
      </w:r>
      <w:r w:rsidR="00B27419">
        <w:rPr>
          <w:rFonts w:ascii="Times New Roman" w:hAnsi="Times New Roman" w:cs="Times New Roman"/>
          <w:sz w:val="24"/>
          <w:szCs w:val="24"/>
        </w:rPr>
        <w:t>)</w:t>
      </w:r>
      <w:r w:rsidR="00B27419" w:rsidRPr="00D454B7">
        <w:rPr>
          <w:rFonts w:ascii="Times New Roman" w:hAnsi="Times New Roman" w:cs="Times New Roman"/>
          <w:sz w:val="24"/>
          <w:szCs w:val="24"/>
        </w:rPr>
        <w:t>- 4706 Sayılı Kanun gereğince taşınmaz mal</w:t>
      </w:r>
      <w:r w:rsidR="00B27419">
        <w:rPr>
          <w:rFonts w:ascii="Times New Roman" w:hAnsi="Times New Roman" w:cs="Times New Roman"/>
          <w:sz w:val="24"/>
          <w:szCs w:val="24"/>
        </w:rPr>
        <w:t xml:space="preserve"> satış </w:t>
      </w:r>
      <w:r w:rsidR="00B27419" w:rsidRPr="00D454B7">
        <w:rPr>
          <w:rFonts w:ascii="Times New Roman" w:hAnsi="Times New Roman" w:cs="Times New Roman"/>
          <w:sz w:val="24"/>
          <w:szCs w:val="24"/>
        </w:rPr>
        <w:t>bedeli, peşin ödenebileceği gibi talep edilmesi halinde sözleşme yapılarak taksitle de ödenebilecektir</w:t>
      </w:r>
      <w:r w:rsidR="00B27419" w:rsidRPr="003A4263">
        <w:rPr>
          <w:rFonts w:ascii="Times New Roman" w:hAnsi="Times New Roman" w:cs="Times New Roman"/>
          <w:b/>
          <w:sz w:val="24"/>
          <w:szCs w:val="24"/>
        </w:rPr>
        <w:t xml:space="preserve">. </w:t>
      </w:r>
      <w:r w:rsidR="003A4263" w:rsidRPr="003A4263">
        <w:rPr>
          <w:rFonts w:ascii="Times New Roman" w:hAnsi="Times New Roman" w:cs="Times New Roman"/>
          <w:b/>
          <w:sz w:val="24"/>
          <w:szCs w:val="24"/>
        </w:rPr>
        <w:t>Satış bedelinin peşin olarak ödenmesi halinde satış bedeline % 20 (</w:t>
      </w:r>
      <w:proofErr w:type="spellStart"/>
      <w:r w:rsidR="003A4263" w:rsidRPr="003A4263">
        <w:rPr>
          <w:rFonts w:ascii="Times New Roman" w:hAnsi="Times New Roman" w:cs="Times New Roman"/>
          <w:b/>
          <w:sz w:val="24"/>
          <w:szCs w:val="24"/>
        </w:rPr>
        <w:t>yüzdeyirmi</w:t>
      </w:r>
      <w:proofErr w:type="spellEnd"/>
      <w:r w:rsidR="003A4263" w:rsidRPr="003A4263">
        <w:rPr>
          <w:rFonts w:ascii="Times New Roman" w:hAnsi="Times New Roman" w:cs="Times New Roman"/>
          <w:b/>
          <w:sz w:val="24"/>
          <w:szCs w:val="24"/>
        </w:rPr>
        <w:t xml:space="preserve">) indirim </w:t>
      </w:r>
      <w:proofErr w:type="spellStart"/>
      <w:r w:rsidR="003A4263" w:rsidRPr="003A4263">
        <w:rPr>
          <w:rFonts w:ascii="Times New Roman" w:hAnsi="Times New Roman" w:cs="Times New Roman"/>
          <w:b/>
          <w:sz w:val="24"/>
          <w:szCs w:val="24"/>
        </w:rPr>
        <w:t>uygulanır</w:t>
      </w:r>
      <w:r w:rsidR="003A4263">
        <w:rPr>
          <w:rFonts w:ascii="Times New Roman" w:hAnsi="Times New Roman" w:cs="Times New Roman"/>
          <w:sz w:val="24"/>
          <w:szCs w:val="24"/>
        </w:rPr>
        <w:t>.</w:t>
      </w:r>
      <w:r w:rsidR="00B27419" w:rsidRPr="00D454B7">
        <w:rPr>
          <w:rFonts w:ascii="Times New Roman" w:hAnsi="Times New Roman" w:cs="Times New Roman"/>
          <w:sz w:val="24"/>
          <w:szCs w:val="24"/>
        </w:rPr>
        <w:t>Taksitlendirme</w:t>
      </w:r>
      <w:proofErr w:type="spellEnd"/>
      <w:r w:rsidR="00B27419" w:rsidRPr="00D454B7">
        <w:rPr>
          <w:rFonts w:ascii="Times New Roman" w:hAnsi="Times New Roman" w:cs="Times New Roman"/>
          <w:sz w:val="24"/>
          <w:szCs w:val="24"/>
        </w:rPr>
        <w:t xml:space="preserve"> halinde, satış bedelinin ¼’ ü peşin, kalanı en fazla 2 yılda eşit taksitlerle kanuni faizi ile birlikte ödenir. Taksitle ödeme halinde borcun tamamı ödenmeden tapuda ferağı verilmeyecektir. Ferağın verilebilmesi için taksite bağlanan borç ile kanuni faizlerini karşılayacak tutarda kesin ve süresiz banka teminat mektubu alınır veya </w:t>
      </w:r>
      <w:proofErr w:type="spellStart"/>
      <w:r w:rsidR="00B27419" w:rsidRPr="00D454B7">
        <w:rPr>
          <w:rFonts w:ascii="Times New Roman" w:hAnsi="Times New Roman" w:cs="Times New Roman"/>
          <w:sz w:val="24"/>
          <w:szCs w:val="24"/>
        </w:rPr>
        <w:t>TMK’nun</w:t>
      </w:r>
      <w:proofErr w:type="spellEnd"/>
      <w:r w:rsidR="00B27419" w:rsidRPr="00D454B7">
        <w:rPr>
          <w:rFonts w:ascii="Times New Roman" w:hAnsi="Times New Roman" w:cs="Times New Roman"/>
          <w:sz w:val="24"/>
          <w:szCs w:val="24"/>
        </w:rPr>
        <w:t xml:space="preserve"> 893.maddesi uyarınca satışı yapılan taşınmaz üzerine kanuni ipotek tesis edilir.</w:t>
      </w:r>
      <w:r w:rsidR="007826DC" w:rsidRPr="00C64E6D">
        <w:rPr>
          <w:rFonts w:ascii="Times New Roman" w:hAnsi="Times New Roman" w:cs="Times New Roman"/>
          <w:sz w:val="24"/>
          <w:szCs w:val="24"/>
        </w:rPr>
        <w:t xml:space="preserve">     </w:t>
      </w:r>
      <w:r w:rsidR="00C64E6D">
        <w:rPr>
          <w:rFonts w:ascii="Times New Roman" w:hAnsi="Times New Roman" w:cs="Times New Roman"/>
          <w:sz w:val="24"/>
          <w:szCs w:val="24"/>
        </w:rPr>
        <w:tab/>
      </w:r>
    </w:p>
    <w:p w:rsidR="00AE619D" w:rsidRPr="00C64E6D" w:rsidRDefault="001C6999" w:rsidP="00FF0682">
      <w:pPr>
        <w:spacing w:after="0"/>
        <w:jc w:val="both"/>
        <w:rPr>
          <w:rFonts w:ascii="Times New Roman" w:hAnsi="Times New Roman" w:cs="Times New Roman"/>
          <w:sz w:val="24"/>
          <w:szCs w:val="24"/>
        </w:rPr>
      </w:pPr>
      <w:r w:rsidRPr="00C64E6D">
        <w:rPr>
          <w:rFonts w:ascii="Times New Roman" w:hAnsi="Times New Roman" w:cs="Times New Roman"/>
          <w:sz w:val="24"/>
          <w:szCs w:val="24"/>
        </w:rPr>
        <w:t xml:space="preserve">     </w:t>
      </w:r>
      <w:r w:rsidR="00C64E6D">
        <w:rPr>
          <w:rFonts w:ascii="Times New Roman" w:hAnsi="Times New Roman" w:cs="Times New Roman"/>
          <w:sz w:val="24"/>
          <w:szCs w:val="24"/>
        </w:rPr>
        <w:tab/>
      </w:r>
      <w:r w:rsidR="003A4263">
        <w:rPr>
          <w:rFonts w:ascii="Times New Roman" w:hAnsi="Times New Roman" w:cs="Times New Roman"/>
          <w:sz w:val="24"/>
          <w:szCs w:val="24"/>
        </w:rPr>
        <w:t>6</w:t>
      </w:r>
      <w:r w:rsidRPr="00C64E6D">
        <w:rPr>
          <w:rFonts w:ascii="Times New Roman" w:hAnsi="Times New Roman" w:cs="Times New Roman"/>
          <w:sz w:val="24"/>
          <w:szCs w:val="24"/>
        </w:rPr>
        <w:t>)</w:t>
      </w:r>
      <w:r w:rsidR="00F75C43" w:rsidRPr="00C64E6D">
        <w:rPr>
          <w:rFonts w:ascii="Times New Roman" w:hAnsi="Times New Roman" w:cs="Times New Roman"/>
          <w:sz w:val="24"/>
          <w:szCs w:val="24"/>
        </w:rPr>
        <w:t xml:space="preserve">-Posta ile müracaatlarda </w:t>
      </w:r>
      <w:r w:rsidR="002A1150" w:rsidRPr="00C64E6D">
        <w:rPr>
          <w:rFonts w:ascii="Times New Roman" w:hAnsi="Times New Roman" w:cs="Times New Roman"/>
          <w:sz w:val="24"/>
          <w:szCs w:val="24"/>
        </w:rPr>
        <w:t>teklifin 2886</w:t>
      </w:r>
      <w:r w:rsidRPr="00C64E6D">
        <w:rPr>
          <w:rFonts w:ascii="Times New Roman" w:hAnsi="Times New Roman" w:cs="Times New Roman"/>
          <w:sz w:val="24"/>
          <w:szCs w:val="24"/>
        </w:rPr>
        <w:t xml:space="preserve"> Sayılı Kanunun 37.maddesine uygun olarak hazırlanması ve  </w:t>
      </w:r>
      <w:r w:rsidR="00F75C43" w:rsidRPr="00C64E6D">
        <w:rPr>
          <w:rFonts w:ascii="Times New Roman" w:hAnsi="Times New Roman" w:cs="Times New Roman"/>
          <w:sz w:val="24"/>
          <w:szCs w:val="24"/>
        </w:rPr>
        <w:t>ihale saatine kadar komisyon</w:t>
      </w:r>
      <w:r w:rsidR="00E32153" w:rsidRPr="00C64E6D">
        <w:rPr>
          <w:rFonts w:ascii="Times New Roman" w:hAnsi="Times New Roman" w:cs="Times New Roman"/>
          <w:sz w:val="24"/>
          <w:szCs w:val="24"/>
        </w:rPr>
        <w:t>a</w:t>
      </w:r>
      <w:r w:rsidR="00F75C43" w:rsidRPr="00C64E6D">
        <w:rPr>
          <w:rFonts w:ascii="Times New Roman" w:hAnsi="Times New Roman" w:cs="Times New Roman"/>
          <w:sz w:val="24"/>
          <w:szCs w:val="24"/>
        </w:rPr>
        <w:t xml:space="preserve"> ulaşması şarttır. </w:t>
      </w:r>
    </w:p>
    <w:p w:rsidR="00F75C43" w:rsidRPr="00C64E6D" w:rsidRDefault="00AE619D" w:rsidP="00FF0682">
      <w:pPr>
        <w:spacing w:after="0"/>
        <w:jc w:val="both"/>
        <w:rPr>
          <w:rFonts w:ascii="Times New Roman" w:hAnsi="Times New Roman" w:cs="Times New Roman"/>
          <w:sz w:val="24"/>
          <w:szCs w:val="24"/>
        </w:rPr>
      </w:pPr>
      <w:r w:rsidRPr="00C64E6D">
        <w:rPr>
          <w:rFonts w:ascii="Times New Roman" w:hAnsi="Times New Roman" w:cs="Times New Roman"/>
          <w:sz w:val="24"/>
          <w:szCs w:val="24"/>
        </w:rPr>
        <w:t xml:space="preserve">           </w:t>
      </w:r>
      <w:r w:rsidR="00DD7A88">
        <w:rPr>
          <w:rFonts w:ascii="Times New Roman" w:hAnsi="Times New Roman" w:cs="Times New Roman"/>
          <w:sz w:val="24"/>
          <w:szCs w:val="24"/>
        </w:rPr>
        <w:t xml:space="preserve"> 7)-</w:t>
      </w:r>
      <w:r w:rsidR="000B41E1">
        <w:rPr>
          <w:rFonts w:ascii="Times New Roman" w:hAnsi="Times New Roman" w:cs="Times New Roman"/>
          <w:sz w:val="24"/>
          <w:szCs w:val="24"/>
        </w:rPr>
        <w:t xml:space="preserve"> </w:t>
      </w:r>
      <w:r w:rsidR="00F75C43" w:rsidRPr="00C64E6D">
        <w:rPr>
          <w:rFonts w:ascii="Times New Roman" w:hAnsi="Times New Roman" w:cs="Times New Roman"/>
          <w:sz w:val="24"/>
          <w:szCs w:val="24"/>
        </w:rPr>
        <w:t xml:space="preserve">Postada meydana gelebilecek gecikmelerden </w:t>
      </w:r>
      <w:r w:rsidR="001C6999" w:rsidRPr="00C64E6D">
        <w:rPr>
          <w:rFonts w:ascii="Times New Roman" w:hAnsi="Times New Roman" w:cs="Times New Roman"/>
          <w:sz w:val="24"/>
          <w:szCs w:val="24"/>
        </w:rPr>
        <w:t xml:space="preserve">İdare ve </w:t>
      </w:r>
      <w:r w:rsidR="00F75C43" w:rsidRPr="00C64E6D">
        <w:rPr>
          <w:rFonts w:ascii="Times New Roman" w:hAnsi="Times New Roman" w:cs="Times New Roman"/>
          <w:sz w:val="24"/>
          <w:szCs w:val="24"/>
        </w:rPr>
        <w:t>Komisyon sorumlu değildir.</w:t>
      </w:r>
    </w:p>
    <w:p w:rsidR="00F75C43" w:rsidRPr="00C64E6D" w:rsidRDefault="001C6999" w:rsidP="00FF0682">
      <w:pPr>
        <w:spacing w:after="0"/>
        <w:jc w:val="both"/>
        <w:rPr>
          <w:rFonts w:ascii="Times New Roman" w:hAnsi="Times New Roman" w:cs="Times New Roman"/>
          <w:sz w:val="24"/>
          <w:szCs w:val="24"/>
        </w:rPr>
      </w:pPr>
      <w:r w:rsidRPr="00C64E6D">
        <w:rPr>
          <w:rFonts w:ascii="Times New Roman" w:hAnsi="Times New Roman" w:cs="Times New Roman"/>
          <w:sz w:val="24"/>
          <w:szCs w:val="24"/>
        </w:rPr>
        <w:t xml:space="preserve">     </w:t>
      </w:r>
      <w:r w:rsidR="00C64E6D">
        <w:rPr>
          <w:rFonts w:ascii="Times New Roman" w:hAnsi="Times New Roman" w:cs="Times New Roman"/>
          <w:sz w:val="24"/>
          <w:szCs w:val="24"/>
        </w:rPr>
        <w:tab/>
      </w:r>
      <w:r w:rsidR="00037F10">
        <w:rPr>
          <w:rFonts w:ascii="Times New Roman" w:hAnsi="Times New Roman" w:cs="Times New Roman"/>
          <w:sz w:val="24"/>
          <w:szCs w:val="24"/>
        </w:rPr>
        <w:t>8</w:t>
      </w:r>
      <w:r w:rsidRPr="00C64E6D">
        <w:rPr>
          <w:rFonts w:ascii="Times New Roman" w:hAnsi="Times New Roman" w:cs="Times New Roman"/>
          <w:sz w:val="24"/>
          <w:szCs w:val="24"/>
        </w:rPr>
        <w:t>)</w:t>
      </w:r>
      <w:r w:rsidR="00A92D77" w:rsidRPr="00C64E6D">
        <w:rPr>
          <w:rFonts w:ascii="Times New Roman" w:hAnsi="Times New Roman" w:cs="Times New Roman"/>
          <w:sz w:val="24"/>
          <w:szCs w:val="24"/>
        </w:rPr>
        <w:t>-İhaleye ilişkin şartname</w:t>
      </w:r>
      <w:r w:rsidR="00F75C43" w:rsidRPr="00C64E6D">
        <w:rPr>
          <w:rFonts w:ascii="Times New Roman" w:hAnsi="Times New Roman" w:cs="Times New Roman"/>
          <w:sz w:val="24"/>
          <w:szCs w:val="24"/>
        </w:rPr>
        <w:t xml:space="preserve"> </w:t>
      </w:r>
      <w:r w:rsidR="009D115E" w:rsidRPr="00C64E6D">
        <w:rPr>
          <w:rFonts w:ascii="Times New Roman" w:hAnsi="Times New Roman" w:cs="Times New Roman"/>
          <w:sz w:val="24"/>
          <w:szCs w:val="24"/>
        </w:rPr>
        <w:t xml:space="preserve">ve diğer bilgiler </w:t>
      </w:r>
      <w:r w:rsidR="00F75C43" w:rsidRPr="00C64E6D">
        <w:rPr>
          <w:rFonts w:ascii="Times New Roman" w:hAnsi="Times New Roman" w:cs="Times New Roman"/>
          <w:sz w:val="24"/>
          <w:szCs w:val="24"/>
        </w:rPr>
        <w:t xml:space="preserve">mesai saatleri içinde </w:t>
      </w:r>
      <w:r w:rsidR="00F75C43" w:rsidRPr="003A4263">
        <w:rPr>
          <w:rFonts w:ascii="Times New Roman" w:hAnsi="Times New Roman" w:cs="Times New Roman"/>
          <w:b/>
          <w:sz w:val="24"/>
          <w:szCs w:val="24"/>
        </w:rPr>
        <w:t>Marmaris Milli Emlak Müdürlüğü</w:t>
      </w:r>
      <w:r w:rsidR="00AE619D" w:rsidRPr="003A4263">
        <w:rPr>
          <w:rFonts w:ascii="Times New Roman" w:hAnsi="Times New Roman" w:cs="Times New Roman"/>
          <w:b/>
          <w:sz w:val="24"/>
          <w:szCs w:val="24"/>
        </w:rPr>
        <w:t>’</w:t>
      </w:r>
      <w:r w:rsidR="00F75C43" w:rsidRPr="003A4263">
        <w:rPr>
          <w:rFonts w:ascii="Times New Roman" w:hAnsi="Times New Roman" w:cs="Times New Roman"/>
          <w:b/>
          <w:sz w:val="24"/>
          <w:szCs w:val="24"/>
        </w:rPr>
        <w:t>nde</w:t>
      </w:r>
      <w:r w:rsidR="00F75C43" w:rsidRPr="00C64E6D">
        <w:rPr>
          <w:rFonts w:ascii="Times New Roman" w:hAnsi="Times New Roman" w:cs="Times New Roman"/>
          <w:sz w:val="24"/>
          <w:szCs w:val="24"/>
        </w:rPr>
        <w:t xml:space="preserve"> ücretsiz olarak görülebilir.</w:t>
      </w:r>
    </w:p>
    <w:p w:rsidR="00F75C43" w:rsidRPr="00C64E6D" w:rsidRDefault="00401B8E" w:rsidP="00FF0682">
      <w:pPr>
        <w:spacing w:after="0"/>
        <w:jc w:val="both"/>
        <w:rPr>
          <w:rFonts w:ascii="Times New Roman" w:hAnsi="Times New Roman" w:cs="Times New Roman"/>
          <w:sz w:val="24"/>
          <w:szCs w:val="24"/>
        </w:rPr>
      </w:pPr>
      <w:r w:rsidRPr="00C64E6D">
        <w:rPr>
          <w:rFonts w:ascii="Times New Roman" w:hAnsi="Times New Roman" w:cs="Times New Roman"/>
          <w:sz w:val="24"/>
          <w:szCs w:val="24"/>
        </w:rPr>
        <w:t xml:space="preserve">   </w:t>
      </w:r>
      <w:r w:rsidR="00AE619D" w:rsidRPr="00C64E6D">
        <w:rPr>
          <w:rFonts w:ascii="Times New Roman" w:hAnsi="Times New Roman" w:cs="Times New Roman"/>
          <w:sz w:val="24"/>
          <w:szCs w:val="24"/>
        </w:rPr>
        <w:t xml:space="preserve">  </w:t>
      </w:r>
      <w:r w:rsidR="00C64E6D">
        <w:rPr>
          <w:rFonts w:ascii="Times New Roman" w:hAnsi="Times New Roman" w:cs="Times New Roman"/>
          <w:sz w:val="24"/>
          <w:szCs w:val="24"/>
        </w:rPr>
        <w:tab/>
      </w:r>
      <w:r w:rsidR="00037F10">
        <w:rPr>
          <w:rFonts w:ascii="Times New Roman" w:hAnsi="Times New Roman" w:cs="Times New Roman"/>
          <w:sz w:val="24"/>
          <w:szCs w:val="24"/>
        </w:rPr>
        <w:t>9</w:t>
      </w:r>
      <w:r w:rsidR="00AE619D" w:rsidRPr="00C64E6D">
        <w:rPr>
          <w:rFonts w:ascii="Times New Roman" w:hAnsi="Times New Roman" w:cs="Times New Roman"/>
          <w:sz w:val="24"/>
          <w:szCs w:val="24"/>
        </w:rPr>
        <w:t>)</w:t>
      </w:r>
      <w:r w:rsidRPr="00C64E6D">
        <w:rPr>
          <w:rFonts w:ascii="Times New Roman" w:hAnsi="Times New Roman" w:cs="Times New Roman"/>
          <w:sz w:val="24"/>
          <w:szCs w:val="24"/>
        </w:rPr>
        <w:t>-İhale k</w:t>
      </w:r>
      <w:r w:rsidR="00F75C43" w:rsidRPr="00C64E6D">
        <w:rPr>
          <w:rFonts w:ascii="Times New Roman" w:hAnsi="Times New Roman" w:cs="Times New Roman"/>
          <w:sz w:val="24"/>
          <w:szCs w:val="24"/>
        </w:rPr>
        <w:t>omisyon</w:t>
      </w:r>
      <w:r w:rsidRPr="00C64E6D">
        <w:rPr>
          <w:rFonts w:ascii="Times New Roman" w:hAnsi="Times New Roman" w:cs="Times New Roman"/>
          <w:sz w:val="24"/>
          <w:szCs w:val="24"/>
        </w:rPr>
        <w:t>u</w:t>
      </w:r>
      <w:r w:rsidR="00F75C43" w:rsidRPr="00C64E6D">
        <w:rPr>
          <w:rFonts w:ascii="Times New Roman" w:hAnsi="Times New Roman" w:cs="Times New Roman"/>
          <w:sz w:val="24"/>
          <w:szCs w:val="24"/>
        </w:rPr>
        <w:t>,</w:t>
      </w:r>
      <w:r w:rsidRPr="00C64E6D">
        <w:rPr>
          <w:rFonts w:ascii="Times New Roman" w:hAnsi="Times New Roman" w:cs="Times New Roman"/>
          <w:sz w:val="24"/>
          <w:szCs w:val="24"/>
        </w:rPr>
        <w:t xml:space="preserve"> gerekçesini belirtmek suretiyle</w:t>
      </w:r>
      <w:r w:rsidR="00F75C43" w:rsidRPr="00C64E6D">
        <w:rPr>
          <w:rFonts w:ascii="Times New Roman" w:hAnsi="Times New Roman" w:cs="Times New Roman"/>
          <w:sz w:val="24"/>
          <w:szCs w:val="24"/>
        </w:rPr>
        <w:t xml:space="preserve"> </w:t>
      </w:r>
      <w:r w:rsidRPr="00C64E6D">
        <w:rPr>
          <w:rFonts w:ascii="Times New Roman" w:hAnsi="Times New Roman" w:cs="Times New Roman"/>
          <w:sz w:val="24"/>
          <w:szCs w:val="24"/>
        </w:rPr>
        <w:t>i</w:t>
      </w:r>
      <w:r w:rsidR="00F75C43" w:rsidRPr="00C64E6D">
        <w:rPr>
          <w:rFonts w:ascii="Times New Roman" w:hAnsi="Times New Roman" w:cs="Times New Roman"/>
          <w:sz w:val="24"/>
          <w:szCs w:val="24"/>
        </w:rPr>
        <w:t>haleyi yapıp yapmamakta serbesttir.</w:t>
      </w:r>
    </w:p>
    <w:p w:rsidR="009519D6" w:rsidRPr="00C64E6D" w:rsidRDefault="00401B8E" w:rsidP="00FF0682">
      <w:pPr>
        <w:jc w:val="both"/>
        <w:rPr>
          <w:rFonts w:ascii="Times New Roman" w:hAnsi="Times New Roman" w:cs="Times New Roman"/>
          <w:sz w:val="24"/>
          <w:szCs w:val="24"/>
        </w:rPr>
      </w:pPr>
      <w:r w:rsidRPr="00C64E6D">
        <w:rPr>
          <w:rFonts w:ascii="Times New Roman" w:hAnsi="Times New Roman" w:cs="Times New Roman"/>
          <w:sz w:val="24"/>
          <w:szCs w:val="24"/>
        </w:rPr>
        <w:t xml:space="preserve">  </w:t>
      </w:r>
      <w:r w:rsidR="00AE619D" w:rsidRPr="00C64E6D">
        <w:rPr>
          <w:rFonts w:ascii="Times New Roman" w:hAnsi="Times New Roman" w:cs="Times New Roman"/>
          <w:sz w:val="24"/>
          <w:szCs w:val="24"/>
        </w:rPr>
        <w:t xml:space="preserve">   </w:t>
      </w:r>
      <w:r w:rsidR="00C64E6D">
        <w:rPr>
          <w:rFonts w:ascii="Times New Roman" w:hAnsi="Times New Roman" w:cs="Times New Roman"/>
          <w:sz w:val="24"/>
          <w:szCs w:val="24"/>
        </w:rPr>
        <w:tab/>
      </w:r>
      <w:r w:rsidR="00117404">
        <w:rPr>
          <w:rFonts w:ascii="Times New Roman" w:hAnsi="Times New Roman" w:cs="Times New Roman"/>
          <w:sz w:val="24"/>
          <w:szCs w:val="24"/>
        </w:rPr>
        <w:t>1</w:t>
      </w:r>
      <w:r w:rsidR="00037F10">
        <w:rPr>
          <w:rFonts w:ascii="Times New Roman" w:hAnsi="Times New Roman" w:cs="Times New Roman"/>
          <w:sz w:val="24"/>
          <w:szCs w:val="24"/>
        </w:rPr>
        <w:t>0</w:t>
      </w:r>
      <w:r w:rsidRPr="00C64E6D">
        <w:rPr>
          <w:rFonts w:ascii="Times New Roman" w:hAnsi="Times New Roman" w:cs="Times New Roman"/>
          <w:sz w:val="24"/>
          <w:szCs w:val="24"/>
        </w:rPr>
        <w:t>)</w:t>
      </w:r>
      <w:r w:rsidR="00F75C43" w:rsidRPr="00C64E6D">
        <w:rPr>
          <w:rFonts w:ascii="Times New Roman" w:hAnsi="Times New Roman" w:cs="Times New Roman"/>
          <w:sz w:val="24"/>
          <w:szCs w:val="24"/>
        </w:rPr>
        <w:t xml:space="preserve">-Türkiye genelindeki ihale bilgileri </w:t>
      </w:r>
      <w:hyperlink r:id="rId6" w:history="1">
        <w:r w:rsidR="00F75C43" w:rsidRPr="00C64E6D">
          <w:rPr>
            <w:rStyle w:val="Kpr"/>
            <w:rFonts w:ascii="Times New Roman" w:hAnsi="Times New Roman" w:cs="Times New Roman"/>
            <w:sz w:val="24"/>
            <w:szCs w:val="24"/>
          </w:rPr>
          <w:t>https://www.milliemlak.gov.tr</w:t>
        </w:r>
      </w:hyperlink>
      <w:r w:rsidR="00F75C43" w:rsidRPr="00C64E6D">
        <w:rPr>
          <w:rFonts w:ascii="Times New Roman" w:hAnsi="Times New Roman" w:cs="Times New Roman"/>
          <w:sz w:val="24"/>
          <w:szCs w:val="24"/>
        </w:rPr>
        <w:t xml:space="preserve"> ve </w:t>
      </w:r>
      <w:r w:rsidR="00E32153" w:rsidRPr="00C64E6D">
        <w:rPr>
          <w:rFonts w:ascii="Times New Roman" w:hAnsi="Times New Roman" w:cs="Times New Roman"/>
          <w:sz w:val="24"/>
          <w:szCs w:val="24"/>
        </w:rPr>
        <w:t>“https://</w:t>
      </w:r>
      <w:r w:rsidR="00F75C43" w:rsidRPr="00C64E6D">
        <w:rPr>
          <w:rFonts w:ascii="Times New Roman" w:hAnsi="Times New Roman" w:cs="Times New Roman"/>
          <w:sz w:val="24"/>
          <w:szCs w:val="24"/>
        </w:rPr>
        <w:t>mugla.csb.gov.tr”adresinden görülebilir. İrtibat Tel: 0 252 417 83 45</w:t>
      </w:r>
    </w:p>
    <w:p w:rsidR="00E524C1" w:rsidRDefault="00FF0682" w:rsidP="00E70F1E">
      <w:pPr>
        <w:jc w:val="both"/>
        <w:rPr>
          <w:rFonts w:ascii="Times New Roman" w:hAnsi="Times New Roman" w:cs="Times New Roman"/>
          <w:sz w:val="24"/>
          <w:szCs w:val="24"/>
        </w:rPr>
      </w:pPr>
      <w:r w:rsidRPr="00C64E6D">
        <w:rPr>
          <w:rFonts w:ascii="Times New Roman" w:hAnsi="Times New Roman" w:cs="Times New Roman"/>
          <w:sz w:val="24"/>
          <w:szCs w:val="24"/>
        </w:rPr>
        <w:t>İLAN OLUNUR.</w:t>
      </w:r>
    </w:p>
    <w:p w:rsidR="00CA4124" w:rsidRDefault="00CA4124" w:rsidP="00E70F1E">
      <w:pPr>
        <w:jc w:val="both"/>
        <w:rPr>
          <w:rFonts w:ascii="Times New Roman" w:hAnsi="Times New Roman" w:cs="Times New Roman"/>
          <w:sz w:val="24"/>
          <w:szCs w:val="24"/>
        </w:rPr>
      </w:pPr>
    </w:p>
    <w:p w:rsidR="00CA4124" w:rsidRDefault="00CA4124" w:rsidP="00E70F1E">
      <w:pPr>
        <w:jc w:val="both"/>
        <w:rPr>
          <w:rFonts w:ascii="Times New Roman" w:hAnsi="Times New Roman" w:cs="Times New Roman"/>
          <w:sz w:val="24"/>
          <w:szCs w:val="24"/>
        </w:rPr>
      </w:pPr>
    </w:p>
    <w:p w:rsidR="00CA4124" w:rsidRDefault="00CA4124" w:rsidP="00E70F1E">
      <w:pPr>
        <w:jc w:val="both"/>
        <w:rPr>
          <w:rFonts w:ascii="Times New Roman" w:hAnsi="Times New Roman" w:cs="Times New Roman"/>
          <w:sz w:val="24"/>
          <w:szCs w:val="24"/>
        </w:rPr>
      </w:pPr>
      <w:bookmarkStart w:id="0" w:name="_GoBack"/>
      <w:bookmarkEnd w:id="0"/>
    </w:p>
    <w:p w:rsidR="00CA4124" w:rsidRDefault="00CA4124" w:rsidP="00E70F1E">
      <w:pPr>
        <w:jc w:val="both"/>
        <w:rPr>
          <w:rFonts w:ascii="Times New Roman" w:hAnsi="Times New Roman" w:cs="Times New Roman"/>
          <w:sz w:val="24"/>
          <w:szCs w:val="24"/>
        </w:rPr>
      </w:pPr>
    </w:p>
    <w:p w:rsidR="00CA4124" w:rsidRDefault="00CA4124" w:rsidP="00E70F1E">
      <w:pPr>
        <w:jc w:val="both"/>
        <w:rPr>
          <w:rFonts w:ascii="Times New Roman" w:hAnsi="Times New Roman" w:cs="Times New Roman"/>
          <w:sz w:val="24"/>
          <w:szCs w:val="24"/>
        </w:rPr>
      </w:pPr>
    </w:p>
    <w:p w:rsidR="00CA4124" w:rsidRDefault="00CA4124" w:rsidP="00E70F1E">
      <w:pPr>
        <w:jc w:val="both"/>
        <w:rPr>
          <w:rFonts w:ascii="Times New Roman" w:hAnsi="Times New Roman" w:cs="Times New Roman"/>
          <w:sz w:val="24"/>
          <w:szCs w:val="24"/>
        </w:rPr>
      </w:pPr>
    </w:p>
    <w:p w:rsidR="00CA4124" w:rsidRDefault="00CA4124" w:rsidP="00E70F1E">
      <w:pPr>
        <w:jc w:val="both"/>
        <w:rPr>
          <w:rFonts w:ascii="Times New Roman" w:hAnsi="Times New Roman" w:cs="Times New Roman"/>
          <w:sz w:val="24"/>
          <w:szCs w:val="24"/>
        </w:rPr>
      </w:pPr>
    </w:p>
    <w:p w:rsidR="00CA4124" w:rsidRDefault="00CA4124" w:rsidP="00E70F1E">
      <w:pPr>
        <w:jc w:val="both"/>
        <w:rPr>
          <w:rFonts w:ascii="Times New Roman" w:hAnsi="Times New Roman" w:cs="Times New Roman"/>
          <w:sz w:val="24"/>
          <w:szCs w:val="24"/>
        </w:rPr>
      </w:pPr>
    </w:p>
    <w:p w:rsidR="00CA4124" w:rsidRPr="00C64E6D" w:rsidRDefault="00CA4124" w:rsidP="00E70F1E">
      <w:pPr>
        <w:jc w:val="both"/>
        <w:rPr>
          <w:rFonts w:ascii="Times New Roman" w:hAnsi="Times New Roman" w:cs="Times New Roman"/>
          <w:sz w:val="24"/>
          <w:szCs w:val="24"/>
        </w:rPr>
      </w:pPr>
    </w:p>
    <w:sectPr w:rsidR="00CA4124" w:rsidRPr="00C64E6D" w:rsidSect="00532717">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97803"/>
    <w:multiLevelType w:val="hybridMultilevel"/>
    <w:tmpl w:val="63D2EF0A"/>
    <w:lvl w:ilvl="0" w:tplc="8D9C42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1D0"/>
    <w:rsid w:val="00033364"/>
    <w:rsid w:val="00035AA1"/>
    <w:rsid w:val="00037F10"/>
    <w:rsid w:val="0004672B"/>
    <w:rsid w:val="000632F1"/>
    <w:rsid w:val="000711D0"/>
    <w:rsid w:val="00092856"/>
    <w:rsid w:val="000B41E1"/>
    <w:rsid w:val="000E41F7"/>
    <w:rsid w:val="000E45A3"/>
    <w:rsid w:val="001027AC"/>
    <w:rsid w:val="00117404"/>
    <w:rsid w:val="00123C1F"/>
    <w:rsid w:val="00132C2B"/>
    <w:rsid w:val="0013709D"/>
    <w:rsid w:val="00142E7A"/>
    <w:rsid w:val="00150A39"/>
    <w:rsid w:val="00167F32"/>
    <w:rsid w:val="00173C25"/>
    <w:rsid w:val="00173C52"/>
    <w:rsid w:val="0018184F"/>
    <w:rsid w:val="00184B5F"/>
    <w:rsid w:val="001A4BEA"/>
    <w:rsid w:val="001B6343"/>
    <w:rsid w:val="001C6999"/>
    <w:rsid w:val="001D2859"/>
    <w:rsid w:val="001E56CA"/>
    <w:rsid w:val="00205C88"/>
    <w:rsid w:val="002371D0"/>
    <w:rsid w:val="002436F7"/>
    <w:rsid w:val="002529FD"/>
    <w:rsid w:val="00257F0F"/>
    <w:rsid w:val="0027385B"/>
    <w:rsid w:val="0028310C"/>
    <w:rsid w:val="00283336"/>
    <w:rsid w:val="002A1150"/>
    <w:rsid w:val="002A5979"/>
    <w:rsid w:val="002C6E9B"/>
    <w:rsid w:val="003237D8"/>
    <w:rsid w:val="003821FA"/>
    <w:rsid w:val="00395B93"/>
    <w:rsid w:val="003A278E"/>
    <w:rsid w:val="003A4263"/>
    <w:rsid w:val="00401B8E"/>
    <w:rsid w:val="00407EB8"/>
    <w:rsid w:val="00410481"/>
    <w:rsid w:val="004368CC"/>
    <w:rsid w:val="00451789"/>
    <w:rsid w:val="00456FF4"/>
    <w:rsid w:val="00490AF0"/>
    <w:rsid w:val="004C1344"/>
    <w:rsid w:val="004E7618"/>
    <w:rsid w:val="00504819"/>
    <w:rsid w:val="00513D38"/>
    <w:rsid w:val="00532717"/>
    <w:rsid w:val="005734AF"/>
    <w:rsid w:val="00576419"/>
    <w:rsid w:val="005E63B5"/>
    <w:rsid w:val="005F34C3"/>
    <w:rsid w:val="00615838"/>
    <w:rsid w:val="0063528E"/>
    <w:rsid w:val="006B5461"/>
    <w:rsid w:val="006E2535"/>
    <w:rsid w:val="006F0612"/>
    <w:rsid w:val="00705A99"/>
    <w:rsid w:val="00721BA7"/>
    <w:rsid w:val="007570C8"/>
    <w:rsid w:val="00761F19"/>
    <w:rsid w:val="00762E94"/>
    <w:rsid w:val="007826DC"/>
    <w:rsid w:val="00786E6F"/>
    <w:rsid w:val="007911DE"/>
    <w:rsid w:val="00791EAE"/>
    <w:rsid w:val="00792196"/>
    <w:rsid w:val="007E4C7B"/>
    <w:rsid w:val="00803F51"/>
    <w:rsid w:val="00823933"/>
    <w:rsid w:val="00844DA8"/>
    <w:rsid w:val="00845D9E"/>
    <w:rsid w:val="00866103"/>
    <w:rsid w:val="0087784B"/>
    <w:rsid w:val="00884CE0"/>
    <w:rsid w:val="00914A1A"/>
    <w:rsid w:val="009172ED"/>
    <w:rsid w:val="00940201"/>
    <w:rsid w:val="009519D6"/>
    <w:rsid w:val="009A7094"/>
    <w:rsid w:val="009C3278"/>
    <w:rsid w:val="009D115E"/>
    <w:rsid w:val="009D1EF3"/>
    <w:rsid w:val="009F02C7"/>
    <w:rsid w:val="00A2398A"/>
    <w:rsid w:val="00A25C25"/>
    <w:rsid w:val="00A44DE8"/>
    <w:rsid w:val="00A620D4"/>
    <w:rsid w:val="00A67350"/>
    <w:rsid w:val="00A713D5"/>
    <w:rsid w:val="00A7796E"/>
    <w:rsid w:val="00A824B8"/>
    <w:rsid w:val="00A92D77"/>
    <w:rsid w:val="00AA5D30"/>
    <w:rsid w:val="00AD5CBA"/>
    <w:rsid w:val="00AE619D"/>
    <w:rsid w:val="00AF5A04"/>
    <w:rsid w:val="00B158FD"/>
    <w:rsid w:val="00B27419"/>
    <w:rsid w:val="00B3138E"/>
    <w:rsid w:val="00B3638A"/>
    <w:rsid w:val="00B44AFC"/>
    <w:rsid w:val="00B6005C"/>
    <w:rsid w:val="00B92C48"/>
    <w:rsid w:val="00BB2572"/>
    <w:rsid w:val="00BE60CB"/>
    <w:rsid w:val="00BF2E6D"/>
    <w:rsid w:val="00C062F0"/>
    <w:rsid w:val="00C54320"/>
    <w:rsid w:val="00C62385"/>
    <w:rsid w:val="00C64E6D"/>
    <w:rsid w:val="00CA4124"/>
    <w:rsid w:val="00CB31CA"/>
    <w:rsid w:val="00CF02C8"/>
    <w:rsid w:val="00D01428"/>
    <w:rsid w:val="00D454B7"/>
    <w:rsid w:val="00D5029F"/>
    <w:rsid w:val="00D90206"/>
    <w:rsid w:val="00D9174B"/>
    <w:rsid w:val="00DB2D08"/>
    <w:rsid w:val="00DB5C7D"/>
    <w:rsid w:val="00DC0E47"/>
    <w:rsid w:val="00DD0E4B"/>
    <w:rsid w:val="00DD7A88"/>
    <w:rsid w:val="00DF0059"/>
    <w:rsid w:val="00DF06E9"/>
    <w:rsid w:val="00DF6B10"/>
    <w:rsid w:val="00E32153"/>
    <w:rsid w:val="00E524C1"/>
    <w:rsid w:val="00E70F1E"/>
    <w:rsid w:val="00E861C9"/>
    <w:rsid w:val="00EC370C"/>
    <w:rsid w:val="00ED7DA7"/>
    <w:rsid w:val="00F1048C"/>
    <w:rsid w:val="00F25EFD"/>
    <w:rsid w:val="00F31859"/>
    <w:rsid w:val="00F5194E"/>
    <w:rsid w:val="00F53B3D"/>
    <w:rsid w:val="00F56E29"/>
    <w:rsid w:val="00F72DCE"/>
    <w:rsid w:val="00F74AD1"/>
    <w:rsid w:val="00F75C43"/>
    <w:rsid w:val="00F80F08"/>
    <w:rsid w:val="00FD067D"/>
    <w:rsid w:val="00FF0682"/>
    <w:rsid w:val="00FF0D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5F17C"/>
  <w15:docId w15:val="{39CBE502-1309-40F6-9493-E71561F84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71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6005C"/>
    <w:pPr>
      <w:ind w:left="720"/>
      <w:contextualSpacing/>
    </w:pPr>
  </w:style>
  <w:style w:type="character" w:styleId="Kpr">
    <w:name w:val="Hyperlink"/>
    <w:basedOn w:val="VarsaylanParagrafYazTipi"/>
    <w:uiPriority w:val="99"/>
    <w:unhideWhenUsed/>
    <w:rsid w:val="00F75C43"/>
    <w:rPr>
      <w:color w:val="0563C1" w:themeColor="hyperlink"/>
      <w:u w:val="single"/>
    </w:rPr>
  </w:style>
  <w:style w:type="paragraph" w:styleId="BalonMetni">
    <w:name w:val="Balloon Text"/>
    <w:basedOn w:val="Normal"/>
    <w:link w:val="BalonMetniChar"/>
    <w:uiPriority w:val="99"/>
    <w:semiHidden/>
    <w:unhideWhenUsed/>
    <w:rsid w:val="000928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928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45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illiemlak.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082AA-34BB-4CC9-BAAB-5C4E3C0A9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649</Words>
  <Characters>3702</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GULNUR KOSE</dc:creator>
  <cp:lastModifiedBy>Aylin YAZĞAN</cp:lastModifiedBy>
  <cp:revision>4</cp:revision>
  <cp:lastPrinted>2021-05-03T09:34:00Z</cp:lastPrinted>
  <dcterms:created xsi:type="dcterms:W3CDTF">2024-11-04T09:13:00Z</dcterms:created>
  <dcterms:modified xsi:type="dcterms:W3CDTF">2024-11-04T12:27:00Z</dcterms:modified>
</cp:coreProperties>
</file>