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64" w:rsidRPr="00E00564" w:rsidRDefault="00E00564" w:rsidP="00E00564">
      <w:pPr>
        <w:spacing w:after="0" w:line="240" w:lineRule="auto"/>
        <w:rPr>
          <w:rFonts w:ascii="Times New Roman" w:eastAsia="Times New Roman" w:hAnsi="Times New Roman" w:cs="Times New Roman"/>
          <w:sz w:val="24"/>
          <w:szCs w:val="24"/>
          <w:lang w:eastAsia="tr-TR"/>
        </w:rPr>
      </w:pPr>
      <w:bookmarkStart w:id="0" w:name="_GoBack"/>
      <w:bookmarkEnd w:id="0"/>
      <w:r w:rsidRPr="00E00564">
        <w:rPr>
          <w:rFonts w:ascii="Arial" w:eastAsia="Times New Roman" w:hAnsi="Arial" w:cs="Arial"/>
          <w:color w:val="1C283D"/>
          <w:sz w:val="15"/>
          <w:szCs w:val="15"/>
          <w:shd w:val="clear" w:color="auto" w:fill="FFFFFF"/>
          <w:lang w:eastAsia="tr-TR"/>
        </w:rPr>
        <w:t>Resmî Gazete Tarihi: 02.03.2019 Resmî Gazete Sayısı: 30702</w:t>
      </w:r>
      <w:r w:rsidRPr="00E00564">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E00564" w:rsidRPr="00E00564" w:rsidTr="00E0056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00564" w:rsidRPr="00E00564">
              <w:trPr>
                <w:trHeight w:val="480"/>
                <w:jc w:val="center"/>
              </w:trPr>
              <w:tc>
                <w:tcPr>
                  <w:tcW w:w="8789" w:type="dxa"/>
                  <w:tcMar>
                    <w:top w:w="0" w:type="dxa"/>
                    <w:left w:w="108" w:type="dxa"/>
                    <w:bottom w:w="0" w:type="dxa"/>
                    <w:right w:w="108" w:type="dxa"/>
                  </w:tcMar>
                  <w:vAlign w:val="center"/>
                  <w:hideMark/>
                </w:tcPr>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YAPI MÜTEAHHİTLERİNİN SINIFLANDIRILMASI VE KAYITLARININ</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TUTULMASI HAKKINDA YÖNETMELİK</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 </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BİRİNCİ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Amaç, Kapsam, Dayanak ve Tanımlar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Amaç</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 –</w:t>
                  </w:r>
                  <w:r w:rsidRPr="00E00564">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Kapsam</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 –</w:t>
                  </w:r>
                  <w:r w:rsidRPr="00E00564">
                    <w:rPr>
                      <w:rFonts w:ascii="Calibri" w:eastAsia="Times New Roman" w:hAnsi="Calibri" w:cs="Calibri"/>
                      <w:lang w:eastAsia="tr-TR"/>
                    </w:rPr>
                    <w:t xml:space="preserve"> (1) Bu Yönetmelik; yapı ruhsatına tâbi her türlü yapım işinde,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 olan gerçek ve tüzel kişileri kapsar.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Dayanak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3 –</w:t>
                  </w:r>
                  <w:r w:rsidRPr="00E00564">
                    <w:rPr>
                      <w:rFonts w:ascii="Calibri" w:eastAsia="Times New Roman" w:hAnsi="Calibri" w:cs="Calibri"/>
                      <w:lang w:eastAsia="tr-TR"/>
                    </w:rPr>
                    <w:t xml:space="preserve"> (1) Bu Yönetmelik, 3/5/1985 tarihli ve 3194 sayılı İmar Kanununun 28 inci maddesinin sekizinci fıkrası,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44 üncü maddeleri ile 10/7/2018 tarihli ve 30474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1 sayılı Cumhurbaşkanlığı Teşkilatı Hakkında Cumhurbaşkanlığı Kararnamesinin 107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maddesinin birinci fıkrasına dayanılarak hazırlanmıştır.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Tanımlar ve kısaltmalar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4 –</w:t>
                  </w:r>
                  <w:r w:rsidRPr="00E00564">
                    <w:rPr>
                      <w:rFonts w:ascii="Calibri" w:eastAsia="Times New Roman" w:hAnsi="Calibri" w:cs="Calibri"/>
                      <w:lang w:eastAsia="tr-TR"/>
                    </w:rPr>
                    <w:t> (1) Bu Yönetmelikte geçen;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Bakanlık: Çevre ve Şehircilik Bakanlığını,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İdare: Yapı ruhsatı ve yapı kullanma izin belgesi verme yetkisine sahip idareleri,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Kanun: 3/5/1985 tarihli ve 3194 sayılı İmar Kanununu,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Müdürlük: Çevre ve Şehircilik İl Müdürlüğünü,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f) Toplu yapı: 23/6/1965 tarihli ve 634 sayılı Kat Mülkiyeti Kanunun 66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ve 68 inci maddelerinde tanımlanan yapıyı,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ı) Yetki belgesi grubu: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yeterlik seviyelerini belirlemek üzere, yapılan sınıflandırma sonucu tespit edilen grubu,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i) Yetki belgesi numarası: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j) Yetki belgeli usta: Mesleki Yeterlilik Kurumu Mesleki Yeterlilik Belgeleri, 5/6/1986 tarihli ve 3308 sayılı Mesleki Eğitim Kanununa göre ustalık belgesi almış olanlar ile Millî Eğitim </w:t>
                  </w:r>
                  <w:r w:rsidRPr="00E00564">
                    <w:rPr>
                      <w:rFonts w:ascii="Calibri" w:eastAsia="Times New Roman" w:hAnsi="Calibri" w:cs="Calibri"/>
                      <w:lang w:eastAsia="tr-TR"/>
                    </w:rPr>
                    <w:lastRenderedPageBreak/>
                    <w:t>Bakanlığına bağlı meslekî ve teknik eğitim okullarından mezun olup, diplomalarında veya ustalık belgelerinde belirtilen bölüm, alan ve dallarda çalışanları,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ifade</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belirtilmeyen tanımlar için 28 inci maddede yapılan atıflar ve ilgili diğer mevzuatta belirtilenler geçerlidir.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İKİNCİ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Genel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Uygulanacak ilke ve kurallar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5 –</w:t>
                  </w:r>
                  <w:r w:rsidRPr="00E00564">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E00564">
                    <w:rPr>
                      <w:rFonts w:ascii="Calibri" w:eastAsia="Times New Roman" w:hAnsi="Calibri" w:cs="Calibri"/>
                      <w:lang w:eastAsia="tr-TR"/>
                    </w:rPr>
                    <w:t>inşâ</w:t>
                  </w:r>
                  <w:proofErr w:type="spellEnd"/>
                  <w:r w:rsidRPr="00E00564">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üstlendiği durumlarda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kendilerine ait yapıları inşa etmek üzere;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İl özel idaresi, belediye, köy ve diğer kamu tüzel kişilerine ait ticari işletmelere,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İskan dışı alanlarda yapılacak </w:t>
                  </w:r>
                  <w:proofErr w:type="gramStart"/>
                  <w:r w:rsidRPr="00E00564">
                    <w:rPr>
                      <w:rFonts w:ascii="Calibri" w:eastAsia="Times New Roman" w:hAnsi="Calibri" w:cs="Calibri"/>
                      <w:lang w:eastAsia="tr-TR"/>
                    </w:rPr>
                    <w:t>entegre</w:t>
                  </w:r>
                  <w:proofErr w:type="gramEnd"/>
                  <w:r w:rsidRPr="00E00564">
                    <w:rPr>
                      <w:rFonts w:ascii="Calibri" w:eastAsia="Times New Roman" w:hAnsi="Calibri" w:cs="Calibri"/>
                      <w:lang w:eastAsia="tr-TR"/>
                    </w:rPr>
                    <w:t xml:space="preserve"> tesis niteliğinde olmayan ve imar planı gerektirmeyen tarımsal amaçlı seralar için yapı sahibine,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geçici</w:t>
                  </w:r>
                  <w:proofErr w:type="gramEnd"/>
                  <w:r w:rsidRPr="00E00564">
                    <w:rPr>
                      <w:rFonts w:ascii="Calibri" w:eastAsia="Times New Roman" w:hAnsi="Calibri" w:cs="Calibri"/>
                      <w:lang w:eastAsia="tr-TR"/>
                    </w:rPr>
                    <w:t xml:space="preserve"> grup yetki belgesi numarası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Yapı </w:t>
                  </w:r>
                  <w:proofErr w:type="gramStart"/>
                  <w:r w:rsidRPr="00E00564">
                    <w:rPr>
                      <w:rFonts w:ascii="Calibri" w:eastAsia="Times New Roman" w:hAnsi="Calibri" w:cs="Calibri"/>
                      <w:lang w:eastAsia="tr-TR"/>
                    </w:rPr>
                    <w:t>müteahhitliğinin</w:t>
                  </w:r>
                  <w:proofErr w:type="gramEnd"/>
                  <w:r w:rsidRPr="00E00564">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Şahıs veya sermaye şirketlerinin 13/1/2011 tarihli ve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6102</w:t>
                  </w:r>
                  <w:r w:rsidRPr="00E00564">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belgesi numarası başkası tarafından veya başkası adına kullanılamaz veyahut devredilemez.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xml:space="preserve">Yapı </w:t>
                  </w:r>
                  <w:proofErr w:type="gramStart"/>
                  <w:r w:rsidRPr="00E00564">
                    <w:rPr>
                      <w:rFonts w:ascii="Calibri" w:eastAsia="Times New Roman" w:hAnsi="Calibri" w:cs="Calibri"/>
                      <w:b/>
                      <w:bCs/>
                      <w:lang w:eastAsia="tr-TR"/>
                    </w:rPr>
                    <w:t>müteahhitliği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6 –</w:t>
                  </w:r>
                  <w:r w:rsidRPr="00E00564">
                    <w:rPr>
                      <w:rFonts w:ascii="Calibri" w:eastAsia="Times New Roman" w:hAnsi="Calibri" w:cs="Calibri"/>
                      <w:lang w:eastAsia="tr-TR"/>
                    </w:rPr>
                    <w:t xml:space="preserve"> (1) Yapı müteahhidi; yapıyı, tesisatı ve malzemeleriyle birlikte ilgili mevzuata, uygulama imar planına, ruhsata, ruhsat eki etüt ve projelere, standartlara ve teknik şartnamelere uygun olarak inşa etmek, neden olduğu mevzuata aykırılığı gidermek mecburiyetindedir. Yapı </w:t>
                  </w:r>
                  <w:r w:rsidRPr="00E00564">
                    <w:rPr>
                      <w:rFonts w:ascii="Calibri" w:eastAsia="Times New Roman" w:hAnsi="Calibri" w:cs="Calibri"/>
                      <w:lang w:eastAsia="tr-TR"/>
                    </w:rPr>
                    <w:lastRenderedPageBreak/>
                    <w:t>müteahhidi, ilgili fenni mesullerin denetimi olmaksızın inşaat ve tesisatlarına ilişkin yapım işlerini sürdüremez, inşaat ve tesisat işlerinde yetki belgesi olmayan usta çalıştıramaz.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müteahhidi, yapı sahibi ile yapım sözleşmesi yapmakla yükümlüdür. Yapı sahibinin aynı zamanda yapı müteahhidi olma koşullarını taşıdığı hallerde, başka bir yapı müteahhidi ile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başvurusu yapamayacak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7 –</w:t>
                  </w:r>
                  <w:r w:rsidRPr="00E00564">
                    <w:rPr>
                      <w:rFonts w:ascii="Calibri" w:eastAsia="Times New Roman" w:hAnsi="Calibri" w:cs="Calibri"/>
                      <w:lang w:eastAsia="tr-TR"/>
                    </w:rPr>
                    <w:t> (1) Yetki belgesi numarası için başvuranlardan;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İflas eden, tasfiye halinde olan, işleri mahkeme tarafından yürütülen, </w:t>
                  </w:r>
                  <w:proofErr w:type="gramStart"/>
                  <w:r w:rsidRPr="00E00564">
                    <w:rPr>
                      <w:rFonts w:ascii="Calibri" w:eastAsia="Times New Roman" w:hAnsi="Calibri" w:cs="Calibri"/>
                      <w:lang w:eastAsia="tr-TR"/>
                    </w:rPr>
                    <w:t>konkordato</w:t>
                  </w:r>
                  <w:proofErr w:type="gramEnd"/>
                  <w:r w:rsidRPr="00E00564">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Sahte belge düzenleyen, kullanan veya bunlara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Hileli malzeme, araç veya usuller kullanan, fen ve sanat kurallarına aykırı imalat yapan,</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gerçek</w:t>
                  </w:r>
                  <w:proofErr w:type="gramEnd"/>
                  <w:r w:rsidRPr="00E00564">
                    <w:rPr>
                      <w:rFonts w:ascii="Calibri" w:eastAsia="Times New Roman" w:hAnsi="Calibri" w:cs="Calibri"/>
                      <w:lang w:eastAsia="tr-TR"/>
                    </w:rPr>
                    <w:t xml:space="preserve"> veya tüzel kişilere yetki belgesi numarası tahsis edilmez, yetki belge numarası olanların belgesi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Gizlilik ve sır saklama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8 –</w:t>
                  </w:r>
                  <w:r w:rsidRPr="00E00564">
                    <w:rPr>
                      <w:rFonts w:ascii="Calibri" w:eastAsia="Times New Roman" w:hAnsi="Calibri" w:cs="Calibri"/>
                      <w:lang w:eastAsia="tr-TR"/>
                    </w:rPr>
                    <w:t> (1) Müdürlük başvurulara ait bilgi ve belgelerin gizliliğini sağlayacak tedbirleri alır.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 Müteahhitlik Yetki Belge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9 –</w:t>
                  </w:r>
                  <w:r w:rsidRPr="00E00564">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(5) Belge komisyonları eksiksiz toplanır, kararlar çoğunlukla alınır.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10 –</w:t>
                  </w:r>
                  <w:r w:rsidRPr="00E00564">
                    <w:rPr>
                      <w:rFonts w:ascii="Calibri" w:eastAsia="Times New Roman" w:hAnsi="Calibri" w:cs="Calibri"/>
                      <w:lang w:eastAsia="tr-TR"/>
                    </w:rPr>
                    <w:t> (1) Bakanlıkta, belge komisyonları tarafından alınan nihai kararlara ilişkin itirazları değerlendirmekle görevli bir itiraz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Bakanlık, </w:t>
                  </w:r>
                  <w:proofErr w:type="gramStart"/>
                  <w:r w:rsidRPr="00E00564">
                    <w:rPr>
                      <w:rFonts w:ascii="Calibri" w:eastAsia="Times New Roman" w:hAnsi="Calibri" w:cs="Calibri"/>
                      <w:lang w:eastAsia="tr-TR"/>
                    </w:rPr>
                    <w:t>müteahhitlik</w:t>
                  </w:r>
                  <w:proofErr w:type="gramEnd"/>
                  <w:r w:rsidRPr="00E00564">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İtiraz komisyonu eksiksiz olarak toplanır ve kararları çoğunlukla alır.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ÜÇÜNCÜ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 Başvurusu ve Değerlendirme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için başvuru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11 –</w:t>
                  </w:r>
                  <w:r w:rsidRPr="00E00564">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Ekonomik ve mali yeterliğin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Ekonomik ve Mali Yeterlik Bildirim Formu (Ek-2),</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Mali durumunu göstermek üzere bankalardan temin edilecek standart formatta düzenlenen Banka Referans Mektubu (Ek-3),</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Mesleki ve Teknik Yeterlik Bildirim Formu (Ek-4),</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belirtilen hallerden herhangi birisi durumunda olunmadığına dair, standart formatta düzenlenen Sicil Durumu Beyannamesi (Ek-5).</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(3) H grubu yetki belgesi numarası almak isteyenlerden ekonomik, mali, mesleki ve teknik yeterlik belgeleri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Geçici grup yetki belgesi numarası başvurularında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(7) Yapı </w:t>
                  </w:r>
                  <w:proofErr w:type="gramStart"/>
                  <w:r w:rsidRPr="00E00564">
                    <w:rPr>
                      <w:rFonts w:ascii="Calibri" w:eastAsia="Times New Roman" w:hAnsi="Calibri" w:cs="Calibri"/>
                      <w:lang w:eastAsia="tr-TR"/>
                    </w:rPr>
                    <w:t>müteahhitleri</w:t>
                  </w:r>
                  <w:proofErr w:type="gramEnd"/>
                  <w:r w:rsidRPr="00E00564">
                    <w:rPr>
                      <w:rFonts w:ascii="Calibri" w:eastAsia="Times New Roman" w:hAnsi="Calibri" w:cs="Calibri"/>
                      <w:lang w:eastAsia="tr-TR"/>
                    </w:rPr>
                    <w:t xml:space="preserve"> tarafından bulundukları yetki belgesi grubundan farklı bir gruba yapılan başvurular, yeni başvuru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Ekonomik ve mali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12 –</w:t>
                  </w:r>
                  <w:r w:rsidRPr="00E00564">
                    <w:rPr>
                      <w:rFonts w:ascii="Calibri" w:eastAsia="Times New Roman" w:hAnsi="Calibri" w:cs="Calibri"/>
                      <w:lang w:eastAsia="tr-TR"/>
                    </w:rPr>
                    <w:t> (1) Ekonomik ve mali yeterliğin sağlanması kapsamında bilanço, banka referans mektubu ve iş hacmini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Başvurunun yapıldığı yıldan önceki yıla ait bilançoya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Cari oranın (dönen varlıklar/kısa vadeli borçlar) en az 0,50,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Öz kaynak oranının (öz kaynaklar/toplam aktif) en az 0,10,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Kısa vadeli banka borçlarının öz kaynaklara oranının 0,75’ten küçük,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olması</w:t>
                  </w:r>
                  <w:proofErr w:type="gramEnd"/>
                  <w:r w:rsidRPr="00E00564">
                    <w:rPr>
                      <w:rFonts w:ascii="Calibri" w:eastAsia="Times New Roman" w:hAnsi="Calibri" w:cs="Calibri"/>
                      <w:lang w:eastAsia="tr-TR"/>
                    </w:rPr>
                    <w:t xml:space="preserve"> gerekir. Bu </w:t>
                  </w:r>
                  <w:proofErr w:type="gramStart"/>
                  <w:r w:rsidRPr="00E00564">
                    <w:rPr>
                      <w:rFonts w:ascii="Calibri" w:eastAsia="Times New Roman" w:hAnsi="Calibri" w:cs="Calibri"/>
                      <w:lang w:eastAsia="tr-TR"/>
                    </w:rPr>
                    <w:t>kriterleri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E00564">
                    <w:rPr>
                      <w:rFonts w:ascii="Calibri" w:eastAsia="Times New Roman" w:hAnsi="Calibri" w:cs="Calibri"/>
                      <w:lang w:eastAsia="tr-TR"/>
                    </w:rPr>
                    <w:t>kriterini</w:t>
                  </w:r>
                  <w:proofErr w:type="gramEnd"/>
                  <w:r w:rsidRPr="00E00564">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Banka referans mektubu </w:t>
                  </w:r>
                  <w:proofErr w:type="gramStart"/>
                  <w:r w:rsidRPr="00E00564">
                    <w:rPr>
                      <w:rFonts w:ascii="Calibri" w:eastAsia="Times New Roman" w:hAnsi="Calibri" w:cs="Calibri"/>
                      <w:lang w:eastAsia="tr-TR"/>
                    </w:rPr>
                    <w:t>ile;</w:t>
                  </w:r>
                  <w:proofErr w:type="gramEnd"/>
                  <w:r w:rsidRPr="00E00564">
                    <w:rPr>
                      <w:rFonts w:ascii="Calibri" w:eastAsia="Times New Roman" w:hAnsi="Calibri" w:cs="Calibri"/>
                      <w:lang w:eastAsia="tr-TR"/>
                    </w:rPr>
                    <w:t xml:space="preserve"> başvuranın bankalar nezdindeki kullanılmamış nakdi veya </w:t>
                  </w:r>
                  <w:proofErr w:type="spellStart"/>
                  <w:r w:rsidRPr="00E00564">
                    <w:rPr>
                      <w:rFonts w:ascii="Calibri" w:eastAsia="Times New Roman" w:hAnsi="Calibri" w:cs="Calibri"/>
                      <w:lang w:eastAsia="tr-TR"/>
                    </w:rPr>
                    <w:t>gayrinakdi</w:t>
                  </w:r>
                  <w:proofErr w:type="spellEnd"/>
                  <w:r w:rsidRPr="00E00564">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Mesleki ve teknik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13 –</w:t>
                  </w:r>
                  <w:r w:rsidRPr="00E00564">
                    <w:rPr>
                      <w:rFonts w:ascii="Calibri" w:eastAsia="Times New Roman" w:hAnsi="Calibri" w:cs="Calibri"/>
                      <w:lang w:eastAsia="tr-TR"/>
                    </w:rPr>
                    <w:t> (1) Mesleki ve teknik yeterliğin sağlanması kapsamında iş deneyim belgeleri ve iş gücünü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İş deneyim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İş deneyimini gösteren belgelerde yer alan ancak gruplamaya esas iş veya benzer iş kapsamında bulunmayan işlerin tutarları iş deneyiminde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Yapımla ilgili hizmet işlerinden elde edilen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E00564" w:rsidRPr="00E00564" w:rsidRDefault="00E00564" w:rsidP="00E00564">
                  <w:pPr>
                    <w:spacing w:after="0" w:line="240" w:lineRule="auto"/>
                    <w:ind w:firstLine="493"/>
                    <w:jc w:val="both"/>
                    <w:rPr>
                      <w:rFonts w:ascii="Calibri" w:eastAsia="Times New Roman" w:hAnsi="Calibri" w:cs="Calibri"/>
                      <w:lang w:eastAsia="tr-TR"/>
                    </w:rPr>
                  </w:pPr>
                  <w:r w:rsidRPr="00E00564">
                    <w:rPr>
                      <w:rFonts w:ascii="Calibri" w:eastAsia="Times New Roman" w:hAnsi="Calibri" w:cs="Calibri"/>
                      <w:lang w:eastAsia="tr-TR"/>
                    </w:rPr>
                    <w:t> e)</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İş gücü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E00564">
                    <w:rPr>
                      <w:rFonts w:ascii="Calibri" w:eastAsia="Times New Roman" w:hAnsi="Calibri" w:cs="Calibri"/>
                      <w:lang w:eastAsia="tr-TR"/>
                    </w:rPr>
                    <w:t>kriterinin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Sunulan belgelere göre;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31/5/2016 tarihli ve 5510 sayılı Sosyal Sigortalar ve Genel Sağlık Sigortası Kanununa göre yapılan işçilik bildirimleri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grupları ve kullanımı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14 –</w:t>
                  </w:r>
                  <w:r w:rsidRPr="00E00564">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13 üncü maddelerde sayılanlarla birlikte, aşağıdaki yeterliklerin sağlanması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C Grubu: İş deneyim tutarı yapım işleri eşik değerini geçen ve ortalama yıllık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usta iş gücü</w:t>
                  </w:r>
                  <w:r w:rsidRPr="00E00564">
                    <w:rPr>
                      <w:rFonts w:ascii="Calibri" w:eastAsia="Times New Roman" w:hAnsi="Calibri" w:cs="Calibri"/>
                      <w:lang w:eastAsia="tr-TR"/>
                    </w:rPr>
                    <w:t> usta iş gücü en az 12, teknik personel iş gücü en az 3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D Grubu: İş deneyim tutarı yapım işleri eşik değerinin 2/3’ünü geçen ve ortalama yıllık en az 9,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F Grubu: İş deneyim tutarı yapım işleri eşik değerinin 1/10’unu geçen ve ortalama yıllık usta iş gücü en az 3,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f) G Grubu: İş deneyim tutarı yapım işleri eşik değerinin 7/100’ünü geçen ve ortalama yıllık usta iş gücü en az 1,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H Grubu: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Geçici Grup: Ekonomik, mali, mesleki ve teknik yeterlikler ile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Bu Yönetmelik kapsamında yetki belgesi grubu sahibi yapı </w:t>
                  </w:r>
                  <w:proofErr w:type="gramStart"/>
                  <w:r w:rsidRPr="00E00564">
                    <w:rPr>
                      <w:rFonts w:ascii="Calibri" w:eastAsia="Times New Roman" w:hAnsi="Calibri" w:cs="Calibri"/>
                      <w:lang w:eastAsia="tr-TR"/>
                    </w:rPr>
                    <w:t>müteahhitlerinden</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 C, D ve E grubundakiler, yapı yaklaşık maliyeti, belge grubunun gerektirdiği asgari iş deneyim tutarını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H grubundakiler, yapı yaklaşık maliyeti, G belge grubunun gerektirdiği asgari iş deneyim miktarının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3/5’ini</w:t>
                  </w:r>
                  <w:r w:rsidRPr="00E00564">
                    <w:rPr>
                      <w:rFonts w:ascii="Calibri" w:eastAsia="Times New Roman" w:hAnsi="Calibri" w:cs="Calibri"/>
                      <w:lang w:eastAsia="tr-TR"/>
                    </w:rPr>
                    <w:t>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üstlenebilirler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A grubu için bir kısıtlama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Üçüncü fıkra kapsamındaki hesaplamada tek bir sözleşmeye ve/veya yapı ruhsatına dayalı işler dikkate alınır.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Yeterlik değerlendirmesi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15 –</w:t>
                  </w:r>
                  <w:r w:rsidRPr="00E00564">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E00564">
                    <w:rPr>
                      <w:rFonts w:ascii="Calibri" w:eastAsia="Times New Roman" w:hAnsi="Calibri" w:cs="Calibri"/>
                      <w:lang w:eastAsia="tr-TR"/>
                    </w:rPr>
                    <w:t>YAMBİS’e</w:t>
                  </w:r>
                  <w:proofErr w:type="spellEnd"/>
                  <w:r w:rsidRPr="00E00564">
                    <w:rPr>
                      <w:rFonts w:ascii="Calibri" w:eastAsia="Times New Roman" w:hAnsi="Calibri" w:cs="Calibri"/>
                      <w:lang w:eastAsia="tr-TR"/>
                    </w:rPr>
                    <w:t xml:space="preserve"> işlenir.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Başvurular Müdürlükçe belge numarası işlem süresinde sonuçlandırılır. Bu süre azami on beş gündür.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grubunun tespiti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16 –</w:t>
                  </w:r>
                  <w:r w:rsidRPr="00E00564">
                    <w:rPr>
                      <w:rFonts w:ascii="Calibri" w:eastAsia="Times New Roman" w:hAnsi="Calibri" w:cs="Calibri"/>
                      <w:lang w:eastAsia="tr-TR"/>
                    </w:rPr>
                    <w:t> (1) Yetki belgesi grubunun tespitinde, ibraz edilen belgelerdeki tutarlar başvuru tarihine göre güncellenerek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Toplama işleminde son on beş yıl içerisindeki en büyük işin iş deneyim miktarının üç katından fazlası dikkate alınmaz. Mezuniyet belgelerinin iş deneyimini tevsik için sunulması durumunda; mezuniyetten sonra geçen süreye göre 28 inci madde kapsamında hesaplanacak tutara herhangi bir artırım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(3) Toplu yapı niteliğindeki yapıların iş deneyim belgelerindeki miktarlar toplanmak suretiyle tek iş deneyimi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Aynı işin sözleşmesinin iş artışı sınırı içinde ikmal edilmemesi halinde, sözleşme konusu olan işin devamı olarak yaptırılan işler iş deneyiminde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Mevzuatı gereği bedel içeren sözleşme şartı aranan işlerde, iş deneyim belgelerinde belirtilen tutar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28 inci madde kapsamında uygulanabilir olduğu durumlarda, iş deneyim belgelerinin Elektronik Kamu Alımları Platformunda kaydının olması zorunludur.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DÖRDÜNCÜ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Numarasının Verilmesi ve 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17 – </w:t>
                  </w:r>
                  <w:r w:rsidRPr="00E00564">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Bakanlıkça gerekli idari ve teknik altyapı oluşturulması halinde elektronik ortamda başvuru yapılabilir.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18 –</w:t>
                  </w:r>
                  <w:r w:rsidRPr="00E00564">
                    <w:rPr>
                      <w:rFonts w:ascii="Calibri" w:eastAsia="Times New Roman" w:hAnsi="Calibri" w:cs="Calibri"/>
                      <w:lang w:eastAsia="tr-TR"/>
                    </w:rPr>
                    <w:t> (1) Başvuru sahibi tarafından;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Başvuru talep formu ekinde sunulan bilgi ve belgelerin doğru ve güncel olduğunun,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sayılan durumlardan birinin vuku bulması halinde, durumun derhal Müdürlüğe bildirileceğinin,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Bildirim Yükümlülüğü Taahhütnamesi (Ek-7)’ne uygun olarak taahhüt edilmesi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maddede belirtilen zorunluluklara uyulmamasından kaynaklanan her türlü sorumluluk başvuru sahibine aittir.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Bildirim yükümlülüğü iş deneyim belgeleri hariç, belge grubu kapsamında olup geçerlik süresi dolan yeterlik belgeleri için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 gruplarının geçerlik süresi ve yenileme işlemi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lastRenderedPageBreak/>
                    <w:t>MADDE 19 –</w:t>
                  </w:r>
                  <w:r w:rsidRPr="00E00564">
                    <w:rPr>
                      <w:rFonts w:ascii="Calibri" w:eastAsia="Times New Roman" w:hAnsi="Calibri" w:cs="Calibri"/>
                      <w:lang w:eastAsia="tr-TR"/>
                    </w:rPr>
                    <w:t> (1)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Belge</w:t>
                  </w:r>
                  <w:r w:rsidRPr="00E00564">
                    <w:rPr>
                      <w:rFonts w:ascii="Calibri" w:eastAsia="Times New Roman" w:hAnsi="Calibri" w:cs="Calibri"/>
                      <w:lang w:eastAsia="tr-TR"/>
                    </w:rPr>
                    <w:t> grubunun geçerlik süresi beş yılı geçmemek üzere iş deneyim belgelerinin geçerlik süresi kadardır.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Ortak girişimlerin belge grubunun geçerlik süresi, ortakların her birinin;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Yetki belge numarası iptal edilmedikçe,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Belge grubu değişmedikçe,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devam</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numarası iptal edilen yapı müteahhidinin iptal süresince grup yenilemesi veya yeni grup belirlenmesi işlemleri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iptali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20 –</w:t>
                  </w:r>
                  <w:r w:rsidRPr="00E00564">
                    <w:rPr>
                      <w:rFonts w:ascii="Calibri" w:eastAsia="Times New Roman" w:hAnsi="Calibri" w:cs="Calibri"/>
                      <w:lang w:eastAsia="tr-TR"/>
                    </w:rPr>
                    <w:t> (1) Yetki belgesi numarası;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Yapım işinin ruhsata ve ruhsat eki etüt ve projelere aykırı olarak gerçekleştirilmesi ve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verilen süre içinde aykırılığın giderilmemesi halinde beş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Yapım işinde ruhsat eki etüt ve projelere aykırı olarak gerçekleştirilen imalâtın can ve mal güvenliğini tehdit etmesi halinde on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ilgili</w:t>
                  </w:r>
                  <w:proofErr w:type="gramEnd"/>
                  <w:r w:rsidRPr="00E00564">
                    <w:rPr>
                      <w:rFonts w:ascii="Calibri" w:eastAsia="Times New Roman" w:hAnsi="Calibri" w:cs="Calibri"/>
                      <w:lang w:eastAsia="tr-TR"/>
                    </w:rPr>
                    <w:t xml:space="preserve"> idarenin teklifi ve İl Müteahhitlik Yetki Belge Komisyonu kararı üzerine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Belge numarası başvurusunda yanıltıcı bilgi ve/veya sahte belge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 belge grubu belirlenmesine ilişkin şartların bulunmadığının sonradan anlaşılması,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Yetki belgesi grubu için izin verilenden daha fazla iş üstlenilmesi,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Yetki belgesi numarası sahibinin talep etmesi.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İkinci fıkranın (a), (b) ve (c) bentlerine göre yetki belge numarası iptal edilenler, iptal kararından sonra bir yıl süreyle yeniden başvuru yapamazlar.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İptale dair talep formunun düzenlenmesi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21 –</w:t>
                  </w:r>
                  <w:r w:rsidRPr="00E00564">
                    <w:rPr>
                      <w:rFonts w:ascii="Calibri" w:eastAsia="Times New Roman" w:hAnsi="Calibri" w:cs="Calibri"/>
                      <w:lang w:eastAsia="tr-TR"/>
                    </w:rPr>
                    <w:t xml:space="preserve"> (1) İdareler,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Müteahhitlik Yetki Belge Numarası İptaline Dair Talep Formu (Ek-11)’nu</w:t>
                  </w:r>
                  <w:r w:rsidRPr="00E00564">
                    <w:rPr>
                      <w:rFonts w:ascii="Calibri" w:eastAsia="Times New Roman" w:hAnsi="Calibri" w:cs="Calibri"/>
                      <w:lang w:eastAsia="tr-TR"/>
                    </w:rPr>
                    <w:t> ve eklerini, Müdürlüğe elektronik ortamda ve/veya yazılı olarak göndermekle yükümlüdür.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İdarelerin birinci fıkraya göre iptale dair talep formunu düzenleyebilmeleri için;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Müteahhidin hangi kanun kapsamındaki sorumluluğunu yerine getirmediğini ifade eden açık bir rapor ve bu raporu destekleyen tespitlerin bulunması,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c) Müteahhide yetki belge numarasının iptal edileceğine ilişkin kararın gerekçesi, karara karşı başvuru yolu, süresi ve merci hakkında bilgileri içerecek şekilde mevzuata uygun tebligat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yapılacak işlemlerde ise idarece uygulanan idari para cezalarına ilişkin bildirimin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İmalâtın can ve mal güvenliğini tehdit ettiğinin değerlendirilmesi halinde durumun bir teknik rapor ile desteklenmiş olması,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gerekir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İdarenin yetkili birim amiri tarafından onaylanmış iptale dair talep formunun ekine belge iptalinin niteliğine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Yapı tatil tutanağı ile bu tutanağa ait var ise fotoğraf, kamera kaydı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tatil tutanağının bir nüshasının muhtara bırakıldığına dair belge,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gereğince alınan kararın idaresince “aslının aynıdır” şeklinde onaylanmış sureti,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Yapı müteahhidine, karara konu olan aykırılıklarla ilgili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uygulanan idari para cezalarına ilişkin yapılan bildirime dair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Müteahhit tarafından idarenin kararlarına karşı var ise yapılan itirazlar ve başvurular, bunlara ilişkin idarece yapılan işlemlere ait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Sosyal Güvenlik Kurumu ve/veya Hazine ve Maliye Bakanlığına bağlı vergi dairesi müdürlüklerinden temin edilen resmi yazı,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g) Konu ile ilgili olarak, var ise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ve ilgili kurum ve kuruluşlarla yapılan her türlü yazışmalar, mahkeme kararları ve benzeri bilgi ve belgeler,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eklenir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22 –</w:t>
                  </w:r>
                  <w:r w:rsidRPr="00E00564">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Yapı Müteahhitleri İl Yetki Belge Komisyonu Belge İptali İlan Formu (Ek-10)’</w:t>
                  </w:r>
                  <w:proofErr w:type="spellStart"/>
                  <w:r w:rsidRPr="00E00564">
                    <w:rPr>
                      <w:rFonts w:ascii="Calibri" w:eastAsia="Times New Roman" w:hAnsi="Calibri" w:cs="Calibri"/>
                      <w:u w:val="single"/>
                      <w:lang w:eastAsia="tr-TR"/>
                    </w:rPr>
                    <w:t>na</w:t>
                  </w:r>
                  <w:proofErr w:type="spellEnd"/>
                  <w:r w:rsidRPr="00E00564">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E00564">
                    <w:rPr>
                      <w:rFonts w:ascii="Calibri" w:eastAsia="Times New Roman" w:hAnsi="Calibri" w:cs="Calibri"/>
                      <w:lang w:eastAsia="tr-TR"/>
                    </w:rPr>
                    <w:t>periyotlar</w:t>
                  </w:r>
                  <w:proofErr w:type="gramEnd"/>
                  <w:r w:rsidRPr="00E00564">
                    <w:rPr>
                      <w:rFonts w:ascii="Calibri" w:eastAsia="Times New Roman" w:hAnsi="Calibri" w:cs="Calibri"/>
                      <w:lang w:eastAsia="tr-TR"/>
                    </w:rPr>
                    <w:t xml:space="preserve"> halinde toplu şekilde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yayımlanması sağlanarak iptal ve iptalin kaldırılması kararları duyurulur.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E00564">
                    <w:rPr>
                      <w:rFonts w:ascii="Calibri" w:eastAsia="Times New Roman" w:hAnsi="Calibri" w:cs="Calibri"/>
                      <w:lang w:eastAsia="tr-TR"/>
                    </w:rPr>
                    <w:t>re’sen</w:t>
                  </w:r>
                  <w:proofErr w:type="spellEnd"/>
                  <w:r w:rsidRPr="00E00564">
                    <w:rPr>
                      <w:rFonts w:ascii="Calibri" w:eastAsia="Times New Roman" w:hAnsi="Calibri" w:cs="Calibri"/>
                      <w:lang w:eastAsia="tr-TR"/>
                    </w:rPr>
                    <w:t xml:space="preserve"> işleme konulur ve yetki belgesi numarası mahkeme kararında hükmedilen kısıtlama süresi kadar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sonrası işlemler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23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(ç) bendi dâhilinde yetki belge numarası iptal edilen yapı müteahhidinin;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Şahıs şirketi olması halinde şirket ortaklarının tamamına; sermaye şirketi olması halinde sermayesinin yarısından fazlasına sahip olan gerçek veya tüzel kişi ortaklarına, şirketin tüm yönetim kurulu üyelerine,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Ortak girişim olması halinde, ortakların tamamı için (a) ve (b) bentlerinde sayılanlardan durumlarına uygun kişilere,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iptal</w:t>
                  </w:r>
                  <w:proofErr w:type="gramEnd"/>
                  <w:r w:rsidRPr="00E00564">
                    <w:rPr>
                      <w:rFonts w:ascii="Calibri" w:eastAsia="Times New Roman" w:hAnsi="Calibri" w:cs="Calibri"/>
                      <w:lang w:eastAsia="tr-TR"/>
                    </w:rPr>
                    <w:t xml:space="preserve"> süresince, her ne şekilde müracaat edilirse edilsin,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Bu madde kapsamında kalanların varsa mevcut yetki belge numaraları da aynı süre için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İptalin kaldırılması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24 –</w:t>
                  </w:r>
                  <w:r w:rsidRPr="00E00564">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Sorumluluklarını yerine getiren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İtirazların incelenmesi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25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Kararların bir örneği belge komisyonuna da bildirilir. Belge komisyonu karar doğrultusunda işlem tesis eder.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BEŞİNCİ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Çeşitli ve Son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İlgili idarenin görevleri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26 –</w:t>
                  </w:r>
                  <w:r w:rsidRPr="00E00564">
                    <w:rPr>
                      <w:rFonts w:ascii="Calibri" w:eastAsia="Times New Roman" w:hAnsi="Calibri" w:cs="Calibri"/>
                      <w:lang w:eastAsia="tr-TR"/>
                    </w:rPr>
                    <w:t xml:space="preserve"> (1) İdarelerce ruhsat düzenleme aşamasında,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E00564">
                    <w:rPr>
                      <w:rFonts w:ascii="Calibri" w:eastAsia="Times New Roman" w:hAnsi="Calibri" w:cs="Calibri"/>
                      <w:lang w:eastAsia="tr-TR"/>
                    </w:rPr>
                    <w:t>kriterler</w:t>
                  </w:r>
                  <w:proofErr w:type="gramEnd"/>
                  <w:r w:rsidRPr="00E00564">
                    <w:rPr>
                      <w:rFonts w:ascii="Calibri" w:eastAsia="Times New Roman" w:hAnsi="Calibri" w:cs="Calibri"/>
                      <w:lang w:eastAsia="tr-TR"/>
                    </w:rPr>
                    <w:t xml:space="preserve"> bakımından uygun olmaması halinde, yapı ruhsatı düzenlenmez.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İdareler, Kanuna göre yapı </w:t>
                  </w:r>
                  <w:proofErr w:type="gramStart"/>
                  <w:r w:rsidRPr="00E00564">
                    <w:rPr>
                      <w:rFonts w:ascii="Calibri" w:eastAsia="Times New Roman" w:hAnsi="Calibri" w:cs="Calibri"/>
                      <w:lang w:eastAsia="tr-TR"/>
                    </w:rPr>
                    <w:t>müteahhitliği</w:t>
                  </w:r>
                  <w:proofErr w:type="gramEnd"/>
                  <w:r w:rsidRPr="00E00564">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İdareler,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ve tebligat esasları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27 –</w:t>
                  </w:r>
                  <w:r w:rsidRPr="00E00564">
                    <w:rPr>
                      <w:rFonts w:ascii="Calibri" w:eastAsia="Times New Roman" w:hAnsi="Calibri" w:cs="Calibri"/>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(2) Müteahhitlerin yetki belgesi işlemlerine ilişkin ilan ve duyurular ayrıca YAMBİS üzerinden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w:t>
                  </w:r>
                  <w:proofErr w:type="spellStart"/>
                  <w:r w:rsidRPr="00E00564">
                    <w:rPr>
                      <w:rFonts w:ascii="Calibri" w:eastAsia="Times New Roman" w:hAnsi="Calibri" w:cs="Calibri"/>
                      <w:lang w:eastAsia="tr-TR"/>
                    </w:rPr>
                    <w:t>YAMBİS’te</w:t>
                  </w:r>
                  <w:proofErr w:type="spellEnd"/>
                  <w:r w:rsidRPr="00E00564">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Atıflar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28 –</w:t>
                  </w:r>
                  <w:r w:rsidRPr="00E00564">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E00564">
                    <w:rPr>
                      <w:rFonts w:ascii="Calibri" w:eastAsia="Times New Roman" w:hAnsi="Calibri" w:cs="Calibri"/>
                      <w:lang w:eastAsia="tr-TR"/>
                    </w:rPr>
                    <w:t>Bu Yönetmelik kapsamındaki başvurularda, belirtilen mevzuatta geçen “ilk ilan veya davet tarihi” ile “ihale tarihi” ibareleri ilgisine göre “başvuru tarihi”; “teklif sahibi” ibaresi “başvuru sahibi” olarak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Yürürlükten kaldırılan mevzuat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29 –</w:t>
                  </w:r>
                  <w:r w:rsidRPr="00E00564">
                    <w:rPr>
                      <w:rFonts w:ascii="Calibri" w:eastAsia="Times New Roman" w:hAnsi="Calibri" w:cs="Calibri"/>
                      <w:lang w:eastAsia="tr-TR"/>
                    </w:rPr>
                    <w:t xml:space="preserve"> (1) 16/12/2010 tarihli ve 27787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Geçiş hükümleri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GEÇİCİ MADDE 1 –</w:t>
                  </w:r>
                  <w:r w:rsidRPr="00E00564">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Ancak bu durumda olanlar da bildirim yükümlülüğü kapsamında Ek-5 ve Ek-7 formlarını sunarlar.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Bu Yönetmeliğin 14 üncü maddesinin üçüncü fıkrasının yürürlüğe girmesinden önce;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Noter onaylı inşaat yapım sözleşmesi düzenlenmiş olup, yapı ruhsatı düzenlenmemiş yapılarda bir yıl süreyle,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ruhsatı alınmış olup, ruhsat süresi içerisinde yapılan tadilat ruhsatı başvurularında,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yeterliği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30 –</w:t>
                  </w:r>
                  <w:r w:rsidRPr="00E00564">
                    <w:rPr>
                      <w:rFonts w:ascii="Calibri" w:eastAsia="Times New Roman" w:hAnsi="Calibri" w:cs="Calibri"/>
                      <w:lang w:eastAsia="tr-TR"/>
                    </w:rPr>
                    <w:t> (1) Bu Yönetmeliğin;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14 üncü maddesinin üçüncü fıkrası yayımı tarihinden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dokuz ay</w:t>
                  </w:r>
                  <w:r w:rsidRPr="00E00564">
                    <w:rPr>
                      <w:rFonts w:ascii="Calibri" w:eastAsia="Times New Roman" w:hAnsi="Calibri" w:cs="Calibri"/>
                      <w:lang w:eastAsia="tr-TR"/>
                    </w:rPr>
                    <w:t> sonra,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Diğer hükümleri yayımı tarihinden üç ay sonra,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yürürlüğe</w:t>
                  </w:r>
                  <w:proofErr w:type="gramEnd"/>
                  <w:r w:rsidRPr="00E00564">
                    <w:rPr>
                      <w:rFonts w:ascii="Calibri" w:eastAsia="Times New Roman" w:hAnsi="Calibri" w:cs="Calibri"/>
                      <w:lang w:eastAsia="tr-TR"/>
                    </w:rPr>
                    <w:t xml:space="preserve"> girer.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Yürütme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31 –</w:t>
                  </w:r>
                  <w:r w:rsidRPr="00E00564">
                    <w:rPr>
                      <w:rFonts w:ascii="Calibri" w:eastAsia="Times New Roman" w:hAnsi="Calibri" w:cs="Calibri"/>
                      <w:lang w:eastAsia="tr-TR"/>
                    </w:rPr>
                    <w:t> (1) Bu Yönetmelik hükümlerini Çevre ve Şehircilik Bakanı yürütür.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4D1239" w:rsidP="00E00564">
                  <w:pPr>
                    <w:spacing w:after="0" w:line="240" w:lineRule="auto"/>
                    <w:ind w:firstLine="567"/>
                    <w:jc w:val="both"/>
                    <w:rPr>
                      <w:rFonts w:ascii="Calibri" w:eastAsia="Times New Roman" w:hAnsi="Calibri" w:cs="Calibri"/>
                      <w:lang w:eastAsia="tr-TR"/>
                    </w:rPr>
                  </w:pPr>
                  <w:hyperlink r:id="rId4" w:history="1">
                    <w:r w:rsidR="00E00564" w:rsidRPr="00E00564">
                      <w:rPr>
                        <w:rFonts w:ascii="Lucida Sans Unicode" w:eastAsia="Times New Roman" w:hAnsi="Lucida Sans Unicode" w:cs="Lucida Sans Unicode"/>
                        <w:color w:val="FF0000"/>
                        <w:sz w:val="15"/>
                        <w:szCs w:val="15"/>
                        <w:u w:val="single"/>
                        <w:lang w:eastAsia="tr-TR"/>
                      </w:rPr>
                      <w:t>Ekleri için tıklayınız.</w:t>
                    </w:r>
                  </w:hyperlink>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00564" w:rsidRPr="00E0056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ind w:firstLine="567"/>
                          <w:rPr>
                            <w:rFonts w:ascii="Calibri" w:eastAsia="Times New Roman" w:hAnsi="Calibri" w:cs="Calibri"/>
                            <w:lang w:eastAsia="tr-TR"/>
                          </w:rPr>
                        </w:pPr>
                        <w:r w:rsidRPr="00E00564">
                          <w:rPr>
                            <w:rFonts w:ascii="Calibri" w:eastAsia="Times New Roman" w:hAnsi="Calibri" w:cs="Calibri"/>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Yönetmeliğin Yayımlandığı Resmî Gazete’nin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30702</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Yönetmelikte Değişiklik Yapan Yönetmeliklerin Yayımlandığı Resmî Gazetelerin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30895</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r>
                </w:tbl>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w:t>
                  </w:r>
                </w:p>
              </w:tc>
            </w:tr>
          </w:tbl>
          <w:p w:rsidR="00E00564" w:rsidRPr="00E00564" w:rsidRDefault="00E00564" w:rsidP="00E00564">
            <w:pPr>
              <w:spacing w:after="0" w:line="240" w:lineRule="auto"/>
              <w:jc w:val="center"/>
              <w:rPr>
                <w:rFonts w:ascii="Times New Roman" w:eastAsia="Times New Roman" w:hAnsi="Times New Roman" w:cs="Times New Roman"/>
                <w:sz w:val="24"/>
                <w:szCs w:val="24"/>
                <w:lang w:eastAsia="tr-TR"/>
              </w:rPr>
            </w:pPr>
          </w:p>
        </w:tc>
      </w:tr>
    </w:tbl>
    <w:p w:rsidR="00422440" w:rsidRDefault="00422440"/>
    <w:sectPr w:rsidR="004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C"/>
    <w:rsid w:val="0038469C"/>
    <w:rsid w:val="00422440"/>
    <w:rsid w:val="004D1239"/>
    <w:rsid w:val="00E0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57C1-69E8-4020-A12B-C7F264B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313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6730</Words>
  <Characters>38366</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Emel Erol</cp:lastModifiedBy>
  <cp:revision>2</cp:revision>
  <dcterms:created xsi:type="dcterms:W3CDTF">2019-11-19T11:32:00Z</dcterms:created>
  <dcterms:modified xsi:type="dcterms:W3CDTF">2019-11-19T11:32:00Z</dcterms:modified>
</cp:coreProperties>
</file>