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4A0" w:firstRow="1" w:lastRow="0" w:firstColumn="1" w:lastColumn="0" w:noHBand="0" w:noVBand="1"/>
      </w:tblPr>
      <w:tblGrid>
        <w:gridCol w:w="6248"/>
        <w:gridCol w:w="333"/>
        <w:gridCol w:w="333"/>
        <w:gridCol w:w="334"/>
        <w:gridCol w:w="334"/>
        <w:gridCol w:w="334"/>
        <w:gridCol w:w="334"/>
        <w:gridCol w:w="195"/>
        <w:gridCol w:w="65"/>
        <w:gridCol w:w="118"/>
        <w:gridCol w:w="444"/>
      </w:tblGrid>
      <w:tr w:rsidR="00C22150" w:rsidTr="00C22150">
        <w:trPr>
          <w:trHeight w:val="630"/>
        </w:trPr>
        <w:tc>
          <w:tcPr>
            <w:tcW w:w="8825" w:type="dxa"/>
            <w:gridSpan w:val="11"/>
            <w:shd w:val="clear" w:color="auto" w:fill="FFFFFF"/>
            <w:tcMar>
              <w:top w:w="0" w:type="dxa"/>
              <w:left w:w="70" w:type="dxa"/>
              <w:bottom w:w="0" w:type="dxa"/>
              <w:right w:w="70" w:type="dxa"/>
            </w:tcMar>
            <w:vAlign w:val="center"/>
          </w:tcPr>
          <w:p w:rsidR="00C22150" w:rsidRDefault="00C22150">
            <w:pPr>
              <w:jc w:val="both"/>
              <w:rPr>
                <w:rFonts w:ascii="Times New Roman" w:hAnsi="Times New Roman" w:cs="Times New Roman"/>
                <w:sz w:val="24"/>
                <w:szCs w:val="24"/>
                <w:lang w:eastAsia="tr-TR"/>
              </w:rPr>
            </w:pPr>
          </w:p>
          <w:p w:rsidR="00C22150" w:rsidRDefault="00C22150">
            <w:pPr>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Ekli Listede özellikleri belirtilen </w:t>
            </w:r>
            <w:r>
              <w:rPr>
                <w:rFonts w:ascii="Times New Roman" w:hAnsi="Times New Roman" w:cs="Times New Roman"/>
                <w:b/>
                <w:bCs/>
                <w:sz w:val="24"/>
                <w:szCs w:val="24"/>
                <w:lang w:eastAsia="tr-TR"/>
              </w:rPr>
              <w:t>1</w:t>
            </w:r>
            <w:r>
              <w:rPr>
                <w:rFonts w:ascii="Times New Roman" w:hAnsi="Times New Roman" w:cs="Times New Roman"/>
                <w:sz w:val="24"/>
                <w:szCs w:val="24"/>
                <w:lang w:eastAsia="tr-TR"/>
              </w:rPr>
              <w:t xml:space="preserve"> ila </w:t>
            </w:r>
            <w:r>
              <w:rPr>
                <w:rFonts w:ascii="Times New Roman" w:hAnsi="Times New Roman" w:cs="Times New Roman"/>
                <w:b/>
                <w:bCs/>
                <w:sz w:val="24"/>
                <w:szCs w:val="24"/>
                <w:lang w:eastAsia="tr-TR"/>
              </w:rPr>
              <w:t xml:space="preserve">200 </w:t>
            </w:r>
            <w:proofErr w:type="spellStart"/>
            <w:r>
              <w:rPr>
                <w:rFonts w:ascii="Times New Roman" w:hAnsi="Times New Roman" w:cs="Times New Roman"/>
                <w:sz w:val="24"/>
                <w:szCs w:val="24"/>
                <w:lang w:eastAsia="tr-TR"/>
              </w:rPr>
              <w:t>ncü</w:t>
            </w:r>
            <w:proofErr w:type="spellEnd"/>
            <w:r>
              <w:rPr>
                <w:rFonts w:ascii="Times New Roman" w:hAnsi="Times New Roman" w:cs="Times New Roman"/>
                <w:sz w:val="24"/>
                <w:szCs w:val="24"/>
                <w:lang w:eastAsia="tr-TR"/>
              </w:rPr>
              <w:t xml:space="preserve"> sıradaki taşınmazların </w:t>
            </w:r>
            <w:r>
              <w:rPr>
                <w:rFonts w:ascii="Times New Roman" w:hAnsi="Times New Roman" w:cs="Times New Roman"/>
                <w:b/>
                <w:bCs/>
                <w:sz w:val="24"/>
                <w:szCs w:val="24"/>
                <w:lang w:eastAsia="tr-TR"/>
              </w:rPr>
              <w:t xml:space="preserve">satışı  </w:t>
            </w:r>
            <w:r>
              <w:rPr>
                <w:rFonts w:ascii="Times New Roman" w:hAnsi="Times New Roman" w:cs="Times New Roman"/>
                <w:sz w:val="24"/>
                <w:szCs w:val="24"/>
                <w:lang w:eastAsia="tr-TR"/>
              </w:rPr>
              <w:t xml:space="preserve">2886  Sayılı Devlet İhale Kanununun </w:t>
            </w:r>
            <w:r>
              <w:rPr>
                <w:rFonts w:ascii="Times New Roman" w:hAnsi="Times New Roman" w:cs="Times New Roman"/>
                <w:b/>
                <w:bCs/>
                <w:sz w:val="24"/>
                <w:szCs w:val="24"/>
                <w:lang w:eastAsia="tr-TR"/>
              </w:rPr>
              <w:t>45</w:t>
            </w:r>
            <w:r>
              <w:rPr>
                <w:rFonts w:ascii="Times New Roman" w:hAnsi="Times New Roman" w:cs="Times New Roman"/>
                <w:sz w:val="24"/>
                <w:szCs w:val="24"/>
                <w:lang w:eastAsia="tr-TR"/>
              </w:rPr>
              <w:t xml:space="preserve">. Maddesine göre Açık Teklif Usulü </w:t>
            </w:r>
            <w:proofErr w:type="gramStart"/>
            <w:r>
              <w:rPr>
                <w:rFonts w:ascii="Times New Roman" w:hAnsi="Times New Roman" w:cs="Times New Roman"/>
                <w:sz w:val="24"/>
                <w:szCs w:val="24"/>
                <w:lang w:eastAsia="tr-TR"/>
              </w:rPr>
              <w:t>ile,</w:t>
            </w:r>
            <w:proofErr w:type="gramEnd"/>
            <w:r>
              <w:rPr>
                <w:rFonts w:ascii="Times New Roman" w:hAnsi="Times New Roman" w:cs="Times New Roman"/>
                <w:sz w:val="24"/>
                <w:szCs w:val="24"/>
                <w:lang w:eastAsia="tr-TR"/>
              </w:rPr>
              <w:t xml:space="preserve">  hizalarında gösterilen gün ve saatte, </w:t>
            </w:r>
            <w:r>
              <w:rPr>
                <w:rFonts w:ascii="Times New Roman" w:hAnsi="Times New Roman" w:cs="Times New Roman"/>
                <w:sz w:val="24"/>
                <w:szCs w:val="24"/>
                <w:lang w:eastAsia="tr-TR"/>
              </w:rPr>
              <w:br/>
              <w:t xml:space="preserve">Konya Çevre, Şehircilik ve İklim Değişikliği İl Müdürlüğü  Milli Emlak Dairesi Başkanlığı ihale odasında(Toplantı salonu)   dosyalarında mevcut şartname gereğince yapılacaktır. </w:t>
            </w:r>
          </w:p>
        </w:tc>
      </w:tr>
      <w:tr w:rsidR="00C22150" w:rsidTr="00C22150">
        <w:trPr>
          <w:gridAfter w:val="4"/>
          <w:wAfter w:w="1404" w:type="dxa"/>
          <w:trHeight w:val="375"/>
        </w:trPr>
        <w:tc>
          <w:tcPr>
            <w:tcW w:w="8250" w:type="dxa"/>
            <w:gridSpan w:val="7"/>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(Konya Çevre, Şehircilik ve İklim Değişikliği  İl Müdürlüğü Ek bina- </w:t>
            </w:r>
            <w:proofErr w:type="spellStart"/>
            <w:r>
              <w:rPr>
                <w:rFonts w:ascii="Times New Roman" w:hAnsi="Times New Roman" w:cs="Times New Roman"/>
                <w:sz w:val="24"/>
                <w:szCs w:val="24"/>
                <w:lang w:eastAsia="tr-TR"/>
              </w:rPr>
              <w:t>Horozluhan</w:t>
            </w:r>
            <w:proofErr w:type="spellEnd"/>
            <w:r>
              <w:rPr>
                <w:rFonts w:ascii="Times New Roman" w:hAnsi="Times New Roman" w:cs="Times New Roman"/>
                <w:sz w:val="24"/>
                <w:szCs w:val="24"/>
                <w:lang w:eastAsia="tr-TR"/>
              </w:rPr>
              <w:t xml:space="preserve"> Mah</w:t>
            </w: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w:t>
            </w:r>
            <w:proofErr w:type="spellStart"/>
            <w:r>
              <w:rPr>
                <w:rFonts w:ascii="Times New Roman" w:hAnsi="Times New Roman" w:cs="Times New Roman"/>
                <w:sz w:val="24"/>
                <w:szCs w:val="24"/>
                <w:lang w:eastAsia="tr-TR"/>
              </w:rPr>
              <w:t>Abdülbasri</w:t>
            </w:r>
            <w:proofErr w:type="spellEnd"/>
            <w:r>
              <w:rPr>
                <w:rFonts w:ascii="Times New Roman" w:hAnsi="Times New Roman" w:cs="Times New Roman"/>
                <w:sz w:val="24"/>
                <w:szCs w:val="24"/>
                <w:lang w:eastAsia="tr-TR"/>
              </w:rPr>
              <w:t xml:space="preserve"> Sok. No:2, 42060 </w:t>
            </w:r>
            <w:proofErr w:type="spellStart"/>
            <w:r>
              <w:rPr>
                <w:rFonts w:ascii="Times New Roman" w:hAnsi="Times New Roman" w:cs="Times New Roman"/>
                <w:sz w:val="24"/>
                <w:szCs w:val="24"/>
                <w:lang w:eastAsia="tr-TR"/>
              </w:rPr>
              <w:t>Horozluhan</w:t>
            </w:r>
            <w:proofErr w:type="spellEnd"/>
            <w:r>
              <w:rPr>
                <w:rFonts w:ascii="Times New Roman" w:hAnsi="Times New Roman" w:cs="Times New Roman"/>
                <w:sz w:val="24"/>
                <w:szCs w:val="24"/>
                <w:lang w:eastAsia="tr-TR"/>
              </w:rPr>
              <w:t xml:space="preserve"> Organize Sanayi Bölgesi/Selçuklu/Konya)</w:t>
            </w:r>
          </w:p>
        </w:tc>
      </w:tr>
      <w:tr w:rsidR="00C22150" w:rsidTr="00C22150">
        <w:trPr>
          <w:trHeight w:val="390"/>
        </w:trPr>
        <w:tc>
          <w:tcPr>
            <w:tcW w:w="8825" w:type="dxa"/>
            <w:gridSpan w:val="11"/>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Teklifler posta ile iadeli taahhütlü olarak </w:t>
            </w:r>
            <w:proofErr w:type="spellStart"/>
            <w:proofErr w:type="gramStart"/>
            <w:r>
              <w:rPr>
                <w:rFonts w:ascii="Times New Roman" w:hAnsi="Times New Roman" w:cs="Times New Roman"/>
                <w:sz w:val="24"/>
                <w:szCs w:val="24"/>
                <w:lang w:eastAsia="tr-TR"/>
              </w:rPr>
              <w:t>gönderilebilir.Posta</w:t>
            </w:r>
            <w:proofErr w:type="spellEnd"/>
            <w:proofErr w:type="gramEnd"/>
            <w:r>
              <w:rPr>
                <w:rFonts w:ascii="Times New Roman" w:hAnsi="Times New Roman" w:cs="Times New Roman"/>
                <w:sz w:val="24"/>
                <w:szCs w:val="24"/>
                <w:lang w:eastAsia="tr-TR"/>
              </w:rPr>
              <w:t xml:space="preserve"> ile gönderilen tekliflerin ilanda belirtilen ihale  saatine kadar Komisyon Başkanlığına ulaşması şarttır. </w:t>
            </w:r>
          </w:p>
        </w:tc>
      </w:tr>
      <w:tr w:rsidR="00C22150" w:rsidTr="00C22150">
        <w:trPr>
          <w:trHeight w:val="390"/>
        </w:trPr>
        <w:tc>
          <w:tcPr>
            <w:tcW w:w="8825" w:type="dxa"/>
            <w:gridSpan w:val="11"/>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sz w:val="24"/>
                <w:szCs w:val="24"/>
                <w:lang w:eastAsia="tr-TR"/>
              </w:rPr>
            </w:pPr>
            <w:r>
              <w:rPr>
                <w:rFonts w:ascii="Times New Roman" w:hAnsi="Times New Roman" w:cs="Times New Roman"/>
                <w:sz w:val="24"/>
                <w:szCs w:val="24"/>
                <w:lang w:eastAsia="tr-TR"/>
              </w:rPr>
              <w:t>Postayla gönderilen teklifler son ve kesin teklif olarak kabul edilecektir.  Postada meydana gelen gecikmeler dikkate alınmayacaktır.</w:t>
            </w:r>
          </w:p>
        </w:tc>
      </w:tr>
      <w:tr w:rsidR="00C22150" w:rsidTr="00C22150">
        <w:trPr>
          <w:trHeight w:val="315"/>
        </w:trPr>
        <w:tc>
          <w:tcPr>
            <w:tcW w:w="8825" w:type="dxa"/>
            <w:gridSpan w:val="11"/>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sz w:val="24"/>
                <w:szCs w:val="24"/>
                <w:lang w:eastAsia="tr-TR"/>
              </w:rPr>
            </w:pPr>
            <w:r>
              <w:rPr>
                <w:rFonts w:ascii="Times New Roman" w:hAnsi="Times New Roman" w:cs="Times New Roman"/>
                <w:sz w:val="24"/>
                <w:szCs w:val="24"/>
                <w:u w:val="single"/>
                <w:lang w:eastAsia="tr-TR"/>
              </w:rPr>
              <w:t>Satışı yapılan taşınmazlar</w:t>
            </w:r>
            <w:r>
              <w:rPr>
                <w:rFonts w:ascii="Times New Roman" w:hAnsi="Times New Roman" w:cs="Times New Roman"/>
                <w:sz w:val="24"/>
                <w:szCs w:val="24"/>
                <w:lang w:eastAsia="tr-TR"/>
              </w:rPr>
              <w:t xml:space="preserve"> K.D.V den satış ve devir işlemleri ile bu işlemler sırasında düzenlenen belgeler vergi, resim ve harçtan müstesnadır. Satışı yapılan taşınmazlar 5 yıl süreyle Emlak Vergisinden muaftır. </w:t>
            </w:r>
          </w:p>
        </w:tc>
      </w:tr>
      <w:tr w:rsidR="00C22150" w:rsidTr="00C22150">
        <w:trPr>
          <w:gridAfter w:val="1"/>
          <w:wAfter w:w="312" w:type="dxa"/>
          <w:trHeight w:val="630"/>
        </w:trPr>
        <w:tc>
          <w:tcPr>
            <w:tcW w:w="8699" w:type="dxa"/>
            <w:gridSpan w:val="10"/>
            <w:shd w:val="clear" w:color="auto" w:fill="FFFFFF"/>
            <w:tcMar>
              <w:top w:w="0" w:type="dxa"/>
              <w:left w:w="70" w:type="dxa"/>
              <w:bottom w:w="0" w:type="dxa"/>
              <w:right w:w="70" w:type="dxa"/>
            </w:tcMar>
            <w:vAlign w:val="center"/>
            <w:hideMark/>
          </w:tcPr>
          <w:p w:rsidR="00C22150" w:rsidRDefault="00C22150">
            <w:pPr>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 xml:space="preserve">Hazine taşınmazlarının; satış işlemlerinde satış bedeli, sınırlı ayni hak tesisi (irtifak hakkı) ve kullanma izni verilmesi işlemlerinde yıllık bedeller üzerinden, Döner Sermaye İşletmesi Müdürlüğü tarafından: 5 Milyon TL'ye kadar olan kısmı için % 1 (yüzde bir), 5 Milyon TL'den 10 Milyon TL'ye kadar olan kısmı için % 0.5 (binde beş), 10 Milyon TL'yi aşan kısmı için % 0.25 (on binde yirmi beş) oranında işlem bedeli alınacaktır. </w:t>
            </w:r>
            <w:proofErr w:type="gramEnd"/>
          </w:p>
        </w:tc>
      </w:tr>
      <w:tr w:rsidR="00C22150" w:rsidTr="00C22150">
        <w:trPr>
          <w:trHeight w:val="315"/>
        </w:trPr>
        <w:tc>
          <w:tcPr>
            <w:tcW w:w="8825" w:type="dxa"/>
            <w:gridSpan w:val="11"/>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sz w:val="24"/>
                <w:szCs w:val="24"/>
                <w:lang w:eastAsia="tr-TR"/>
              </w:rPr>
            </w:pPr>
            <w:r>
              <w:rPr>
                <w:rFonts w:ascii="Times New Roman" w:hAnsi="Times New Roman" w:cs="Times New Roman"/>
                <w:sz w:val="24"/>
                <w:szCs w:val="24"/>
                <w:u w:val="single"/>
                <w:lang w:eastAsia="tr-TR"/>
              </w:rPr>
              <w:t>Satışı yapılan taşınmazların</w:t>
            </w:r>
            <w:r>
              <w:rPr>
                <w:rFonts w:ascii="Times New Roman" w:hAnsi="Times New Roman" w:cs="Times New Roman"/>
                <w:sz w:val="24"/>
                <w:szCs w:val="24"/>
                <w:lang w:eastAsia="tr-TR"/>
              </w:rPr>
              <w:t xml:space="preserve"> İhale bedeli defaten ödenebileceği gibi, ihale bedelinin 5.000,00.-TL'yi aşması halinde, talep üzerine bedelin 1/4 'ü peşin, kalan kısmı yıllık kanuni faiz uygulanmak suretiyle en fazla iki yılda, taksitler halinde ödenmek üzere taksitlendirme yapılabilecektir.</w:t>
            </w:r>
          </w:p>
        </w:tc>
      </w:tr>
      <w:tr w:rsidR="00C22150" w:rsidTr="00C22150">
        <w:trPr>
          <w:gridAfter w:val="8"/>
          <w:wAfter w:w="2740" w:type="dxa"/>
          <w:trHeight w:val="390"/>
        </w:trPr>
        <w:tc>
          <w:tcPr>
            <w:tcW w:w="6914" w:type="dxa"/>
            <w:gridSpan w:val="3"/>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sz w:val="24"/>
                <w:szCs w:val="24"/>
                <w:lang w:eastAsia="tr-TR"/>
              </w:rPr>
            </w:pPr>
            <w:r>
              <w:rPr>
                <w:rFonts w:ascii="Times New Roman" w:hAnsi="Times New Roman" w:cs="Times New Roman"/>
                <w:sz w:val="24"/>
                <w:szCs w:val="24"/>
                <w:lang w:eastAsia="tr-TR"/>
              </w:rPr>
              <w:t>Şartname ve ekleri İdaremizde bedelsiz olarak görülebilir.</w:t>
            </w:r>
          </w:p>
        </w:tc>
      </w:tr>
      <w:tr w:rsidR="00C22150" w:rsidTr="00C22150">
        <w:trPr>
          <w:gridAfter w:val="9"/>
          <w:wAfter w:w="3073" w:type="dxa"/>
          <w:trHeight w:val="390"/>
        </w:trPr>
        <w:tc>
          <w:tcPr>
            <w:tcW w:w="6581" w:type="dxa"/>
            <w:gridSpan w:val="2"/>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İhaleye katılabilmek için isteklilerin;</w:t>
            </w:r>
          </w:p>
        </w:tc>
      </w:tr>
      <w:tr w:rsidR="00C22150" w:rsidTr="00C22150">
        <w:trPr>
          <w:gridAfter w:val="9"/>
          <w:wAfter w:w="3073" w:type="dxa"/>
          <w:trHeight w:val="390"/>
        </w:trPr>
        <w:tc>
          <w:tcPr>
            <w:tcW w:w="6581" w:type="dxa"/>
            <w:gridSpan w:val="2"/>
            <w:shd w:val="clear" w:color="auto" w:fill="FFFFFF"/>
            <w:noWrap/>
            <w:tcMar>
              <w:top w:w="0" w:type="dxa"/>
              <w:left w:w="70" w:type="dxa"/>
              <w:bottom w:w="0" w:type="dxa"/>
              <w:right w:w="70" w:type="dxa"/>
            </w:tcMar>
            <w:vAlign w:val="center"/>
            <w:hideMark/>
          </w:tcPr>
          <w:p w:rsidR="00C22150" w:rsidRDefault="00C22150" w:rsidP="006B15AA">
            <w:pPr>
              <w:pStyle w:val="ListeParagraf"/>
              <w:numPr>
                <w:ilvl w:val="0"/>
                <w:numId w:val="1"/>
              </w:numPr>
              <w:jc w:val="both"/>
              <w:rPr>
                <w:rFonts w:ascii="Times New Roman" w:hAnsi="Times New Roman" w:cs="Times New Roman"/>
                <w:color w:val="FF0000"/>
                <w:sz w:val="24"/>
                <w:szCs w:val="24"/>
                <w:lang w:eastAsia="tr-TR"/>
              </w:rPr>
            </w:pPr>
            <w:r>
              <w:rPr>
                <w:rFonts w:ascii="Times New Roman" w:hAnsi="Times New Roman" w:cs="Times New Roman"/>
                <w:color w:val="FF0000"/>
                <w:sz w:val="24"/>
                <w:szCs w:val="24"/>
                <w:lang w:eastAsia="tr-TR"/>
              </w:rPr>
              <w:t>Yasal yerleşim yeri sahibi olmaları,</w:t>
            </w:r>
          </w:p>
        </w:tc>
      </w:tr>
      <w:tr w:rsidR="00C22150" w:rsidTr="00C22150">
        <w:trPr>
          <w:gridAfter w:val="8"/>
          <w:wAfter w:w="2740" w:type="dxa"/>
          <w:trHeight w:val="390"/>
        </w:trPr>
        <w:tc>
          <w:tcPr>
            <w:tcW w:w="6914" w:type="dxa"/>
            <w:gridSpan w:val="3"/>
            <w:shd w:val="clear" w:color="auto" w:fill="FFFFFF"/>
            <w:noWrap/>
            <w:tcMar>
              <w:top w:w="0" w:type="dxa"/>
              <w:left w:w="70" w:type="dxa"/>
              <w:bottom w:w="0" w:type="dxa"/>
              <w:right w:w="70" w:type="dxa"/>
            </w:tcMar>
            <w:vAlign w:val="center"/>
            <w:hideMark/>
          </w:tcPr>
          <w:p w:rsidR="00C22150" w:rsidRDefault="00C22150" w:rsidP="006B15AA">
            <w:pPr>
              <w:pStyle w:val="ListeParagraf"/>
              <w:numPr>
                <w:ilvl w:val="0"/>
                <w:numId w:val="1"/>
              </w:numPr>
              <w:jc w:val="both"/>
              <w:rPr>
                <w:rFonts w:ascii="Times New Roman" w:hAnsi="Times New Roman" w:cs="Times New Roman"/>
                <w:color w:val="FF0000"/>
                <w:sz w:val="24"/>
                <w:szCs w:val="24"/>
                <w:lang w:eastAsia="tr-TR"/>
              </w:rPr>
            </w:pPr>
            <w:r>
              <w:rPr>
                <w:rFonts w:ascii="Times New Roman" w:hAnsi="Times New Roman" w:cs="Times New Roman"/>
                <w:color w:val="FF0000"/>
                <w:sz w:val="24"/>
                <w:szCs w:val="24"/>
                <w:lang w:eastAsia="tr-TR"/>
              </w:rPr>
              <w:t>Tebligat için Türkiye'de adres göstermeleri,</w:t>
            </w:r>
          </w:p>
        </w:tc>
      </w:tr>
      <w:tr w:rsidR="00C22150" w:rsidTr="00C22150">
        <w:trPr>
          <w:gridAfter w:val="2"/>
          <w:wAfter w:w="780" w:type="dxa"/>
          <w:trHeight w:val="390"/>
        </w:trPr>
        <w:tc>
          <w:tcPr>
            <w:tcW w:w="8510" w:type="dxa"/>
            <w:gridSpan w:val="9"/>
            <w:shd w:val="clear" w:color="auto" w:fill="FFFFFF"/>
            <w:noWrap/>
            <w:tcMar>
              <w:top w:w="0" w:type="dxa"/>
              <w:left w:w="70" w:type="dxa"/>
              <w:bottom w:w="0" w:type="dxa"/>
              <w:right w:w="70" w:type="dxa"/>
            </w:tcMar>
            <w:vAlign w:val="center"/>
            <w:hideMark/>
          </w:tcPr>
          <w:p w:rsidR="00C22150" w:rsidRDefault="00C22150" w:rsidP="006B15AA">
            <w:pPr>
              <w:pStyle w:val="ListeParagraf"/>
              <w:numPr>
                <w:ilvl w:val="0"/>
                <w:numId w:val="1"/>
              </w:numPr>
              <w:jc w:val="both"/>
              <w:rPr>
                <w:rFonts w:ascii="Times New Roman" w:hAnsi="Times New Roman" w:cs="Times New Roman"/>
                <w:color w:val="FF0000"/>
                <w:sz w:val="24"/>
                <w:szCs w:val="24"/>
                <w:lang w:eastAsia="tr-TR"/>
              </w:rPr>
            </w:pPr>
            <w:r>
              <w:rPr>
                <w:rFonts w:ascii="Times New Roman" w:hAnsi="Times New Roman" w:cs="Times New Roman"/>
                <w:color w:val="FF0000"/>
                <w:sz w:val="24"/>
                <w:szCs w:val="24"/>
                <w:lang w:eastAsia="tr-TR"/>
              </w:rPr>
              <w:t>Geçici teminata ait belge ile birlikte TC kimlik numarası bulunan Kimlik Belgesinin aslı ve fotokopisi (Geçici teminatların banka teminat mektubuyla verilmesi halinde, Teminat Mektubunun Geçici, Süresiz, Limit içi olması ve teyit yazısının da ibrazı gerekir.)</w:t>
            </w:r>
          </w:p>
        </w:tc>
      </w:tr>
      <w:tr w:rsidR="00C22150" w:rsidTr="00C22150">
        <w:trPr>
          <w:gridAfter w:val="2"/>
          <w:wAfter w:w="780" w:type="dxa"/>
          <w:trHeight w:val="390"/>
        </w:trPr>
        <w:tc>
          <w:tcPr>
            <w:tcW w:w="8510" w:type="dxa"/>
            <w:gridSpan w:val="9"/>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color w:val="FF0000"/>
                <w:sz w:val="24"/>
                <w:szCs w:val="24"/>
                <w:lang w:eastAsia="tr-TR"/>
              </w:rPr>
            </w:pPr>
            <w:r>
              <w:rPr>
                <w:rFonts w:ascii="Times New Roman" w:hAnsi="Times New Roman" w:cs="Times New Roman"/>
                <w:color w:val="FF0000"/>
                <w:sz w:val="24"/>
                <w:szCs w:val="24"/>
                <w:lang w:eastAsia="tr-TR"/>
              </w:rPr>
              <w:t xml:space="preserve">     d) Özel Hukuk Tüzel </w:t>
            </w:r>
            <w:proofErr w:type="spellStart"/>
            <w:r>
              <w:rPr>
                <w:rFonts w:ascii="Times New Roman" w:hAnsi="Times New Roman" w:cs="Times New Roman"/>
                <w:color w:val="FF0000"/>
                <w:sz w:val="24"/>
                <w:szCs w:val="24"/>
                <w:lang w:eastAsia="tr-TR"/>
              </w:rPr>
              <w:t>kişileride</w:t>
            </w:r>
            <w:proofErr w:type="spellEnd"/>
            <w:r>
              <w:rPr>
                <w:rFonts w:ascii="Times New Roman" w:hAnsi="Times New Roman" w:cs="Times New Roman"/>
                <w:color w:val="FF0000"/>
                <w:sz w:val="24"/>
                <w:szCs w:val="24"/>
                <w:lang w:eastAsia="tr-TR"/>
              </w:rPr>
              <w:t xml:space="preserve"> yukarıda belirtilen şartlardan ayrı olarak idare merkezlerinin bulunduğu yer mahkemesinden veya siciline kayıtlı bulunduğu ticaret ve sanayi odasından yahut benzeri mesleki kuruluştan</w:t>
            </w:r>
            <w:r>
              <w:rPr>
                <w:rFonts w:ascii="Times New Roman" w:hAnsi="Times New Roman" w:cs="Times New Roman"/>
                <w:b/>
                <w:bCs/>
                <w:color w:val="FF0000"/>
                <w:sz w:val="24"/>
                <w:szCs w:val="24"/>
                <w:lang w:eastAsia="tr-TR"/>
              </w:rPr>
              <w:t xml:space="preserve"> ihalenin yapıldığı yıl</w:t>
            </w:r>
            <w:r>
              <w:rPr>
                <w:rFonts w:ascii="Times New Roman" w:hAnsi="Times New Roman" w:cs="Times New Roman"/>
                <w:color w:val="FF0000"/>
                <w:sz w:val="24"/>
                <w:szCs w:val="24"/>
                <w:lang w:eastAsia="tr-TR"/>
              </w:rPr>
              <w:t xml:space="preserve"> içinde alınmış sicil kayıt belgesi </w:t>
            </w:r>
          </w:p>
        </w:tc>
      </w:tr>
      <w:tr w:rsidR="00C22150" w:rsidTr="00C22150">
        <w:trPr>
          <w:gridAfter w:val="2"/>
          <w:wAfter w:w="780" w:type="dxa"/>
          <w:trHeight w:val="390"/>
        </w:trPr>
        <w:tc>
          <w:tcPr>
            <w:tcW w:w="8510" w:type="dxa"/>
            <w:gridSpan w:val="9"/>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color w:val="FF0000"/>
                <w:sz w:val="24"/>
                <w:szCs w:val="24"/>
                <w:lang w:eastAsia="tr-TR"/>
              </w:rPr>
            </w:pPr>
            <w:r>
              <w:rPr>
                <w:rFonts w:ascii="Times New Roman" w:hAnsi="Times New Roman" w:cs="Times New Roman"/>
                <w:color w:val="FF0000"/>
                <w:sz w:val="24"/>
                <w:szCs w:val="24"/>
                <w:lang w:eastAsia="tr-TR"/>
              </w:rPr>
              <w:t>(bazı oda düzenlemelerine göre oda sicil kayıt belgesi ve faaliyet belgesi olarak birleştirilmiş ve adlandırılmış belge) ile tüzel kişilik adına ihaleye katılacak veya teklifte bulunacak kişi/kişilerin tüzel kişiliği temsile tam yetkili olduklarını gösterir noterlikçe tasdik</w:t>
            </w:r>
          </w:p>
        </w:tc>
      </w:tr>
      <w:tr w:rsidR="00C22150" w:rsidTr="00C22150">
        <w:trPr>
          <w:gridAfter w:val="3"/>
          <w:wAfter w:w="936" w:type="dxa"/>
          <w:trHeight w:val="390"/>
        </w:trPr>
        <w:tc>
          <w:tcPr>
            <w:tcW w:w="8445" w:type="dxa"/>
            <w:gridSpan w:val="8"/>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color w:val="FF0000"/>
                <w:sz w:val="24"/>
                <w:szCs w:val="24"/>
                <w:lang w:eastAsia="tr-TR"/>
              </w:rPr>
            </w:pPr>
            <w:proofErr w:type="gramStart"/>
            <w:r>
              <w:rPr>
                <w:rFonts w:ascii="Times New Roman" w:hAnsi="Times New Roman" w:cs="Times New Roman"/>
                <w:color w:val="FF0000"/>
                <w:sz w:val="24"/>
                <w:szCs w:val="24"/>
                <w:lang w:eastAsia="tr-TR"/>
              </w:rPr>
              <w:t>edilmiş</w:t>
            </w:r>
            <w:proofErr w:type="gramEnd"/>
            <w:r>
              <w:rPr>
                <w:rFonts w:ascii="Times New Roman" w:hAnsi="Times New Roman" w:cs="Times New Roman"/>
                <w:color w:val="FF0000"/>
                <w:sz w:val="24"/>
                <w:szCs w:val="24"/>
                <w:lang w:eastAsia="tr-TR"/>
              </w:rPr>
              <w:t xml:space="preserve"> vekaletnameyi vermeleri, kamu tüzel kişilerinin ise yukarıda (b) , ( c ) ve (d) bentlerindeki şartlardan ayrı olarak tüzel kişilik adına ihaleye katılacak veya teklifte bulunacak kişi/kişilerin temsile yetkili olduğunu belirtir belgeyi vermeleri,</w:t>
            </w:r>
          </w:p>
        </w:tc>
      </w:tr>
      <w:tr w:rsidR="00C22150" w:rsidTr="00C22150">
        <w:trPr>
          <w:gridAfter w:val="5"/>
          <w:wAfter w:w="1738" w:type="dxa"/>
          <w:trHeight w:val="390"/>
        </w:trPr>
        <w:tc>
          <w:tcPr>
            <w:tcW w:w="7916" w:type="dxa"/>
            <w:gridSpan w:val="6"/>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color w:val="FF0000"/>
                <w:sz w:val="24"/>
                <w:szCs w:val="24"/>
                <w:lang w:eastAsia="tr-TR"/>
              </w:rPr>
            </w:pPr>
            <w:r>
              <w:rPr>
                <w:rFonts w:ascii="Times New Roman" w:hAnsi="Times New Roman" w:cs="Times New Roman"/>
                <w:color w:val="FF0000"/>
                <w:sz w:val="24"/>
                <w:szCs w:val="24"/>
                <w:lang w:eastAsia="tr-TR"/>
              </w:rPr>
              <w:t xml:space="preserve">         e) Gerçek şahıslar adına </w:t>
            </w:r>
            <w:proofErr w:type="gramStart"/>
            <w:r>
              <w:rPr>
                <w:rFonts w:ascii="Times New Roman" w:hAnsi="Times New Roman" w:cs="Times New Roman"/>
                <w:color w:val="FF0000"/>
                <w:sz w:val="24"/>
                <w:szCs w:val="24"/>
                <w:lang w:eastAsia="tr-TR"/>
              </w:rPr>
              <w:t>vekaleten</w:t>
            </w:r>
            <w:proofErr w:type="gramEnd"/>
            <w:r>
              <w:rPr>
                <w:rFonts w:ascii="Times New Roman" w:hAnsi="Times New Roman" w:cs="Times New Roman"/>
                <w:color w:val="FF0000"/>
                <w:sz w:val="24"/>
                <w:szCs w:val="24"/>
                <w:lang w:eastAsia="tr-TR"/>
              </w:rPr>
              <w:t xml:space="preserve"> katılacakların Noter tasdikli vekaletnamelerinin aslı  ile birlikte Komisyon huzurunda hazır bulunmaları gerekir.</w:t>
            </w:r>
          </w:p>
        </w:tc>
      </w:tr>
      <w:tr w:rsidR="00C22150" w:rsidTr="00C22150">
        <w:trPr>
          <w:gridAfter w:val="2"/>
          <w:wAfter w:w="780" w:type="dxa"/>
          <w:trHeight w:val="390"/>
        </w:trPr>
        <w:tc>
          <w:tcPr>
            <w:tcW w:w="8510" w:type="dxa"/>
            <w:gridSpan w:val="9"/>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İlanda belirtildiği şekilde saatinde başlatılan ihalelerden herhangi birinin saatinin uzaması halinde, takip eden ihalelerden devam edilir. Bir önceki ihale saatinin </w:t>
            </w:r>
            <w:r>
              <w:rPr>
                <w:rFonts w:ascii="Times New Roman" w:hAnsi="Times New Roman" w:cs="Times New Roman"/>
                <w:color w:val="000000"/>
                <w:sz w:val="24"/>
                <w:szCs w:val="24"/>
                <w:lang w:eastAsia="tr-TR"/>
              </w:rPr>
              <w:lastRenderedPageBreak/>
              <w:t>uzamasından dolayı bir sonraki ve diğer ihalelerin saatinde başlatılmamasından dolayı istekliler tarafından herhangi bir hak iddia</w:t>
            </w:r>
          </w:p>
        </w:tc>
      </w:tr>
      <w:tr w:rsidR="00C22150" w:rsidTr="00C22150">
        <w:trPr>
          <w:gridAfter w:val="2"/>
          <w:wAfter w:w="780" w:type="dxa"/>
          <w:trHeight w:val="390"/>
        </w:trPr>
        <w:tc>
          <w:tcPr>
            <w:tcW w:w="8510" w:type="dxa"/>
            <w:gridSpan w:val="9"/>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color w:val="000000"/>
                <w:sz w:val="24"/>
                <w:szCs w:val="24"/>
                <w:lang w:eastAsia="tr-TR"/>
              </w:rPr>
            </w:pPr>
            <w:proofErr w:type="gramStart"/>
            <w:r>
              <w:rPr>
                <w:rFonts w:ascii="Times New Roman" w:hAnsi="Times New Roman" w:cs="Times New Roman"/>
                <w:color w:val="000000"/>
                <w:sz w:val="24"/>
                <w:szCs w:val="24"/>
                <w:lang w:eastAsia="tr-TR"/>
              </w:rPr>
              <w:lastRenderedPageBreak/>
              <w:t>edilemez</w:t>
            </w:r>
            <w:proofErr w:type="gramEnd"/>
            <w:r>
              <w:rPr>
                <w:rFonts w:ascii="Times New Roman" w:hAnsi="Times New Roman" w:cs="Times New Roman"/>
                <w:color w:val="000000"/>
                <w:sz w:val="24"/>
                <w:szCs w:val="24"/>
                <w:lang w:eastAsia="tr-TR"/>
              </w:rPr>
              <w:t xml:space="preserve"> ve tazminat talebinde bulunulamaz. Adli ve idari yargıda idare aleyhine dava açılamaz. Ayrıca; ihalelerin saatinde bitirilemeyecek olması veya ihale komisyonunun gerekli gördüğü hallerde, ihalenin her aşamasında sözlü teklif almaya son verilerek yazılı son teklif alınarak, ihale</w:t>
            </w:r>
          </w:p>
        </w:tc>
      </w:tr>
      <w:tr w:rsidR="00C22150" w:rsidTr="00C22150">
        <w:trPr>
          <w:gridAfter w:val="6"/>
          <w:wAfter w:w="2072" w:type="dxa"/>
          <w:trHeight w:val="390"/>
        </w:trPr>
        <w:tc>
          <w:tcPr>
            <w:tcW w:w="7582" w:type="dxa"/>
            <w:gridSpan w:val="5"/>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color w:val="000000"/>
                <w:sz w:val="24"/>
                <w:szCs w:val="24"/>
                <w:lang w:eastAsia="tr-TR"/>
              </w:rPr>
            </w:pPr>
            <w:proofErr w:type="gramStart"/>
            <w:r>
              <w:rPr>
                <w:rFonts w:ascii="Times New Roman" w:hAnsi="Times New Roman" w:cs="Times New Roman"/>
                <w:color w:val="000000"/>
                <w:sz w:val="24"/>
                <w:szCs w:val="24"/>
                <w:lang w:eastAsia="tr-TR"/>
              </w:rPr>
              <w:t>sonuçlandırılır</w:t>
            </w:r>
            <w:proofErr w:type="gramEnd"/>
            <w:r>
              <w:rPr>
                <w:rFonts w:ascii="Times New Roman" w:hAnsi="Times New Roman" w:cs="Times New Roman"/>
                <w:color w:val="000000"/>
                <w:sz w:val="24"/>
                <w:szCs w:val="24"/>
                <w:lang w:eastAsia="tr-TR"/>
              </w:rPr>
              <w:t>. İstekliler ihale için teminat yatırıp belgelerini ibraz etmekle bu durumu kabul etmiş sayılır.</w:t>
            </w:r>
          </w:p>
        </w:tc>
      </w:tr>
      <w:tr w:rsidR="00C22150" w:rsidTr="00C22150">
        <w:trPr>
          <w:gridAfter w:val="5"/>
          <w:wAfter w:w="1738" w:type="dxa"/>
          <w:trHeight w:val="390"/>
        </w:trPr>
        <w:tc>
          <w:tcPr>
            <w:tcW w:w="7916" w:type="dxa"/>
            <w:gridSpan w:val="6"/>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sz w:val="24"/>
                <w:szCs w:val="24"/>
                <w:lang w:eastAsia="tr-TR"/>
              </w:rPr>
            </w:pPr>
            <w:proofErr w:type="spellStart"/>
            <w:r>
              <w:rPr>
                <w:rFonts w:ascii="Times New Roman" w:hAnsi="Times New Roman" w:cs="Times New Roman"/>
                <w:sz w:val="24"/>
                <w:szCs w:val="24"/>
                <w:lang w:eastAsia="tr-TR"/>
              </w:rPr>
              <w:t>İşgalli</w:t>
            </w:r>
            <w:proofErr w:type="spellEnd"/>
            <w:r>
              <w:rPr>
                <w:rFonts w:ascii="Times New Roman" w:hAnsi="Times New Roman" w:cs="Times New Roman"/>
                <w:sz w:val="24"/>
                <w:szCs w:val="24"/>
                <w:lang w:eastAsia="tr-TR"/>
              </w:rPr>
              <w:t xml:space="preserve"> veya hisseli taşınmazlardan doğacak her türlü ihtilaflar alıcısına ait olup, Kurumumuzun herhangi bir sorumluluğu bulunmamaktadır.</w:t>
            </w:r>
          </w:p>
        </w:tc>
      </w:tr>
      <w:tr w:rsidR="00C22150" w:rsidTr="00C22150">
        <w:trPr>
          <w:gridAfter w:val="7"/>
          <w:wAfter w:w="2406" w:type="dxa"/>
          <w:trHeight w:val="390"/>
        </w:trPr>
        <w:tc>
          <w:tcPr>
            <w:tcW w:w="7248" w:type="dxa"/>
            <w:gridSpan w:val="4"/>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sz w:val="24"/>
                <w:szCs w:val="24"/>
                <w:lang w:eastAsia="tr-TR"/>
              </w:rPr>
            </w:pPr>
            <w:r>
              <w:rPr>
                <w:rFonts w:ascii="Times New Roman" w:hAnsi="Times New Roman" w:cs="Times New Roman"/>
                <w:sz w:val="24"/>
                <w:szCs w:val="24"/>
                <w:lang w:eastAsia="tr-TR"/>
              </w:rPr>
              <w:t>Komisyon, ihaleyi yapıp yapmamakta serbesttir. Komisyonların ihaleyi yapmama kararı kesindir.</w:t>
            </w:r>
          </w:p>
        </w:tc>
      </w:tr>
      <w:tr w:rsidR="00C22150" w:rsidTr="00C22150">
        <w:trPr>
          <w:gridAfter w:val="7"/>
          <w:wAfter w:w="2406" w:type="dxa"/>
          <w:trHeight w:val="390"/>
        </w:trPr>
        <w:tc>
          <w:tcPr>
            <w:tcW w:w="7248" w:type="dxa"/>
            <w:gridSpan w:val="4"/>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Türkiye genelindeki ihale bilgileri </w:t>
            </w:r>
            <w:hyperlink r:id="rId5" w:history="1">
              <w:r>
                <w:rPr>
                  <w:rStyle w:val="Kpr"/>
                  <w:rFonts w:ascii="Times New Roman" w:hAnsi="Times New Roman" w:cs="Times New Roman"/>
                  <w:sz w:val="24"/>
                  <w:szCs w:val="24"/>
                  <w:lang w:eastAsia="tr-TR"/>
                </w:rPr>
                <w:t>http://www.milliemlak.gov.tr</w:t>
              </w:r>
            </w:hyperlink>
            <w:r>
              <w:rPr>
                <w:rFonts w:ascii="Times New Roman" w:hAnsi="Times New Roman" w:cs="Times New Roman"/>
                <w:sz w:val="24"/>
                <w:szCs w:val="24"/>
                <w:lang w:eastAsia="tr-TR"/>
              </w:rPr>
              <w:t xml:space="preserve"> adresinden öğrenilebilir.</w:t>
            </w:r>
          </w:p>
        </w:tc>
      </w:tr>
      <w:tr w:rsidR="00C22150" w:rsidTr="00C22150">
        <w:trPr>
          <w:gridAfter w:val="10"/>
          <w:wAfter w:w="3406" w:type="dxa"/>
          <w:trHeight w:val="390"/>
        </w:trPr>
        <w:tc>
          <w:tcPr>
            <w:tcW w:w="6248" w:type="dxa"/>
            <w:shd w:val="clear" w:color="auto" w:fill="FFFFFF"/>
            <w:noWrap/>
            <w:tcMar>
              <w:top w:w="0" w:type="dxa"/>
              <w:left w:w="70" w:type="dxa"/>
              <w:bottom w:w="0" w:type="dxa"/>
              <w:right w:w="70" w:type="dxa"/>
            </w:tcMar>
            <w:vAlign w:val="center"/>
            <w:hideMark/>
          </w:tcPr>
          <w:p w:rsidR="00C22150" w:rsidRDefault="00C22150">
            <w:pPr>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İLAN OLUNUR.</w:t>
            </w:r>
          </w:p>
        </w:tc>
      </w:tr>
    </w:tbl>
    <w:p w:rsidR="003022E1" w:rsidRDefault="00C22150">
      <w:bookmarkStart w:id="0" w:name="_GoBack"/>
      <w:bookmarkEnd w:id="0"/>
    </w:p>
    <w:sectPr w:rsidR="003022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56201"/>
    <w:multiLevelType w:val="hybridMultilevel"/>
    <w:tmpl w:val="44FE108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0C"/>
    <w:rsid w:val="00C22150"/>
    <w:rsid w:val="00D96727"/>
    <w:rsid w:val="00F77B0C"/>
    <w:rsid w:val="00FA1C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F4837-85A7-40D3-A755-763CA5DA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150"/>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22150"/>
    <w:rPr>
      <w:color w:val="0563C1"/>
      <w:u w:val="single"/>
    </w:rPr>
  </w:style>
  <w:style w:type="paragraph" w:styleId="ListeParagraf">
    <w:name w:val="List Paragraph"/>
    <w:basedOn w:val="Normal"/>
    <w:uiPriority w:val="34"/>
    <w:qFormat/>
    <w:rsid w:val="00C221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1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Abütter Eser</dc:creator>
  <cp:keywords/>
  <dc:description/>
  <cp:lastModifiedBy>Abütter Eser</cp:lastModifiedBy>
  <cp:revision>2</cp:revision>
  <dcterms:created xsi:type="dcterms:W3CDTF">2023-06-01T05:56:00Z</dcterms:created>
  <dcterms:modified xsi:type="dcterms:W3CDTF">2023-06-01T05:56:00Z</dcterms:modified>
</cp:coreProperties>
</file>