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E7" w:rsidRPr="00A744E7" w:rsidRDefault="00A744E7" w:rsidP="00A744E7">
      <w:pPr>
        <w:pStyle w:val="NormalWeb"/>
        <w:shd w:val="clear" w:color="auto" w:fill="FFFFFF"/>
        <w:spacing w:before="0" w:beforeAutospacing="0" w:after="150" w:afterAutospacing="0"/>
        <w:jc w:val="center"/>
        <w:rPr>
          <w:b/>
          <w:color w:val="333333"/>
        </w:rPr>
      </w:pPr>
      <w:bookmarkStart w:id="0" w:name="_GoBack"/>
      <w:bookmarkEnd w:id="0"/>
      <w:r w:rsidRPr="00A744E7">
        <w:rPr>
          <w:b/>
          <w:color w:val="333333"/>
        </w:rPr>
        <w:t>İLAN</w:t>
      </w:r>
    </w:p>
    <w:p w:rsidR="006063B4" w:rsidRPr="006063B4" w:rsidRDefault="006063B4" w:rsidP="006063B4">
      <w:pPr>
        <w:pStyle w:val="NormalWeb"/>
        <w:shd w:val="clear" w:color="auto" w:fill="FFFFFF"/>
        <w:spacing w:before="0" w:beforeAutospacing="0" w:after="150" w:afterAutospacing="0"/>
        <w:jc w:val="both"/>
        <w:rPr>
          <w:color w:val="333333"/>
        </w:rPr>
      </w:pPr>
      <w:r w:rsidRPr="006063B4">
        <w:rPr>
          <w:color w:val="333333"/>
        </w:rPr>
        <w:t>Bakanlığımızca onaylı havza ve bölge bazındaki 1/100.000 Ölçekli Çevre Düzeni Planlarındaki uygulamalarda bütünlüğün sağlanması amacıyla Kırşehir-Nevşehir-Niğde-Aksaray Planlama Bölgesi 1/100.000 Ölçekli Çevre Düzeni Planı’nın (ÇDP) “Eko-Turizm” alanlarına ilişkin tanım maddesinin </w:t>
      </w:r>
      <w:r w:rsidRPr="006063B4">
        <w:rPr>
          <w:rStyle w:val="Vurgu"/>
          <w:color w:val="333333"/>
        </w:rPr>
        <w:t xml:space="preserve">“5.45 Eko-Turizm Alanı: Doğal ve kültürel değerleri koruyarak, bu alanlarda ve çevresinde yaşayan nüfusun </w:t>
      </w:r>
      <w:proofErr w:type="spellStart"/>
      <w:r w:rsidRPr="006063B4">
        <w:rPr>
          <w:rStyle w:val="Vurgu"/>
          <w:color w:val="333333"/>
        </w:rPr>
        <w:t>sosyo</w:t>
      </w:r>
      <w:proofErr w:type="spellEnd"/>
      <w:r w:rsidRPr="006063B4">
        <w:rPr>
          <w:rStyle w:val="Vurgu"/>
          <w:color w:val="333333"/>
        </w:rPr>
        <w:t>-ekonomik gelişimi için kaynak yaratabilen alternatif turizme dönük, doğal yaşama aktif katılımın sağlanabildiği, çevreye duyarlı alanlardır.”</w:t>
      </w:r>
      <w:r w:rsidRPr="006063B4">
        <w:rPr>
          <w:color w:val="333333"/>
        </w:rPr>
        <w:t xml:space="preserve"> şeklinde eklenmesi ve bununla birlikte 2634 sayılı Turizmi Teşvik Kanunu’na eklenen “(Ek fıkra:18/7/2021-7334/4 </w:t>
      </w:r>
      <w:proofErr w:type="spellStart"/>
      <w:r w:rsidRPr="006063B4">
        <w:rPr>
          <w:color w:val="333333"/>
        </w:rPr>
        <w:t>md.</w:t>
      </w:r>
      <w:proofErr w:type="spellEnd"/>
      <w:r w:rsidRPr="006063B4">
        <w:rPr>
          <w:color w:val="333333"/>
        </w:rPr>
        <w:t xml:space="preserve">)” maddesi ile turizm işletmeleri için Kültür ve Turizm Bakanlığı dışında hiçbir idare tarafından belge düzenlenemeyeceğinin hüküm altına alındığı belirlenmiş olup bu kapsamda </w:t>
      </w:r>
      <w:proofErr w:type="spellStart"/>
      <w:r w:rsidRPr="006063B4">
        <w:rPr>
          <w:color w:val="333333"/>
        </w:rPr>
        <w:t>ÇDP’nin</w:t>
      </w:r>
      <w:proofErr w:type="spellEnd"/>
      <w:r w:rsidRPr="006063B4">
        <w:rPr>
          <w:color w:val="333333"/>
        </w:rPr>
        <w:t> </w:t>
      </w:r>
      <w:r w:rsidRPr="006063B4">
        <w:rPr>
          <w:rStyle w:val="Gl"/>
          <w:i/>
          <w:iCs/>
          <w:color w:val="333333"/>
        </w:rPr>
        <w:t>“</w:t>
      </w:r>
      <w:r w:rsidRPr="006063B4">
        <w:rPr>
          <w:rStyle w:val="Gl"/>
          <w:color w:val="333333"/>
        </w:rPr>
        <w:t>8.15.5 Eko-Turizm Alanı</w:t>
      </w:r>
      <w:r w:rsidRPr="006063B4">
        <w:rPr>
          <w:rStyle w:val="Vurgu"/>
          <w:b/>
          <w:bCs/>
          <w:color w:val="333333"/>
        </w:rPr>
        <w:t>”</w:t>
      </w:r>
      <w:r w:rsidRPr="006063B4">
        <w:rPr>
          <w:color w:val="333333"/>
        </w:rPr>
        <w:t xml:space="preserve"> hükmünün turizm amacı dışında uygulamalara izin vermeyecek şekilde ve uygulamalarda, yetkili Bakanlık olan Kültür ve Turizm Bakanlığı ile eşgüdümü sağlayacak şekilde düzenlendiği Kırşehir-Nevşehir-Niğde-Aksaray Planlama Bölgesi 1/100.000 Ölçekli Çevre Düzeni Planı </w:t>
      </w:r>
      <w:proofErr w:type="spellStart"/>
      <w:r w:rsidRPr="006063B4">
        <w:rPr>
          <w:color w:val="333333"/>
        </w:rPr>
        <w:t>Değişikliği’nin</w:t>
      </w:r>
      <w:proofErr w:type="spellEnd"/>
      <w:r w:rsidRPr="006063B4">
        <w:rPr>
          <w:color w:val="333333"/>
        </w:rPr>
        <w:t xml:space="preserve"> (8.15.5 Eko-Turizm Alanı Plan Hükmü ve Plan Değişikliği Gerekçe Raporu) 1 </w:t>
      </w:r>
      <w:proofErr w:type="spellStart"/>
      <w:r w:rsidRPr="006063B4">
        <w:rPr>
          <w:color w:val="333333"/>
        </w:rPr>
        <w:t>No'lu</w:t>
      </w:r>
      <w:proofErr w:type="spellEnd"/>
      <w:r w:rsidRPr="006063B4">
        <w:rPr>
          <w:color w:val="333333"/>
        </w:rPr>
        <w:t xml:space="preserve"> Cumhurbaşkanlığı Kararnamesi'nin 102. Maddesi uyarınca Bakanlık </w:t>
      </w:r>
      <w:proofErr w:type="spellStart"/>
      <w:r w:rsidRPr="006063B4">
        <w:rPr>
          <w:color w:val="333333"/>
        </w:rPr>
        <w:t>Makamı'nın</w:t>
      </w:r>
      <w:proofErr w:type="spellEnd"/>
      <w:r w:rsidRPr="006063B4">
        <w:rPr>
          <w:color w:val="333333"/>
        </w:rPr>
        <w:t xml:space="preserve"> 06.05.2022 tarihli Olur'u ile onaylanmış olup, </w:t>
      </w:r>
      <w:proofErr w:type="spellStart"/>
      <w:proofErr w:type="gramStart"/>
      <w:r w:rsidRPr="006063B4">
        <w:rPr>
          <w:color w:val="333333"/>
        </w:rPr>
        <w:t>Mekansal</w:t>
      </w:r>
      <w:proofErr w:type="spellEnd"/>
      <w:proofErr w:type="gramEnd"/>
      <w:r w:rsidRPr="006063B4">
        <w:rPr>
          <w:color w:val="333333"/>
        </w:rPr>
        <w:t xml:space="preserve"> Planlar Yapım Yönetmeliği'nin 33. Maddesi uyarınca </w:t>
      </w:r>
      <w:r w:rsidR="008B5230">
        <w:rPr>
          <w:color w:val="333333"/>
        </w:rPr>
        <w:t>18.05.2022</w:t>
      </w:r>
      <w:r w:rsidRPr="006063B4">
        <w:rPr>
          <w:color w:val="333333"/>
        </w:rPr>
        <w:t xml:space="preserve"> tarihinde Müdürlüğümüz ilan panosunda ve internet sitemiz olan </w:t>
      </w:r>
      <w:hyperlink r:id="rId4" w:history="1">
        <w:r w:rsidRPr="00AE3203">
          <w:rPr>
            <w:rStyle w:val="Kpr"/>
          </w:rPr>
          <w:t>https://kirsehir.csb.gov.tr/</w:t>
        </w:r>
      </w:hyperlink>
      <w:r>
        <w:rPr>
          <w:color w:val="333333"/>
        </w:rPr>
        <w:t xml:space="preserve"> </w:t>
      </w:r>
      <w:r w:rsidRPr="006063B4">
        <w:rPr>
          <w:color w:val="333333"/>
        </w:rPr>
        <w:t>web adresinde 30 (otuz) gün süre ile</w:t>
      </w:r>
      <w:r>
        <w:rPr>
          <w:color w:val="333333"/>
        </w:rPr>
        <w:t xml:space="preserve"> Kırşehir</w:t>
      </w:r>
      <w:r w:rsidRPr="006063B4">
        <w:rPr>
          <w:color w:val="333333"/>
        </w:rPr>
        <w:t xml:space="preserve"> Valiliği Çevre, Şehircilik ve İklim Değişikliği İl Müdürlüğü’nce askıya çıkarılmıştır.</w:t>
      </w:r>
    </w:p>
    <w:p w:rsidR="006063B4" w:rsidRPr="006063B4" w:rsidRDefault="006063B4" w:rsidP="006063B4">
      <w:pPr>
        <w:pStyle w:val="NormalWeb"/>
        <w:shd w:val="clear" w:color="auto" w:fill="FFFFFF"/>
        <w:spacing w:before="0" w:beforeAutospacing="0" w:after="150" w:afterAutospacing="0"/>
        <w:jc w:val="both"/>
        <w:rPr>
          <w:color w:val="333333"/>
        </w:rPr>
      </w:pPr>
      <w:r w:rsidRPr="006063B4">
        <w:rPr>
          <w:color w:val="333333"/>
        </w:rPr>
        <w:t xml:space="preserve">Kamuoyuna </w:t>
      </w:r>
      <w:r w:rsidR="00545E03" w:rsidRPr="006063B4">
        <w:rPr>
          <w:color w:val="333333"/>
        </w:rPr>
        <w:t>duyurulur</w:t>
      </w:r>
      <w:r w:rsidRPr="006063B4">
        <w:rPr>
          <w:color w:val="333333"/>
        </w:rPr>
        <w:t>.</w:t>
      </w:r>
    </w:p>
    <w:p w:rsidR="006063B4" w:rsidRPr="006063B4" w:rsidRDefault="006063B4" w:rsidP="006063B4">
      <w:pPr>
        <w:pStyle w:val="NormalWeb"/>
        <w:shd w:val="clear" w:color="auto" w:fill="FFFFFF"/>
        <w:spacing w:before="0" w:beforeAutospacing="0" w:after="150" w:afterAutospacing="0"/>
        <w:jc w:val="both"/>
        <w:rPr>
          <w:color w:val="333333"/>
        </w:rPr>
      </w:pPr>
      <w:r w:rsidRPr="006063B4">
        <w:rPr>
          <w:color w:val="333333"/>
        </w:rPr>
        <w:t>Ek;</w:t>
      </w:r>
    </w:p>
    <w:p w:rsidR="008B5230" w:rsidRDefault="00781E03" w:rsidP="006063B4">
      <w:pPr>
        <w:pStyle w:val="NormalWeb"/>
        <w:shd w:val="clear" w:color="auto" w:fill="FFFFFF"/>
        <w:spacing w:before="0" w:beforeAutospacing="0" w:after="150" w:afterAutospacing="0"/>
        <w:jc w:val="both"/>
        <w:rPr>
          <w:color w:val="333333"/>
        </w:rPr>
      </w:pPr>
      <w:hyperlink r:id="rId5" w:history="1">
        <w:r w:rsidR="006063B4" w:rsidRPr="006063B4">
          <w:rPr>
            <w:rStyle w:val="Kpr"/>
            <w:color w:val="337AB7"/>
          </w:rPr>
          <w:t>Plan Hükümleri</w:t>
        </w:r>
      </w:hyperlink>
    </w:p>
    <w:p w:rsidR="006063B4" w:rsidRDefault="00781E03" w:rsidP="006063B4">
      <w:pPr>
        <w:pStyle w:val="NormalWeb"/>
        <w:shd w:val="clear" w:color="auto" w:fill="FFFFFF"/>
        <w:spacing w:before="0" w:beforeAutospacing="0" w:after="150" w:afterAutospacing="0"/>
        <w:jc w:val="both"/>
        <w:rPr>
          <w:rStyle w:val="Kpr"/>
          <w:color w:val="337AB7"/>
        </w:rPr>
      </w:pPr>
      <w:hyperlink r:id="rId6" w:history="1">
        <w:r w:rsidR="006063B4" w:rsidRPr="006063B4">
          <w:rPr>
            <w:rStyle w:val="Kpr"/>
            <w:color w:val="337AB7"/>
          </w:rPr>
          <w:t>Plan Değişikliği Gerekçe Raporu</w:t>
        </w:r>
      </w:hyperlink>
    </w:p>
    <w:p w:rsidR="00781E03" w:rsidRDefault="00781E03" w:rsidP="006063B4">
      <w:pPr>
        <w:pStyle w:val="NormalWeb"/>
        <w:shd w:val="clear" w:color="auto" w:fill="FFFFFF"/>
        <w:spacing w:before="0" w:beforeAutospacing="0" w:after="150" w:afterAutospacing="0"/>
        <w:jc w:val="both"/>
        <w:rPr>
          <w:rStyle w:val="Kpr"/>
          <w:color w:val="337AB7"/>
        </w:rPr>
      </w:pPr>
    </w:p>
    <w:p w:rsidR="00781E03" w:rsidRPr="006063B4" w:rsidRDefault="00781E03" w:rsidP="006063B4">
      <w:pPr>
        <w:pStyle w:val="NormalWeb"/>
        <w:shd w:val="clear" w:color="auto" w:fill="FFFFFF"/>
        <w:spacing w:before="0" w:beforeAutospacing="0" w:after="150" w:afterAutospacing="0"/>
        <w:jc w:val="both"/>
        <w:rPr>
          <w:color w:val="333333"/>
        </w:rPr>
      </w:pPr>
      <w:r w:rsidRPr="00781E03">
        <w:rPr>
          <w:noProof/>
          <w:color w:val="333333"/>
        </w:rPr>
        <w:lastRenderedPageBreak/>
        <w:drawing>
          <wp:inline distT="0" distB="0" distL="0" distR="0">
            <wp:extent cx="5760720" cy="818189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81896"/>
                    </a:xfrm>
                    <a:prstGeom prst="rect">
                      <a:avLst/>
                    </a:prstGeom>
                    <a:noFill/>
                    <a:ln>
                      <a:noFill/>
                    </a:ln>
                  </pic:spPr>
                </pic:pic>
              </a:graphicData>
            </a:graphic>
          </wp:inline>
        </w:drawing>
      </w:r>
    </w:p>
    <w:p w:rsidR="00F1683F" w:rsidRDefault="00F1683F" w:rsidP="006063B4">
      <w:pPr>
        <w:jc w:val="both"/>
        <w:rPr>
          <w:rFonts w:ascii="Times New Roman" w:hAnsi="Times New Roman" w:cs="Times New Roman"/>
          <w:sz w:val="24"/>
          <w:szCs w:val="24"/>
        </w:rPr>
      </w:pPr>
    </w:p>
    <w:p w:rsidR="00781E03" w:rsidRDefault="00781E03" w:rsidP="006063B4">
      <w:pPr>
        <w:jc w:val="both"/>
        <w:rPr>
          <w:rFonts w:ascii="Times New Roman" w:hAnsi="Times New Roman" w:cs="Times New Roman"/>
          <w:noProof/>
          <w:sz w:val="24"/>
          <w:szCs w:val="24"/>
          <w:lang w:eastAsia="tr-TR"/>
        </w:rPr>
      </w:pPr>
    </w:p>
    <w:p w:rsidR="00781E03" w:rsidRDefault="00781E03" w:rsidP="006063B4">
      <w:pPr>
        <w:jc w:val="both"/>
        <w:rPr>
          <w:rFonts w:ascii="Times New Roman" w:hAnsi="Times New Roman" w:cs="Times New Roman"/>
          <w:noProof/>
          <w:sz w:val="24"/>
          <w:szCs w:val="24"/>
          <w:lang w:eastAsia="tr-TR"/>
        </w:rPr>
      </w:pPr>
    </w:p>
    <w:p w:rsidR="00781E03" w:rsidRDefault="00781E03" w:rsidP="006063B4">
      <w:pPr>
        <w:jc w:val="both"/>
        <w:rPr>
          <w:rFonts w:ascii="Times New Roman" w:hAnsi="Times New Roman" w:cs="Times New Roman"/>
          <w:sz w:val="24"/>
          <w:szCs w:val="24"/>
        </w:rPr>
      </w:pPr>
      <w:r w:rsidRPr="00781E03">
        <w:rPr>
          <w:rFonts w:ascii="Times New Roman" w:hAnsi="Times New Roman" w:cs="Times New Roman"/>
          <w:noProof/>
          <w:sz w:val="24"/>
          <w:szCs w:val="24"/>
          <w:lang w:eastAsia="tr-TR"/>
        </w:rPr>
        <w:drawing>
          <wp:inline distT="0" distB="0" distL="0" distR="0">
            <wp:extent cx="5760720" cy="820823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208239"/>
                    </a:xfrm>
                    <a:prstGeom prst="rect">
                      <a:avLst/>
                    </a:prstGeom>
                    <a:noFill/>
                    <a:ln>
                      <a:noFill/>
                    </a:ln>
                  </pic:spPr>
                </pic:pic>
              </a:graphicData>
            </a:graphic>
          </wp:inline>
        </w:drawing>
      </w:r>
    </w:p>
    <w:p w:rsidR="00781E03" w:rsidRDefault="00781E03" w:rsidP="006063B4">
      <w:pPr>
        <w:jc w:val="both"/>
        <w:rPr>
          <w:rFonts w:ascii="Times New Roman" w:hAnsi="Times New Roman" w:cs="Times New Roman"/>
          <w:sz w:val="24"/>
          <w:szCs w:val="24"/>
        </w:rPr>
      </w:pPr>
    </w:p>
    <w:p w:rsidR="00781E03" w:rsidRDefault="00781E03" w:rsidP="00781E03">
      <w:pPr>
        <w:pStyle w:val="Default"/>
      </w:pPr>
    </w:p>
    <w:p w:rsidR="00781E03" w:rsidRDefault="00781E03" w:rsidP="00781E03">
      <w:pPr>
        <w:pStyle w:val="Default"/>
        <w:rPr>
          <w:sz w:val="23"/>
          <w:szCs w:val="23"/>
        </w:rPr>
      </w:pPr>
      <w:r>
        <w:t xml:space="preserve"> </w:t>
      </w:r>
      <w:r>
        <w:rPr>
          <w:b/>
          <w:bCs/>
          <w:sz w:val="23"/>
          <w:szCs w:val="23"/>
        </w:rPr>
        <w:t xml:space="preserve">ÇEVRE, ŞEHİRCİLİK VE İKLİM DEĞİŞİKLİĞİ BAKANLIĞI MEKÂNSAL PLANLAMA GENEL MÜDÜRLÜĞÜ </w:t>
      </w:r>
    </w:p>
    <w:p w:rsidR="00781E03" w:rsidRDefault="00781E03" w:rsidP="00781E03">
      <w:pPr>
        <w:pStyle w:val="Default"/>
        <w:rPr>
          <w:color w:val="auto"/>
        </w:rPr>
      </w:pPr>
    </w:p>
    <w:p w:rsidR="00781E03" w:rsidRDefault="00781E03" w:rsidP="00781E03">
      <w:pPr>
        <w:pStyle w:val="Default"/>
        <w:rPr>
          <w:rFonts w:ascii="Times New Roman" w:hAnsi="Times New Roman" w:cs="Times New Roman"/>
          <w:color w:val="auto"/>
          <w:sz w:val="23"/>
          <w:szCs w:val="23"/>
        </w:rPr>
      </w:pPr>
      <w:r>
        <w:rPr>
          <w:color w:val="auto"/>
        </w:rPr>
        <w:t xml:space="preserve"> </w:t>
      </w:r>
      <w:r>
        <w:rPr>
          <w:rFonts w:ascii="Times New Roman" w:hAnsi="Times New Roman" w:cs="Times New Roman"/>
          <w:color w:val="auto"/>
          <w:sz w:val="23"/>
          <w:szCs w:val="23"/>
        </w:rPr>
        <w:t xml:space="preserve">1 </w:t>
      </w:r>
    </w:p>
    <w:p w:rsidR="00781E03" w:rsidRDefault="00781E03" w:rsidP="00781E03">
      <w:pPr>
        <w:pStyle w:val="Default"/>
        <w:rPr>
          <w:color w:val="auto"/>
        </w:rPr>
      </w:pPr>
    </w:p>
    <w:p w:rsidR="00781E03" w:rsidRDefault="00781E03" w:rsidP="00781E03">
      <w:pPr>
        <w:pStyle w:val="Default"/>
        <w:rPr>
          <w:color w:val="auto"/>
          <w:sz w:val="23"/>
          <w:szCs w:val="23"/>
        </w:rPr>
      </w:pPr>
      <w:r>
        <w:rPr>
          <w:color w:val="auto"/>
        </w:rPr>
        <w:t xml:space="preserve"> </w:t>
      </w:r>
      <w:r>
        <w:rPr>
          <w:rFonts w:ascii="Times New Roman" w:hAnsi="Times New Roman" w:cs="Times New Roman"/>
          <w:b/>
          <w:bCs/>
          <w:color w:val="auto"/>
          <w:sz w:val="23"/>
          <w:szCs w:val="23"/>
        </w:rPr>
        <w:t xml:space="preserve">KIRŞEHİR-NEVŞEHİR-NİĞDE-AKSARAY PLANLAMA BÖLGESİ 1/100.000 ÖLÇEKLİ ÇEVRE DÜZENİ PLANI DEĞİŞİKLİĞİ GEREKÇE RAPORU </w:t>
      </w:r>
    </w:p>
    <w:p w:rsidR="00781E03" w:rsidRDefault="00781E03" w:rsidP="00781E03">
      <w:pPr>
        <w:pStyle w:val="Default"/>
        <w:rPr>
          <w:color w:val="auto"/>
          <w:sz w:val="23"/>
          <w:szCs w:val="23"/>
        </w:rPr>
      </w:pPr>
      <w:proofErr w:type="gramStart"/>
      <w:r>
        <w:rPr>
          <w:rFonts w:ascii="Times New Roman" w:hAnsi="Times New Roman" w:cs="Times New Roman"/>
          <w:color w:val="auto"/>
          <w:sz w:val="23"/>
          <w:szCs w:val="23"/>
        </w:rPr>
        <w:t xml:space="preserve">Bakanlığımızca onaylı havza ve bölge bazındaki 1/100.000 ölçekli çevre düzeni planlarındaki uygulamalarda bütünlüğün sağlanması amacıyla Kırşehir-Nevşehir-Niğde-Aksaray Planlama Bölgesi 1/100.000 Ölçekli Çevre Düzeni Planı’nın (ÇDP) “Eko-Turizm” alanlarına ilişkin tanım maddesinin </w:t>
      </w:r>
      <w:r>
        <w:rPr>
          <w:rFonts w:ascii="Times New Roman" w:hAnsi="Times New Roman" w:cs="Times New Roman"/>
          <w:b/>
          <w:bCs/>
          <w:i/>
          <w:iCs/>
          <w:color w:val="auto"/>
          <w:sz w:val="23"/>
          <w:szCs w:val="23"/>
        </w:rPr>
        <w:t xml:space="preserve">“5.45 Eko-Turizm Alanı: </w:t>
      </w:r>
      <w:r>
        <w:rPr>
          <w:rFonts w:ascii="Times New Roman" w:hAnsi="Times New Roman" w:cs="Times New Roman"/>
          <w:i/>
          <w:iCs/>
          <w:color w:val="auto"/>
          <w:sz w:val="23"/>
          <w:szCs w:val="23"/>
        </w:rPr>
        <w:t xml:space="preserve">Doğal ve kültürel değerleri koruyarak, bu alanlarda ve çevresinde yaşayan nüfusun </w:t>
      </w:r>
      <w:proofErr w:type="spellStart"/>
      <w:r>
        <w:rPr>
          <w:rFonts w:ascii="Times New Roman" w:hAnsi="Times New Roman" w:cs="Times New Roman"/>
          <w:i/>
          <w:iCs/>
          <w:color w:val="auto"/>
          <w:sz w:val="23"/>
          <w:szCs w:val="23"/>
        </w:rPr>
        <w:t>sosyo</w:t>
      </w:r>
      <w:proofErr w:type="spellEnd"/>
      <w:r>
        <w:rPr>
          <w:rFonts w:ascii="Times New Roman" w:hAnsi="Times New Roman" w:cs="Times New Roman"/>
          <w:i/>
          <w:iCs/>
          <w:color w:val="auto"/>
          <w:sz w:val="23"/>
          <w:szCs w:val="23"/>
        </w:rPr>
        <w:t xml:space="preserve">-ekonomik gelişimi için kaynak yaratabilen alternatif turizme dönük, doğal yaşama aktif katılımın sağlanabildiği, çevreye duyarlı alanlardır.” </w:t>
      </w:r>
      <w:r>
        <w:rPr>
          <w:rFonts w:ascii="Times New Roman" w:hAnsi="Times New Roman" w:cs="Times New Roman"/>
          <w:color w:val="auto"/>
          <w:sz w:val="23"/>
          <w:szCs w:val="23"/>
        </w:rPr>
        <w:t xml:space="preserve">şeklinde eklenmesi ve bununla birlikte 2634 sayılı Turizmi Teşvik Kanunu’na eklenen “(Ek fıkra:18/7/2021-7334/4 </w:t>
      </w:r>
      <w:proofErr w:type="spellStart"/>
      <w:r>
        <w:rPr>
          <w:rFonts w:ascii="Times New Roman" w:hAnsi="Times New Roman" w:cs="Times New Roman"/>
          <w:color w:val="auto"/>
          <w:sz w:val="23"/>
          <w:szCs w:val="23"/>
        </w:rPr>
        <w:t>md.</w:t>
      </w:r>
      <w:proofErr w:type="spellEnd"/>
      <w:r>
        <w:rPr>
          <w:rFonts w:ascii="Times New Roman" w:hAnsi="Times New Roman" w:cs="Times New Roman"/>
          <w:color w:val="auto"/>
          <w:sz w:val="23"/>
          <w:szCs w:val="23"/>
        </w:rPr>
        <w:t xml:space="preserve">)” maddesi ile turizm işletmeleri için Kültür ve Turizm Bakanlığı dışında hiçbir idare tarafından belge düzenlenemeyeceğinin hüküm altına alındığı belirlenmiş olduğundan, </w:t>
      </w:r>
      <w:proofErr w:type="spellStart"/>
      <w:r>
        <w:rPr>
          <w:rFonts w:ascii="Times New Roman" w:hAnsi="Times New Roman" w:cs="Times New Roman"/>
          <w:color w:val="auto"/>
          <w:sz w:val="23"/>
          <w:szCs w:val="23"/>
        </w:rPr>
        <w:t>ÇDP’nin</w:t>
      </w:r>
      <w:proofErr w:type="spellEnd"/>
      <w:r>
        <w:rPr>
          <w:rFonts w:ascii="Times New Roman" w:hAnsi="Times New Roman" w:cs="Times New Roman"/>
          <w:color w:val="auto"/>
          <w:sz w:val="23"/>
          <w:szCs w:val="23"/>
        </w:rPr>
        <w:t xml:space="preserve"> </w:t>
      </w:r>
      <w:r>
        <w:rPr>
          <w:rFonts w:ascii="Times New Roman" w:hAnsi="Times New Roman" w:cs="Times New Roman"/>
          <w:b/>
          <w:bCs/>
          <w:i/>
          <w:iCs/>
          <w:color w:val="auto"/>
          <w:sz w:val="23"/>
          <w:szCs w:val="23"/>
        </w:rPr>
        <w:t xml:space="preserve">“8.15.5 Eko-Turizm Alanı” </w:t>
      </w:r>
      <w:r>
        <w:rPr>
          <w:rFonts w:ascii="Times New Roman" w:hAnsi="Times New Roman" w:cs="Times New Roman"/>
          <w:color w:val="auto"/>
          <w:sz w:val="23"/>
          <w:szCs w:val="23"/>
        </w:rPr>
        <w:t xml:space="preserve">hükmünün turizm amacı dışında uygulamalara izin vermeyecek şekilde ve uygulamalarda, yetkili Bakanlık olan Kültür ve Turizm Bakanlığı ile eşgüdümü sağlayacak şekilde; </w:t>
      </w:r>
      <w:proofErr w:type="gramEnd"/>
    </w:p>
    <w:p w:rsidR="00781E03" w:rsidRDefault="00781E03" w:rsidP="00781E03">
      <w:pPr>
        <w:pStyle w:val="Default"/>
        <w:rPr>
          <w:color w:val="auto"/>
          <w:sz w:val="23"/>
          <w:szCs w:val="23"/>
        </w:rPr>
      </w:pPr>
      <w:r>
        <w:rPr>
          <w:rFonts w:ascii="Times New Roman" w:hAnsi="Times New Roman" w:cs="Times New Roman"/>
          <w:b/>
          <w:bCs/>
          <w:i/>
          <w:iCs/>
          <w:color w:val="auto"/>
          <w:sz w:val="23"/>
          <w:szCs w:val="23"/>
        </w:rPr>
        <w:t xml:space="preserve">“8.15.5 Eko-Turizm Alanı </w:t>
      </w:r>
    </w:p>
    <w:p w:rsidR="00781E03" w:rsidRDefault="00781E03" w:rsidP="00781E03">
      <w:pPr>
        <w:pStyle w:val="Default"/>
        <w:rPr>
          <w:color w:val="auto"/>
          <w:sz w:val="23"/>
          <w:szCs w:val="23"/>
        </w:rPr>
      </w:pPr>
      <w:r>
        <w:rPr>
          <w:rFonts w:ascii="Times New Roman" w:hAnsi="Times New Roman" w:cs="Times New Roman"/>
          <w:b/>
          <w:bCs/>
          <w:i/>
          <w:iCs/>
          <w:color w:val="auto"/>
          <w:sz w:val="23"/>
          <w:szCs w:val="23"/>
        </w:rPr>
        <w:t xml:space="preserve">8.15.5.1 </w:t>
      </w:r>
      <w:r>
        <w:rPr>
          <w:rFonts w:ascii="Times New Roman" w:hAnsi="Times New Roman" w:cs="Times New Roman"/>
          <w:i/>
          <w:iCs/>
          <w:color w:val="auto"/>
          <w:sz w:val="23"/>
          <w:szCs w:val="23"/>
        </w:rPr>
        <w:t xml:space="preserve">Bu plan ile belirlenen veya alt ölçekli planlarda belirlenebilecek olan bu alanlarda; Turizm Tesislerinin Niteliklerine İlişkin Yönetmelik hükümlerine uygun olan, </w:t>
      </w:r>
      <w:proofErr w:type="gramStart"/>
      <w:r>
        <w:rPr>
          <w:rFonts w:ascii="Times New Roman" w:hAnsi="Times New Roman" w:cs="Times New Roman"/>
          <w:i/>
          <w:iCs/>
          <w:color w:val="auto"/>
          <w:sz w:val="23"/>
          <w:szCs w:val="23"/>
        </w:rPr>
        <w:t>ekolojik</w:t>
      </w:r>
      <w:proofErr w:type="gramEnd"/>
      <w:r>
        <w:rPr>
          <w:rFonts w:ascii="Times New Roman" w:hAnsi="Times New Roman" w:cs="Times New Roman"/>
          <w:i/>
          <w:iCs/>
          <w:color w:val="auto"/>
          <w:sz w:val="23"/>
          <w:szCs w:val="23"/>
        </w:rPr>
        <w:t xml:space="preserve"> yapı ile bütünleşik butik oteller, özel konaklama tesisleri ve kırsal turizm tesisleri ile bunlara bütünleşik spor tesisleri, satış üniteleri ve gerekli sosyal donatı alanları yer alabilir. </w:t>
      </w:r>
    </w:p>
    <w:p w:rsidR="00781E03" w:rsidRDefault="00781E03" w:rsidP="00781E03">
      <w:pPr>
        <w:pStyle w:val="Default"/>
        <w:rPr>
          <w:color w:val="auto"/>
          <w:sz w:val="23"/>
          <w:szCs w:val="23"/>
        </w:rPr>
      </w:pPr>
      <w:r>
        <w:rPr>
          <w:rFonts w:ascii="Times New Roman" w:hAnsi="Times New Roman" w:cs="Times New Roman"/>
          <w:b/>
          <w:bCs/>
          <w:i/>
          <w:iCs/>
          <w:color w:val="auto"/>
          <w:sz w:val="23"/>
          <w:szCs w:val="23"/>
        </w:rPr>
        <w:t xml:space="preserve">8.15.5.2 </w:t>
      </w:r>
      <w:r>
        <w:rPr>
          <w:rFonts w:ascii="Times New Roman" w:hAnsi="Times New Roman" w:cs="Times New Roman"/>
          <w:i/>
          <w:iCs/>
          <w:color w:val="auto"/>
          <w:sz w:val="23"/>
          <w:szCs w:val="23"/>
        </w:rPr>
        <w:t xml:space="preserve">Eko-turizm alanları için öncelikle yetkili idareye başvurulur. Yetkili idarenin uygun görüşü doğrultusunda Bakanlığa başvuru öncesinde ilgili kurum ve kuruluşlardan görüş alınması zorunludur. </w:t>
      </w:r>
    </w:p>
    <w:p w:rsidR="00781E03" w:rsidRDefault="00781E03" w:rsidP="00781E03">
      <w:pPr>
        <w:pStyle w:val="Default"/>
        <w:rPr>
          <w:color w:val="auto"/>
          <w:sz w:val="23"/>
          <w:szCs w:val="23"/>
        </w:rPr>
      </w:pPr>
      <w:r>
        <w:rPr>
          <w:rFonts w:ascii="Times New Roman" w:hAnsi="Times New Roman" w:cs="Times New Roman"/>
          <w:b/>
          <w:bCs/>
          <w:i/>
          <w:iCs/>
          <w:color w:val="auto"/>
          <w:sz w:val="23"/>
          <w:szCs w:val="23"/>
        </w:rPr>
        <w:t>8.15.5.3</w:t>
      </w:r>
      <w:r>
        <w:rPr>
          <w:rFonts w:ascii="Times New Roman" w:hAnsi="Times New Roman" w:cs="Times New Roman"/>
          <w:i/>
          <w:iCs/>
          <w:color w:val="auto"/>
          <w:sz w:val="23"/>
          <w:szCs w:val="23"/>
        </w:rPr>
        <w:t xml:space="preserve">Yapılacak yapılarda doğal yapı ve geleneksel mimari dokunun korunması sağlanacaktır. </w:t>
      </w:r>
    </w:p>
    <w:p w:rsidR="00781E03" w:rsidRDefault="00781E03" w:rsidP="00781E03">
      <w:pPr>
        <w:pStyle w:val="Default"/>
        <w:rPr>
          <w:color w:val="auto"/>
          <w:sz w:val="23"/>
          <w:szCs w:val="23"/>
        </w:rPr>
      </w:pPr>
      <w:r>
        <w:rPr>
          <w:rFonts w:ascii="Times New Roman" w:hAnsi="Times New Roman" w:cs="Times New Roman"/>
          <w:b/>
          <w:bCs/>
          <w:i/>
          <w:iCs/>
          <w:color w:val="auto"/>
          <w:sz w:val="23"/>
          <w:szCs w:val="23"/>
        </w:rPr>
        <w:t xml:space="preserve">8.15.5.4 </w:t>
      </w:r>
      <w:r>
        <w:rPr>
          <w:rFonts w:ascii="Times New Roman" w:hAnsi="Times New Roman" w:cs="Times New Roman"/>
          <w:i/>
          <w:iCs/>
          <w:color w:val="auto"/>
          <w:sz w:val="23"/>
          <w:szCs w:val="23"/>
        </w:rPr>
        <w:t xml:space="preserve">Eko-turizm alanı olarak belirlenebilecek alanlarda Min. Parsel büyüklüğü=15.000 m2’dir. Bu alanların % 45’lik kısmının Arazi Ve Arsa Düzenlemeleri Hakkında Yönetmelik uyarınca umumi ve kamu hizmet alanlarına ayrılması zorunludur. Bu alanlarda yapılaşma koşulları: </w:t>
      </w:r>
      <w:proofErr w:type="spellStart"/>
      <w:r>
        <w:rPr>
          <w:rFonts w:ascii="Times New Roman" w:hAnsi="Times New Roman" w:cs="Times New Roman"/>
          <w:i/>
          <w:iCs/>
          <w:color w:val="auto"/>
          <w:sz w:val="23"/>
          <w:szCs w:val="23"/>
        </w:rPr>
        <w:t>Maks</w:t>
      </w:r>
      <w:proofErr w:type="spellEnd"/>
      <w:r>
        <w:rPr>
          <w:rFonts w:ascii="Times New Roman" w:hAnsi="Times New Roman" w:cs="Times New Roman"/>
          <w:i/>
          <w:iCs/>
          <w:color w:val="auto"/>
          <w:sz w:val="23"/>
          <w:szCs w:val="23"/>
        </w:rPr>
        <w:t xml:space="preserve">. Emsal=0,10; </w:t>
      </w:r>
      <w:proofErr w:type="spellStart"/>
      <w:r>
        <w:rPr>
          <w:rFonts w:ascii="Times New Roman" w:hAnsi="Times New Roman" w:cs="Times New Roman"/>
          <w:i/>
          <w:iCs/>
          <w:color w:val="auto"/>
          <w:sz w:val="23"/>
          <w:szCs w:val="23"/>
        </w:rPr>
        <w:t>Maks</w:t>
      </w:r>
      <w:proofErr w:type="spellEnd"/>
      <w:r>
        <w:rPr>
          <w:rFonts w:ascii="Times New Roman" w:hAnsi="Times New Roman" w:cs="Times New Roman"/>
          <w:i/>
          <w:iCs/>
          <w:color w:val="auto"/>
          <w:sz w:val="23"/>
          <w:szCs w:val="23"/>
        </w:rPr>
        <w:t xml:space="preserve">. Bina yüksekliği 2 kattır. Kat yükseklikleri yöresel, coğrafi koşullar ve iklim koşulları dikkate alınarak belirlenir. Bu tesislerde en fazla bir bodrum katı yapılabilir. Bodrum katlarda konaklama üniteleri yer alamaz, yalnızca servis alanı olarak kullanılabilen bu alanlar, emsale </w:t>
      </w:r>
      <w:proofErr w:type="gramStart"/>
      <w:r>
        <w:rPr>
          <w:rFonts w:ascii="Times New Roman" w:hAnsi="Times New Roman" w:cs="Times New Roman"/>
          <w:i/>
          <w:iCs/>
          <w:color w:val="auto"/>
          <w:sz w:val="23"/>
          <w:szCs w:val="23"/>
        </w:rPr>
        <w:t>dahil</w:t>
      </w:r>
      <w:proofErr w:type="gramEnd"/>
      <w:r>
        <w:rPr>
          <w:rFonts w:ascii="Times New Roman" w:hAnsi="Times New Roman" w:cs="Times New Roman"/>
          <w:i/>
          <w:iCs/>
          <w:color w:val="auto"/>
          <w:sz w:val="23"/>
          <w:szCs w:val="23"/>
        </w:rPr>
        <w:t xml:space="preserve"> değildir. Ayrı yapılar olarak düzenlenen konaklama birimlerinde bodrum kat sadece ana yapıda yer alabilir. </w:t>
      </w:r>
    </w:p>
    <w:p w:rsidR="00781E03" w:rsidRDefault="00781E03" w:rsidP="00781E03">
      <w:pPr>
        <w:jc w:val="both"/>
        <w:rPr>
          <w:rFonts w:ascii="Times New Roman" w:hAnsi="Times New Roman" w:cs="Times New Roman"/>
          <w:sz w:val="23"/>
          <w:szCs w:val="23"/>
        </w:rPr>
      </w:pPr>
      <w:r>
        <w:rPr>
          <w:rFonts w:ascii="Times New Roman" w:hAnsi="Times New Roman" w:cs="Times New Roman"/>
          <w:b/>
          <w:bCs/>
          <w:i/>
          <w:iCs/>
          <w:sz w:val="23"/>
          <w:szCs w:val="23"/>
        </w:rPr>
        <w:t xml:space="preserve">8.15.5.5 </w:t>
      </w:r>
      <w:r>
        <w:rPr>
          <w:rFonts w:ascii="Times New Roman" w:hAnsi="Times New Roman" w:cs="Times New Roman"/>
          <w:i/>
          <w:iCs/>
          <w:sz w:val="23"/>
          <w:szCs w:val="23"/>
        </w:rPr>
        <w:t xml:space="preserve">Bu alanlarda yer alacak turizm belgeli konaklama tesisi tek bir bağımsız bölüm olacaktır. Bu alanlardaki konaklama birimleri üzerinde devre mülk, kat irtifakı ve kat mülkiyeti gibi şerhe konu haklar tesis edilemez.” </w:t>
      </w:r>
      <w:r>
        <w:rPr>
          <w:rFonts w:ascii="Times New Roman" w:hAnsi="Times New Roman" w:cs="Times New Roman"/>
          <w:sz w:val="23"/>
          <w:szCs w:val="23"/>
        </w:rPr>
        <w:t>olarak düzenlendiği Kırşehir-Nevşehir-Niğde-Aksaray Planlama Bölgesi 1/100.000 Ölçekli Çevre Düzeni Planı Değişikliği hazırlanmıştır.</w:t>
      </w:r>
    </w:p>
    <w:p w:rsidR="00781E03" w:rsidRPr="006063B4" w:rsidRDefault="00781E03" w:rsidP="00781E03">
      <w:pPr>
        <w:jc w:val="both"/>
        <w:rPr>
          <w:rFonts w:ascii="Times New Roman" w:hAnsi="Times New Roman" w:cs="Times New Roman"/>
          <w:sz w:val="24"/>
          <w:szCs w:val="24"/>
        </w:rPr>
      </w:pPr>
    </w:p>
    <w:sectPr w:rsidR="00781E03" w:rsidRPr="00606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altName w:val="Times New Roman PS"/>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E9"/>
    <w:rsid w:val="00116C77"/>
    <w:rsid w:val="001D3725"/>
    <w:rsid w:val="00545E03"/>
    <w:rsid w:val="006063B4"/>
    <w:rsid w:val="006976DB"/>
    <w:rsid w:val="00781E03"/>
    <w:rsid w:val="00802964"/>
    <w:rsid w:val="008B5230"/>
    <w:rsid w:val="00A744E7"/>
    <w:rsid w:val="00AF1E63"/>
    <w:rsid w:val="00C70EE9"/>
    <w:rsid w:val="00EF1437"/>
    <w:rsid w:val="00F1683F"/>
    <w:rsid w:val="00FD3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F1F7"/>
  <w15:chartTrackingRefBased/>
  <w15:docId w15:val="{BEE6F80A-4C06-4ECD-BDC9-067CA8CC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6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063B4"/>
    <w:rPr>
      <w:i/>
      <w:iCs/>
    </w:rPr>
  </w:style>
  <w:style w:type="character" w:styleId="Gl">
    <w:name w:val="Strong"/>
    <w:basedOn w:val="VarsaylanParagrafYazTipi"/>
    <w:uiPriority w:val="22"/>
    <w:qFormat/>
    <w:rsid w:val="006063B4"/>
    <w:rPr>
      <w:b/>
      <w:bCs/>
    </w:rPr>
  </w:style>
  <w:style w:type="character" w:styleId="Kpr">
    <w:name w:val="Hyperlink"/>
    <w:basedOn w:val="VarsaylanParagrafYazTipi"/>
    <w:uiPriority w:val="99"/>
    <w:unhideWhenUsed/>
    <w:rsid w:val="006063B4"/>
    <w:rPr>
      <w:color w:val="0000FF"/>
      <w:u w:val="single"/>
    </w:rPr>
  </w:style>
  <w:style w:type="paragraph" w:customStyle="1" w:styleId="Default">
    <w:name w:val="Default"/>
    <w:rsid w:val="00781E0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dosya.csb.gov.tr/db/mpgm/icerikler/3_plan_deg_aciklama-20220509134251.pdf" TargetMode="External"/><Relationship Id="rId5" Type="http://schemas.openxmlformats.org/officeDocument/2006/relationships/hyperlink" Target="https://webdosya.csb.gov.tr/db/mpgm/icerikler/planhukumleri-20220509134308.pdf" TargetMode="External"/><Relationship Id="rId10" Type="http://schemas.openxmlformats.org/officeDocument/2006/relationships/theme" Target="theme/theme1.xml"/><Relationship Id="rId4" Type="http://schemas.openxmlformats.org/officeDocument/2006/relationships/hyperlink" Target="https://kirsehir.csb.gov.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Temurağa</dc:creator>
  <cp:keywords/>
  <dc:description/>
  <cp:lastModifiedBy>Aşır Doğan</cp:lastModifiedBy>
  <cp:revision>2</cp:revision>
  <dcterms:created xsi:type="dcterms:W3CDTF">2022-05-18T11:32:00Z</dcterms:created>
  <dcterms:modified xsi:type="dcterms:W3CDTF">2022-05-18T11:32:00Z</dcterms:modified>
</cp:coreProperties>
</file>