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35" w:rsidRPr="00FE4C35" w:rsidRDefault="00FE4C35" w:rsidP="00FE4C35">
      <w:pPr>
        <w:rPr>
          <w:b/>
        </w:rPr>
      </w:pPr>
      <w:r w:rsidRPr="00FE4C35">
        <w:rPr>
          <w:b/>
        </w:rPr>
        <w:t>PLAN HÜKÜMLERİ</w:t>
      </w:r>
    </w:p>
    <w:p w:rsidR="00FE4C35" w:rsidRDefault="00FE4C35" w:rsidP="00FE4C35">
      <w:pPr>
        <w:rPr>
          <w:rFonts w:eastAsia="Times New Roman" w:cs="Times New Roman"/>
          <w:b/>
          <w:bCs/>
          <w:color w:val="000000" w:themeColor="text1"/>
          <w:szCs w:val="24"/>
          <w:lang w:eastAsia="tr-TR"/>
        </w:rPr>
      </w:pPr>
      <w:r w:rsidRPr="00FE4C35">
        <w:rPr>
          <w:rFonts w:eastAsia="Times New Roman" w:cs="Times New Roman"/>
          <w:b/>
          <w:bCs/>
          <w:color w:val="000000" w:themeColor="text1"/>
          <w:szCs w:val="24"/>
          <w:lang w:eastAsia="tr-TR"/>
        </w:rPr>
        <w:t>GENEL HÜKÜMLER</w:t>
      </w:r>
    </w:p>
    <w:p w:rsidR="00FE4C35" w:rsidRPr="00450485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proofErr w:type="gramStart"/>
      <w:r w:rsidRPr="00D63DC6">
        <w:rPr>
          <w:rFonts w:eastAsia="Times New Roman" w:cs="Times New Roman"/>
          <w:color w:val="000000" w:themeColor="text1"/>
          <w:szCs w:val="24"/>
          <w:lang w:eastAsia="tr-TR"/>
        </w:rPr>
        <w:t xml:space="preserve">BU İMAR PLANI, PLAN HÜKÜMLERİ, PLAN AÇIKLAMA RAPORU, </w:t>
      </w:r>
      <w:r w:rsidRPr="00235313">
        <w:rPr>
          <w:rFonts w:eastAsia="Times New Roman" w:cs="Times New Roman"/>
          <w:szCs w:val="24"/>
          <w:lang w:eastAsia="tr-TR"/>
        </w:rPr>
        <w:t xml:space="preserve">21.05.2024 </w:t>
      </w:r>
      <w:r w:rsidRPr="00235313">
        <w:rPr>
          <w:rFonts w:eastAsia="Times New Roman" w:cs="Times New Roman"/>
          <w:szCs w:val="24"/>
          <w:u w:val="single"/>
          <w:lang w:eastAsia="tr-TR"/>
        </w:rPr>
        <w:t xml:space="preserve">TARİHİNDE ONAYLANAN </w:t>
      </w:r>
      <w:r w:rsidRPr="00235313">
        <w:rPr>
          <w:rFonts w:eastAsia="Times New Roman" w:cs="Times New Roman"/>
          <w:i/>
          <w:szCs w:val="24"/>
          <w:u w:val="single"/>
          <w:lang w:eastAsia="tr-TR"/>
        </w:rPr>
        <w:t>KIRŞEHİR İLİ MUCUR İLÇESİ İNAÇ KÖYÜ, MERKEZ İLÇESİ KINDAM İLÇESİ SINIRINDA</w:t>
      </w:r>
      <w:r w:rsidRPr="00235313">
        <w:rPr>
          <w:rFonts w:eastAsia="Times New Roman" w:cs="Times New Roman"/>
          <w:i/>
          <w:szCs w:val="24"/>
          <w:lang w:eastAsia="tr-TR"/>
        </w:rPr>
        <w:t xml:space="preserve"> KALAN </w:t>
      </w:r>
      <w:r w:rsidRPr="00566DCB">
        <w:rPr>
          <w:rFonts w:eastAsia="Times New Roman" w:cs="Times New Roman"/>
          <w:i/>
          <w:szCs w:val="24"/>
          <w:lang w:eastAsia="tr-TR"/>
        </w:rPr>
        <w:t>GES ALANININ İMAR PLANINA ESAS MİKROBÖLGELEME ETÜT RAPORUNA”</w:t>
      </w:r>
      <w:r w:rsidRPr="00D63DC6">
        <w:rPr>
          <w:rFonts w:eastAsia="Times New Roman" w:cs="Times New Roman"/>
          <w:color w:val="000000" w:themeColor="text1"/>
          <w:szCs w:val="24"/>
          <w:lang w:eastAsia="tr-TR"/>
        </w:rPr>
        <w:t xml:space="preserve"> VE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 </w:t>
      </w:r>
      <w:r w:rsidRPr="00F877C1">
        <w:rPr>
          <w:rFonts w:eastAsia="Times New Roman" w:cs="Times New Roman"/>
          <w:i/>
          <w:szCs w:val="24"/>
          <w:lang w:eastAsia="tr-TR"/>
        </w:rPr>
        <w:t>“</w:t>
      </w:r>
      <w:r>
        <w:rPr>
          <w:rFonts w:eastAsia="Times New Roman" w:cs="Times New Roman"/>
          <w:i/>
          <w:szCs w:val="24"/>
          <w:lang w:eastAsia="tr-TR"/>
        </w:rPr>
        <w:t xml:space="preserve">MUCUR ELEKTRİK DEPOLAMA TESİSİ (50MWe /50 </w:t>
      </w:r>
      <w:proofErr w:type="spellStart"/>
      <w:r>
        <w:rPr>
          <w:rFonts w:eastAsia="Times New Roman" w:cs="Times New Roman"/>
          <w:i/>
          <w:szCs w:val="24"/>
          <w:lang w:eastAsia="tr-TR"/>
        </w:rPr>
        <w:t>MWh</w:t>
      </w:r>
      <w:proofErr w:type="spellEnd"/>
      <w:r>
        <w:rPr>
          <w:rFonts w:eastAsia="Times New Roman" w:cs="Times New Roman"/>
          <w:i/>
          <w:szCs w:val="24"/>
          <w:lang w:eastAsia="tr-TR"/>
        </w:rPr>
        <w:t xml:space="preserve">) </w:t>
      </w:r>
      <w:r w:rsidRPr="00F877C1">
        <w:rPr>
          <w:rFonts w:eastAsia="Times New Roman" w:cs="Times New Roman"/>
          <w:i/>
          <w:szCs w:val="24"/>
          <w:lang w:eastAsia="tr-TR"/>
        </w:rPr>
        <w:t xml:space="preserve"> </w:t>
      </w:r>
      <w:r>
        <w:rPr>
          <w:rFonts w:eastAsia="Times New Roman" w:cs="Times New Roman"/>
          <w:i/>
          <w:szCs w:val="24"/>
          <w:lang w:eastAsia="tr-TR"/>
        </w:rPr>
        <w:t>GÜNEŞ ENERJİ SANTRALİ PROJESİ</w:t>
      </w:r>
      <w:r w:rsidRPr="00F877C1">
        <w:rPr>
          <w:rFonts w:eastAsia="Times New Roman" w:cs="Times New Roman"/>
          <w:i/>
          <w:szCs w:val="24"/>
          <w:lang w:eastAsia="tr-TR"/>
        </w:rPr>
        <w:t xml:space="preserve"> (</w:t>
      </w:r>
      <w:r>
        <w:rPr>
          <w:rFonts w:eastAsia="Times New Roman" w:cs="Times New Roman"/>
          <w:i/>
          <w:szCs w:val="24"/>
          <w:lang w:eastAsia="tr-TR"/>
        </w:rPr>
        <w:t>50</w:t>
      </w:r>
      <w:r w:rsidRPr="00F877C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F877C1">
        <w:rPr>
          <w:rFonts w:eastAsia="Times New Roman" w:cs="Times New Roman"/>
          <w:i/>
          <w:szCs w:val="24"/>
          <w:lang w:eastAsia="tr-TR"/>
        </w:rPr>
        <w:t>MWm</w:t>
      </w:r>
      <w:proofErr w:type="spellEnd"/>
      <w:r w:rsidRPr="00F877C1">
        <w:rPr>
          <w:rFonts w:eastAsia="Times New Roman" w:cs="Times New Roman"/>
          <w:i/>
          <w:szCs w:val="24"/>
          <w:lang w:eastAsia="tr-TR"/>
        </w:rPr>
        <w:t xml:space="preserve">/ </w:t>
      </w:r>
      <w:r>
        <w:rPr>
          <w:rFonts w:eastAsia="Times New Roman" w:cs="Times New Roman"/>
          <w:i/>
          <w:szCs w:val="24"/>
          <w:lang w:eastAsia="tr-TR"/>
        </w:rPr>
        <w:t>50</w:t>
      </w:r>
      <w:r w:rsidRPr="00F877C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F877C1">
        <w:rPr>
          <w:rFonts w:eastAsia="Times New Roman" w:cs="Times New Roman"/>
          <w:i/>
          <w:szCs w:val="24"/>
          <w:lang w:eastAsia="tr-TR"/>
        </w:rPr>
        <w:t>MWe</w:t>
      </w:r>
      <w:proofErr w:type="spellEnd"/>
      <w:r w:rsidRPr="00F877C1">
        <w:rPr>
          <w:rFonts w:eastAsia="Times New Roman" w:cs="Times New Roman"/>
          <w:i/>
          <w:szCs w:val="24"/>
          <w:lang w:eastAsia="tr-TR"/>
        </w:rPr>
        <w:t xml:space="preserve">/ </w:t>
      </w:r>
      <w:r>
        <w:rPr>
          <w:rFonts w:eastAsia="Times New Roman" w:cs="Times New Roman"/>
          <w:i/>
          <w:szCs w:val="24"/>
          <w:lang w:eastAsia="tr-TR"/>
        </w:rPr>
        <w:t>74,87 ha</w:t>
      </w:r>
      <w:r w:rsidRPr="00450485">
        <w:rPr>
          <w:rFonts w:eastAsia="Times New Roman" w:cs="Times New Roman"/>
          <w:i/>
          <w:szCs w:val="24"/>
          <w:lang w:eastAsia="tr-TR"/>
        </w:rPr>
        <w:t>)”</w:t>
      </w:r>
      <w:r w:rsidRPr="00450485">
        <w:rPr>
          <w:rFonts w:eastAsia="Times New Roman" w:cs="Times New Roman"/>
          <w:szCs w:val="24"/>
          <w:lang w:eastAsia="tr-TR"/>
        </w:rPr>
        <w:t xml:space="preserve"> ÇEVRESEL ETKİ DEĞERLENDİRME RAPORU</w:t>
      </w:r>
      <w:r w:rsidRPr="00450485">
        <w:rPr>
          <w:rFonts w:eastAsia="Times New Roman" w:cs="Times New Roman"/>
          <w:i/>
          <w:szCs w:val="24"/>
          <w:lang w:eastAsia="tr-TR"/>
        </w:rPr>
        <w:t xml:space="preserve"> </w:t>
      </w:r>
      <w:r w:rsidRPr="00450485">
        <w:rPr>
          <w:rFonts w:eastAsia="Times New Roman" w:cs="Times New Roman"/>
          <w:color w:val="000000" w:themeColor="text1"/>
          <w:szCs w:val="24"/>
          <w:lang w:eastAsia="tr-TR"/>
        </w:rPr>
        <w:t>İLE BİR BÜTÜNDÜR.</w:t>
      </w:r>
      <w:proofErr w:type="gramEnd"/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2872 SAYILI ÇEVRE KANUNU VE BU KANUNA DAYALI OLARAK ÇIKARILAN YÖNETMELİKLERİN İLGİLİ HÜKÜMLERİNE UYULMASI ZORUNLUDUR.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 xml:space="preserve">2863 SAYILI KÜLTÜR VE TABİAT VARLIKLARI KORUMA KANUNU HÜKÜMLERİNE UYULMASI ZORUNLUDUR. BU KANUNUN 4. MADDESİ UYARINCA ALANDA YAPILACAK FAALİYETLER </w:t>
      </w:r>
      <w:r>
        <w:rPr>
          <w:rFonts w:eastAsia="Times New Roman" w:cs="Times New Roman"/>
          <w:color w:val="000000" w:themeColor="text1"/>
          <w:szCs w:val="24"/>
          <w:lang w:eastAsia="tr-TR"/>
        </w:rPr>
        <w:t xml:space="preserve">SIRASINDA </w:t>
      </w: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 xml:space="preserve">HERHANGİ BİR KÜLTÜR VE TABİAT VARLIĞINA RASTLANILMASI DURUMUNDA FAALİYETLERİN DURDURULMASI VE DURUMUN EN YAKIN MÜZE MÜDÜRLÜĞÜNE VEYA MÜLKİ İDARE AMİRLİĞİNE BİLDİRİLMESİ ZORUNLUDUR.  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5403 SAYILI TOPRAK KORUMA VE ARAZİ KULLANIMI KANUNUNA VE BU KANUNA BAĞLI OLARAK ÇIKARTILAN YÖNETMELİK HÜKÜMLERİNE UYULMASI ZORUNLUDUR.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PLANLANAN ALANDA TESİS EDİLECEK ELEKTRİK, SU, KANALİZASYON, HABERLEŞME TESİSİ VB. TEKNİK ALTYAPI TESİSLERİNE AİT PROJELER İLGİLİ KAMU KURULUŞLARININ STANDARTLARINA UYGUN OLARAK YAPILIP ONAYLANMADAN İNŞAAT RUHSATI VERİLEMEZ.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ELEKTRİK KUVVETLİ AKIM TESİSLERİ YÖNETMELİĞİ İLE KONUSUNA GÖRE İLGİLİ KANUN VE YÖNETMELİK HÜKÜMLERİNE UYULACAKTIR.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1593 SAYILI UMUMİ HIFZISSIHHA KANUNU HÜKÜMLERİNE UYULMASI ZORUNLUDUR.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15.06.1985 TARİH VE 18785 SAYILI RESMİ GAZETEDE YAYIMLANARAK YÜRÜRLÜĞE GİREN 3213 SAYILI MADEN KANUNU VE UYGULAMA YÖNETMELİĞİ’NE UYULMASI ZORUNLUDUR.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167 SAYILI YERALTI SULARI KANUNU VE YERALTI SULARININ KİRLENMEYE VE BOZULMAYA KARŞI KORUNMASI HAKKINDA YÖNETMELİK HÜKÜMLERİNE UYULMASI ZORUNLUDUR.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SU KİRLİLİĞİ VE KONTROLÜ YÖNETMELİĞİ HÜKÜMLERİNE UYULACAKTIR.</w:t>
      </w:r>
    </w:p>
    <w:p w:rsidR="00FE4C35" w:rsidRPr="00F877C1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>ATIK YÖNETİMİ YÖNETMELİĞİ HÜKÜMLERİNE UYULACAKTIR.</w:t>
      </w:r>
    </w:p>
    <w:p w:rsidR="00FE4C35" w:rsidRPr="00716CB0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t xml:space="preserve">6446 SAYILI ELEKTRİK PİYASASI KANUNU, 5346 SAYILI YENİLENEBİLİR ENERJİ KAYNAKLARININ ELEKTRİK ENERJİSİ ÜRETİMİ AMAÇLI KULLANIMINA </w:t>
      </w:r>
      <w:r w:rsidRPr="00F877C1">
        <w:rPr>
          <w:rFonts w:eastAsia="Times New Roman" w:cs="Times New Roman"/>
          <w:color w:val="000000" w:themeColor="text1"/>
          <w:szCs w:val="24"/>
          <w:lang w:eastAsia="tr-TR"/>
        </w:rPr>
        <w:lastRenderedPageBreak/>
        <w:t xml:space="preserve">İLİŞKİN KANUN VE BU KANUNLARA DAYALI OLARAK ÇIKARILAN YÖNETMELİKLERİN İLGİLİ HÜKÜMLERİNE UYULMASI ZORUNLUDUR. </w:t>
      </w:r>
    </w:p>
    <w:p w:rsidR="00FE4C35" w:rsidRPr="00B05BC6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FF0000"/>
          <w:szCs w:val="24"/>
          <w:lang w:eastAsia="tr-TR"/>
        </w:rPr>
      </w:pPr>
      <w:r>
        <w:rPr>
          <w:rFonts w:eastAsia="Times New Roman" w:cs="Times New Roman"/>
          <w:i/>
          <w:szCs w:val="24"/>
          <w:lang w:eastAsia="tr-TR"/>
        </w:rPr>
        <w:t>21.05.2024 TARİHİNDE ONAYLANAN “</w:t>
      </w:r>
      <w:r w:rsidRPr="00B05BC6">
        <w:rPr>
          <w:rFonts w:eastAsia="Times New Roman" w:cs="Times New Roman"/>
          <w:i/>
          <w:szCs w:val="24"/>
          <w:lang w:eastAsia="tr-TR"/>
        </w:rPr>
        <w:t>KIRŞEHİR İLİ MUCUR İLÇESİ İNAÇ KÖYÜ, MERKEZ İLÇESİ KINDAM İLÇESİ SINIRINDA KALAN GES ALANININ İMAR PLANINA ESAS MİKROBÖLGELEME ETÜT RAPORUNA</w:t>
      </w:r>
      <w:r>
        <w:rPr>
          <w:rFonts w:eastAsia="Times New Roman" w:cs="Times New Roman"/>
          <w:i/>
          <w:szCs w:val="24"/>
          <w:lang w:eastAsia="tr-TR"/>
        </w:rPr>
        <w:t>”</w:t>
      </w:r>
      <w:r w:rsidRPr="00B05BC6">
        <w:rPr>
          <w:rFonts w:eastAsia="Times New Roman" w:cs="Times New Roman"/>
          <w:color w:val="FF0000"/>
          <w:szCs w:val="24"/>
          <w:lang w:eastAsia="tr-TR"/>
        </w:rPr>
        <w:t xml:space="preserve"> </w:t>
      </w:r>
      <w:r w:rsidRPr="00B05BC6">
        <w:rPr>
          <w:rFonts w:eastAsia="Times New Roman" w:cs="Times New Roman"/>
          <w:szCs w:val="24"/>
          <w:lang w:eastAsia="tr-TR"/>
        </w:rPr>
        <w:t xml:space="preserve">UYULMASI ZORUNLUDUR. </w:t>
      </w:r>
    </w:p>
    <w:p w:rsidR="00FE4C35" w:rsidRPr="00136E38" w:rsidRDefault="00FE4C35" w:rsidP="00FE4C35">
      <w:pPr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ind w:left="0" w:firstLine="0"/>
        <w:rPr>
          <w:rFonts w:eastAsia="Times New Roman" w:cs="Times New Roman"/>
          <w:color w:val="000000" w:themeColor="text1"/>
          <w:szCs w:val="24"/>
          <w:lang w:eastAsia="tr-TR"/>
        </w:rPr>
      </w:pPr>
      <w:r w:rsidRPr="00136E38">
        <w:rPr>
          <w:rFonts w:eastAsia="Times New Roman" w:cs="Times New Roman"/>
          <w:color w:val="000000" w:themeColor="text1"/>
          <w:szCs w:val="24"/>
          <w:lang w:eastAsia="tr-TR"/>
        </w:rPr>
        <w:t>BU PLAN VE PLAN HÜKÜMLERİNDE BELİRTİLMEYEN HUSUSLARDA 3194 SAYILI İMAR KANUNU VE İLGİLİ YÖNETMELİK HÜKÜMLERİ GEÇERLİDİR.</w:t>
      </w:r>
    </w:p>
    <w:p w:rsidR="00FE4C35" w:rsidRPr="00FE4C35" w:rsidRDefault="00FE4C35" w:rsidP="00FE4C35">
      <w:pPr>
        <w:rPr>
          <w:rFonts w:eastAsia="Times New Roman" w:cs="Times New Roman"/>
          <w:b/>
          <w:bCs/>
          <w:color w:val="000000" w:themeColor="text1"/>
          <w:szCs w:val="24"/>
          <w:lang w:eastAsia="tr-TR"/>
        </w:rPr>
      </w:pPr>
      <w:bookmarkStart w:id="0" w:name="_GoBack"/>
      <w:bookmarkEnd w:id="0"/>
    </w:p>
    <w:p w:rsidR="00CC4CC5" w:rsidRDefault="00CC4CC5"/>
    <w:sectPr w:rsidR="00CC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44615"/>
    <w:multiLevelType w:val="hybridMultilevel"/>
    <w:tmpl w:val="C28287C0"/>
    <w:lvl w:ilvl="0" w:tplc="E14EFB6C">
      <w:start w:val="1"/>
      <w:numFmt w:val="decimal"/>
      <w:lvlText w:val="%1."/>
      <w:lvlJc w:val="left"/>
      <w:pPr>
        <w:ind w:left="502" w:hanging="360"/>
      </w:pPr>
      <w:rPr>
        <w:b/>
        <w:bCs/>
        <w:color w:val="000000"/>
      </w:rPr>
    </w:lvl>
    <w:lvl w:ilvl="1" w:tplc="49DABD5C">
      <w:start w:val="1"/>
      <w:numFmt w:val="bullet"/>
      <w:lvlText w:val="-"/>
      <w:lvlJc w:val="left"/>
      <w:pPr>
        <w:ind w:left="1222" w:hanging="360"/>
      </w:pPr>
      <w:rPr>
        <w:b/>
        <w:bCs/>
        <w:color w:val="000000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color w:val="000000"/>
      </w:rPr>
    </w:lvl>
    <w:lvl w:ilvl="3" w:tplc="E14EFB6C">
      <w:start w:val="1"/>
      <w:numFmt w:val="decimal"/>
      <w:lvlText w:val="%4."/>
      <w:lvlJc w:val="left"/>
      <w:pPr>
        <w:ind w:left="2662" w:hanging="360"/>
      </w:pPr>
      <w:rPr>
        <w:color w:val="000000"/>
      </w:rPr>
    </w:lvl>
    <w:lvl w:ilvl="4" w:tplc="041F0019">
      <w:start w:val="1"/>
      <w:numFmt w:val="lowerLetter"/>
      <w:lvlText w:val="%5."/>
      <w:lvlJc w:val="left"/>
      <w:pPr>
        <w:ind w:left="3382" w:hanging="360"/>
      </w:pPr>
      <w:rPr>
        <w:color w:val="000000"/>
      </w:rPr>
    </w:lvl>
    <w:lvl w:ilvl="5" w:tplc="041F001B">
      <w:start w:val="1"/>
      <w:numFmt w:val="lowerRoman"/>
      <w:lvlText w:val="%6."/>
      <w:lvlJc w:val="right"/>
      <w:pPr>
        <w:ind w:left="4102" w:hanging="180"/>
      </w:pPr>
      <w:rPr>
        <w:color w:val="000000"/>
      </w:rPr>
    </w:lvl>
    <w:lvl w:ilvl="6" w:tplc="E14EFB6C">
      <w:start w:val="1"/>
      <w:numFmt w:val="decimal"/>
      <w:lvlText w:val="%7."/>
      <w:lvlJc w:val="left"/>
      <w:pPr>
        <w:ind w:left="4822" w:hanging="360"/>
      </w:pPr>
      <w:rPr>
        <w:color w:val="000000"/>
      </w:rPr>
    </w:lvl>
    <w:lvl w:ilvl="7" w:tplc="041F0019">
      <w:start w:val="1"/>
      <w:numFmt w:val="lowerLetter"/>
      <w:lvlText w:val="%8."/>
      <w:lvlJc w:val="left"/>
      <w:pPr>
        <w:ind w:left="5542" w:hanging="360"/>
      </w:pPr>
      <w:rPr>
        <w:color w:val="000000"/>
      </w:rPr>
    </w:lvl>
    <w:lvl w:ilvl="8" w:tplc="041F001B">
      <w:start w:val="1"/>
      <w:numFmt w:val="lowerRoman"/>
      <w:lvlText w:val="%9."/>
      <w:lvlJc w:val="right"/>
      <w:pPr>
        <w:ind w:left="6262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8"/>
    <w:rsid w:val="000B0428"/>
    <w:rsid w:val="001818BA"/>
    <w:rsid w:val="0028389C"/>
    <w:rsid w:val="00307804"/>
    <w:rsid w:val="00331AF0"/>
    <w:rsid w:val="00417148"/>
    <w:rsid w:val="00781D0D"/>
    <w:rsid w:val="008921C8"/>
    <w:rsid w:val="00911BB8"/>
    <w:rsid w:val="00965BAD"/>
    <w:rsid w:val="009927B7"/>
    <w:rsid w:val="009D2599"/>
    <w:rsid w:val="00A4335B"/>
    <w:rsid w:val="00AC5687"/>
    <w:rsid w:val="00B1184C"/>
    <w:rsid w:val="00CC4CC5"/>
    <w:rsid w:val="00D3373F"/>
    <w:rsid w:val="00D73357"/>
    <w:rsid w:val="00DF2EB8"/>
    <w:rsid w:val="00E80B84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EE2D7"/>
  <w15:chartTrackingRefBased/>
  <w15:docId w15:val="{8E1B3A90-1F2F-41E7-A569-747F705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3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11BB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733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27B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7335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927B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11BB8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2025-04-28T09:05:00Z</dcterms:created>
  <dcterms:modified xsi:type="dcterms:W3CDTF">2025-04-28T09:06:00Z</dcterms:modified>
</cp:coreProperties>
</file>