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213327" w:rsidRPr="00213327">
        <w:rPr>
          <w:sz w:val="36"/>
          <w:szCs w:val="36"/>
        </w:rPr>
        <w:t xml:space="preserve">Kırklareli İli, Vize İlçesi, Evrenli Köyü, mevkiinde tapuda 127 ada 85 parsel numaralı taşınmaz üzerinde Soylu Yem Tarım San. Tic. A.Ş. tarafından yapılması planlanan </w:t>
      </w:r>
      <w:r w:rsidR="00213327" w:rsidRPr="00213327">
        <w:rPr>
          <w:b/>
          <w:sz w:val="36"/>
          <w:szCs w:val="36"/>
        </w:rPr>
        <w:t>"Ham Yağ Tesisi Kapasite Artışı"</w:t>
      </w:r>
      <w:r w:rsidR="00213327">
        <w:t> </w:t>
      </w:r>
      <w:r w:rsidR="00D979A0" w:rsidRPr="00D979A0">
        <w:rPr>
          <w:rStyle w:val="Gl"/>
          <w:sz w:val="36"/>
          <w:szCs w:val="36"/>
        </w:rPr>
        <w:t>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34" w:rsidRDefault="00D14234" w:rsidP="00536BBF">
      <w:r>
        <w:separator/>
      </w:r>
    </w:p>
  </w:endnote>
  <w:endnote w:type="continuationSeparator" w:id="0">
    <w:p w:rsidR="00D14234" w:rsidRDefault="00D14234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34" w:rsidRDefault="00D14234" w:rsidP="00536BBF">
      <w:r>
        <w:separator/>
      </w:r>
    </w:p>
  </w:footnote>
  <w:footnote w:type="continuationSeparator" w:id="0">
    <w:p w:rsidR="00D14234" w:rsidRDefault="00D14234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2BBA"/>
    <w:rsid w:val="00CB42D4"/>
    <w:rsid w:val="00CF4328"/>
    <w:rsid w:val="00D02215"/>
    <w:rsid w:val="00D07F74"/>
    <w:rsid w:val="00D1423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2024-08-06T05:51:00Z</cp:lastPrinted>
  <dcterms:created xsi:type="dcterms:W3CDTF">2024-08-06T05:53:00Z</dcterms:created>
  <dcterms:modified xsi:type="dcterms:W3CDTF">2024-08-06T05:53:00Z</dcterms:modified>
</cp:coreProperties>
</file>