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8592" w14:textId="5BB1BB45" w:rsidR="00610DE5" w:rsidRPr="00177D43" w:rsidRDefault="00803982">
      <w:pPr>
        <w:pStyle w:val="KonuBal"/>
        <w:rPr>
          <w:sz w:val="40"/>
          <w:szCs w:val="40"/>
          <w:lang w:val="tr-TR"/>
        </w:rPr>
      </w:pPr>
      <w:r w:rsidRPr="00177D43">
        <w:rPr>
          <w:noProof/>
          <w:sz w:val="40"/>
          <w:szCs w:val="40"/>
          <w:lang w:val="tr-TR"/>
        </w:rPr>
        <mc:AlternateContent>
          <mc:Choice Requires="wps">
            <w:drawing>
              <wp:anchor distT="0" distB="0" distL="0" distR="0" simplePos="0" relativeHeight="251654656" behindDoc="0" locked="0" layoutInCell="1" allowOverlap="1" wp14:anchorId="52FCB1BA" wp14:editId="5A5609CF">
                <wp:simplePos x="0" y="0"/>
                <wp:positionH relativeFrom="page">
                  <wp:posOffset>2149475</wp:posOffset>
                </wp:positionH>
                <wp:positionV relativeFrom="paragraph">
                  <wp:posOffset>53975</wp:posOffset>
                </wp:positionV>
                <wp:extent cx="190500" cy="15119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11935"/>
                        </a:xfrm>
                        <a:custGeom>
                          <a:avLst/>
                          <a:gdLst/>
                          <a:ahLst/>
                          <a:cxnLst/>
                          <a:rect l="l" t="t" r="r" b="b"/>
                          <a:pathLst>
                            <a:path w="190500" h="1511935">
                              <a:moveTo>
                                <a:pt x="0" y="1511807"/>
                              </a:moveTo>
                              <a:lnTo>
                                <a:pt x="190500" y="1511807"/>
                              </a:lnTo>
                              <a:lnTo>
                                <a:pt x="190500" y="0"/>
                              </a:lnTo>
                              <a:lnTo>
                                <a:pt x="0" y="0"/>
                              </a:lnTo>
                              <a:lnTo>
                                <a:pt x="0" y="1511807"/>
                              </a:lnTo>
                              <a:close/>
                            </a:path>
                          </a:pathLst>
                        </a:custGeom>
                        <a:solidFill>
                          <a:srgbClr val="0177BC"/>
                        </a:solidFill>
                      </wps:spPr>
                      <wps:bodyPr wrap="square" lIns="0" tIns="0" rIns="0" bIns="0" rtlCol="0">
                        <a:prstTxWarp prst="textNoShape">
                          <a:avLst/>
                        </a:prstTxWarp>
                        <a:noAutofit/>
                      </wps:bodyPr>
                    </wps:wsp>
                  </a:graphicData>
                </a:graphic>
              </wp:anchor>
            </w:drawing>
          </mc:Choice>
          <mc:Fallback>
            <w:pict>
              <v:shape w14:anchorId="7E6FD729" id="Graphic 1" o:spid="_x0000_s1026" style="position:absolute;margin-left:169.25pt;margin-top:4.25pt;width:15pt;height:119.05pt;z-index:251654656;visibility:visible;mso-wrap-style:square;mso-wrap-distance-left:0;mso-wrap-distance-top:0;mso-wrap-distance-right:0;mso-wrap-distance-bottom:0;mso-position-horizontal:absolute;mso-position-horizontal-relative:page;mso-position-vertical:absolute;mso-position-vertical-relative:text;v-text-anchor:top" coordsize="190500,15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" path="m,1511807r190500,l190500,,,,,1511807xe" fillcolor="#0177bc" stroked="f">
                <v:path arrowok="t"/>
                <w10:wrap anchorx="page"/>
              </v:shape>
            </w:pict>
          </mc:Fallback>
        </mc:AlternateContent>
      </w:r>
      <w:r w:rsidR="00816686" w:rsidRPr="00177D43">
        <w:rPr>
          <w:color w:val="0177BC"/>
          <w:sz w:val="40"/>
          <w:szCs w:val="40"/>
          <w:lang w:val="tr-TR"/>
        </w:rPr>
        <w:t xml:space="preserve">Banka Direktifi </w:t>
      </w:r>
    </w:p>
    <w:p w14:paraId="3EC92A86" w14:textId="25F5A46D" w:rsidR="00610DE5" w:rsidRPr="00177D43" w:rsidRDefault="00610DE5" w:rsidP="00816686">
      <w:pPr>
        <w:pStyle w:val="GvdeMetni"/>
        <w:spacing w:before="36"/>
        <w:ind w:right="-458"/>
        <w:rPr>
          <w:rFonts w:ascii="Arial" w:hAnsi="Arial" w:cs="Arial"/>
          <w:b/>
          <w:lang w:val="tr-TR"/>
        </w:rPr>
      </w:pPr>
    </w:p>
    <w:p w14:paraId="46713384" w14:textId="5334EB94" w:rsidR="00610DE5" w:rsidRPr="00177D43" w:rsidRDefault="00816686" w:rsidP="00816686">
      <w:pPr>
        <w:spacing w:line="259" w:lineRule="auto"/>
        <w:ind w:left="2362" w:right="-458" w:hanging="10"/>
        <w:rPr>
          <w:rFonts w:ascii="Arial" w:hAnsi="Arial" w:cs="Arial"/>
          <w:sz w:val="32"/>
          <w:szCs w:val="18"/>
          <w:lang w:val="tr-TR"/>
        </w:rPr>
      </w:pPr>
      <w:r w:rsidRPr="00177D43">
        <w:rPr>
          <w:rFonts w:ascii="Arial" w:hAnsi="Arial" w:cs="Arial"/>
          <w:sz w:val="32"/>
          <w:szCs w:val="18"/>
          <w:lang w:val="tr-TR"/>
        </w:rPr>
        <w:t xml:space="preserve">IBRD Kredileri ve IDA Kredileri ve Hibeleri ile Finanse Edilen Projelerde Sahteciliğin ve Yolsuzluğun Önlenmesi ve Bunlarla Mücadele Edilmesi Hakkında Kılavuz (1Temmuz 2016 itibariyle </w:t>
      </w:r>
      <w:proofErr w:type="gramStart"/>
      <w:r w:rsidRPr="00177D43">
        <w:rPr>
          <w:rFonts w:ascii="Arial" w:hAnsi="Arial" w:cs="Arial"/>
          <w:sz w:val="32"/>
          <w:szCs w:val="18"/>
          <w:lang w:val="tr-TR"/>
        </w:rPr>
        <w:t>revize edilmiştir</w:t>
      </w:r>
      <w:proofErr w:type="gramEnd"/>
      <w:r w:rsidRPr="00177D43">
        <w:rPr>
          <w:rFonts w:ascii="Arial" w:hAnsi="Arial" w:cs="Arial"/>
          <w:sz w:val="32"/>
          <w:szCs w:val="18"/>
          <w:lang w:val="tr-TR"/>
        </w:rPr>
        <w:t>)</w:t>
      </w:r>
    </w:p>
    <w:p w14:paraId="6DB26948" w14:textId="77777777" w:rsidR="00816686" w:rsidRPr="00391F7A" w:rsidRDefault="00816686">
      <w:pPr>
        <w:spacing w:before="1"/>
        <w:ind w:left="2370"/>
        <w:rPr>
          <w:rFonts w:ascii="Arial" w:hAnsi="Arial" w:cs="Arial"/>
          <w:b/>
          <w:sz w:val="21"/>
          <w:lang w:val="tr-TR"/>
        </w:rPr>
      </w:pPr>
    </w:p>
    <w:p w14:paraId="256966D1" w14:textId="77777777" w:rsidR="00816686" w:rsidRPr="00391F7A" w:rsidRDefault="00816686">
      <w:pPr>
        <w:spacing w:before="1"/>
        <w:ind w:left="2370"/>
        <w:rPr>
          <w:rFonts w:ascii="Arial" w:hAnsi="Arial" w:cs="Arial"/>
          <w:b/>
          <w:sz w:val="21"/>
          <w:lang w:val="tr-TR"/>
        </w:rPr>
      </w:pPr>
    </w:p>
    <w:p w14:paraId="3CC161ED" w14:textId="707DCE8A" w:rsidR="00610DE5" w:rsidRPr="00177D43" w:rsidRDefault="00000000">
      <w:pPr>
        <w:spacing w:before="1"/>
        <w:ind w:left="2370"/>
        <w:rPr>
          <w:rFonts w:ascii="Arial" w:hAnsi="Arial" w:cs="Arial"/>
          <w:b/>
          <w:sz w:val="20"/>
          <w:szCs w:val="20"/>
          <w:lang w:val="tr-TR"/>
        </w:rPr>
      </w:pPr>
      <w:r w:rsidRPr="00177D43">
        <w:rPr>
          <w:rFonts w:ascii="Arial" w:hAnsi="Arial" w:cs="Arial"/>
          <w:b/>
          <w:sz w:val="20"/>
          <w:szCs w:val="20"/>
          <w:lang w:val="tr-TR"/>
        </w:rPr>
        <w:t>Bank</w:t>
      </w:r>
      <w:r w:rsidR="00816686" w:rsidRPr="00177D43">
        <w:rPr>
          <w:rFonts w:ascii="Arial" w:hAnsi="Arial" w:cs="Arial"/>
          <w:b/>
          <w:sz w:val="20"/>
          <w:szCs w:val="20"/>
          <w:lang w:val="tr-TR"/>
        </w:rPr>
        <w:t xml:space="preserve">a’nın Bilgiye Erişim Politikası </w:t>
      </w:r>
      <w:r w:rsidR="00816686" w:rsidRPr="00177D43">
        <w:rPr>
          <w:rFonts w:ascii="Arial" w:hAnsi="Arial" w:cs="Arial"/>
          <w:b/>
          <w:spacing w:val="-2"/>
          <w:sz w:val="20"/>
          <w:szCs w:val="20"/>
          <w:lang w:val="tr-TR"/>
        </w:rPr>
        <w:t>Sınıflandırması</w:t>
      </w:r>
    </w:p>
    <w:p w14:paraId="61D69E62" w14:textId="15732B05" w:rsidR="00610DE5" w:rsidRPr="00177D43" w:rsidRDefault="00816686">
      <w:pPr>
        <w:spacing w:before="25"/>
        <w:ind w:left="2355"/>
        <w:rPr>
          <w:rFonts w:ascii="Arial" w:hAnsi="Arial" w:cs="Arial"/>
          <w:sz w:val="20"/>
          <w:szCs w:val="20"/>
          <w:lang w:val="tr-TR"/>
        </w:rPr>
      </w:pPr>
      <w:r w:rsidRPr="00177D43">
        <w:rPr>
          <w:rFonts w:ascii="Arial" w:hAnsi="Arial" w:cs="Arial"/>
          <w:spacing w:val="-2"/>
          <w:sz w:val="20"/>
          <w:szCs w:val="20"/>
          <w:lang w:val="tr-TR"/>
        </w:rPr>
        <w:t xml:space="preserve">Kamuya Açık </w:t>
      </w:r>
    </w:p>
    <w:p w14:paraId="0186F4EA" w14:textId="77777777" w:rsidR="00610DE5" w:rsidRPr="00177D43" w:rsidRDefault="00610DE5">
      <w:pPr>
        <w:pStyle w:val="GvdeMetni"/>
        <w:spacing w:before="210"/>
        <w:rPr>
          <w:rFonts w:ascii="Arial" w:hAnsi="Arial" w:cs="Arial"/>
          <w:sz w:val="10"/>
          <w:szCs w:val="10"/>
          <w:lang w:val="tr-TR"/>
        </w:rPr>
      </w:pPr>
    </w:p>
    <w:p w14:paraId="316E6A48" w14:textId="7A6F1ECC" w:rsidR="00610DE5" w:rsidRPr="00177D43" w:rsidRDefault="00816686">
      <w:pPr>
        <w:ind w:left="2370"/>
        <w:rPr>
          <w:rFonts w:ascii="Arial" w:hAnsi="Arial" w:cs="Arial"/>
          <w:b/>
          <w:sz w:val="20"/>
          <w:szCs w:val="20"/>
          <w:lang w:val="tr-TR"/>
        </w:rPr>
      </w:pPr>
      <w:r w:rsidRPr="00177D43">
        <w:rPr>
          <w:rFonts w:ascii="Arial" w:hAnsi="Arial" w:cs="Arial"/>
          <w:b/>
          <w:sz w:val="20"/>
          <w:szCs w:val="20"/>
          <w:lang w:val="tr-TR"/>
        </w:rPr>
        <w:t>Katalog No:</w:t>
      </w:r>
    </w:p>
    <w:p w14:paraId="73F02B9D" w14:textId="7F2D802A" w:rsidR="00610DE5" w:rsidRPr="00177D43" w:rsidRDefault="00000000">
      <w:pPr>
        <w:spacing w:before="30"/>
        <w:ind w:left="2355"/>
        <w:rPr>
          <w:rFonts w:ascii="Arial" w:hAnsi="Arial" w:cs="Arial"/>
          <w:sz w:val="20"/>
          <w:szCs w:val="20"/>
          <w:lang w:val="tr-TR"/>
        </w:rPr>
      </w:pPr>
      <w:r w:rsidRPr="00177D43">
        <w:rPr>
          <w:rFonts w:ascii="Arial" w:hAnsi="Arial" w:cs="Arial"/>
          <w:spacing w:val="-2"/>
          <w:sz w:val="20"/>
          <w:szCs w:val="20"/>
          <w:lang w:val="tr-TR"/>
        </w:rPr>
        <w:t>LEGVP5.09-DIR.117</w:t>
      </w:r>
    </w:p>
    <w:p w14:paraId="5FC61B1C" w14:textId="060F2D1B" w:rsidR="00610DE5" w:rsidRPr="00177D43" w:rsidRDefault="00610DE5">
      <w:pPr>
        <w:pStyle w:val="GvdeMetni"/>
        <w:spacing w:before="195"/>
        <w:rPr>
          <w:rFonts w:ascii="Arial" w:hAnsi="Arial" w:cs="Arial"/>
          <w:sz w:val="10"/>
          <w:szCs w:val="10"/>
          <w:lang w:val="tr-TR"/>
        </w:rPr>
      </w:pPr>
    </w:p>
    <w:p w14:paraId="4E0AE726" w14:textId="31EF7F59" w:rsidR="00610DE5" w:rsidRPr="00177D43" w:rsidRDefault="00816686">
      <w:pPr>
        <w:ind w:left="2372"/>
        <w:rPr>
          <w:rFonts w:ascii="Arial" w:hAnsi="Arial" w:cs="Arial"/>
          <w:b/>
          <w:sz w:val="20"/>
          <w:szCs w:val="20"/>
          <w:lang w:val="tr-TR"/>
        </w:rPr>
      </w:pPr>
      <w:r w:rsidRPr="00177D43">
        <w:rPr>
          <w:rFonts w:ascii="Arial" w:hAnsi="Arial" w:cs="Arial"/>
          <w:b/>
          <w:spacing w:val="-2"/>
          <w:sz w:val="20"/>
          <w:szCs w:val="20"/>
          <w:lang w:val="tr-TR"/>
        </w:rPr>
        <w:t>Yayı</w:t>
      </w:r>
      <w:r w:rsidR="003B2CDF" w:rsidRPr="00177D43">
        <w:rPr>
          <w:rFonts w:ascii="Arial" w:hAnsi="Arial" w:cs="Arial"/>
          <w:b/>
          <w:spacing w:val="-2"/>
          <w:sz w:val="20"/>
          <w:szCs w:val="20"/>
          <w:lang w:val="tr-TR"/>
        </w:rPr>
        <w:t>n</w:t>
      </w:r>
      <w:r w:rsidRPr="00177D43">
        <w:rPr>
          <w:rFonts w:ascii="Arial" w:hAnsi="Arial" w:cs="Arial"/>
          <w:b/>
          <w:spacing w:val="-2"/>
          <w:sz w:val="20"/>
          <w:szCs w:val="20"/>
          <w:lang w:val="tr-TR"/>
        </w:rPr>
        <w:t xml:space="preserve">lanma Tarihi </w:t>
      </w:r>
    </w:p>
    <w:p w14:paraId="13527ED0" w14:textId="6271A77B" w:rsidR="00610DE5" w:rsidRPr="00177D43" w:rsidRDefault="00816686">
      <w:pPr>
        <w:spacing w:before="25"/>
        <w:ind w:left="2355"/>
        <w:rPr>
          <w:rFonts w:ascii="Arial" w:hAnsi="Arial" w:cs="Arial"/>
          <w:sz w:val="20"/>
          <w:szCs w:val="20"/>
          <w:lang w:val="tr-TR"/>
        </w:rPr>
      </w:pPr>
      <w:r w:rsidRPr="00177D43">
        <w:rPr>
          <w:rFonts w:ascii="Arial" w:hAnsi="Arial" w:cs="Arial"/>
          <w:sz w:val="20"/>
          <w:szCs w:val="20"/>
          <w:lang w:val="tr-TR"/>
        </w:rPr>
        <w:t xml:space="preserve">19 Temmuz </w:t>
      </w:r>
      <w:r w:rsidRPr="00177D43">
        <w:rPr>
          <w:rFonts w:ascii="Arial" w:hAnsi="Arial" w:cs="Arial"/>
          <w:spacing w:val="-4"/>
          <w:sz w:val="20"/>
          <w:szCs w:val="20"/>
          <w:lang w:val="tr-TR"/>
        </w:rPr>
        <w:t>2016</w:t>
      </w:r>
    </w:p>
    <w:p w14:paraId="5ED7BB84" w14:textId="68F153AD" w:rsidR="00610DE5" w:rsidRPr="00177D43" w:rsidRDefault="00610DE5">
      <w:pPr>
        <w:pStyle w:val="GvdeMetni"/>
        <w:spacing w:before="211"/>
        <w:rPr>
          <w:rFonts w:ascii="Arial" w:hAnsi="Arial" w:cs="Arial"/>
          <w:sz w:val="10"/>
          <w:szCs w:val="10"/>
          <w:lang w:val="tr-TR"/>
        </w:rPr>
      </w:pPr>
    </w:p>
    <w:p w14:paraId="15419B83" w14:textId="33187E2E" w:rsidR="00610DE5" w:rsidRPr="00177D43" w:rsidRDefault="00816686">
      <w:pPr>
        <w:ind w:left="2372"/>
        <w:rPr>
          <w:rFonts w:ascii="Arial" w:hAnsi="Arial" w:cs="Arial"/>
          <w:b/>
          <w:sz w:val="20"/>
          <w:szCs w:val="20"/>
          <w:lang w:val="tr-TR"/>
        </w:rPr>
      </w:pPr>
      <w:r w:rsidRPr="00177D43">
        <w:rPr>
          <w:rFonts w:ascii="Arial" w:hAnsi="Arial" w:cs="Arial"/>
          <w:b/>
          <w:spacing w:val="-2"/>
          <w:sz w:val="20"/>
          <w:szCs w:val="20"/>
          <w:lang w:val="tr-TR"/>
        </w:rPr>
        <w:t xml:space="preserve">Yürürlük </w:t>
      </w:r>
      <w:r w:rsidR="006F3CA2" w:rsidRPr="00177D43">
        <w:rPr>
          <w:rFonts w:ascii="Arial" w:hAnsi="Arial" w:cs="Arial"/>
          <w:b/>
          <w:spacing w:val="-2"/>
          <w:sz w:val="20"/>
          <w:szCs w:val="20"/>
          <w:lang w:val="tr-TR"/>
        </w:rPr>
        <w:t>T</w:t>
      </w:r>
      <w:r w:rsidRPr="00177D43">
        <w:rPr>
          <w:rFonts w:ascii="Arial" w:hAnsi="Arial" w:cs="Arial"/>
          <w:b/>
          <w:spacing w:val="-2"/>
          <w:sz w:val="20"/>
          <w:szCs w:val="20"/>
          <w:lang w:val="tr-TR"/>
        </w:rPr>
        <w:t>arihi</w:t>
      </w:r>
    </w:p>
    <w:p w14:paraId="10F79AED" w14:textId="43113B54" w:rsidR="00610DE5" w:rsidRPr="00177D43" w:rsidRDefault="00816686">
      <w:pPr>
        <w:spacing w:before="27"/>
        <w:ind w:left="2355"/>
        <w:rPr>
          <w:rFonts w:ascii="Arial" w:hAnsi="Arial" w:cs="Arial"/>
          <w:sz w:val="20"/>
          <w:szCs w:val="20"/>
          <w:lang w:val="tr-TR"/>
        </w:rPr>
      </w:pPr>
      <w:r w:rsidRPr="00177D43">
        <w:rPr>
          <w:rFonts w:ascii="Arial" w:hAnsi="Arial" w:cs="Arial"/>
          <w:sz w:val="20"/>
          <w:szCs w:val="20"/>
          <w:lang w:val="tr-TR"/>
        </w:rPr>
        <w:t xml:space="preserve">1 Temmuz </w:t>
      </w:r>
      <w:r w:rsidRPr="00177D43">
        <w:rPr>
          <w:rFonts w:ascii="Arial" w:hAnsi="Arial" w:cs="Arial"/>
          <w:spacing w:val="-4"/>
          <w:sz w:val="20"/>
          <w:szCs w:val="20"/>
          <w:lang w:val="tr-TR"/>
        </w:rPr>
        <w:t>2016</w:t>
      </w:r>
    </w:p>
    <w:p w14:paraId="05FF41A1" w14:textId="131492A6" w:rsidR="00610DE5" w:rsidRPr="00177D43" w:rsidRDefault="00610DE5">
      <w:pPr>
        <w:pStyle w:val="GvdeMetni"/>
        <w:spacing w:before="208"/>
        <w:rPr>
          <w:rFonts w:ascii="Arial" w:hAnsi="Arial" w:cs="Arial"/>
          <w:sz w:val="10"/>
          <w:szCs w:val="10"/>
          <w:lang w:val="tr-TR"/>
        </w:rPr>
      </w:pPr>
    </w:p>
    <w:p w14:paraId="2C857490" w14:textId="549D0560" w:rsidR="00610DE5" w:rsidRPr="00177D43" w:rsidRDefault="00816686">
      <w:pPr>
        <w:ind w:left="2370"/>
        <w:rPr>
          <w:rFonts w:ascii="Arial" w:hAnsi="Arial" w:cs="Arial"/>
          <w:b/>
          <w:sz w:val="20"/>
          <w:szCs w:val="20"/>
          <w:lang w:val="tr-TR"/>
        </w:rPr>
      </w:pPr>
      <w:r w:rsidRPr="00177D43">
        <w:rPr>
          <w:rFonts w:ascii="Arial" w:hAnsi="Arial" w:cs="Arial"/>
          <w:b/>
          <w:spacing w:val="-2"/>
          <w:sz w:val="20"/>
          <w:szCs w:val="20"/>
          <w:lang w:val="tr-TR"/>
        </w:rPr>
        <w:t xml:space="preserve">İçerik </w:t>
      </w:r>
    </w:p>
    <w:p w14:paraId="16D57F33" w14:textId="464AE885" w:rsidR="00610DE5" w:rsidRPr="00177D43" w:rsidRDefault="003B2CDF">
      <w:pPr>
        <w:spacing w:before="28"/>
        <w:ind w:left="2413" w:right="51"/>
        <w:rPr>
          <w:rFonts w:ascii="Arial" w:hAnsi="Arial" w:cs="Arial"/>
          <w:sz w:val="20"/>
          <w:szCs w:val="20"/>
          <w:lang w:val="tr-TR"/>
        </w:rPr>
      </w:pPr>
      <w:r w:rsidRPr="00177D43">
        <w:rPr>
          <w:rFonts w:ascii="Arial" w:hAnsi="Arial" w:cs="Arial"/>
          <w:sz w:val="20"/>
          <w:szCs w:val="20"/>
          <w:lang w:val="tr-TR"/>
        </w:rPr>
        <w:t>Bu Kılavuz</w:t>
      </w:r>
      <w:r w:rsidR="00717B0D" w:rsidRPr="00177D43">
        <w:rPr>
          <w:rFonts w:ascii="Arial" w:hAnsi="Arial" w:cs="Arial"/>
          <w:sz w:val="20"/>
          <w:szCs w:val="20"/>
          <w:lang w:val="tr-TR"/>
        </w:rPr>
        <w:t xml:space="preserve">, </w:t>
      </w:r>
      <w:r w:rsidRPr="00177D43">
        <w:rPr>
          <w:rFonts w:ascii="Arial" w:hAnsi="Arial" w:cs="Arial"/>
          <w:sz w:val="20"/>
          <w:szCs w:val="20"/>
          <w:lang w:val="tr-TR"/>
        </w:rPr>
        <w:t>Yatırım Projesi Finansmanı (</w:t>
      </w:r>
      <w:proofErr w:type="spellStart"/>
      <w:r w:rsidRPr="00177D43">
        <w:rPr>
          <w:rFonts w:ascii="Arial" w:hAnsi="Arial" w:cs="Arial"/>
          <w:sz w:val="20"/>
          <w:szCs w:val="20"/>
          <w:lang w:val="tr-TR"/>
        </w:rPr>
        <w:t>IPF</w:t>
      </w:r>
      <w:proofErr w:type="spellEnd"/>
      <w:r w:rsidRPr="00177D43">
        <w:rPr>
          <w:rFonts w:ascii="Arial" w:hAnsi="Arial" w:cs="Arial"/>
          <w:sz w:val="20"/>
          <w:szCs w:val="20"/>
          <w:lang w:val="tr-TR"/>
        </w:rPr>
        <w:t>) ile desteklenen projelerin hazırlanması ve/veya uygulanması sırasında Uluslararası İmar ve Kalkınma banaksı (IBRD) ve Uluslararası Kalkınma Birliği (IDA) tarafından sağlanan finansman tutarlarının kullanımı ile bağlantılı olarak gerçekleşebilecek Sahtecilik ve Yolsuzluğu (aşağıda tanımlandığı şekliyle) önlemek ve bunlarla mücadele etmek için tasarlanmıştır.</w:t>
      </w:r>
      <w:r w:rsidRPr="00177D43">
        <w:rPr>
          <w:rFonts w:ascii="Arial" w:hAnsi="Arial" w:cs="Arial"/>
          <w:spacing w:val="-5"/>
          <w:sz w:val="20"/>
          <w:szCs w:val="20"/>
          <w:lang w:val="tr-TR"/>
        </w:rPr>
        <w:t xml:space="preserve"> Kılavuz, genel ilkeleri, gereklilikleri ve bu gibi tutarları alan, bunların yatırılmasından veya transfer edilmesinden sorumlu olan veya bu tutarların kullanımı ile ilgili kararları alan veya etkileyen kişiler için uygulanabilecek  yaptırımları ortaya koymaktadır</w:t>
      </w:r>
      <w:r w:rsidRPr="00177D43">
        <w:rPr>
          <w:rFonts w:ascii="Arial" w:hAnsi="Arial" w:cs="Arial"/>
          <w:sz w:val="20"/>
          <w:szCs w:val="20"/>
          <w:lang w:val="tr-TR"/>
        </w:rPr>
        <w:t>.</w:t>
      </w:r>
    </w:p>
    <w:p w14:paraId="177D7490" w14:textId="65B1CFE4" w:rsidR="00610DE5" w:rsidRPr="00177D43" w:rsidRDefault="00610DE5">
      <w:pPr>
        <w:pStyle w:val="GvdeMetni"/>
        <w:spacing w:before="34"/>
        <w:rPr>
          <w:rFonts w:ascii="Arial" w:hAnsi="Arial" w:cs="Arial"/>
          <w:sz w:val="20"/>
          <w:szCs w:val="22"/>
          <w:lang w:val="tr-TR"/>
        </w:rPr>
      </w:pPr>
    </w:p>
    <w:p w14:paraId="42ED7228" w14:textId="4D31EFB9" w:rsidR="00610DE5" w:rsidRPr="00177D43" w:rsidRDefault="003B2CDF">
      <w:pPr>
        <w:ind w:left="2322"/>
        <w:rPr>
          <w:rFonts w:ascii="Arial" w:hAnsi="Arial" w:cs="Arial"/>
          <w:b/>
          <w:sz w:val="20"/>
          <w:szCs w:val="20"/>
          <w:lang w:val="tr-TR"/>
        </w:rPr>
      </w:pPr>
      <w:r w:rsidRPr="00177D43">
        <w:rPr>
          <w:rFonts w:ascii="Arial" w:hAnsi="Arial" w:cs="Arial"/>
          <w:b/>
          <w:sz w:val="20"/>
          <w:szCs w:val="20"/>
          <w:lang w:val="tr-TR"/>
        </w:rPr>
        <w:t xml:space="preserve">Geçerli Olduğu Kuruluşlar </w:t>
      </w:r>
    </w:p>
    <w:p w14:paraId="2A414B10" w14:textId="5C8D17AC" w:rsidR="00610DE5" w:rsidRPr="00177D43" w:rsidRDefault="00000000">
      <w:pPr>
        <w:spacing w:before="25"/>
        <w:ind w:left="2355"/>
        <w:rPr>
          <w:rFonts w:ascii="Arial" w:hAnsi="Arial" w:cs="Arial"/>
          <w:sz w:val="20"/>
          <w:szCs w:val="20"/>
          <w:lang w:val="tr-TR"/>
        </w:rPr>
      </w:pPr>
      <w:r w:rsidRPr="00177D43">
        <w:rPr>
          <w:rFonts w:ascii="Arial" w:hAnsi="Arial" w:cs="Arial"/>
          <w:sz w:val="20"/>
          <w:szCs w:val="20"/>
          <w:lang w:val="tr-TR"/>
        </w:rPr>
        <w:t>IBRD,</w:t>
      </w:r>
      <w:r w:rsidRPr="00177D43">
        <w:rPr>
          <w:rFonts w:ascii="Arial" w:hAnsi="Arial" w:cs="Arial"/>
          <w:spacing w:val="-5"/>
          <w:sz w:val="20"/>
          <w:szCs w:val="20"/>
          <w:lang w:val="tr-TR"/>
        </w:rPr>
        <w:t xml:space="preserve"> IDA</w:t>
      </w:r>
    </w:p>
    <w:p w14:paraId="25E9792F" w14:textId="02CF252F" w:rsidR="00610DE5" w:rsidRPr="00177D43" w:rsidRDefault="00610DE5">
      <w:pPr>
        <w:pStyle w:val="GvdeMetni"/>
        <w:spacing w:before="211"/>
        <w:rPr>
          <w:rFonts w:ascii="Arial" w:hAnsi="Arial" w:cs="Arial"/>
          <w:sz w:val="10"/>
          <w:szCs w:val="10"/>
          <w:lang w:val="tr-TR"/>
        </w:rPr>
      </w:pPr>
    </w:p>
    <w:p w14:paraId="08DAC7C9" w14:textId="76C88462" w:rsidR="00610DE5" w:rsidRPr="00177D43" w:rsidRDefault="003B2CDF">
      <w:pPr>
        <w:ind w:left="2370"/>
        <w:rPr>
          <w:rFonts w:ascii="Arial" w:hAnsi="Arial" w:cs="Arial"/>
          <w:b/>
          <w:sz w:val="20"/>
          <w:szCs w:val="20"/>
          <w:lang w:val="tr-TR"/>
        </w:rPr>
      </w:pPr>
      <w:r w:rsidRPr="00177D43">
        <w:rPr>
          <w:rFonts w:ascii="Arial" w:hAnsi="Arial" w:cs="Arial"/>
          <w:b/>
          <w:spacing w:val="-2"/>
          <w:sz w:val="20"/>
          <w:szCs w:val="20"/>
          <w:lang w:val="tr-TR"/>
        </w:rPr>
        <w:t>Yayınlayan Birim</w:t>
      </w:r>
    </w:p>
    <w:p w14:paraId="4C2F16FA" w14:textId="04B7B06C" w:rsidR="00610DE5" w:rsidRPr="00177D43" w:rsidRDefault="003B2CDF">
      <w:pPr>
        <w:spacing w:before="25"/>
        <w:ind w:left="2355"/>
        <w:rPr>
          <w:rFonts w:ascii="Arial" w:hAnsi="Arial" w:cs="Arial"/>
          <w:sz w:val="20"/>
          <w:szCs w:val="20"/>
          <w:lang w:val="tr-TR"/>
        </w:rPr>
      </w:pPr>
      <w:r w:rsidRPr="00177D43">
        <w:rPr>
          <w:rFonts w:ascii="Arial" w:hAnsi="Arial" w:cs="Arial"/>
          <w:sz w:val="20"/>
          <w:szCs w:val="20"/>
          <w:lang w:val="tr-TR"/>
        </w:rPr>
        <w:t>Kıdemli Başkan Yardımcısı ve Baş Hukuk Müşaviri,</w:t>
      </w:r>
      <w:r w:rsidRPr="00177D43">
        <w:rPr>
          <w:rFonts w:ascii="Arial" w:hAnsi="Arial" w:cs="Arial"/>
          <w:spacing w:val="-7"/>
          <w:sz w:val="20"/>
          <w:szCs w:val="20"/>
          <w:lang w:val="tr-TR"/>
        </w:rPr>
        <w:t xml:space="preserve"> </w:t>
      </w:r>
      <w:proofErr w:type="spellStart"/>
      <w:r w:rsidRPr="00177D43">
        <w:rPr>
          <w:rFonts w:ascii="Arial" w:hAnsi="Arial" w:cs="Arial"/>
          <w:spacing w:val="-4"/>
          <w:sz w:val="20"/>
          <w:szCs w:val="20"/>
          <w:lang w:val="tr-TR"/>
        </w:rPr>
        <w:t>LEGVP</w:t>
      </w:r>
      <w:proofErr w:type="spellEnd"/>
    </w:p>
    <w:p w14:paraId="45914E0F" w14:textId="1127FCBF" w:rsidR="00610DE5" w:rsidRPr="00177D43" w:rsidRDefault="00610DE5">
      <w:pPr>
        <w:pStyle w:val="GvdeMetni"/>
        <w:spacing w:before="211"/>
        <w:rPr>
          <w:rFonts w:ascii="Arial" w:hAnsi="Arial" w:cs="Arial"/>
          <w:sz w:val="10"/>
          <w:szCs w:val="10"/>
          <w:lang w:val="tr-TR"/>
        </w:rPr>
      </w:pPr>
    </w:p>
    <w:p w14:paraId="726C7C19" w14:textId="0DE23D01" w:rsidR="00610DE5" w:rsidRPr="00177D43" w:rsidRDefault="00177D43">
      <w:pPr>
        <w:ind w:left="2370"/>
        <w:rPr>
          <w:rFonts w:ascii="Arial" w:hAnsi="Arial" w:cs="Arial"/>
          <w:b/>
          <w:sz w:val="20"/>
          <w:szCs w:val="20"/>
          <w:lang w:val="tr-TR"/>
        </w:rPr>
      </w:pPr>
      <w:r>
        <w:rPr>
          <w:rFonts w:ascii="Arial" w:hAnsi="Arial" w:cs="Arial"/>
          <w:b/>
          <w:spacing w:val="-2"/>
          <w:sz w:val="20"/>
          <w:szCs w:val="20"/>
          <w:lang w:val="tr-TR"/>
        </w:rPr>
        <w:t>Destekleyen Birim</w:t>
      </w:r>
    </w:p>
    <w:p w14:paraId="46E1C571" w14:textId="4CFD7920" w:rsidR="00610DE5" w:rsidRPr="00D150B3" w:rsidRDefault="003B2CDF">
      <w:pPr>
        <w:spacing w:before="25"/>
        <w:ind w:left="2355"/>
        <w:rPr>
          <w:rFonts w:ascii="Arial" w:hAnsi="Arial" w:cs="Arial"/>
          <w:sz w:val="16"/>
          <w:szCs w:val="16"/>
          <w:lang w:val="tr-TR"/>
        </w:rPr>
      </w:pPr>
      <w:r w:rsidRPr="00CA2B89">
        <w:rPr>
          <w:rFonts w:ascii="Arial" w:hAnsi="Arial" w:cs="Arial"/>
          <w:sz w:val="20"/>
          <w:szCs w:val="20"/>
          <w:lang w:val="tr-TR"/>
        </w:rPr>
        <w:t>Baş Hukuk Müşaviri</w:t>
      </w:r>
      <w:r w:rsidR="00177D43" w:rsidRPr="00CA2B89">
        <w:rPr>
          <w:rFonts w:ascii="Arial" w:hAnsi="Arial" w:cs="Arial"/>
          <w:sz w:val="20"/>
          <w:szCs w:val="20"/>
          <w:lang w:val="tr-TR"/>
        </w:rPr>
        <w:t xml:space="preserve">, </w:t>
      </w:r>
      <w:proofErr w:type="spellStart"/>
      <w:r w:rsidR="00177D43" w:rsidRPr="00CA2B89">
        <w:rPr>
          <w:rFonts w:ascii="Arial" w:hAnsi="Arial" w:cs="Arial"/>
          <w:sz w:val="20"/>
          <w:szCs w:val="20"/>
          <w:lang w:val="tr-TR"/>
        </w:rPr>
        <w:t>LEGOP</w:t>
      </w:r>
      <w:proofErr w:type="spellEnd"/>
    </w:p>
    <w:p w14:paraId="5E604B5A" w14:textId="77777777" w:rsidR="00610DE5" w:rsidRPr="00391F7A" w:rsidRDefault="00610DE5">
      <w:pPr>
        <w:rPr>
          <w:rFonts w:ascii="Arial"/>
          <w:sz w:val="21"/>
          <w:lang w:val="tr-TR"/>
        </w:rPr>
        <w:sectPr w:rsidR="00610DE5" w:rsidRPr="00391F7A" w:rsidSect="00B574C6">
          <w:headerReference w:type="default" r:id="rId8"/>
          <w:type w:val="continuous"/>
          <w:pgSz w:w="12240" w:h="15840"/>
          <w:pgMar w:top="1560" w:right="1480" w:bottom="280" w:left="1720" w:header="0" w:footer="708" w:gutter="0"/>
          <w:cols w:space="708"/>
        </w:sectPr>
      </w:pPr>
    </w:p>
    <w:p w14:paraId="59AFF065" w14:textId="77777777" w:rsidR="00717B0D" w:rsidRPr="00391F7A" w:rsidRDefault="003B2CDF">
      <w:pPr>
        <w:ind w:left="728" w:right="688"/>
        <w:jc w:val="center"/>
        <w:rPr>
          <w:b/>
          <w:spacing w:val="-6"/>
          <w:w w:val="105"/>
          <w:sz w:val="24"/>
          <w:lang w:val="tr-TR"/>
        </w:rPr>
      </w:pPr>
      <w:r w:rsidRPr="00391F7A">
        <w:rPr>
          <w:b/>
          <w:spacing w:val="-6"/>
          <w:w w:val="105"/>
          <w:sz w:val="24"/>
          <w:lang w:val="tr-TR"/>
        </w:rPr>
        <w:lastRenderedPageBreak/>
        <w:t xml:space="preserve">IBRD Kredileri ve IDA Kredileri ve Hibeleri ile Finanse Edilen Projelerde Sahteciliğin ve Yolsuzluğun Önlenmesi ve Bunlarla Mücadele Edilmesi </w:t>
      </w:r>
    </w:p>
    <w:p w14:paraId="0BEBCB24" w14:textId="77777777" w:rsidR="00391F7A" w:rsidRPr="00A03FAF" w:rsidRDefault="00391F7A">
      <w:pPr>
        <w:ind w:left="728" w:right="688"/>
        <w:jc w:val="center"/>
        <w:rPr>
          <w:b/>
          <w:spacing w:val="-6"/>
          <w:w w:val="105"/>
          <w:sz w:val="12"/>
          <w:szCs w:val="12"/>
          <w:lang w:val="tr-TR"/>
        </w:rPr>
      </w:pPr>
    </w:p>
    <w:p w14:paraId="2006A98F" w14:textId="5E845B4C" w:rsidR="003B2CDF" w:rsidRPr="00391F7A" w:rsidRDefault="00A03FAF">
      <w:pPr>
        <w:ind w:left="728" w:right="688"/>
        <w:jc w:val="center"/>
        <w:rPr>
          <w:b/>
          <w:spacing w:val="-6"/>
          <w:w w:val="105"/>
          <w:sz w:val="24"/>
          <w:lang w:val="tr-TR"/>
        </w:rPr>
      </w:pPr>
      <w:r>
        <w:rPr>
          <w:b/>
          <w:spacing w:val="-6"/>
          <w:w w:val="105"/>
          <w:sz w:val="24"/>
          <w:lang w:val="tr-TR"/>
        </w:rPr>
        <w:t>h</w:t>
      </w:r>
      <w:r w:rsidR="003B2CDF" w:rsidRPr="00391F7A">
        <w:rPr>
          <w:b/>
          <w:spacing w:val="-6"/>
          <w:w w:val="105"/>
          <w:sz w:val="24"/>
          <w:lang w:val="tr-TR"/>
        </w:rPr>
        <w:t xml:space="preserve">akkında </w:t>
      </w:r>
    </w:p>
    <w:p w14:paraId="432F9B1E" w14:textId="77777777" w:rsidR="00391F7A" w:rsidRPr="00A03FAF" w:rsidRDefault="00391F7A">
      <w:pPr>
        <w:ind w:left="728" w:right="688"/>
        <w:jc w:val="center"/>
        <w:rPr>
          <w:b/>
          <w:sz w:val="12"/>
          <w:szCs w:val="12"/>
          <w:lang w:val="tr-TR"/>
        </w:rPr>
      </w:pPr>
    </w:p>
    <w:p w14:paraId="008E0657" w14:textId="3F2680FF" w:rsidR="003B2CDF" w:rsidRPr="00391F7A" w:rsidRDefault="003B2CDF">
      <w:pPr>
        <w:ind w:left="728" w:right="688"/>
        <w:jc w:val="center"/>
        <w:rPr>
          <w:b/>
          <w:spacing w:val="-6"/>
          <w:w w:val="105"/>
          <w:sz w:val="24"/>
          <w:lang w:val="tr-TR"/>
        </w:rPr>
      </w:pPr>
      <w:r w:rsidRPr="00391F7A">
        <w:rPr>
          <w:b/>
          <w:sz w:val="24"/>
          <w:lang w:val="tr-TR"/>
        </w:rPr>
        <w:t>15 Ekim 2006</w:t>
      </w:r>
      <w:r w:rsidRPr="00391F7A">
        <w:rPr>
          <w:b/>
          <w:spacing w:val="2"/>
          <w:sz w:val="24"/>
          <w:lang w:val="tr-TR"/>
        </w:rPr>
        <w:t xml:space="preserve"> tarihli ve Ocak 2011 ve 1</w:t>
      </w:r>
      <w:r w:rsidR="00717B0D" w:rsidRPr="00391F7A">
        <w:rPr>
          <w:b/>
          <w:spacing w:val="2"/>
          <w:sz w:val="24"/>
          <w:lang w:val="tr-TR"/>
        </w:rPr>
        <w:t xml:space="preserve"> T</w:t>
      </w:r>
      <w:r w:rsidRPr="00391F7A">
        <w:rPr>
          <w:b/>
          <w:spacing w:val="2"/>
          <w:sz w:val="24"/>
          <w:lang w:val="tr-TR"/>
        </w:rPr>
        <w:t>emmuz 2016 itib</w:t>
      </w:r>
      <w:r w:rsidR="00717B0D" w:rsidRPr="00391F7A">
        <w:rPr>
          <w:b/>
          <w:spacing w:val="2"/>
          <w:sz w:val="24"/>
          <w:lang w:val="tr-TR"/>
        </w:rPr>
        <w:t>a</w:t>
      </w:r>
      <w:r w:rsidRPr="00391F7A">
        <w:rPr>
          <w:b/>
          <w:spacing w:val="2"/>
          <w:sz w:val="24"/>
          <w:lang w:val="tr-TR"/>
        </w:rPr>
        <w:t>riyl</w:t>
      </w:r>
      <w:r w:rsidR="00717B0D" w:rsidRPr="00391F7A">
        <w:rPr>
          <w:b/>
          <w:spacing w:val="2"/>
          <w:sz w:val="24"/>
          <w:lang w:val="tr-TR"/>
        </w:rPr>
        <w:t>e</w:t>
      </w:r>
      <w:r w:rsidRPr="00391F7A">
        <w:rPr>
          <w:b/>
          <w:spacing w:val="2"/>
          <w:sz w:val="24"/>
          <w:lang w:val="tr-TR"/>
        </w:rPr>
        <w:t xml:space="preserve"> değiştirilen </w:t>
      </w:r>
    </w:p>
    <w:p w14:paraId="670ECD1F" w14:textId="77777777" w:rsidR="00717B0D" w:rsidRPr="00391F7A" w:rsidRDefault="00717B0D">
      <w:pPr>
        <w:ind w:left="728" w:right="688"/>
        <w:jc w:val="center"/>
        <w:rPr>
          <w:b/>
          <w:spacing w:val="-6"/>
          <w:w w:val="105"/>
          <w:sz w:val="24"/>
          <w:lang w:val="tr-TR"/>
        </w:rPr>
      </w:pPr>
    </w:p>
    <w:p w14:paraId="0A9BE878" w14:textId="2E7C066A" w:rsidR="003B2CDF" w:rsidRPr="00391F7A" w:rsidRDefault="003B2CDF">
      <w:pPr>
        <w:ind w:left="728" w:right="688"/>
        <w:jc w:val="center"/>
        <w:rPr>
          <w:b/>
          <w:spacing w:val="-6"/>
          <w:w w:val="105"/>
          <w:sz w:val="24"/>
          <w:lang w:val="tr-TR"/>
        </w:rPr>
      </w:pPr>
      <w:r w:rsidRPr="00391F7A">
        <w:rPr>
          <w:b/>
          <w:spacing w:val="-6"/>
          <w:w w:val="105"/>
          <w:sz w:val="24"/>
          <w:lang w:val="tr-TR"/>
        </w:rPr>
        <w:t xml:space="preserve">KILAVUZ </w:t>
      </w:r>
    </w:p>
    <w:p w14:paraId="6042505C" w14:textId="64E7F9D9" w:rsidR="00A03FAF" w:rsidRDefault="0022532D" w:rsidP="0022532D">
      <w:pPr>
        <w:tabs>
          <w:tab w:val="left" w:pos="3390"/>
        </w:tabs>
        <w:ind w:left="162"/>
        <w:rPr>
          <w:b/>
          <w:sz w:val="24"/>
          <w:lang w:val="tr-TR"/>
        </w:rPr>
      </w:pPr>
      <w:r>
        <w:rPr>
          <w:b/>
          <w:sz w:val="24"/>
          <w:lang w:val="tr-TR"/>
        </w:rPr>
        <w:tab/>
      </w:r>
    </w:p>
    <w:p w14:paraId="67B3DE06" w14:textId="16AF5AFD" w:rsidR="00610DE5" w:rsidRPr="00391F7A" w:rsidRDefault="003B2CDF">
      <w:pPr>
        <w:ind w:left="162"/>
        <w:rPr>
          <w:b/>
          <w:sz w:val="24"/>
          <w:lang w:val="tr-TR"/>
        </w:rPr>
      </w:pPr>
      <w:r w:rsidRPr="00391F7A">
        <w:rPr>
          <w:b/>
          <w:sz w:val="24"/>
          <w:lang w:val="tr-TR"/>
        </w:rPr>
        <w:t xml:space="preserve">Amaç ve Genel İlkeler </w:t>
      </w:r>
    </w:p>
    <w:p w14:paraId="7A598808" w14:textId="77777777" w:rsidR="00610DE5" w:rsidRPr="00391F7A" w:rsidRDefault="00610DE5">
      <w:pPr>
        <w:pStyle w:val="GvdeMetni"/>
        <w:spacing w:before="7"/>
        <w:rPr>
          <w:b/>
          <w:lang w:val="tr-TR"/>
        </w:rPr>
      </w:pPr>
    </w:p>
    <w:p w14:paraId="57C4A4C6" w14:textId="75600838" w:rsidR="00610DE5" w:rsidRPr="00391F7A" w:rsidRDefault="00717B0D">
      <w:pPr>
        <w:pStyle w:val="ListeParagraf"/>
        <w:numPr>
          <w:ilvl w:val="0"/>
          <w:numId w:val="4"/>
        </w:numPr>
        <w:tabs>
          <w:tab w:val="left" w:pos="953"/>
        </w:tabs>
        <w:ind w:right="117" w:firstLine="0"/>
        <w:jc w:val="both"/>
        <w:rPr>
          <w:sz w:val="24"/>
          <w:lang w:val="tr-TR"/>
        </w:rPr>
      </w:pPr>
      <w:r w:rsidRPr="00391F7A">
        <w:rPr>
          <w:w w:val="105"/>
          <w:sz w:val="24"/>
          <w:lang w:val="tr-TR"/>
        </w:rPr>
        <w:t>Bu Kılavuz, Yatırım Projesi Finansmanı (</w:t>
      </w:r>
      <w:proofErr w:type="spellStart"/>
      <w:r w:rsidRPr="00391F7A">
        <w:rPr>
          <w:w w:val="105"/>
          <w:sz w:val="24"/>
          <w:lang w:val="tr-TR"/>
        </w:rPr>
        <w:t>IPF</w:t>
      </w:r>
      <w:proofErr w:type="spellEnd"/>
      <w:r w:rsidRPr="00391F7A">
        <w:rPr>
          <w:w w:val="105"/>
          <w:sz w:val="24"/>
          <w:lang w:val="tr-TR"/>
        </w:rPr>
        <w:t xml:space="preserve">) ile desteklenen projelerin hazırlanması ve/veya uygulanması sırasında Uluslararası İmar ve Kalkınma banaksı (IBRD) ve Uluslararası Kalkınma Birliği (IDA) tarafından sağlanan finansman tutarlarının kullanımı ile bağlantılı olarak gerçekleşebilecek Sahtecilik ve Yolsuzluğu (aşağıda tanımlandığı şekliyle) önlemek ve bunlarla mücadele etmek için tasarlanmıştır. Kılavuz, genel ilkeleri, gereklilikleri ve bu gibi tutarları alan, bunların yatırılmasından veya transfer edilmesinden sorumlu olan veya bu tutarların kullanımı ile ilgili kararları alan veya etkileyen kişiler için uygulanabilecek  yaptırımları ortaya koymaktadır.  </w:t>
      </w:r>
    </w:p>
    <w:p w14:paraId="2DF22229" w14:textId="77777777" w:rsidR="00610DE5" w:rsidRPr="00391F7A" w:rsidRDefault="00610DE5">
      <w:pPr>
        <w:pStyle w:val="GvdeMetni"/>
        <w:spacing w:before="13"/>
        <w:rPr>
          <w:lang w:val="tr-TR"/>
        </w:rPr>
      </w:pPr>
    </w:p>
    <w:p w14:paraId="3D155DC1" w14:textId="472427CB" w:rsidR="00610DE5" w:rsidRPr="00391F7A" w:rsidRDefault="00717B0D">
      <w:pPr>
        <w:pStyle w:val="ListeParagraf"/>
        <w:numPr>
          <w:ilvl w:val="0"/>
          <w:numId w:val="4"/>
        </w:numPr>
        <w:tabs>
          <w:tab w:val="left" w:pos="953"/>
        </w:tabs>
        <w:ind w:right="117" w:firstLine="0"/>
        <w:jc w:val="both"/>
        <w:rPr>
          <w:sz w:val="24"/>
          <w:lang w:val="tr-TR"/>
        </w:rPr>
      </w:pPr>
      <w:r w:rsidRPr="00391F7A">
        <w:rPr>
          <w:spacing w:val="-2"/>
          <w:w w:val="105"/>
          <w:sz w:val="24"/>
          <w:lang w:val="tr-TR"/>
        </w:rPr>
        <w:t>Yukarıdaki 1’inci paragrafta belirtilen tüm kişilerin ve kuruluşların en yük</w:t>
      </w:r>
      <w:r w:rsidR="002F2E5F">
        <w:rPr>
          <w:spacing w:val="-2"/>
          <w:w w:val="105"/>
          <w:sz w:val="24"/>
          <w:lang w:val="tr-TR"/>
        </w:rPr>
        <w:t>s</w:t>
      </w:r>
      <w:r w:rsidRPr="00391F7A">
        <w:rPr>
          <w:spacing w:val="-2"/>
          <w:w w:val="105"/>
          <w:sz w:val="24"/>
          <w:lang w:val="tr-TR"/>
        </w:rPr>
        <w:t xml:space="preserve">ek etik standartlarını gözetmeleri gerekmektedir. </w:t>
      </w:r>
      <w:r w:rsidRPr="00391F7A">
        <w:rPr>
          <w:w w:val="105"/>
          <w:sz w:val="24"/>
          <w:lang w:val="tr-TR"/>
        </w:rPr>
        <w:t xml:space="preserve">Özellikle, tüm </w:t>
      </w:r>
      <w:r w:rsidRPr="00391F7A">
        <w:rPr>
          <w:spacing w:val="-2"/>
          <w:w w:val="105"/>
          <w:sz w:val="24"/>
          <w:lang w:val="tr-TR"/>
        </w:rPr>
        <w:t>bu kişilerin ve kuruluşların</w:t>
      </w:r>
      <w:r w:rsidR="00AD1B3E">
        <w:rPr>
          <w:spacing w:val="-2"/>
          <w:w w:val="105"/>
          <w:sz w:val="24"/>
          <w:lang w:val="tr-TR"/>
        </w:rPr>
        <w:t>,</w:t>
      </w:r>
      <w:r w:rsidRPr="00391F7A">
        <w:rPr>
          <w:spacing w:val="-2"/>
          <w:w w:val="105"/>
          <w:sz w:val="24"/>
          <w:lang w:val="tr-TR"/>
        </w:rPr>
        <w:t xml:space="preserve"> Sahteciliği ve Yolsuzluğu önlemek ve bunlarla mücadele etmek için gerekli tüm önlemleri almaları ve IBRD</w:t>
      </w:r>
      <w:r w:rsidRPr="00391F7A">
        <w:rPr>
          <w:spacing w:val="-9"/>
          <w:w w:val="105"/>
          <w:sz w:val="24"/>
          <w:lang w:val="tr-TR"/>
        </w:rPr>
        <w:t xml:space="preserve"> </w:t>
      </w:r>
      <w:r w:rsidRPr="00391F7A">
        <w:rPr>
          <w:spacing w:val="-2"/>
          <w:w w:val="105"/>
          <w:sz w:val="24"/>
          <w:lang w:val="tr-TR"/>
        </w:rPr>
        <w:t>veya IDA</w:t>
      </w:r>
      <w:r w:rsidRPr="00391F7A">
        <w:rPr>
          <w:spacing w:val="-11"/>
          <w:w w:val="105"/>
          <w:sz w:val="24"/>
          <w:lang w:val="tr-TR"/>
        </w:rPr>
        <w:t xml:space="preserve"> </w:t>
      </w:r>
      <w:r w:rsidRPr="00391F7A">
        <w:rPr>
          <w:spacing w:val="-2"/>
          <w:w w:val="105"/>
          <w:sz w:val="24"/>
          <w:lang w:val="tr-TR"/>
        </w:rPr>
        <w:t>finansman tutarl</w:t>
      </w:r>
      <w:r w:rsidR="002F2E5F">
        <w:rPr>
          <w:spacing w:val="-2"/>
          <w:w w:val="105"/>
          <w:sz w:val="24"/>
          <w:lang w:val="tr-TR"/>
        </w:rPr>
        <w:t>a</w:t>
      </w:r>
      <w:r w:rsidRPr="00391F7A">
        <w:rPr>
          <w:spacing w:val="-2"/>
          <w:w w:val="105"/>
          <w:sz w:val="24"/>
          <w:lang w:val="tr-TR"/>
        </w:rPr>
        <w:t>rının kullanımı ile bağlantılı olarak  Sahtecilik ve Yolsuzluk olayl</w:t>
      </w:r>
      <w:r w:rsidR="002F2E5F">
        <w:rPr>
          <w:spacing w:val="-2"/>
          <w:w w:val="105"/>
          <w:sz w:val="24"/>
          <w:lang w:val="tr-TR"/>
        </w:rPr>
        <w:t>a</w:t>
      </w:r>
      <w:r w:rsidRPr="00391F7A">
        <w:rPr>
          <w:spacing w:val="-2"/>
          <w:w w:val="105"/>
          <w:sz w:val="24"/>
          <w:lang w:val="tr-TR"/>
        </w:rPr>
        <w:t>rına karışmaktan kaçınmaları gerek</w:t>
      </w:r>
      <w:r w:rsidR="00AD1B3E">
        <w:rPr>
          <w:spacing w:val="-2"/>
          <w:w w:val="105"/>
          <w:sz w:val="24"/>
          <w:lang w:val="tr-TR"/>
        </w:rPr>
        <w:t>mektedir</w:t>
      </w:r>
      <w:r w:rsidRPr="00391F7A">
        <w:rPr>
          <w:spacing w:val="-2"/>
          <w:w w:val="105"/>
          <w:sz w:val="24"/>
          <w:lang w:val="tr-TR"/>
        </w:rPr>
        <w:t xml:space="preserve">. </w:t>
      </w:r>
    </w:p>
    <w:p w14:paraId="77BA8D4D" w14:textId="77777777" w:rsidR="00610DE5" w:rsidRPr="00391F7A" w:rsidRDefault="00610DE5">
      <w:pPr>
        <w:pStyle w:val="GvdeMetni"/>
        <w:spacing w:before="17"/>
        <w:rPr>
          <w:lang w:val="tr-TR"/>
        </w:rPr>
      </w:pPr>
    </w:p>
    <w:p w14:paraId="4ACBBB28" w14:textId="2A4EADCE" w:rsidR="00610DE5" w:rsidRPr="00391F7A" w:rsidRDefault="00717B0D">
      <w:pPr>
        <w:pStyle w:val="Balk1"/>
        <w:spacing w:before="1"/>
        <w:rPr>
          <w:lang w:val="tr-TR"/>
        </w:rPr>
      </w:pPr>
      <w:r w:rsidRPr="00391F7A">
        <w:rPr>
          <w:lang w:val="tr-TR"/>
        </w:rPr>
        <w:t xml:space="preserve">Hukuki Hususlar </w:t>
      </w:r>
    </w:p>
    <w:p w14:paraId="04D7D4DC" w14:textId="77777777" w:rsidR="00610DE5" w:rsidRPr="00391F7A" w:rsidRDefault="00610DE5">
      <w:pPr>
        <w:pStyle w:val="GvdeMetni"/>
        <w:spacing w:before="7"/>
        <w:rPr>
          <w:b/>
          <w:lang w:val="tr-TR"/>
        </w:rPr>
      </w:pPr>
    </w:p>
    <w:p w14:paraId="3C6CD806" w14:textId="4F73AC9E" w:rsidR="00717B0D" w:rsidRPr="00CB6B3E" w:rsidRDefault="00717B0D" w:rsidP="0014711D">
      <w:pPr>
        <w:pStyle w:val="ListeParagraf"/>
        <w:numPr>
          <w:ilvl w:val="0"/>
          <w:numId w:val="4"/>
        </w:numPr>
        <w:tabs>
          <w:tab w:val="left" w:pos="953"/>
        </w:tabs>
        <w:ind w:right="123" w:firstLine="0"/>
        <w:jc w:val="both"/>
        <w:rPr>
          <w:w w:val="105"/>
          <w:sz w:val="24"/>
          <w:lang w:val="tr-TR"/>
        </w:rPr>
      </w:pPr>
      <w:r w:rsidRPr="00CF5DC5">
        <w:rPr>
          <w:w w:val="105"/>
          <w:sz w:val="24"/>
          <w:lang w:val="tr-TR"/>
        </w:rPr>
        <w:t>Bir Kredinin</w:t>
      </w:r>
      <w:r w:rsidRPr="00CF5DC5">
        <w:rPr>
          <w:rStyle w:val="DipnotBavurusu"/>
          <w:w w:val="105"/>
          <w:sz w:val="24"/>
          <w:lang w:val="tr-TR"/>
        </w:rPr>
        <w:footnoteReference w:id="1"/>
      </w:r>
      <w:r w:rsidRPr="00CF5DC5">
        <w:rPr>
          <w:w w:val="105"/>
          <w:sz w:val="24"/>
          <w:lang w:val="tr-TR"/>
        </w:rPr>
        <w:t xml:space="preserve"> sağlandığı belirli proje bakımından Borçlu</w:t>
      </w:r>
      <w:r w:rsidRPr="00CF5DC5">
        <w:rPr>
          <w:rStyle w:val="DipnotBavurusu"/>
          <w:w w:val="105"/>
          <w:sz w:val="24"/>
          <w:lang w:val="tr-TR"/>
        </w:rPr>
        <w:footnoteReference w:id="2"/>
      </w:r>
      <w:r w:rsidRPr="00CF5DC5">
        <w:rPr>
          <w:w w:val="105"/>
          <w:sz w:val="24"/>
          <w:lang w:val="tr-TR"/>
        </w:rPr>
        <w:t xml:space="preserve"> ile Banka</w:t>
      </w:r>
      <w:r w:rsidRPr="00CF5DC5">
        <w:rPr>
          <w:rStyle w:val="DipnotBavurusu"/>
          <w:w w:val="105"/>
          <w:sz w:val="24"/>
          <w:lang w:val="tr-TR"/>
        </w:rPr>
        <w:footnoteReference w:id="3"/>
      </w:r>
      <w:r w:rsidRPr="00CF5DC5">
        <w:rPr>
          <w:w w:val="105"/>
          <w:sz w:val="24"/>
          <w:lang w:val="tr-TR"/>
        </w:rPr>
        <w:t xml:space="preserve"> arasındaki hukuki  ilişkileri </w:t>
      </w:r>
      <w:r w:rsidR="00391F7A" w:rsidRPr="00CF5DC5">
        <w:rPr>
          <w:w w:val="105"/>
          <w:sz w:val="24"/>
          <w:lang w:val="tr-TR"/>
        </w:rPr>
        <w:t>Kredinin sağlanmasına ilişkin imzalanan Hukuki Anlaşma</w:t>
      </w:r>
      <w:r w:rsidR="00391F7A" w:rsidRPr="00CF5DC5">
        <w:rPr>
          <w:rStyle w:val="DipnotBavurusu"/>
          <w:w w:val="105"/>
          <w:sz w:val="24"/>
          <w:lang w:val="tr-TR"/>
        </w:rPr>
        <w:footnoteReference w:id="4"/>
      </w:r>
      <w:r w:rsidR="00391F7A" w:rsidRPr="00CF5DC5">
        <w:rPr>
          <w:w w:val="105"/>
          <w:sz w:val="24"/>
          <w:lang w:val="tr-TR"/>
        </w:rPr>
        <w:t xml:space="preserve"> </w:t>
      </w:r>
      <w:r w:rsidRPr="00CF5DC5">
        <w:rPr>
          <w:w w:val="105"/>
          <w:sz w:val="24"/>
          <w:lang w:val="tr-TR"/>
        </w:rPr>
        <w:t xml:space="preserve">düzenler. </w:t>
      </w:r>
      <w:r w:rsidR="00FD0A9E" w:rsidRPr="00CF5DC5">
        <w:rPr>
          <w:w w:val="105"/>
          <w:sz w:val="24"/>
          <w:lang w:val="tr-TR"/>
        </w:rPr>
        <w:lastRenderedPageBreak/>
        <w:t>Kredi tutarlarının  kullanılması da dahil olmak üzere, Hukuki Anlaşma kapsamındaki projenin</w:t>
      </w:r>
      <w:r w:rsidR="00FD0A9E" w:rsidRPr="00CF5DC5">
        <w:rPr>
          <w:sz w:val="24"/>
          <w:vertAlign w:val="superscript"/>
          <w:lang w:val="tr-TR"/>
        </w:rPr>
        <w:footnoteReference w:id="5"/>
      </w:r>
      <w:r w:rsidR="00FD0A9E" w:rsidRPr="00CF5DC5">
        <w:rPr>
          <w:w w:val="105"/>
          <w:sz w:val="24"/>
          <w:lang w:val="tr-TR"/>
        </w:rPr>
        <w:t xml:space="preserve"> uygulanmasına ilişkin sorumluluk Borçluya aittir. </w:t>
      </w:r>
      <w:r w:rsidRPr="00CF5DC5">
        <w:rPr>
          <w:w w:val="105"/>
          <w:sz w:val="24"/>
          <w:lang w:val="tr-TR"/>
        </w:rPr>
        <w:t xml:space="preserve"> </w:t>
      </w:r>
      <w:r w:rsidR="00A03FAF" w:rsidRPr="00CB6B3E">
        <w:rPr>
          <w:w w:val="105"/>
          <w:sz w:val="24"/>
          <w:lang w:val="tr-TR"/>
        </w:rPr>
        <w:t>Banka, kendi</w:t>
      </w:r>
      <w:r w:rsidR="00CF5DC5" w:rsidRPr="00CB6B3E">
        <w:rPr>
          <w:w w:val="105"/>
          <w:sz w:val="24"/>
          <w:lang w:val="tr-TR"/>
        </w:rPr>
        <w:t>si açısından, Kuruluş Sözleşmesi kapsamında, “herhangi bir kredinin tutarlarının, ekonomi ve verimlilik hususlarına özellikle dikkat ederek ve siyasi veya başka türlü ekonomik olmayan  etkileri ve hususları dikkate almaksızın sadece kredinin sağlandığı amaçlar için kullanılmasını sağlamaya yönelik düzenlemeler yapmak” şeklinde tanımlanan bir itibari göreve sahiptir</w:t>
      </w:r>
      <w:r w:rsidRPr="00CB6B3E">
        <w:rPr>
          <w:w w:val="105"/>
          <w:sz w:val="24"/>
          <w:lang w:val="tr-TR"/>
        </w:rPr>
        <w:t>.”</w:t>
      </w:r>
      <w:r w:rsidR="00391F7A" w:rsidRPr="00CB6B3E">
        <w:rPr>
          <w:sz w:val="24"/>
          <w:vertAlign w:val="superscript"/>
          <w:lang w:val="tr-TR"/>
        </w:rPr>
        <w:footnoteReference w:id="6"/>
      </w:r>
      <w:r w:rsidRPr="00CB6B3E">
        <w:rPr>
          <w:w w:val="105"/>
          <w:sz w:val="24"/>
          <w:lang w:val="tr-TR"/>
        </w:rPr>
        <w:t xml:space="preserve"> </w:t>
      </w:r>
      <w:r w:rsidR="00CF5DC5" w:rsidRPr="00CB6B3E">
        <w:rPr>
          <w:w w:val="105"/>
          <w:sz w:val="24"/>
          <w:lang w:val="tr-TR"/>
        </w:rPr>
        <w:t xml:space="preserve">Bu Kılavuz, söz konusu düzenlemelerin önemli bir unsurunu oluşturmaktadır ve projenin Hukuki Anlaşmada öngörüldüğü şekilde hazırlanması ve uygulanması süreçleri için geçerlidir. </w:t>
      </w:r>
    </w:p>
    <w:p w14:paraId="1FBBDBA4" w14:textId="2C6269DF" w:rsidR="00610DE5" w:rsidRPr="00CB6B3E" w:rsidRDefault="00CF5DC5">
      <w:pPr>
        <w:pStyle w:val="Balk1"/>
        <w:spacing w:before="255"/>
        <w:jc w:val="both"/>
        <w:rPr>
          <w:lang w:val="tr-TR"/>
        </w:rPr>
      </w:pPr>
      <w:r w:rsidRPr="00CB6B3E">
        <w:rPr>
          <w:lang w:val="tr-TR"/>
        </w:rPr>
        <w:t xml:space="preserve">Uygulama Kapsamı </w:t>
      </w:r>
    </w:p>
    <w:p w14:paraId="04E5D310" w14:textId="77777777" w:rsidR="00610DE5" w:rsidRPr="00CB6B3E" w:rsidRDefault="00610DE5">
      <w:pPr>
        <w:pStyle w:val="GvdeMetni"/>
        <w:spacing w:before="8"/>
        <w:rPr>
          <w:b/>
          <w:lang w:val="tr-TR"/>
        </w:rPr>
      </w:pPr>
    </w:p>
    <w:p w14:paraId="7FDEADED" w14:textId="69397967" w:rsidR="00610DE5" w:rsidRPr="00CB6B3E" w:rsidRDefault="007D0245">
      <w:pPr>
        <w:pStyle w:val="ListeParagraf"/>
        <w:numPr>
          <w:ilvl w:val="0"/>
          <w:numId w:val="4"/>
        </w:numPr>
        <w:tabs>
          <w:tab w:val="left" w:pos="953"/>
        </w:tabs>
        <w:ind w:right="117" w:firstLine="0"/>
        <w:jc w:val="both"/>
        <w:rPr>
          <w:spacing w:val="-4"/>
          <w:w w:val="105"/>
          <w:sz w:val="24"/>
          <w:lang w:val="tr-TR"/>
        </w:rPr>
      </w:pPr>
      <w:r w:rsidRPr="00CB6B3E">
        <w:rPr>
          <w:spacing w:val="-4"/>
          <w:w w:val="105"/>
          <w:sz w:val="24"/>
          <w:lang w:val="tr-TR"/>
        </w:rPr>
        <w:t>Bu Kılavuzun aşağıdaki hükümleri, kısmen veya tamamen Banka tarafından finan</w:t>
      </w:r>
      <w:r w:rsidR="00810D71" w:rsidRPr="00CB6B3E">
        <w:rPr>
          <w:spacing w:val="-4"/>
          <w:w w:val="105"/>
          <w:sz w:val="24"/>
          <w:lang w:val="tr-TR"/>
        </w:rPr>
        <w:t>s</w:t>
      </w:r>
      <w:r w:rsidRPr="00CB6B3E">
        <w:rPr>
          <w:spacing w:val="-4"/>
          <w:w w:val="105"/>
          <w:sz w:val="24"/>
          <w:lang w:val="tr-TR"/>
        </w:rPr>
        <w:t>e edilen bir projenin hazırlanması ve uygulanması sırasında Kredi tutarl</w:t>
      </w:r>
      <w:r w:rsidR="00810D71" w:rsidRPr="00CB6B3E">
        <w:rPr>
          <w:spacing w:val="-4"/>
          <w:w w:val="105"/>
          <w:sz w:val="24"/>
          <w:lang w:val="tr-TR"/>
        </w:rPr>
        <w:t>a</w:t>
      </w:r>
      <w:r w:rsidRPr="00CB6B3E">
        <w:rPr>
          <w:spacing w:val="-4"/>
          <w:w w:val="105"/>
          <w:sz w:val="24"/>
          <w:lang w:val="tr-TR"/>
        </w:rPr>
        <w:t>rının</w:t>
      </w:r>
      <w:r w:rsidR="00810D71" w:rsidRPr="00CB6B3E">
        <w:rPr>
          <w:spacing w:val="-4"/>
          <w:w w:val="105"/>
          <w:sz w:val="24"/>
          <w:lang w:val="tr-TR"/>
        </w:rPr>
        <w:t xml:space="preserve"> </w:t>
      </w:r>
      <w:r w:rsidRPr="00CB6B3E">
        <w:rPr>
          <w:spacing w:val="-4"/>
          <w:w w:val="105"/>
          <w:sz w:val="24"/>
          <w:lang w:val="tr-TR"/>
        </w:rPr>
        <w:t>kullanılması ile bağlantılı olarak gerçekleşebilecek Sahtecilik ve Yolsuzluk durumlarını kapsar</w:t>
      </w:r>
      <w:r w:rsidRPr="00CB6B3E">
        <w:rPr>
          <w:w w:val="105"/>
          <w:sz w:val="24"/>
          <w:lang w:val="tr-TR"/>
        </w:rPr>
        <w:t>.</w:t>
      </w:r>
      <w:r w:rsidRPr="00CB6B3E">
        <w:rPr>
          <w:spacing w:val="-15"/>
          <w:w w:val="105"/>
          <w:sz w:val="24"/>
          <w:lang w:val="tr-TR"/>
        </w:rPr>
        <w:t xml:space="preserve"> </w:t>
      </w:r>
      <w:r w:rsidRPr="00CB6B3E">
        <w:rPr>
          <w:w w:val="105"/>
          <w:sz w:val="24"/>
          <w:lang w:val="tr-TR"/>
        </w:rPr>
        <w:t xml:space="preserve">Bu Kılavuz Kredi tutarlarının uygun olmayan harcamalar için doğrudan yönlendirilmesinde gerçekleştirilen Sahtecilik ve Yolsuzluk </w:t>
      </w:r>
      <w:r w:rsidRPr="00CB6B3E">
        <w:rPr>
          <w:spacing w:val="-4"/>
          <w:w w:val="105"/>
          <w:sz w:val="24"/>
          <w:lang w:val="tr-TR"/>
        </w:rPr>
        <w:t>durumlarını ve Kredi tutarl</w:t>
      </w:r>
      <w:r w:rsidR="00810D71" w:rsidRPr="00CB6B3E">
        <w:rPr>
          <w:spacing w:val="-4"/>
          <w:w w:val="105"/>
          <w:sz w:val="24"/>
          <w:lang w:val="tr-TR"/>
        </w:rPr>
        <w:t>a</w:t>
      </w:r>
      <w:r w:rsidRPr="00CB6B3E">
        <w:rPr>
          <w:spacing w:val="-4"/>
          <w:w w:val="105"/>
          <w:sz w:val="24"/>
          <w:lang w:val="tr-TR"/>
        </w:rPr>
        <w:t>rının kullanılması ile ilgili herhangi bir kararın etkilenmesi amacıyla girişilen Sahtecilik ve Yolsuzluk durumlarını kapsar. Bu Kılavuzun amaçl</w:t>
      </w:r>
      <w:r w:rsidR="00810D71" w:rsidRPr="00CB6B3E">
        <w:rPr>
          <w:spacing w:val="-4"/>
          <w:w w:val="105"/>
          <w:sz w:val="24"/>
          <w:lang w:val="tr-TR"/>
        </w:rPr>
        <w:t>a</w:t>
      </w:r>
      <w:r w:rsidRPr="00CB6B3E">
        <w:rPr>
          <w:spacing w:val="-4"/>
          <w:w w:val="105"/>
          <w:sz w:val="24"/>
          <w:lang w:val="tr-TR"/>
        </w:rPr>
        <w:t>rı bakımından, bu gibi Sahtecilik ve Yolsuzluk durumlarının tümünün Kredi tutarl</w:t>
      </w:r>
      <w:r w:rsidR="00810D71" w:rsidRPr="00CB6B3E">
        <w:rPr>
          <w:spacing w:val="-4"/>
          <w:w w:val="105"/>
          <w:sz w:val="24"/>
          <w:lang w:val="tr-TR"/>
        </w:rPr>
        <w:t>a</w:t>
      </w:r>
      <w:r w:rsidRPr="00CB6B3E">
        <w:rPr>
          <w:spacing w:val="-4"/>
          <w:w w:val="105"/>
          <w:sz w:val="24"/>
          <w:lang w:val="tr-TR"/>
        </w:rPr>
        <w:t xml:space="preserve">rının kullanımı ile bağlantılı  olarak gerçekleştiği kabul edilir. </w:t>
      </w:r>
    </w:p>
    <w:p w14:paraId="1CC3683E" w14:textId="77777777" w:rsidR="00610DE5" w:rsidRPr="00CB6B3E" w:rsidRDefault="00610DE5">
      <w:pPr>
        <w:pStyle w:val="GvdeMetni"/>
        <w:spacing w:before="12"/>
        <w:rPr>
          <w:lang w:val="tr-TR"/>
        </w:rPr>
      </w:pPr>
    </w:p>
    <w:p w14:paraId="0F82D1D7" w14:textId="1E2CCAEA" w:rsidR="00610DE5" w:rsidRPr="00CB6B3E" w:rsidRDefault="007D0245">
      <w:pPr>
        <w:pStyle w:val="ListeParagraf"/>
        <w:numPr>
          <w:ilvl w:val="0"/>
          <w:numId w:val="4"/>
        </w:numPr>
        <w:tabs>
          <w:tab w:val="left" w:pos="881"/>
        </w:tabs>
        <w:ind w:right="120" w:firstLine="0"/>
        <w:jc w:val="both"/>
        <w:rPr>
          <w:sz w:val="24"/>
          <w:lang w:val="tr-TR"/>
        </w:rPr>
      </w:pPr>
      <w:r w:rsidRPr="00CB6B3E">
        <w:rPr>
          <w:w w:val="105"/>
          <w:sz w:val="24"/>
          <w:lang w:val="tr-TR"/>
        </w:rPr>
        <w:t>Bu Kılavuz</w:t>
      </w:r>
      <w:r w:rsidR="00810D71" w:rsidRPr="00CB6B3E">
        <w:rPr>
          <w:w w:val="105"/>
          <w:sz w:val="24"/>
          <w:lang w:val="tr-TR"/>
        </w:rPr>
        <w:t xml:space="preserve">, Borçluların yanı sıra Kredi tutarlarını </w:t>
      </w:r>
      <w:r w:rsidRPr="00CB6B3E">
        <w:rPr>
          <w:w w:val="105"/>
          <w:sz w:val="24"/>
          <w:lang w:val="tr-TR"/>
        </w:rPr>
        <w:t xml:space="preserve">kendi </w:t>
      </w:r>
      <w:r w:rsidR="00810D71" w:rsidRPr="00CB6B3E">
        <w:rPr>
          <w:w w:val="105"/>
          <w:sz w:val="24"/>
          <w:lang w:val="tr-TR"/>
        </w:rPr>
        <w:t>kullanımları için alan (örneğin “son kullanıcılar”) diğer tüm kişiler veya kuruluşlar, Kredi tutarlarının yatırılmasından veya transfer edilmesinden sorumlu mali  temsilciler gibi kişiler veya kuruluşlar (bu tutarların faydalanıcısı olsunlar veya olmasınlar) ve Kredi tutarlarının kullanımı ile kararları alan veya etkileyen kişiler veya kuruluşlar için geçerlidir. Bu gibi kişilerin ve kuruluşların tümü, söz konusu tutarların fiziksel olarak  sahibi olsunlar veya olmasınlar, bu Kılavuzda “Kredi tutarlarının alıcıları” olarak anılmaktadır</w:t>
      </w:r>
      <w:r w:rsidRPr="00CB6B3E">
        <w:rPr>
          <w:w w:val="105"/>
          <w:sz w:val="24"/>
          <w:lang w:val="tr-TR"/>
        </w:rPr>
        <w:t>.</w:t>
      </w:r>
      <w:r w:rsidR="00391F7A" w:rsidRPr="00CB6B3E">
        <w:rPr>
          <w:rStyle w:val="DipnotBavurusu"/>
          <w:w w:val="105"/>
          <w:sz w:val="24"/>
          <w:lang w:val="tr-TR"/>
        </w:rPr>
        <w:footnoteReference w:id="7"/>
      </w:r>
    </w:p>
    <w:p w14:paraId="28B8EB3D" w14:textId="77777777" w:rsidR="00610DE5" w:rsidRPr="00CB6B3E" w:rsidRDefault="00610DE5">
      <w:pPr>
        <w:pStyle w:val="GvdeMetni"/>
        <w:spacing w:before="12"/>
        <w:rPr>
          <w:lang w:val="tr-TR"/>
        </w:rPr>
      </w:pPr>
    </w:p>
    <w:p w14:paraId="59255D99" w14:textId="51FC9DFA" w:rsidR="00610DE5" w:rsidRPr="00CB6B3E" w:rsidRDefault="000556B1">
      <w:pPr>
        <w:pStyle w:val="ListeParagraf"/>
        <w:numPr>
          <w:ilvl w:val="0"/>
          <w:numId w:val="4"/>
        </w:numPr>
        <w:tabs>
          <w:tab w:val="left" w:pos="881"/>
        </w:tabs>
        <w:ind w:firstLine="0"/>
        <w:jc w:val="both"/>
        <w:rPr>
          <w:sz w:val="24"/>
          <w:lang w:val="tr-TR"/>
        </w:rPr>
      </w:pPr>
      <w:r w:rsidRPr="00CB6B3E">
        <w:rPr>
          <w:w w:val="105"/>
          <w:sz w:val="24"/>
          <w:lang w:val="tr-TR"/>
        </w:rPr>
        <w:t xml:space="preserve">Bu Kılavuz (kısmen veya tamamen) Banka tarafından sağlanan bir Kredinin tutarları ile finanse edilen mal tedariki, yapım işi, danışmanlık dışı hizmetler ve danışmanlık hizmetleri alımları için geçerlidir. Bu gibi alımlar ile bağlantılı olarak gerçekleşen Sahtecilik ve Yolsuzluk durumları hakkında ilave spesifik gereklilikler, 1 Temmuz 2016 tarihinde  yayınlanan ve zaman zaman değişikliğe tabi tutulabilecek olan </w:t>
      </w:r>
      <w:r w:rsidRPr="00CB6B3E">
        <w:rPr>
          <w:w w:val="105"/>
          <w:sz w:val="24"/>
          <w:lang w:val="tr-TR"/>
        </w:rPr>
        <w:lastRenderedPageBreak/>
        <w:t xml:space="preserve">Dünya Bankası Yatırım Projesi Finansmanı kapsamındaki Borçlular için Satın Alma Düzenlemeleri Ek </w:t>
      </w:r>
      <w:r w:rsidRPr="00CB6B3E">
        <w:rPr>
          <w:sz w:val="24"/>
          <w:lang w:val="tr-TR"/>
        </w:rPr>
        <w:t xml:space="preserve">IV’te belirtilmiştir. </w:t>
      </w:r>
    </w:p>
    <w:p w14:paraId="55F1FC47" w14:textId="77777777" w:rsidR="002C0341" w:rsidRDefault="002C0341" w:rsidP="00CB6B3E">
      <w:pPr>
        <w:pStyle w:val="Balk1"/>
        <w:spacing w:before="68"/>
        <w:jc w:val="both"/>
        <w:rPr>
          <w:lang w:val="tr-TR"/>
        </w:rPr>
      </w:pPr>
    </w:p>
    <w:p w14:paraId="7808E8D3" w14:textId="11FDF022" w:rsidR="00610DE5" w:rsidRPr="00CB6B3E" w:rsidRDefault="000556B1" w:rsidP="00CB6B3E">
      <w:pPr>
        <w:pStyle w:val="Balk1"/>
        <w:spacing w:before="68"/>
        <w:jc w:val="both"/>
        <w:rPr>
          <w:lang w:val="tr-TR"/>
        </w:rPr>
      </w:pPr>
      <w:r w:rsidRPr="00CB6B3E">
        <w:rPr>
          <w:lang w:val="tr-TR"/>
        </w:rPr>
        <w:t xml:space="preserve">Sahtecilik ve Yolsuzluk Teşkil Eden Uygulamaların Tanımları </w:t>
      </w:r>
    </w:p>
    <w:p w14:paraId="08D8EA01" w14:textId="7816D51D" w:rsidR="00610DE5" w:rsidRPr="00CB6B3E" w:rsidRDefault="000556B1" w:rsidP="00CB6B3E">
      <w:pPr>
        <w:pStyle w:val="ListeParagraf"/>
        <w:numPr>
          <w:ilvl w:val="0"/>
          <w:numId w:val="4"/>
        </w:numPr>
        <w:tabs>
          <w:tab w:val="left" w:pos="953"/>
        </w:tabs>
        <w:spacing w:before="245"/>
        <w:ind w:right="419" w:firstLine="0"/>
        <w:jc w:val="both"/>
        <w:rPr>
          <w:sz w:val="24"/>
          <w:lang w:val="tr-TR"/>
        </w:rPr>
      </w:pPr>
      <w:r w:rsidRPr="00CB6B3E">
        <w:rPr>
          <w:spacing w:val="-2"/>
          <w:w w:val="105"/>
          <w:sz w:val="24"/>
          <w:lang w:val="tr-TR"/>
        </w:rPr>
        <w:t>Bu Kılavuz, Kredi tutarlarının kullanımı ile bağlantılı olarak Kredi tutarlarının alıcıları tarafından  gerçekleştirilmesi durumunda, aşağıda tanımlanan yaptırıma tabi tutulab</w:t>
      </w:r>
      <w:r w:rsidR="0072049B" w:rsidRPr="00CB6B3E">
        <w:rPr>
          <w:spacing w:val="-2"/>
          <w:w w:val="105"/>
          <w:sz w:val="24"/>
          <w:lang w:val="tr-TR"/>
        </w:rPr>
        <w:t>i</w:t>
      </w:r>
      <w:r w:rsidRPr="00CB6B3E">
        <w:rPr>
          <w:spacing w:val="-2"/>
          <w:w w:val="105"/>
          <w:sz w:val="24"/>
          <w:lang w:val="tr-TR"/>
        </w:rPr>
        <w:t>lir uygulamaları ele alır</w:t>
      </w:r>
      <w:r w:rsidRPr="00CB6B3E">
        <w:rPr>
          <w:spacing w:val="-4"/>
          <w:w w:val="105"/>
          <w:sz w:val="24"/>
          <w:lang w:val="tr-TR"/>
        </w:rPr>
        <w:t>:</w:t>
      </w:r>
      <w:r w:rsidR="00CB6B3E">
        <w:rPr>
          <w:rStyle w:val="DipnotBavurusu"/>
          <w:spacing w:val="-4"/>
          <w:w w:val="105"/>
          <w:sz w:val="24"/>
          <w:lang w:val="tr-TR"/>
        </w:rPr>
        <w:footnoteReference w:id="8"/>
      </w:r>
    </w:p>
    <w:p w14:paraId="0495EBE1" w14:textId="4E52F787" w:rsidR="00610DE5" w:rsidRPr="00CB6B3E" w:rsidRDefault="0072049B" w:rsidP="00CB6B3E">
      <w:pPr>
        <w:pStyle w:val="ListeParagraf"/>
        <w:numPr>
          <w:ilvl w:val="1"/>
          <w:numId w:val="4"/>
        </w:numPr>
        <w:tabs>
          <w:tab w:val="left" w:pos="1599"/>
          <w:tab w:val="left" w:pos="1602"/>
        </w:tabs>
        <w:spacing w:before="240"/>
        <w:jc w:val="both"/>
        <w:rPr>
          <w:sz w:val="24"/>
          <w:lang w:val="tr-TR"/>
        </w:rPr>
      </w:pPr>
      <w:r w:rsidRPr="00CB6B3E">
        <w:rPr>
          <w:spacing w:val="-2"/>
          <w:w w:val="105"/>
          <w:sz w:val="24"/>
          <w:lang w:val="tr-TR"/>
        </w:rPr>
        <w:t xml:space="preserve">“Yolsuzluk uygulaması”, bir başka tarafın </w:t>
      </w:r>
      <w:r w:rsidR="00646D3E" w:rsidRPr="00CB6B3E">
        <w:rPr>
          <w:spacing w:val="-2"/>
          <w:w w:val="105"/>
          <w:sz w:val="24"/>
          <w:lang w:val="tr-TR"/>
        </w:rPr>
        <w:t xml:space="preserve">eylemlerini </w:t>
      </w:r>
      <w:r w:rsidRPr="00CB6B3E">
        <w:rPr>
          <w:spacing w:val="-2"/>
          <w:w w:val="105"/>
          <w:sz w:val="24"/>
          <w:lang w:val="tr-TR"/>
        </w:rPr>
        <w:t>uygunsuz bir şekilde etkilemek için doğrudan ya da dolaylı olarak herhangi değerli bir şeyin teklif edilmesi, verilmesi, alınması ya da istenmesi</w:t>
      </w:r>
      <w:r w:rsidR="00646D3E" w:rsidRPr="00CB6B3E">
        <w:rPr>
          <w:spacing w:val="-2"/>
          <w:w w:val="105"/>
          <w:sz w:val="24"/>
          <w:lang w:val="tr-TR"/>
        </w:rPr>
        <w:t>dir</w:t>
      </w:r>
      <w:r w:rsidRPr="00CB6B3E">
        <w:rPr>
          <w:w w:val="105"/>
          <w:sz w:val="24"/>
          <w:lang w:val="tr-TR"/>
        </w:rPr>
        <w:t>.</w:t>
      </w:r>
      <w:r w:rsidR="00CB6B3E">
        <w:rPr>
          <w:rStyle w:val="DipnotBavurusu"/>
          <w:w w:val="105"/>
          <w:sz w:val="24"/>
          <w:lang w:val="tr-TR"/>
        </w:rPr>
        <w:footnoteReference w:id="9"/>
      </w:r>
    </w:p>
    <w:p w14:paraId="2EEF9490" w14:textId="79FE0F26" w:rsidR="0072049B" w:rsidRPr="00CB6B3E" w:rsidRDefault="0072049B" w:rsidP="00CB6B3E">
      <w:pPr>
        <w:pStyle w:val="ListeParagraf"/>
        <w:numPr>
          <w:ilvl w:val="1"/>
          <w:numId w:val="4"/>
        </w:numPr>
        <w:tabs>
          <w:tab w:val="left" w:pos="1600"/>
          <w:tab w:val="left" w:pos="1602"/>
        </w:tabs>
        <w:spacing w:before="240"/>
        <w:ind w:right="117"/>
        <w:jc w:val="both"/>
        <w:rPr>
          <w:sz w:val="24"/>
          <w:lang w:val="tr-TR"/>
        </w:rPr>
      </w:pPr>
      <w:r w:rsidRPr="00CB6B3E">
        <w:rPr>
          <w:rFonts w:eastAsiaTheme="minorHAnsi"/>
          <w:color w:val="000000"/>
          <w:lang w:val="tr-TR"/>
        </w:rPr>
        <w:t>“</w:t>
      </w:r>
      <w:r w:rsidRPr="00CB6B3E">
        <w:rPr>
          <w:spacing w:val="-2"/>
          <w:w w:val="105"/>
          <w:sz w:val="24"/>
          <w:lang w:val="tr-TR"/>
        </w:rPr>
        <w:t xml:space="preserve">Sahtecilik uygulaması”; mali veya başka türlü bir </w:t>
      </w:r>
      <w:r w:rsidR="00646D3E" w:rsidRPr="00CB6B3E">
        <w:rPr>
          <w:spacing w:val="-2"/>
          <w:w w:val="105"/>
          <w:sz w:val="24"/>
          <w:lang w:val="tr-TR"/>
        </w:rPr>
        <w:t>fayda</w:t>
      </w:r>
      <w:r w:rsidRPr="00CB6B3E">
        <w:rPr>
          <w:spacing w:val="-2"/>
          <w:w w:val="105"/>
          <w:sz w:val="24"/>
          <w:lang w:val="tr-TR"/>
        </w:rPr>
        <w:t xml:space="preserve"> elde etmek veya bir yükümlülükten kaçınmak amacıyla, yanlış </w:t>
      </w:r>
      <w:r w:rsidR="00646D3E" w:rsidRPr="00CB6B3E">
        <w:rPr>
          <w:spacing w:val="-2"/>
          <w:w w:val="105"/>
          <w:sz w:val="24"/>
          <w:lang w:val="tr-TR"/>
        </w:rPr>
        <w:t xml:space="preserve">beyan </w:t>
      </w:r>
      <w:r w:rsidRPr="00CB6B3E">
        <w:rPr>
          <w:spacing w:val="-2"/>
          <w:w w:val="105"/>
          <w:sz w:val="24"/>
          <w:lang w:val="tr-TR"/>
        </w:rPr>
        <w:t>da dâhil olmak üzere, bir tarafı bilerek veya dikkatsizlikle</w:t>
      </w:r>
      <w:r w:rsidR="00CB6B3E">
        <w:rPr>
          <w:rStyle w:val="DipnotBavurusu"/>
          <w:spacing w:val="-2"/>
          <w:w w:val="105"/>
          <w:sz w:val="24"/>
          <w:lang w:val="tr-TR"/>
        </w:rPr>
        <w:footnoteReference w:id="10"/>
      </w:r>
      <w:r w:rsidRPr="00CB6B3E">
        <w:rPr>
          <w:spacing w:val="-16"/>
          <w:w w:val="105"/>
          <w:sz w:val="24"/>
          <w:lang w:val="tr-TR"/>
        </w:rPr>
        <w:t xml:space="preserve"> </w:t>
      </w:r>
      <w:r w:rsidRPr="00CB6B3E">
        <w:rPr>
          <w:spacing w:val="-2"/>
          <w:w w:val="105"/>
          <w:sz w:val="24"/>
          <w:lang w:val="tr-TR"/>
        </w:rPr>
        <w:t xml:space="preserve">yanıltan veya yanıltmaya teşebbüs eden  herhangi bir </w:t>
      </w:r>
      <w:r w:rsidR="00646D3E" w:rsidRPr="00CB6B3E">
        <w:rPr>
          <w:spacing w:val="-2"/>
          <w:w w:val="105"/>
          <w:sz w:val="24"/>
          <w:lang w:val="tr-TR"/>
        </w:rPr>
        <w:t xml:space="preserve">eylem </w:t>
      </w:r>
      <w:r w:rsidRPr="00CB6B3E">
        <w:rPr>
          <w:spacing w:val="-2"/>
          <w:w w:val="105"/>
          <w:sz w:val="24"/>
          <w:lang w:val="tr-TR"/>
        </w:rPr>
        <w:t>veya ihmal</w:t>
      </w:r>
      <w:r w:rsidR="00646D3E" w:rsidRPr="00CB6B3E">
        <w:rPr>
          <w:spacing w:val="-2"/>
          <w:w w:val="105"/>
          <w:sz w:val="24"/>
          <w:lang w:val="tr-TR"/>
        </w:rPr>
        <w:t xml:space="preserve">dir. </w:t>
      </w:r>
    </w:p>
    <w:p w14:paraId="7A116848" w14:textId="50692B95" w:rsidR="00610DE5" w:rsidRPr="00CB6B3E" w:rsidRDefault="00646D3E" w:rsidP="00CB6B3E">
      <w:pPr>
        <w:pStyle w:val="ListeParagraf"/>
        <w:numPr>
          <w:ilvl w:val="1"/>
          <w:numId w:val="4"/>
        </w:numPr>
        <w:tabs>
          <w:tab w:val="left" w:pos="1600"/>
          <w:tab w:val="left" w:pos="1602"/>
        </w:tabs>
        <w:spacing w:before="241"/>
        <w:ind w:right="119"/>
        <w:jc w:val="both"/>
        <w:rPr>
          <w:sz w:val="24"/>
          <w:lang w:val="tr-TR"/>
        </w:rPr>
      </w:pPr>
      <w:r w:rsidRPr="00CB6B3E">
        <w:rPr>
          <w:rFonts w:eastAsiaTheme="minorHAnsi"/>
          <w:color w:val="000000"/>
          <w:lang w:val="tr-TR"/>
        </w:rPr>
        <w:t>“M</w:t>
      </w:r>
      <w:r w:rsidRPr="00CB6B3E">
        <w:rPr>
          <w:spacing w:val="-2"/>
          <w:w w:val="105"/>
          <w:sz w:val="24"/>
          <w:lang w:val="tr-TR"/>
        </w:rPr>
        <w:t>uvazaalı uygulama”; iki veya daha fazla taraf arasında, bir başka tarafın eylemlerini uygunsuz bir şekilde etkilemek de dâhil olmak üzere uygunsuz bir amaca ulaşmak amacıyla tasarlanmış bir düzenlemedir.</w:t>
      </w:r>
      <w:r w:rsidRPr="00CB6B3E">
        <w:rPr>
          <w:rFonts w:eastAsiaTheme="minorHAnsi"/>
          <w:color w:val="000000"/>
          <w:lang w:val="tr-TR"/>
        </w:rPr>
        <w:t xml:space="preserve"> </w:t>
      </w:r>
    </w:p>
    <w:p w14:paraId="08DA8A32" w14:textId="2BF982B0" w:rsidR="00610DE5" w:rsidRPr="00CB6B3E" w:rsidRDefault="00646D3E" w:rsidP="00CB6B3E">
      <w:pPr>
        <w:pStyle w:val="ListeParagraf"/>
        <w:numPr>
          <w:ilvl w:val="1"/>
          <w:numId w:val="4"/>
        </w:numPr>
        <w:tabs>
          <w:tab w:val="left" w:pos="1600"/>
          <w:tab w:val="left" w:pos="1602"/>
        </w:tabs>
        <w:spacing w:before="240"/>
        <w:ind w:right="129"/>
        <w:jc w:val="both"/>
        <w:rPr>
          <w:sz w:val="24"/>
          <w:lang w:val="tr-TR"/>
        </w:rPr>
      </w:pPr>
      <w:r w:rsidRPr="00CB6B3E">
        <w:rPr>
          <w:w w:val="105"/>
          <w:sz w:val="24"/>
          <w:lang w:val="tr-TR"/>
        </w:rPr>
        <w:t xml:space="preserve">“Zorlayıcı uygulama”; bir tarafın eylemlerini uygunsuz bir şekilde etkilemek amacıyla, bir tarafa veya o tarafın mülklerine doğrudan veya dolaylı olarak halel getirmek veya  zarar vermek veya halel getirmekle veya zarar vermekle tehdit etmektir.  </w:t>
      </w:r>
    </w:p>
    <w:p w14:paraId="7A00A611" w14:textId="73CEEC37" w:rsidR="00646D3E" w:rsidRPr="00CB6B3E" w:rsidRDefault="006F6B2F" w:rsidP="00CB6B3E">
      <w:pPr>
        <w:pStyle w:val="ListeParagraf"/>
        <w:numPr>
          <w:ilvl w:val="1"/>
          <w:numId w:val="4"/>
        </w:numPr>
        <w:tabs>
          <w:tab w:val="left" w:pos="1600"/>
          <w:tab w:val="left" w:pos="1602"/>
        </w:tabs>
        <w:spacing w:before="240"/>
        <w:ind w:right="122"/>
        <w:jc w:val="both"/>
        <w:rPr>
          <w:sz w:val="24"/>
          <w:lang w:val="tr-TR"/>
        </w:rPr>
      </w:pPr>
      <w:r>
        <w:rPr>
          <w:spacing w:val="-2"/>
          <w:w w:val="105"/>
          <w:sz w:val="24"/>
          <w:lang w:val="tr-TR"/>
        </w:rPr>
        <w:t>“</w:t>
      </w:r>
      <w:r w:rsidR="00646D3E" w:rsidRPr="00CB6B3E">
        <w:rPr>
          <w:spacing w:val="-2"/>
          <w:w w:val="105"/>
          <w:sz w:val="24"/>
          <w:lang w:val="tr-TR"/>
        </w:rPr>
        <w:t>Engelleyici uygulama</w:t>
      </w:r>
      <w:r>
        <w:rPr>
          <w:spacing w:val="-2"/>
          <w:w w:val="105"/>
          <w:sz w:val="24"/>
          <w:lang w:val="tr-TR"/>
        </w:rPr>
        <w:t>”</w:t>
      </w:r>
      <w:r w:rsidR="00646D3E" w:rsidRPr="00CB6B3E">
        <w:rPr>
          <w:spacing w:val="-2"/>
          <w:w w:val="105"/>
          <w:sz w:val="24"/>
          <w:lang w:val="tr-TR"/>
        </w:rPr>
        <w:t xml:space="preserve">; </w:t>
      </w:r>
      <w:r w:rsidRPr="00CB6B3E">
        <w:rPr>
          <w:spacing w:val="-2"/>
          <w:w w:val="105"/>
          <w:sz w:val="24"/>
          <w:lang w:val="tr-TR"/>
        </w:rPr>
        <w:t>(i)</w:t>
      </w:r>
      <w:r w:rsidR="00646D3E" w:rsidRPr="00CB6B3E">
        <w:rPr>
          <w:spacing w:val="-2"/>
          <w:w w:val="105"/>
          <w:sz w:val="24"/>
          <w:lang w:val="tr-TR"/>
        </w:rPr>
        <w:t xml:space="preserve"> </w:t>
      </w:r>
      <w:r w:rsidR="00646D3E" w:rsidRPr="00CB6B3E">
        <w:rPr>
          <w:spacing w:val="-8"/>
          <w:w w:val="105"/>
          <w:sz w:val="24"/>
          <w:lang w:val="tr-TR"/>
        </w:rPr>
        <w:t>Banka’nın yolsuzluk uygulaması, sahtecilik uygulaması, muvazaalı uygulama veya zorlayıcı uygulama iddiaları ile ilgili soruşturmasını  önemli ölçüde engellemek amacıyla soruşturmanın kanıtlarının kasten tahrip edilmesi, tahrif edilmesi, değiştirilmesi veya gizlenmesi veya soruşturmayı yürüten kişilere yanlış beyanda bulunulması</w:t>
      </w:r>
      <w:r w:rsidR="00CB6B3E" w:rsidRPr="00CB6B3E">
        <w:rPr>
          <w:spacing w:val="-8"/>
          <w:w w:val="105"/>
          <w:sz w:val="24"/>
          <w:lang w:val="tr-TR"/>
        </w:rPr>
        <w:t>;</w:t>
      </w:r>
      <w:r w:rsidR="00646D3E" w:rsidRPr="00CB6B3E">
        <w:rPr>
          <w:spacing w:val="-8"/>
          <w:w w:val="105"/>
          <w:sz w:val="24"/>
          <w:lang w:val="tr-TR"/>
        </w:rPr>
        <w:t xml:space="preserve"> ve/veya soruşturma ile ilgili konularda bilgisi bulunan herhangi bir kişinin sahip olduğu bilgileri açıklamaması veya soruşturmayı takip etmekten vazgeçmesi için tehdit edilmesi, taciz edilmesi veya korkutulması</w:t>
      </w:r>
      <w:r w:rsidR="00CB6B3E" w:rsidRPr="00CB6B3E">
        <w:rPr>
          <w:spacing w:val="-8"/>
          <w:w w:val="105"/>
          <w:sz w:val="24"/>
          <w:lang w:val="tr-TR"/>
        </w:rPr>
        <w:t>; veya (ii) Banka’nın sözleşmeden doğan denetim ve bilgiye erişim haklarını kullanmasını önemli derecede engellemeye yönelik eylemlerdir.</w:t>
      </w:r>
      <w:r w:rsidR="00CB6B3E">
        <w:rPr>
          <w:rStyle w:val="DipnotBavurusu"/>
          <w:spacing w:val="-8"/>
          <w:w w:val="105"/>
          <w:sz w:val="24"/>
          <w:lang w:val="tr-TR"/>
        </w:rPr>
        <w:footnoteReference w:id="11"/>
      </w:r>
    </w:p>
    <w:p w14:paraId="322E0CC5" w14:textId="11EAB731" w:rsidR="00610DE5" w:rsidRPr="00CB6B3E" w:rsidRDefault="00CB6B3E" w:rsidP="00CB6B3E">
      <w:pPr>
        <w:pStyle w:val="ListeParagraf"/>
        <w:numPr>
          <w:ilvl w:val="0"/>
          <w:numId w:val="4"/>
        </w:numPr>
        <w:tabs>
          <w:tab w:val="left" w:pos="953"/>
        </w:tabs>
        <w:spacing w:before="252"/>
        <w:ind w:right="283" w:firstLine="0"/>
        <w:jc w:val="both"/>
        <w:rPr>
          <w:sz w:val="24"/>
          <w:lang w:val="tr-TR"/>
        </w:rPr>
      </w:pPr>
      <w:r w:rsidRPr="00CB6B3E">
        <w:rPr>
          <w:spacing w:val="-4"/>
          <w:w w:val="105"/>
          <w:sz w:val="24"/>
          <w:lang w:val="tr-TR"/>
        </w:rPr>
        <w:lastRenderedPageBreak/>
        <w:t>Yukarıda tanımlanan uygulamalar, bu Kılavuzda toplu olarak veya ayrı ayrı “Sah</w:t>
      </w:r>
      <w:r>
        <w:rPr>
          <w:spacing w:val="-4"/>
          <w:w w:val="105"/>
          <w:sz w:val="24"/>
          <w:lang w:val="tr-TR"/>
        </w:rPr>
        <w:t>t</w:t>
      </w:r>
      <w:r w:rsidRPr="00CB6B3E">
        <w:rPr>
          <w:spacing w:val="-4"/>
          <w:w w:val="105"/>
          <w:sz w:val="24"/>
          <w:lang w:val="tr-TR"/>
        </w:rPr>
        <w:t>ecilik ve Yolsuzluk” olarak anılmaktadır</w:t>
      </w:r>
      <w:r w:rsidRPr="00CB6B3E">
        <w:rPr>
          <w:w w:val="105"/>
          <w:sz w:val="24"/>
          <w:lang w:val="tr-TR"/>
        </w:rPr>
        <w:t>.</w:t>
      </w:r>
    </w:p>
    <w:p w14:paraId="2BACA514" w14:textId="77777777" w:rsidR="00610DE5" w:rsidRPr="00CB6B3E" w:rsidRDefault="00610DE5" w:rsidP="00CB6B3E">
      <w:pPr>
        <w:pStyle w:val="GvdeMetni"/>
        <w:spacing w:before="6"/>
        <w:jc w:val="both"/>
        <w:rPr>
          <w:lang w:val="tr-TR"/>
        </w:rPr>
      </w:pPr>
    </w:p>
    <w:p w14:paraId="1945BCFF" w14:textId="53CF59B5" w:rsidR="00610DE5" w:rsidRPr="00CB6B3E" w:rsidRDefault="00CB6B3E" w:rsidP="00CB6B3E">
      <w:pPr>
        <w:pStyle w:val="Balk1"/>
        <w:ind w:right="38"/>
        <w:jc w:val="both"/>
        <w:rPr>
          <w:lang w:val="tr-TR"/>
        </w:rPr>
      </w:pPr>
      <w:r w:rsidRPr="00CB6B3E">
        <w:rPr>
          <w:spacing w:val="-6"/>
          <w:w w:val="105"/>
          <w:lang w:val="tr-TR"/>
        </w:rPr>
        <w:t xml:space="preserve">Borçlunun Kredi Tutarlarının Kullanımı ile bağlantılı olarak Sahtecilik ve Yolsuzluğu Önlemeye ve Bunlarla Mücadele Etmeye Yönelik Eylemleri </w:t>
      </w:r>
    </w:p>
    <w:p w14:paraId="2370361D" w14:textId="72966789" w:rsidR="00610DE5" w:rsidRPr="00CB6B3E" w:rsidRDefault="00CB6B3E" w:rsidP="002C0341">
      <w:pPr>
        <w:pStyle w:val="ListeParagraf"/>
        <w:numPr>
          <w:ilvl w:val="0"/>
          <w:numId w:val="4"/>
        </w:numPr>
        <w:tabs>
          <w:tab w:val="left" w:pos="953"/>
        </w:tabs>
        <w:spacing w:before="247"/>
        <w:ind w:left="953" w:right="-174" w:hanging="791"/>
        <w:jc w:val="both"/>
        <w:rPr>
          <w:sz w:val="24"/>
          <w:lang w:val="tr-TR"/>
        </w:rPr>
      </w:pPr>
      <w:r w:rsidRPr="00CB6B3E">
        <w:rPr>
          <w:spacing w:val="-6"/>
          <w:w w:val="105"/>
          <w:sz w:val="24"/>
          <w:lang w:val="tr-TR"/>
        </w:rPr>
        <w:t>Yukarıda belirtilen amaç ve genel ilkeler doğrultusunda, Borçlu</w:t>
      </w:r>
      <w:r w:rsidR="002C0341">
        <w:rPr>
          <w:spacing w:val="-6"/>
          <w:w w:val="105"/>
          <w:sz w:val="24"/>
          <w:lang w:val="tr-TR"/>
        </w:rPr>
        <w:t>;</w:t>
      </w:r>
    </w:p>
    <w:p w14:paraId="165790CA" w14:textId="08C0E9F2" w:rsidR="00610DE5" w:rsidRPr="0095527B" w:rsidRDefault="00C1662C" w:rsidP="002C0341">
      <w:pPr>
        <w:pStyle w:val="ListeParagraf"/>
        <w:numPr>
          <w:ilvl w:val="0"/>
          <w:numId w:val="3"/>
        </w:numPr>
        <w:tabs>
          <w:tab w:val="left" w:pos="1672"/>
        </w:tabs>
        <w:spacing w:before="63"/>
        <w:ind w:right="-174" w:firstLine="0"/>
        <w:jc w:val="both"/>
        <w:rPr>
          <w:sz w:val="24"/>
          <w:lang w:val="tr-TR"/>
        </w:rPr>
      </w:pPr>
      <w:r w:rsidRPr="003E6E43">
        <w:rPr>
          <w:sz w:val="24"/>
          <w:lang w:val="tr-TR"/>
        </w:rPr>
        <w:t xml:space="preserve">Kredi tutarlarının kullanımı ile bağlantılı Sahtecilik ve Yolsuzluk </w:t>
      </w:r>
      <w:r w:rsidRPr="0095527B">
        <w:rPr>
          <w:sz w:val="24"/>
          <w:lang w:val="tr-TR"/>
        </w:rPr>
        <w:t xml:space="preserve">durumlarını önlemek için, </w:t>
      </w:r>
      <w:r w:rsidR="006671AF" w:rsidRPr="0095527B">
        <w:rPr>
          <w:sz w:val="24"/>
          <w:lang w:val="tr-TR"/>
        </w:rPr>
        <w:t xml:space="preserve">(i) </w:t>
      </w:r>
      <w:r w:rsidR="004668E1" w:rsidRPr="0095527B">
        <w:rPr>
          <w:sz w:val="24"/>
          <w:lang w:val="tr-TR"/>
        </w:rPr>
        <w:t>Kredi tutarlarının sadece sağlandıkları amaçlar doğrultusunda</w:t>
      </w:r>
      <w:r w:rsidR="003E6E43" w:rsidRPr="0095527B">
        <w:rPr>
          <w:sz w:val="24"/>
          <w:lang w:val="tr-TR"/>
        </w:rPr>
        <w:t xml:space="preserve"> </w:t>
      </w:r>
      <w:r w:rsidR="004668E1" w:rsidRPr="0095527B">
        <w:rPr>
          <w:sz w:val="24"/>
          <w:lang w:val="tr-TR"/>
        </w:rPr>
        <w:t xml:space="preserve">kullanılmasını sağlamak için uygun itibari ve idari uygulamaların ve kurumsal düzenlemelerin benimsenmesi ve </w:t>
      </w:r>
      <w:r w:rsidR="006671AF" w:rsidRPr="0095527B">
        <w:rPr>
          <w:sz w:val="24"/>
          <w:lang w:val="tr-TR"/>
        </w:rPr>
        <w:t xml:space="preserve">(ii) </w:t>
      </w:r>
      <w:r w:rsidR="004668E1" w:rsidRPr="0095527B">
        <w:rPr>
          <w:sz w:val="24"/>
          <w:lang w:val="tr-TR"/>
        </w:rPr>
        <w:t>projede görev alan temsilcilerinin</w:t>
      </w:r>
      <w:r w:rsidR="004668E1" w:rsidRPr="0095527B">
        <w:rPr>
          <w:rStyle w:val="DipnotBavurusu"/>
          <w:sz w:val="24"/>
          <w:lang w:val="tr-TR"/>
        </w:rPr>
        <w:footnoteReference w:id="12"/>
      </w:r>
      <w:r w:rsidR="004668E1" w:rsidRPr="0095527B">
        <w:rPr>
          <w:sz w:val="24"/>
          <w:lang w:val="tr-TR"/>
        </w:rPr>
        <w:t xml:space="preserve"> tamamın</w:t>
      </w:r>
      <w:r w:rsidR="005A2C9C">
        <w:rPr>
          <w:sz w:val="24"/>
          <w:lang w:val="tr-TR"/>
        </w:rPr>
        <w:t>a</w:t>
      </w:r>
      <w:r w:rsidR="004668E1" w:rsidRPr="0095527B">
        <w:rPr>
          <w:sz w:val="24"/>
          <w:lang w:val="tr-TR"/>
        </w:rPr>
        <w:t xml:space="preserve"> ve Kredi tutarlarının Proje ile ilgili bir anlaşma yaptığı tüm alıcılarına bu Kılavuzun bir nüshasının sunulmasının ve içeriği hakkında bilgilendirilmelerinin sağlanması </w:t>
      </w:r>
      <w:r w:rsidR="006671AF" w:rsidRPr="0095527B">
        <w:rPr>
          <w:sz w:val="24"/>
          <w:lang w:val="tr-TR"/>
        </w:rPr>
        <w:t xml:space="preserve">dahil olmak </w:t>
      </w:r>
      <w:r w:rsidR="004668E1" w:rsidRPr="0095527B">
        <w:rPr>
          <w:sz w:val="24"/>
          <w:lang w:val="tr-TR"/>
        </w:rPr>
        <w:t xml:space="preserve">(ancak bunlarla sınırlı olmamak) </w:t>
      </w:r>
      <w:r w:rsidR="006671AF" w:rsidRPr="0095527B">
        <w:rPr>
          <w:sz w:val="24"/>
          <w:lang w:val="tr-TR"/>
        </w:rPr>
        <w:t xml:space="preserve">üzere </w:t>
      </w:r>
      <w:r w:rsidR="004668E1" w:rsidRPr="0095527B">
        <w:rPr>
          <w:sz w:val="24"/>
          <w:lang w:val="tr-TR"/>
        </w:rPr>
        <w:t xml:space="preserve">gerekli tüm önlemleri alacaktır; </w:t>
      </w:r>
      <w:r w:rsidRPr="0095527B">
        <w:rPr>
          <w:sz w:val="24"/>
          <w:lang w:val="tr-TR"/>
        </w:rPr>
        <w:t xml:space="preserve"> </w:t>
      </w:r>
    </w:p>
    <w:p w14:paraId="385A44AA" w14:textId="61B64F65" w:rsidR="00610DE5" w:rsidRPr="0095527B" w:rsidRDefault="003E6E43" w:rsidP="002C0341">
      <w:pPr>
        <w:pStyle w:val="ListeParagraf"/>
        <w:numPr>
          <w:ilvl w:val="0"/>
          <w:numId w:val="3"/>
        </w:numPr>
        <w:tabs>
          <w:tab w:val="left" w:pos="1671"/>
        </w:tabs>
        <w:spacing w:before="238"/>
        <w:ind w:right="-174" w:firstLine="0"/>
        <w:jc w:val="both"/>
        <w:rPr>
          <w:sz w:val="24"/>
          <w:lang w:val="tr-TR"/>
        </w:rPr>
      </w:pPr>
      <w:r w:rsidRPr="0095527B">
        <w:rPr>
          <w:spacing w:val="-2"/>
          <w:w w:val="105"/>
          <w:sz w:val="24"/>
          <w:lang w:val="tr-TR"/>
        </w:rPr>
        <w:t xml:space="preserve">Kredi tutarlarının kullanımı ile </w:t>
      </w:r>
      <w:r w:rsidR="00C871B5" w:rsidRPr="0095527B">
        <w:rPr>
          <w:spacing w:val="-2"/>
          <w:w w:val="105"/>
          <w:sz w:val="24"/>
          <w:lang w:val="tr-TR"/>
        </w:rPr>
        <w:t>bağlantılı</w:t>
      </w:r>
      <w:r w:rsidRPr="0095527B">
        <w:rPr>
          <w:spacing w:val="-2"/>
          <w:w w:val="105"/>
          <w:sz w:val="24"/>
          <w:lang w:val="tr-TR"/>
        </w:rPr>
        <w:t xml:space="preserve"> olarak bilgisi dahiline giren Sahtecilik ve Yolsuzluk iddialarını derhal Banka’ya bildirecektir</w:t>
      </w:r>
      <w:r w:rsidRPr="0095527B">
        <w:rPr>
          <w:w w:val="105"/>
          <w:sz w:val="24"/>
          <w:lang w:val="tr-TR"/>
        </w:rPr>
        <w:t>;</w:t>
      </w:r>
    </w:p>
    <w:p w14:paraId="7A08F8D5" w14:textId="0084507E" w:rsidR="00610DE5" w:rsidRPr="0095527B" w:rsidRDefault="003E6E43" w:rsidP="002C0341">
      <w:pPr>
        <w:pStyle w:val="ListeParagraf"/>
        <w:numPr>
          <w:ilvl w:val="0"/>
          <w:numId w:val="3"/>
        </w:numPr>
        <w:tabs>
          <w:tab w:val="left" w:pos="1672"/>
        </w:tabs>
        <w:spacing w:before="241"/>
        <w:ind w:right="-174" w:firstLine="0"/>
        <w:jc w:val="both"/>
        <w:rPr>
          <w:sz w:val="24"/>
          <w:lang w:val="tr-TR"/>
        </w:rPr>
      </w:pPr>
      <w:r w:rsidRPr="0095527B">
        <w:rPr>
          <w:w w:val="105"/>
          <w:sz w:val="24"/>
          <w:lang w:val="tr-TR"/>
        </w:rPr>
        <w:t xml:space="preserve">Banka’nın yukarıdaki (a) bendinde belirtilen herhangi bir kişinin veya kuruluşun Kredi tutarlarının kullanımı ile bağlantılı olarak bir </w:t>
      </w:r>
      <w:r w:rsidRPr="0095527B">
        <w:rPr>
          <w:spacing w:val="-2"/>
          <w:w w:val="105"/>
          <w:sz w:val="24"/>
          <w:lang w:val="tr-TR"/>
        </w:rPr>
        <w:t xml:space="preserve">Sahtecilik ve Yolsuzluk olayına karıştığını tespit etmesi durumunda, bu uygulamaları gerçekleştiğinde </w:t>
      </w:r>
      <w:r w:rsidRPr="0095527B">
        <w:rPr>
          <w:spacing w:val="-4"/>
          <w:w w:val="105"/>
          <w:sz w:val="24"/>
          <w:lang w:val="tr-TR"/>
        </w:rPr>
        <w:t>ele almak için Banka için tatmin edici uygun eylemleri zamanlı bir şekilde gerçekleştirecektir</w:t>
      </w:r>
      <w:r w:rsidRPr="0095527B">
        <w:rPr>
          <w:w w:val="105"/>
          <w:sz w:val="24"/>
          <w:lang w:val="tr-TR"/>
        </w:rPr>
        <w:t>;</w:t>
      </w:r>
    </w:p>
    <w:p w14:paraId="453F03BB" w14:textId="6023D531" w:rsidR="00610DE5" w:rsidRPr="0095527B" w:rsidRDefault="00B02570" w:rsidP="002C0341">
      <w:pPr>
        <w:pStyle w:val="ListeParagraf"/>
        <w:numPr>
          <w:ilvl w:val="0"/>
          <w:numId w:val="3"/>
        </w:numPr>
        <w:tabs>
          <w:tab w:val="left" w:pos="1671"/>
        </w:tabs>
        <w:spacing w:before="240"/>
        <w:ind w:right="-174" w:firstLine="0"/>
        <w:jc w:val="both"/>
        <w:rPr>
          <w:sz w:val="24"/>
          <w:lang w:val="tr-TR"/>
        </w:rPr>
      </w:pPr>
      <w:r w:rsidRPr="0095527B">
        <w:rPr>
          <w:w w:val="105"/>
          <w:sz w:val="24"/>
          <w:lang w:val="tr-TR"/>
        </w:rPr>
        <w:t>Kredi tutarl</w:t>
      </w:r>
      <w:r w:rsidR="00964CE1" w:rsidRPr="0095527B">
        <w:rPr>
          <w:w w:val="105"/>
          <w:sz w:val="24"/>
          <w:lang w:val="tr-TR"/>
        </w:rPr>
        <w:t>a</w:t>
      </w:r>
      <w:r w:rsidRPr="0095527B">
        <w:rPr>
          <w:w w:val="105"/>
          <w:sz w:val="24"/>
          <w:lang w:val="tr-TR"/>
        </w:rPr>
        <w:t xml:space="preserve">rının her bir alıcısı ile yaptığı anlaşmalarda, (i) </w:t>
      </w:r>
      <w:r w:rsidR="00182EAD" w:rsidRPr="0095527B">
        <w:rPr>
          <w:w w:val="105"/>
          <w:sz w:val="24"/>
          <w:lang w:val="tr-TR"/>
        </w:rPr>
        <w:t>söz konusu alıcının aşağıdaki 10’uncu paragraf hükümlerine uymasını gerektiren</w:t>
      </w:r>
      <w:r w:rsidRPr="0095527B">
        <w:rPr>
          <w:w w:val="105"/>
          <w:sz w:val="24"/>
          <w:lang w:val="tr-TR"/>
        </w:rPr>
        <w:t xml:space="preserve">; (ii) </w:t>
      </w:r>
      <w:r w:rsidR="00182EAD" w:rsidRPr="0095527B">
        <w:rPr>
          <w:w w:val="105"/>
          <w:sz w:val="24"/>
          <w:lang w:val="tr-TR"/>
        </w:rPr>
        <w:t>alıcının proje ile ilgili olarak Hukuki Anlaşma uyarınca tutulması gereken tüm hesapların, kayıtların ve diğer belgelerin Banka tarafından teftiş edilmesine ve Banka tarafından veya Banka adına denetime tabi tutulmasına izin vermesini gerektiren</w:t>
      </w:r>
      <w:r w:rsidRPr="0095527B">
        <w:rPr>
          <w:w w:val="105"/>
          <w:sz w:val="24"/>
          <w:lang w:val="tr-TR"/>
        </w:rPr>
        <w:t xml:space="preserve">; (iii) </w:t>
      </w:r>
      <w:r w:rsidR="00182EAD" w:rsidRPr="0095527B">
        <w:rPr>
          <w:w w:val="105"/>
          <w:sz w:val="24"/>
          <w:lang w:val="tr-TR"/>
        </w:rPr>
        <w:t xml:space="preserve">aşağıdaki 11’inci paragraf kapsamında </w:t>
      </w:r>
      <w:r w:rsidR="005A2C9C">
        <w:rPr>
          <w:w w:val="105"/>
          <w:sz w:val="24"/>
          <w:lang w:val="tr-TR"/>
        </w:rPr>
        <w:t xml:space="preserve">açıklandığı şekilde </w:t>
      </w:r>
      <w:r w:rsidR="00182EAD" w:rsidRPr="0095527B">
        <w:rPr>
          <w:w w:val="105"/>
          <w:sz w:val="24"/>
          <w:lang w:val="tr-TR"/>
        </w:rPr>
        <w:t>Banka tarafından alıcının uygun</w:t>
      </w:r>
      <w:r w:rsidR="005A2C9C">
        <w:rPr>
          <w:w w:val="105"/>
          <w:sz w:val="24"/>
          <w:lang w:val="tr-TR"/>
        </w:rPr>
        <w:t xml:space="preserve"> olmadığının </w:t>
      </w:r>
      <w:r w:rsidR="00182EAD" w:rsidRPr="0095527B">
        <w:rPr>
          <w:w w:val="105"/>
          <w:sz w:val="24"/>
          <w:lang w:val="tr-TR"/>
        </w:rPr>
        <w:t xml:space="preserve">açıklanması durumunda Borçlunun anlaşmayı erken sonlandırmasını veya askıya almasını öngören ve </w:t>
      </w:r>
      <w:r w:rsidRPr="0095527B">
        <w:rPr>
          <w:w w:val="105"/>
          <w:sz w:val="24"/>
          <w:lang w:val="tr-TR"/>
        </w:rPr>
        <w:t xml:space="preserve">(iv) </w:t>
      </w:r>
      <w:r w:rsidR="00182EAD" w:rsidRPr="0095527B">
        <w:rPr>
          <w:w w:val="105"/>
          <w:sz w:val="24"/>
          <w:lang w:val="tr-TR"/>
        </w:rPr>
        <w:t xml:space="preserve">Sahteciliğe ve Yolsuzluğa konu olan kredi tutarlarının ilgili alıcı tarafından iade edilmesini gerektiren </w:t>
      </w:r>
      <w:r w:rsidRPr="0095527B">
        <w:rPr>
          <w:w w:val="105"/>
          <w:sz w:val="24"/>
          <w:lang w:val="tr-TR"/>
        </w:rPr>
        <w:t>hükümler dahil olmak (ancak bunlarla sınırlı olmamak üzere) bu Kılavuzun tam olarak uygulanabilmesi için Banka’nın gerektirebileceği hükümlere yer verecektir;</w:t>
      </w:r>
    </w:p>
    <w:p w14:paraId="1D7EFC9F" w14:textId="5C1FD738" w:rsidR="00610DE5" w:rsidRPr="0095527B" w:rsidRDefault="00653BFE" w:rsidP="002C0341">
      <w:pPr>
        <w:pStyle w:val="ListeParagraf"/>
        <w:numPr>
          <w:ilvl w:val="0"/>
          <w:numId w:val="3"/>
        </w:numPr>
        <w:tabs>
          <w:tab w:val="left" w:pos="1672"/>
        </w:tabs>
        <w:spacing w:before="240"/>
        <w:ind w:right="-174" w:firstLine="0"/>
        <w:jc w:val="both"/>
        <w:rPr>
          <w:sz w:val="24"/>
          <w:lang w:val="tr-TR"/>
        </w:rPr>
      </w:pPr>
      <w:r w:rsidRPr="0095527B">
        <w:rPr>
          <w:w w:val="105"/>
          <w:sz w:val="24"/>
          <w:lang w:val="tr-TR"/>
        </w:rPr>
        <w:t xml:space="preserve">Kredi tutarlarının kullanımı ile bağlantılı </w:t>
      </w:r>
      <w:r w:rsidRPr="0095527B">
        <w:rPr>
          <w:spacing w:val="-2"/>
          <w:w w:val="105"/>
          <w:sz w:val="24"/>
          <w:lang w:val="tr-TR"/>
        </w:rPr>
        <w:t xml:space="preserve">Sahtecilik ve Yolsuzluk iddialarının soruşturulmasında Banka temsilcileri ile tam bir işbirliği içerisinde çalışacaktır; </w:t>
      </w:r>
      <w:r w:rsidRPr="0095527B">
        <w:rPr>
          <w:spacing w:val="-4"/>
          <w:w w:val="105"/>
          <w:sz w:val="24"/>
          <w:lang w:val="tr-TR"/>
        </w:rPr>
        <w:t xml:space="preserve">ve </w:t>
      </w:r>
    </w:p>
    <w:p w14:paraId="2BAE1184" w14:textId="6657BADC" w:rsidR="00610DE5" w:rsidRPr="0095527B" w:rsidRDefault="00653BFE" w:rsidP="002C0341">
      <w:pPr>
        <w:pStyle w:val="ListeParagraf"/>
        <w:numPr>
          <w:ilvl w:val="0"/>
          <w:numId w:val="3"/>
        </w:numPr>
        <w:tabs>
          <w:tab w:val="left" w:pos="1672"/>
        </w:tabs>
        <w:spacing w:before="240"/>
        <w:ind w:right="-174" w:firstLine="0"/>
        <w:jc w:val="both"/>
        <w:rPr>
          <w:w w:val="105"/>
          <w:sz w:val="24"/>
          <w:lang w:val="tr-TR"/>
        </w:rPr>
      </w:pPr>
      <w:r w:rsidRPr="0095527B">
        <w:rPr>
          <w:w w:val="105"/>
          <w:sz w:val="24"/>
          <w:lang w:val="tr-TR"/>
        </w:rPr>
        <w:t>Banka’nın Kredi tutarlarının alıcılarından herhangi birinin aşağıdaki 11’inci paragraf kapsamında uygun</w:t>
      </w:r>
      <w:r w:rsidR="005F0C1E">
        <w:rPr>
          <w:w w:val="105"/>
          <w:sz w:val="24"/>
          <w:lang w:val="tr-TR"/>
        </w:rPr>
        <w:t xml:space="preserve"> olmadığını </w:t>
      </w:r>
      <w:r w:rsidRPr="0095527B">
        <w:rPr>
          <w:w w:val="105"/>
          <w:sz w:val="24"/>
          <w:lang w:val="tr-TR"/>
        </w:rPr>
        <w:t xml:space="preserve">açıklaması durumunda, diğer hususların yanında, (i) Borçlunun, Borçlu ile söz konusu alıcı arasındaki anlaşmayı </w:t>
      </w:r>
      <w:r w:rsidRPr="0095527B">
        <w:rPr>
          <w:w w:val="105"/>
          <w:sz w:val="24"/>
          <w:lang w:val="tr-TR"/>
        </w:rPr>
        <w:lastRenderedPageBreak/>
        <w:t xml:space="preserve">erken feshetme veya askıya alma hakkını kullanması ve/veya (ii) ilgili tutarların iadesinin sağlanması yoluyla, söz konusu </w:t>
      </w:r>
      <w:r w:rsidR="005F0C1E">
        <w:rPr>
          <w:w w:val="105"/>
          <w:sz w:val="24"/>
          <w:lang w:val="tr-TR"/>
        </w:rPr>
        <w:t>açıklamanın</w:t>
      </w:r>
      <w:r w:rsidRPr="0095527B">
        <w:rPr>
          <w:w w:val="105"/>
          <w:sz w:val="24"/>
          <w:lang w:val="tr-TR"/>
        </w:rPr>
        <w:t xml:space="preserve"> gereklerinin tam olarak uygulanması için gerekli ve uygun tüm eylemleri gerçekleştirecektir.</w:t>
      </w:r>
    </w:p>
    <w:p w14:paraId="413FB8E0" w14:textId="77777777" w:rsidR="002C0341" w:rsidRDefault="002C0341">
      <w:pPr>
        <w:pStyle w:val="Balk1"/>
        <w:rPr>
          <w:lang w:val="tr-TR"/>
        </w:rPr>
      </w:pPr>
    </w:p>
    <w:p w14:paraId="48E52D48" w14:textId="0F79730F" w:rsidR="00610DE5" w:rsidRPr="0095527B" w:rsidRDefault="00653BFE">
      <w:pPr>
        <w:pStyle w:val="Balk1"/>
        <w:rPr>
          <w:lang w:val="tr-TR"/>
        </w:rPr>
      </w:pPr>
      <w:r w:rsidRPr="0095527B">
        <w:rPr>
          <w:lang w:val="tr-TR"/>
        </w:rPr>
        <w:t xml:space="preserve">Kredi Tutarlarının Diğer Alıcıları </w:t>
      </w:r>
    </w:p>
    <w:p w14:paraId="1B070F21" w14:textId="77777777" w:rsidR="00610DE5" w:rsidRPr="0095527B" w:rsidRDefault="00610DE5">
      <w:pPr>
        <w:pStyle w:val="GvdeMetni"/>
        <w:spacing w:before="7"/>
        <w:rPr>
          <w:b/>
          <w:lang w:val="tr-TR"/>
        </w:rPr>
      </w:pPr>
    </w:p>
    <w:p w14:paraId="78DC3502" w14:textId="6A69543E" w:rsidR="00610DE5" w:rsidRPr="00CD613C" w:rsidRDefault="00653BFE">
      <w:pPr>
        <w:pStyle w:val="ListeParagraf"/>
        <w:numPr>
          <w:ilvl w:val="0"/>
          <w:numId w:val="4"/>
        </w:numPr>
        <w:tabs>
          <w:tab w:val="left" w:pos="953"/>
        </w:tabs>
        <w:ind w:right="126" w:firstLine="0"/>
        <w:jc w:val="both"/>
        <w:rPr>
          <w:spacing w:val="-13"/>
          <w:w w:val="105"/>
          <w:sz w:val="24"/>
          <w:lang w:val="tr-TR"/>
        </w:rPr>
      </w:pPr>
      <w:r w:rsidRPr="0095527B">
        <w:rPr>
          <w:spacing w:val="-2"/>
          <w:w w:val="105"/>
          <w:sz w:val="24"/>
          <w:lang w:val="tr-TR"/>
        </w:rPr>
        <w:t xml:space="preserve">Yukarıda belirtilen amaç ve genel ilkeler doğrultusunda, Proje ile ilgili olarak </w:t>
      </w:r>
      <w:r w:rsidRPr="00CD613C">
        <w:rPr>
          <w:spacing w:val="-13"/>
          <w:w w:val="105"/>
          <w:sz w:val="24"/>
          <w:lang w:val="tr-TR"/>
        </w:rPr>
        <w:t>Borçlu ile (veya Kredi tutarlarının bir başka alıcısı ile) bir anlaşma yapmış olan Kredi tutarlarının her bir alıcısı;</w:t>
      </w:r>
    </w:p>
    <w:p w14:paraId="6814C1DD" w14:textId="77777777" w:rsidR="00610DE5" w:rsidRPr="00CD613C" w:rsidRDefault="00610DE5">
      <w:pPr>
        <w:pStyle w:val="GvdeMetni"/>
        <w:spacing w:before="10"/>
        <w:rPr>
          <w:lang w:val="tr-TR"/>
        </w:rPr>
      </w:pPr>
    </w:p>
    <w:p w14:paraId="4DFC639E" w14:textId="1591C695" w:rsidR="00C871B5" w:rsidRPr="00CD613C" w:rsidRDefault="00C871B5">
      <w:pPr>
        <w:pStyle w:val="ListeParagraf"/>
        <w:numPr>
          <w:ilvl w:val="0"/>
          <w:numId w:val="2"/>
        </w:numPr>
        <w:tabs>
          <w:tab w:val="left" w:pos="1671"/>
        </w:tabs>
        <w:ind w:left="973" w:firstLine="0"/>
        <w:jc w:val="both"/>
        <w:rPr>
          <w:spacing w:val="-2"/>
          <w:w w:val="105"/>
          <w:sz w:val="24"/>
          <w:lang w:val="tr-TR"/>
        </w:rPr>
      </w:pPr>
      <w:r w:rsidRPr="00CD613C">
        <w:rPr>
          <w:spacing w:val="-2"/>
          <w:w w:val="105"/>
          <w:sz w:val="24"/>
          <w:lang w:val="tr-TR"/>
        </w:rPr>
        <w:t>Proje ile ilgili faaliyetlerini yukarıda belirtilen genel ilkelere ve Borçlu ile yaptığı anlaşmanın yukarıdaki paragraf 9(d)’de belirtilen hükümlerine uygun olarak gerçekleştirecektir ve proje ile ilgili olarak Kredi tutarlarının başka alıcıları ile yapabileceği anlaşmalara benzer hükümleri dahil edecektir;</w:t>
      </w:r>
    </w:p>
    <w:p w14:paraId="51A59052" w14:textId="77777777" w:rsidR="00C871B5" w:rsidRPr="00CD613C" w:rsidRDefault="00C871B5" w:rsidP="00C871B5">
      <w:pPr>
        <w:pStyle w:val="ListeParagraf"/>
        <w:tabs>
          <w:tab w:val="left" w:pos="1671"/>
        </w:tabs>
        <w:ind w:left="973"/>
        <w:rPr>
          <w:spacing w:val="-2"/>
          <w:w w:val="105"/>
          <w:sz w:val="24"/>
          <w:lang w:val="tr-TR"/>
        </w:rPr>
      </w:pPr>
    </w:p>
    <w:p w14:paraId="7F5E2741" w14:textId="6DC7B304" w:rsidR="00610DE5" w:rsidRPr="00CD613C" w:rsidRDefault="00C871B5">
      <w:pPr>
        <w:pStyle w:val="ListeParagraf"/>
        <w:numPr>
          <w:ilvl w:val="0"/>
          <w:numId w:val="2"/>
        </w:numPr>
        <w:tabs>
          <w:tab w:val="left" w:pos="1671"/>
        </w:tabs>
        <w:ind w:left="973" w:firstLine="0"/>
        <w:jc w:val="both"/>
        <w:rPr>
          <w:spacing w:val="-2"/>
          <w:w w:val="105"/>
          <w:sz w:val="24"/>
          <w:lang w:val="tr-TR"/>
        </w:rPr>
      </w:pPr>
      <w:r w:rsidRPr="00CD613C">
        <w:rPr>
          <w:spacing w:val="-2"/>
          <w:w w:val="105"/>
          <w:sz w:val="24"/>
          <w:lang w:val="tr-TR"/>
        </w:rPr>
        <w:t>Kredi tutarlarının kullanımı ile bağlantılı olarak bilgisi dahiline giren Sahtecilik ve Yolsuzluk iddialarını derhal Banka’ya bildirecektir;</w:t>
      </w:r>
    </w:p>
    <w:p w14:paraId="5A14DF00" w14:textId="77777777" w:rsidR="00610DE5" w:rsidRPr="00CD613C" w:rsidRDefault="00610DE5" w:rsidP="00C871B5">
      <w:pPr>
        <w:pStyle w:val="ListeParagraf"/>
        <w:tabs>
          <w:tab w:val="left" w:pos="1671"/>
        </w:tabs>
        <w:ind w:left="973"/>
        <w:rPr>
          <w:spacing w:val="-2"/>
          <w:w w:val="105"/>
          <w:sz w:val="24"/>
          <w:lang w:val="tr-TR"/>
        </w:rPr>
      </w:pPr>
    </w:p>
    <w:p w14:paraId="6DBBDC89" w14:textId="658AEC6A" w:rsidR="00610DE5" w:rsidRPr="00CD613C" w:rsidRDefault="0095527B">
      <w:pPr>
        <w:pStyle w:val="ListeParagraf"/>
        <w:numPr>
          <w:ilvl w:val="0"/>
          <w:numId w:val="2"/>
        </w:numPr>
        <w:tabs>
          <w:tab w:val="left" w:pos="1671"/>
        </w:tabs>
        <w:ind w:left="973" w:firstLine="0"/>
        <w:jc w:val="both"/>
        <w:rPr>
          <w:spacing w:val="-2"/>
          <w:w w:val="105"/>
          <w:sz w:val="24"/>
          <w:lang w:val="tr-TR"/>
        </w:rPr>
      </w:pPr>
      <w:r w:rsidRPr="00CD613C">
        <w:rPr>
          <w:w w:val="105"/>
          <w:sz w:val="24"/>
          <w:lang w:val="tr-TR"/>
        </w:rPr>
        <w:t xml:space="preserve">Kredi tutarlarının kullanımı ile bağlantılı </w:t>
      </w:r>
      <w:r w:rsidRPr="00CD613C">
        <w:rPr>
          <w:spacing w:val="-2"/>
          <w:w w:val="105"/>
          <w:sz w:val="24"/>
          <w:lang w:val="tr-TR"/>
        </w:rPr>
        <w:t>Sahtecilik ve Yolsuzluk iddialarının soruşturulmasında Banka temsilcileri ile tam bir işbirliği içerisinde çalışacaktır;</w:t>
      </w:r>
    </w:p>
    <w:p w14:paraId="5B08764B" w14:textId="77777777" w:rsidR="00610DE5" w:rsidRPr="00CD613C" w:rsidRDefault="00610DE5" w:rsidP="00C871B5">
      <w:pPr>
        <w:pStyle w:val="ListeParagraf"/>
        <w:tabs>
          <w:tab w:val="left" w:pos="1671"/>
        </w:tabs>
        <w:ind w:left="973"/>
        <w:rPr>
          <w:spacing w:val="-2"/>
          <w:w w:val="105"/>
          <w:sz w:val="24"/>
          <w:lang w:val="tr-TR"/>
        </w:rPr>
      </w:pPr>
    </w:p>
    <w:p w14:paraId="1157FC0D" w14:textId="4958F7AC" w:rsidR="00125274" w:rsidRPr="00CD613C" w:rsidRDefault="0095527B" w:rsidP="00C871B5">
      <w:pPr>
        <w:pStyle w:val="ListeParagraf"/>
        <w:numPr>
          <w:ilvl w:val="0"/>
          <w:numId w:val="2"/>
        </w:numPr>
        <w:tabs>
          <w:tab w:val="left" w:pos="1671"/>
        </w:tabs>
        <w:ind w:left="973" w:firstLine="0"/>
        <w:jc w:val="both"/>
        <w:rPr>
          <w:spacing w:val="-2"/>
          <w:w w:val="105"/>
          <w:sz w:val="24"/>
          <w:lang w:val="tr-TR"/>
        </w:rPr>
      </w:pPr>
      <w:r w:rsidRPr="00CD613C">
        <w:rPr>
          <w:spacing w:val="-2"/>
          <w:w w:val="105"/>
          <w:sz w:val="24"/>
          <w:lang w:val="tr-TR"/>
        </w:rPr>
        <w:t>Kredi tutarl</w:t>
      </w:r>
      <w:r w:rsidR="00125274" w:rsidRPr="00CD613C">
        <w:rPr>
          <w:spacing w:val="-2"/>
          <w:w w:val="105"/>
          <w:sz w:val="24"/>
          <w:lang w:val="tr-TR"/>
        </w:rPr>
        <w:t>a</w:t>
      </w:r>
      <w:r w:rsidRPr="00CD613C">
        <w:rPr>
          <w:spacing w:val="-2"/>
          <w:w w:val="105"/>
          <w:sz w:val="24"/>
          <w:lang w:val="tr-TR"/>
        </w:rPr>
        <w:t xml:space="preserve">rının kullanılması ile bağlantılı olarak, </w:t>
      </w:r>
      <w:r w:rsidR="005A2C9C" w:rsidRPr="00CD613C">
        <w:rPr>
          <w:sz w:val="24"/>
          <w:lang w:val="tr-TR"/>
        </w:rPr>
        <w:t xml:space="preserve">temsilcilerinin (varsa) </w:t>
      </w:r>
      <w:r w:rsidR="00125274" w:rsidRPr="00CD613C">
        <w:rPr>
          <w:sz w:val="24"/>
          <w:lang w:val="tr-TR"/>
        </w:rPr>
        <w:t>Sahtecilik ve Yolsuzluk durumlarını önlemek için, (i) Kredi tutarlarının sadece sağlandıkları amaçlar doğrultusunda kullanılmasını sağlamak için uygun itibari ve idari uygulamaların ve kurumsal düzenlemelerin benimsenmesi ve (ii) temsilcilerinin tamamın</w:t>
      </w:r>
      <w:r w:rsidR="005A2C9C" w:rsidRPr="00CD613C">
        <w:rPr>
          <w:sz w:val="24"/>
          <w:lang w:val="tr-TR"/>
        </w:rPr>
        <w:t>a</w:t>
      </w:r>
      <w:r w:rsidR="00125274" w:rsidRPr="00CD613C">
        <w:rPr>
          <w:sz w:val="24"/>
          <w:lang w:val="tr-TR"/>
        </w:rPr>
        <w:t xml:space="preserve"> bu Kılavuzun bir nüshasının sunulmasının ve içeriği hakkında bilgilendirilmelerinin sağlanması dahil olmak (ancak bunlarla sınırlı olmamak) üzere gerekli tüm önlemleri alacaktır</w:t>
      </w:r>
      <w:r w:rsidR="005A2C9C" w:rsidRPr="00CD613C">
        <w:rPr>
          <w:sz w:val="24"/>
          <w:lang w:val="tr-TR"/>
        </w:rPr>
        <w:t>;</w:t>
      </w:r>
    </w:p>
    <w:p w14:paraId="776D4AC6" w14:textId="77777777" w:rsidR="00125274" w:rsidRPr="00CD613C" w:rsidRDefault="00125274" w:rsidP="00125274">
      <w:pPr>
        <w:pStyle w:val="ListeParagraf"/>
        <w:rPr>
          <w:spacing w:val="-2"/>
          <w:w w:val="105"/>
          <w:sz w:val="24"/>
          <w:lang w:val="tr-TR"/>
        </w:rPr>
      </w:pPr>
    </w:p>
    <w:p w14:paraId="280612A9" w14:textId="7A5ACBA0" w:rsidR="005A2C9C" w:rsidRPr="005F0C1E" w:rsidRDefault="005A2C9C" w:rsidP="00C871B5">
      <w:pPr>
        <w:pStyle w:val="ListeParagraf"/>
        <w:numPr>
          <w:ilvl w:val="0"/>
          <w:numId w:val="2"/>
        </w:numPr>
        <w:tabs>
          <w:tab w:val="left" w:pos="1671"/>
        </w:tabs>
        <w:ind w:left="973" w:firstLine="0"/>
        <w:jc w:val="both"/>
        <w:rPr>
          <w:spacing w:val="-2"/>
          <w:w w:val="105"/>
          <w:sz w:val="24"/>
          <w:lang w:val="tr-TR"/>
        </w:rPr>
      </w:pPr>
      <w:r w:rsidRPr="005F0C1E">
        <w:rPr>
          <w:spacing w:val="-2"/>
          <w:w w:val="105"/>
          <w:sz w:val="24"/>
          <w:lang w:val="tr-TR"/>
        </w:rPr>
        <w:t xml:space="preserve">Alıcının herhangi bir temsilcisinin </w:t>
      </w:r>
      <w:r w:rsidRPr="005F0C1E">
        <w:rPr>
          <w:w w:val="105"/>
          <w:sz w:val="24"/>
          <w:lang w:val="tr-TR"/>
        </w:rPr>
        <w:t xml:space="preserve">aşağıdaki 11’inci paragraf kapsamında açıklandığı şekilde Banka tarafından uygun olmadığının açıklanması durumunda, söz konusu açıklamanın gereklerini tam olarak yerine getirmek amacıyla, söz konusu temsilciyi proje ile ilgili tüm </w:t>
      </w:r>
      <w:r w:rsidR="00CD613C" w:rsidRPr="005F0C1E">
        <w:rPr>
          <w:w w:val="105"/>
          <w:sz w:val="24"/>
          <w:lang w:val="tr-TR"/>
        </w:rPr>
        <w:t>gör</w:t>
      </w:r>
      <w:r w:rsidRPr="005F0C1E">
        <w:rPr>
          <w:w w:val="105"/>
          <w:sz w:val="24"/>
          <w:lang w:val="tr-TR"/>
        </w:rPr>
        <w:t xml:space="preserve">ev ve sorumluluklardan uzaklaştırarak veya </w:t>
      </w:r>
      <w:r w:rsidR="00CD613C" w:rsidRPr="005F0C1E">
        <w:rPr>
          <w:w w:val="105"/>
          <w:sz w:val="24"/>
          <w:lang w:val="tr-TR"/>
        </w:rPr>
        <w:t xml:space="preserve">Banka tarafından talep edilmesi ya da başka şekilde uygun görülmesi halinde ilgili temsilci ile sözleşme ilişkisini sona erdirerek, gerekli ve uygun tüm eylemleri gerçekleştirecektir; ve     </w:t>
      </w:r>
    </w:p>
    <w:p w14:paraId="009CA093" w14:textId="77777777" w:rsidR="00610DE5" w:rsidRPr="005F0C1E" w:rsidRDefault="00610DE5" w:rsidP="00C871B5">
      <w:pPr>
        <w:tabs>
          <w:tab w:val="left" w:pos="1671"/>
        </w:tabs>
        <w:ind w:left="973"/>
        <w:rPr>
          <w:spacing w:val="-2"/>
          <w:w w:val="105"/>
          <w:sz w:val="24"/>
          <w:lang w:val="tr-TR"/>
        </w:rPr>
      </w:pPr>
    </w:p>
    <w:p w14:paraId="13C8CB25" w14:textId="5F955FA3" w:rsidR="00610DE5" w:rsidRPr="005F0C1E" w:rsidRDefault="005F0C1E" w:rsidP="00C871B5">
      <w:pPr>
        <w:pStyle w:val="ListeParagraf"/>
        <w:numPr>
          <w:ilvl w:val="0"/>
          <w:numId w:val="2"/>
        </w:numPr>
        <w:tabs>
          <w:tab w:val="left" w:pos="1671"/>
        </w:tabs>
        <w:ind w:left="973" w:firstLine="0"/>
        <w:jc w:val="both"/>
        <w:rPr>
          <w:spacing w:val="-2"/>
          <w:w w:val="105"/>
          <w:sz w:val="24"/>
          <w:lang w:val="tr-TR"/>
        </w:rPr>
      </w:pPr>
      <w:r w:rsidRPr="005F0C1E">
        <w:rPr>
          <w:w w:val="105"/>
          <w:sz w:val="24"/>
          <w:lang w:val="tr-TR"/>
        </w:rPr>
        <w:t xml:space="preserve">Aşağıdaki 11’inci paragraf kapsamında uygun olmadığı açıklanan başka bir kişi veya kuruluş ile projeyle ilişkili bir anlaşma yapmış olması durumunda, </w:t>
      </w:r>
      <w:r w:rsidRPr="005F0C1E">
        <w:rPr>
          <w:spacing w:val="-2"/>
          <w:w w:val="105"/>
          <w:sz w:val="24"/>
          <w:lang w:val="tr-TR"/>
        </w:rPr>
        <w:t>(i) söz konusu anlaşmayı erken f</w:t>
      </w:r>
      <w:r>
        <w:rPr>
          <w:spacing w:val="-2"/>
          <w:w w:val="105"/>
          <w:sz w:val="24"/>
          <w:lang w:val="tr-TR"/>
        </w:rPr>
        <w:t>e</w:t>
      </w:r>
      <w:r w:rsidRPr="005F0C1E">
        <w:rPr>
          <w:spacing w:val="-2"/>
          <w:w w:val="105"/>
          <w:sz w:val="24"/>
          <w:lang w:val="tr-TR"/>
        </w:rPr>
        <w:t>shetme veya askıya alma hakkını kullanarak ve/veya (ii) ilgili tutarl</w:t>
      </w:r>
      <w:r>
        <w:rPr>
          <w:spacing w:val="-2"/>
          <w:w w:val="105"/>
          <w:sz w:val="24"/>
          <w:lang w:val="tr-TR"/>
        </w:rPr>
        <w:t>a</w:t>
      </w:r>
      <w:r w:rsidRPr="005F0C1E">
        <w:rPr>
          <w:spacing w:val="-2"/>
          <w:w w:val="105"/>
          <w:sz w:val="24"/>
          <w:lang w:val="tr-TR"/>
        </w:rPr>
        <w:t xml:space="preserve">rın iade edilmesini sağlayarak, </w:t>
      </w:r>
      <w:r w:rsidRPr="005F0C1E">
        <w:rPr>
          <w:w w:val="105"/>
          <w:sz w:val="24"/>
          <w:lang w:val="tr-TR"/>
        </w:rPr>
        <w:t>söz konusu açıklamanın gereklerinin tam olarak uygulanması için gerekli ve uygun tüm eylemleri gerçekleştirecektir</w:t>
      </w:r>
      <w:r w:rsidRPr="005F0C1E">
        <w:rPr>
          <w:spacing w:val="-2"/>
          <w:w w:val="105"/>
          <w:sz w:val="24"/>
          <w:lang w:val="tr-TR"/>
        </w:rPr>
        <w:t>.</w:t>
      </w:r>
    </w:p>
    <w:p w14:paraId="19261693" w14:textId="77777777" w:rsidR="00610DE5" w:rsidRPr="008D2567" w:rsidRDefault="00610DE5">
      <w:pPr>
        <w:pStyle w:val="GvdeMetni"/>
        <w:spacing w:before="17"/>
        <w:rPr>
          <w:lang w:val="tr-TR"/>
        </w:rPr>
      </w:pPr>
    </w:p>
    <w:p w14:paraId="653CB2FF" w14:textId="0082DC1E" w:rsidR="00610DE5" w:rsidRPr="00963ED2" w:rsidRDefault="005F0C1E" w:rsidP="00B4260D">
      <w:pPr>
        <w:pStyle w:val="Balk1"/>
        <w:ind w:right="-599"/>
        <w:rPr>
          <w:lang w:val="tr-TR"/>
        </w:rPr>
      </w:pPr>
      <w:r w:rsidRPr="00963ED2">
        <w:rPr>
          <w:lang w:val="tr-TR"/>
        </w:rPr>
        <w:lastRenderedPageBreak/>
        <w:t xml:space="preserve">Sahtecilik ve Yolsuzluk Durumunda Banka Tarafından Yapılacak İşlemler </w:t>
      </w:r>
    </w:p>
    <w:p w14:paraId="39A915FF" w14:textId="7A731557" w:rsidR="008D2567" w:rsidRPr="00963ED2" w:rsidRDefault="005F0C1E" w:rsidP="00B4260D">
      <w:pPr>
        <w:pStyle w:val="ListeParagraf"/>
        <w:numPr>
          <w:ilvl w:val="0"/>
          <w:numId w:val="4"/>
        </w:numPr>
        <w:tabs>
          <w:tab w:val="left" w:pos="881"/>
        </w:tabs>
        <w:spacing w:before="63" w:line="275" w:lineRule="exact"/>
        <w:ind w:right="-599" w:firstLine="72"/>
        <w:jc w:val="both"/>
        <w:rPr>
          <w:lang w:val="tr-TR"/>
        </w:rPr>
      </w:pPr>
      <w:r w:rsidRPr="00963ED2">
        <w:rPr>
          <w:spacing w:val="-2"/>
          <w:w w:val="105"/>
          <w:sz w:val="24"/>
          <w:lang w:val="tr-TR"/>
        </w:rPr>
        <w:t>Yukarıda belirtilen amaç ve genel ilkeler doğrultusunda</w:t>
      </w:r>
      <w:r w:rsidRPr="00963ED2">
        <w:rPr>
          <w:spacing w:val="-4"/>
          <w:w w:val="105"/>
          <w:sz w:val="24"/>
          <w:lang w:val="tr-TR"/>
        </w:rPr>
        <w:t>,</w:t>
      </w:r>
      <w:r w:rsidRPr="00963ED2">
        <w:rPr>
          <w:spacing w:val="-5"/>
          <w:w w:val="105"/>
          <w:sz w:val="24"/>
          <w:lang w:val="tr-TR"/>
        </w:rPr>
        <w:t xml:space="preserve"> </w:t>
      </w:r>
      <w:r w:rsidRPr="00963ED2">
        <w:rPr>
          <w:spacing w:val="-4"/>
          <w:w w:val="105"/>
          <w:sz w:val="24"/>
          <w:lang w:val="tr-TR"/>
        </w:rPr>
        <w:t xml:space="preserve">Banka, </w:t>
      </w:r>
      <w:r w:rsidRPr="00963ED2">
        <w:rPr>
          <w:spacing w:val="-6"/>
          <w:w w:val="105"/>
          <w:sz w:val="24"/>
          <w:lang w:val="tr-TR"/>
        </w:rPr>
        <w:t xml:space="preserve"> </w:t>
      </w:r>
      <w:r w:rsidR="008D2567" w:rsidRPr="00963ED2">
        <w:rPr>
          <w:spacing w:val="-6"/>
          <w:w w:val="105"/>
          <w:sz w:val="24"/>
          <w:lang w:val="tr-TR"/>
        </w:rPr>
        <w:t>yürürlükteki Dünya Bankası Grubu yaptırım politikalarına ve prosedürlerine uygun olarak, Üye Ülke</w:t>
      </w:r>
      <w:r w:rsidR="008D2567" w:rsidRPr="00963ED2">
        <w:rPr>
          <w:rStyle w:val="DipnotBavurusu"/>
          <w:spacing w:val="-2"/>
          <w:w w:val="105"/>
          <w:sz w:val="24"/>
          <w:lang w:val="tr-TR"/>
        </w:rPr>
        <w:footnoteReference w:id="13"/>
      </w:r>
      <w:r w:rsidR="008D2567" w:rsidRPr="00963ED2">
        <w:rPr>
          <w:spacing w:val="-6"/>
          <w:w w:val="105"/>
          <w:sz w:val="24"/>
          <w:lang w:val="tr-TR"/>
        </w:rPr>
        <w:t xml:space="preserve"> dışındaki herhangi bir kişi veya kuruluşa</w:t>
      </w:r>
      <w:r w:rsidR="008D2567" w:rsidRPr="00963ED2">
        <w:rPr>
          <w:rStyle w:val="DipnotBavurusu"/>
          <w:spacing w:val="-2"/>
          <w:w w:val="105"/>
          <w:sz w:val="24"/>
          <w:lang w:val="tr-TR"/>
        </w:rPr>
        <w:footnoteReference w:id="14"/>
      </w:r>
      <w:r w:rsidR="008D2567" w:rsidRPr="00963ED2">
        <w:rPr>
          <w:spacing w:val="-6"/>
          <w:w w:val="105"/>
          <w:sz w:val="24"/>
          <w:lang w:val="tr-TR"/>
        </w:rPr>
        <w:t xml:space="preserve">, ilgili kişi veya kuruluşun, aşağıda belirtilen durumlarda belirli bir süre için </w:t>
      </w:r>
      <w:r w:rsidR="008D2567" w:rsidRPr="00963ED2">
        <w:rPr>
          <w:spacing w:val="-2"/>
          <w:w w:val="105"/>
          <w:sz w:val="24"/>
          <w:lang w:val="tr-TR"/>
        </w:rPr>
        <w:t xml:space="preserve">veya süresiz olarak (i)  Banka finansmanlı bir sözleşme yapmak; (ii) Banka finansmanlı bir sözleşmeden örneğin alt yüklenici olarak finansal olarak veya başka şekilde faydalanmak ve  </w:t>
      </w:r>
      <w:r w:rsidR="008D2567" w:rsidRPr="00963ED2">
        <w:rPr>
          <w:w w:val="105"/>
          <w:lang w:val="tr-TR"/>
        </w:rPr>
        <w:t xml:space="preserve">(iii) projenin veya kısmen veya tamamen Banka tarafından finanse edilen başka bir projenin hazırlık ve uygulama çalışmalarına başka şekilde dahil olmak </w:t>
      </w:r>
      <w:r w:rsidR="008D2567" w:rsidRPr="00963ED2">
        <w:rPr>
          <w:spacing w:val="-2"/>
          <w:w w:val="105"/>
          <w:sz w:val="24"/>
          <w:lang w:val="tr-TR"/>
        </w:rPr>
        <w:t xml:space="preserve">için uygun olmadığının kamuoyuna açıklanması  dahil olmak (ancak bununla sınırlı olmamak) üzere) yaptırım uygulama hakkına sahiptir. </w:t>
      </w:r>
    </w:p>
    <w:p w14:paraId="3CF9A121" w14:textId="11CED78C" w:rsidR="00610DE5" w:rsidRPr="00963ED2" w:rsidRDefault="009931A7" w:rsidP="00B4260D">
      <w:pPr>
        <w:pStyle w:val="ListeParagraf"/>
        <w:numPr>
          <w:ilvl w:val="0"/>
          <w:numId w:val="1"/>
        </w:numPr>
        <w:tabs>
          <w:tab w:val="left" w:pos="879"/>
          <w:tab w:val="left" w:pos="881"/>
        </w:tabs>
        <w:spacing w:before="275"/>
        <w:ind w:left="881" w:right="-599"/>
        <w:jc w:val="both"/>
        <w:rPr>
          <w:lang w:val="tr-TR"/>
        </w:rPr>
      </w:pPr>
      <w:r w:rsidRPr="00963ED2">
        <w:rPr>
          <w:spacing w:val="-4"/>
          <w:sz w:val="24"/>
          <w:lang w:val="tr-TR"/>
        </w:rPr>
        <w:t>Banka’nın herhangi bir zamanda böyle bir kişi veya kuruluşun Kredi tutarlarının kullanılması ile bağlantılı olarak Sahtecilik ve Yolsuzluk olayına karıştığını tespit etmesi</w:t>
      </w:r>
      <w:r w:rsidR="00B56186" w:rsidRPr="00963ED2">
        <w:rPr>
          <w:rStyle w:val="DipnotBavurusu"/>
          <w:spacing w:val="-6"/>
          <w:w w:val="105"/>
          <w:sz w:val="24"/>
          <w:lang w:val="tr-TR"/>
        </w:rPr>
        <w:footnoteReference w:id="15"/>
      </w:r>
      <w:r w:rsidR="00B56186" w:rsidRPr="00963ED2">
        <w:rPr>
          <w:spacing w:val="-4"/>
          <w:sz w:val="24"/>
          <w:lang w:val="tr-TR"/>
        </w:rPr>
        <w:t xml:space="preserve">; </w:t>
      </w:r>
      <w:r w:rsidR="00B56186" w:rsidRPr="00963ED2">
        <w:rPr>
          <w:rStyle w:val="DipnotBavurusu"/>
          <w:spacing w:val="-4"/>
          <w:sz w:val="24"/>
          <w:lang w:val="tr-TR"/>
        </w:rPr>
        <w:footnoteReference w:id="16"/>
      </w:r>
    </w:p>
    <w:p w14:paraId="4FA7508B" w14:textId="15D176B5" w:rsidR="00610DE5" w:rsidRPr="00963ED2" w:rsidRDefault="009931A7" w:rsidP="00B4260D">
      <w:pPr>
        <w:pStyle w:val="ListeParagraf"/>
        <w:numPr>
          <w:ilvl w:val="0"/>
          <w:numId w:val="1"/>
        </w:numPr>
        <w:tabs>
          <w:tab w:val="left" w:pos="879"/>
          <w:tab w:val="left" w:pos="881"/>
        </w:tabs>
        <w:ind w:left="881" w:right="-599"/>
        <w:jc w:val="both"/>
        <w:rPr>
          <w:sz w:val="24"/>
          <w:lang w:val="tr-TR"/>
        </w:rPr>
      </w:pPr>
      <w:r w:rsidRPr="00963ED2">
        <w:rPr>
          <w:sz w:val="24"/>
          <w:lang w:val="tr-TR"/>
        </w:rPr>
        <w:t xml:space="preserve">Dünya Bankası Grubu’nun </w:t>
      </w:r>
      <w:r w:rsidR="00B56186" w:rsidRPr="00963ED2">
        <w:rPr>
          <w:sz w:val="24"/>
          <w:lang w:val="tr-TR"/>
        </w:rPr>
        <w:t>yasaklama kararlarının</w:t>
      </w:r>
      <w:r w:rsidR="00B56186" w:rsidRPr="00963ED2">
        <w:rPr>
          <w:rStyle w:val="DipnotBavurusu"/>
          <w:sz w:val="24"/>
          <w:lang w:val="tr-TR"/>
        </w:rPr>
        <w:footnoteReference w:id="17"/>
      </w:r>
      <w:r w:rsidR="00B56186" w:rsidRPr="00963ED2">
        <w:rPr>
          <w:spacing w:val="-4"/>
          <w:sz w:val="24"/>
          <w:lang w:val="tr-TR"/>
        </w:rPr>
        <w:t xml:space="preserve"> </w:t>
      </w:r>
      <w:r w:rsidR="00B56186" w:rsidRPr="00963ED2">
        <w:rPr>
          <w:sz w:val="24"/>
          <w:lang w:val="tr-TR"/>
        </w:rPr>
        <w:t>karşılıklı olarak uygulanması için anlaşma yaptığı bir başka finansörün, söz konusu kişi veya kuruluşun, ilgili finansör tarafından sağlanan finansman tutarlarının kullanılması ile bağlantılı olarak  Sahtecilik veya Yolsuzluk olayına karıştığının tespit edilmesi sonucunda, söz konusu finansör tarafından sağlanan finansman tutarl</w:t>
      </w:r>
      <w:r w:rsidR="00963ED2">
        <w:rPr>
          <w:sz w:val="24"/>
          <w:lang w:val="tr-TR"/>
        </w:rPr>
        <w:t>a</w:t>
      </w:r>
      <w:r w:rsidR="00B56186" w:rsidRPr="00963ED2">
        <w:rPr>
          <w:sz w:val="24"/>
          <w:lang w:val="tr-TR"/>
        </w:rPr>
        <w:t>rını almak veya kısmen veya tamamen ilgili finansör tarafından finanse edilen herhangi bir projenin hazırlık veya uygulama aşamalarına başka şekilde dahil olmak için uygun olmadığını açıklaması</w:t>
      </w:r>
      <w:r w:rsidRPr="00963ED2">
        <w:rPr>
          <w:sz w:val="24"/>
          <w:lang w:val="tr-TR"/>
        </w:rPr>
        <w:t>;</w:t>
      </w:r>
      <w:r w:rsidRPr="00963ED2">
        <w:rPr>
          <w:spacing w:val="-8"/>
          <w:sz w:val="24"/>
          <w:lang w:val="tr-TR"/>
        </w:rPr>
        <w:t xml:space="preserve"> </w:t>
      </w:r>
      <w:r w:rsidR="00B56186" w:rsidRPr="00963ED2">
        <w:rPr>
          <w:sz w:val="24"/>
          <w:lang w:val="tr-TR"/>
        </w:rPr>
        <w:t xml:space="preserve">veya </w:t>
      </w:r>
    </w:p>
    <w:p w14:paraId="60C9D15D" w14:textId="77777777" w:rsidR="00610DE5" w:rsidRPr="00963ED2" w:rsidRDefault="00610DE5" w:rsidP="00B4260D">
      <w:pPr>
        <w:pStyle w:val="GvdeMetni"/>
        <w:spacing w:before="1"/>
        <w:ind w:right="-599"/>
        <w:rPr>
          <w:lang w:val="tr-TR"/>
        </w:rPr>
      </w:pPr>
    </w:p>
    <w:p w14:paraId="3971DA11" w14:textId="32D48633" w:rsidR="00610DE5" w:rsidRPr="00963ED2" w:rsidRDefault="00B56186" w:rsidP="00B4260D">
      <w:pPr>
        <w:pStyle w:val="ListeParagraf"/>
        <w:numPr>
          <w:ilvl w:val="0"/>
          <w:numId w:val="1"/>
        </w:numPr>
        <w:tabs>
          <w:tab w:val="left" w:pos="879"/>
          <w:tab w:val="left" w:pos="881"/>
        </w:tabs>
        <w:ind w:left="881" w:right="-599"/>
        <w:jc w:val="both"/>
        <w:rPr>
          <w:sz w:val="24"/>
          <w:lang w:val="tr-TR"/>
        </w:rPr>
      </w:pPr>
      <w:r w:rsidRPr="00963ED2">
        <w:rPr>
          <w:spacing w:val="-2"/>
          <w:w w:val="105"/>
          <w:sz w:val="24"/>
          <w:lang w:val="tr-TR"/>
        </w:rPr>
        <w:t>Dünya Bankası Grubu’nun, Dünya Bankası Grubu kurumsal satın alma işlemleri ile bağlantılı olarak gerçekleşen Sahtecilik ve Yolsuzluk temelinde, söz konusu kişi veya kuruluşu sorumsuz tedarikçi olarak tespit etmesi.</w:t>
      </w:r>
    </w:p>
    <w:p w14:paraId="5FC78CA0" w14:textId="7836CB80" w:rsidR="00610DE5" w:rsidRPr="00963ED2" w:rsidRDefault="008D2567" w:rsidP="00B4260D">
      <w:pPr>
        <w:pStyle w:val="Balk1"/>
        <w:spacing w:before="257"/>
        <w:ind w:right="-599"/>
        <w:rPr>
          <w:lang w:val="tr-TR"/>
        </w:rPr>
      </w:pPr>
      <w:r w:rsidRPr="00963ED2">
        <w:rPr>
          <w:spacing w:val="-2"/>
          <w:w w:val="105"/>
          <w:lang w:val="tr-TR"/>
        </w:rPr>
        <w:t>Çeşitli Hükümler</w:t>
      </w:r>
    </w:p>
    <w:p w14:paraId="4364AA84" w14:textId="57D2C226" w:rsidR="00610DE5" w:rsidRPr="00803982" w:rsidRDefault="00B56186" w:rsidP="00B4260D">
      <w:pPr>
        <w:pStyle w:val="ListeParagraf"/>
        <w:numPr>
          <w:ilvl w:val="0"/>
          <w:numId w:val="4"/>
        </w:numPr>
        <w:tabs>
          <w:tab w:val="left" w:pos="953"/>
        </w:tabs>
        <w:spacing w:before="273"/>
        <w:ind w:right="-599" w:firstLine="0"/>
        <w:jc w:val="both"/>
        <w:rPr>
          <w:sz w:val="20"/>
        </w:rPr>
      </w:pPr>
      <w:r w:rsidRPr="00B4260D">
        <w:rPr>
          <w:w w:val="105"/>
          <w:sz w:val="24"/>
          <w:lang w:val="tr-TR"/>
        </w:rPr>
        <w:t xml:space="preserve">Bu Kılavuz hükümleri, </w:t>
      </w:r>
      <w:r w:rsidR="00963ED2" w:rsidRPr="00B4260D">
        <w:rPr>
          <w:w w:val="105"/>
          <w:sz w:val="24"/>
          <w:lang w:val="tr-TR"/>
        </w:rPr>
        <w:t>Hukuki Anlaşma veya Banka ile Borçlunun taraf olduğu başka bir belge kapsamında Banka’nın veya Borçlu’nun sahip olabileceği başka hakları, yasal başvuru yollarını</w:t>
      </w:r>
      <w:r w:rsidR="00963ED2" w:rsidRPr="00963ED2">
        <w:rPr>
          <w:rStyle w:val="DipnotBavurusu"/>
          <w:w w:val="105"/>
          <w:sz w:val="24"/>
          <w:lang w:val="tr-TR"/>
        </w:rPr>
        <w:footnoteReference w:id="18"/>
      </w:r>
      <w:r w:rsidR="00963ED2" w:rsidRPr="00B4260D">
        <w:rPr>
          <w:w w:val="105"/>
          <w:sz w:val="24"/>
          <w:lang w:val="tr-TR"/>
        </w:rPr>
        <w:t xml:space="preserve"> veya yükümlülükleri sınırlamaz. </w:t>
      </w:r>
    </w:p>
    <w:sectPr w:rsidR="00610DE5" w:rsidRPr="00803982" w:rsidSect="00B574C6">
      <w:footerReference w:type="default" r:id="rId9"/>
      <w:pgSz w:w="12240" w:h="15840"/>
      <w:pgMar w:top="1418" w:right="1480" w:bottom="980" w:left="1720" w:header="30" w:footer="7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8698" w14:textId="77777777" w:rsidR="00B574C6" w:rsidRDefault="00B574C6">
      <w:r>
        <w:separator/>
      </w:r>
    </w:p>
  </w:endnote>
  <w:endnote w:type="continuationSeparator" w:id="0">
    <w:p w14:paraId="41F9C92E" w14:textId="77777777" w:rsidR="00B574C6" w:rsidRDefault="00B5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DFEF" w14:textId="77777777" w:rsidR="00610DE5" w:rsidRDefault="00000000">
    <w:pPr>
      <w:pStyle w:val="GvdeMetni"/>
      <w:spacing w:line="14" w:lineRule="auto"/>
      <w:rPr>
        <w:sz w:val="20"/>
      </w:rPr>
    </w:pPr>
    <w:r>
      <w:rPr>
        <w:noProof/>
      </w:rPr>
      <mc:AlternateContent>
        <mc:Choice Requires="wps">
          <w:drawing>
            <wp:anchor distT="0" distB="0" distL="0" distR="0" simplePos="0" relativeHeight="251657216" behindDoc="1" locked="0" layoutInCell="1" allowOverlap="1" wp14:anchorId="2B81D7FB" wp14:editId="4AFDB7F0">
              <wp:simplePos x="0" y="0"/>
              <wp:positionH relativeFrom="page">
                <wp:posOffset>3895725</wp:posOffset>
              </wp:positionH>
              <wp:positionV relativeFrom="page">
                <wp:posOffset>9653905</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46CA7DF" w14:textId="77777777" w:rsidR="00610DE5" w:rsidRDefault="00000000">
                          <w:pPr>
                            <w:pStyle w:val="GvdeMetni"/>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B81D7FB" id="_x0000_t202" coordsize="21600,21600" o:spt="202" path="m,l,21600r21600,l21600,xe">
              <v:stroke joinstyle="miter"/>
              <v:path gradientshapeok="t" o:connecttype="rect"/>
            </v:shapetype>
            <v:shape id="Textbox 2" o:spid="_x0000_s1027" type="#_x0000_t202" style="position:absolute;margin-left:306.75pt;margin-top:760.1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" filled="f" stroked="f">
              <v:textbox inset="0,0,0,0">
                <w:txbxContent>
                  <w:p w14:paraId="646CA7DF" w14:textId="77777777" w:rsidR="00610DE5" w:rsidRDefault="00000000">
                    <w:pPr>
                      <w:pStyle w:val="GvdeMetni"/>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4A11" w14:textId="77777777" w:rsidR="00B574C6" w:rsidRDefault="00B574C6">
      <w:r>
        <w:separator/>
      </w:r>
    </w:p>
  </w:footnote>
  <w:footnote w:type="continuationSeparator" w:id="0">
    <w:p w14:paraId="6A1739EC" w14:textId="77777777" w:rsidR="00B574C6" w:rsidRDefault="00B574C6">
      <w:r>
        <w:continuationSeparator/>
      </w:r>
    </w:p>
  </w:footnote>
  <w:footnote w:id="1">
    <w:p w14:paraId="41794A8B" w14:textId="6C30CA43" w:rsidR="00717B0D" w:rsidRPr="00275C25" w:rsidRDefault="00717B0D">
      <w:pPr>
        <w:pStyle w:val="DipnotMetni"/>
        <w:rPr>
          <w:lang w:val="tr-TR"/>
        </w:rPr>
      </w:pPr>
      <w:r w:rsidRPr="00275C25">
        <w:rPr>
          <w:rStyle w:val="DipnotBavurusu"/>
          <w:lang w:val="tr-TR"/>
        </w:rPr>
        <w:footnoteRef/>
      </w:r>
      <w:r w:rsidRPr="00275C25">
        <w:rPr>
          <w:lang w:val="tr-TR"/>
        </w:rPr>
        <w:t xml:space="preserve"> </w:t>
      </w:r>
      <w:r w:rsidR="00C53109" w:rsidRPr="00275C25">
        <w:rPr>
          <w:lang w:val="tr-TR"/>
        </w:rPr>
        <w:t xml:space="preserve">“Kredi” veya “Krediler” ifadeleri, </w:t>
      </w:r>
      <w:r w:rsidRPr="00275C25">
        <w:rPr>
          <w:lang w:val="tr-TR"/>
        </w:rPr>
        <w:t xml:space="preserve">IBRD </w:t>
      </w:r>
      <w:proofErr w:type="spellStart"/>
      <w:r w:rsidRPr="00275C25">
        <w:rPr>
          <w:lang w:val="tr-TR"/>
        </w:rPr>
        <w:t>IPF</w:t>
      </w:r>
      <w:proofErr w:type="spellEnd"/>
      <w:r w:rsidRPr="00275C25">
        <w:rPr>
          <w:lang w:val="tr-TR"/>
        </w:rPr>
        <w:t xml:space="preserve"> </w:t>
      </w:r>
      <w:r w:rsidR="00C53109" w:rsidRPr="00275C25">
        <w:rPr>
          <w:lang w:val="tr-TR"/>
        </w:rPr>
        <w:t xml:space="preserve">kredilerinin yanı sıra </w:t>
      </w:r>
      <w:r w:rsidRPr="00275C25">
        <w:rPr>
          <w:lang w:val="tr-TR"/>
        </w:rPr>
        <w:t xml:space="preserve">IDA </w:t>
      </w:r>
      <w:proofErr w:type="spellStart"/>
      <w:r w:rsidRPr="00275C25">
        <w:rPr>
          <w:lang w:val="tr-TR"/>
        </w:rPr>
        <w:t>IPF</w:t>
      </w:r>
      <w:proofErr w:type="spellEnd"/>
      <w:r w:rsidRPr="00275C25">
        <w:rPr>
          <w:lang w:val="tr-TR"/>
        </w:rPr>
        <w:t xml:space="preserve"> </w:t>
      </w:r>
      <w:r w:rsidR="00C53109" w:rsidRPr="00275C25">
        <w:rPr>
          <w:lang w:val="tr-TR"/>
        </w:rPr>
        <w:t>kredil</w:t>
      </w:r>
      <w:r w:rsidR="00E22B71" w:rsidRPr="00275C25">
        <w:rPr>
          <w:lang w:val="tr-TR"/>
        </w:rPr>
        <w:t>e</w:t>
      </w:r>
      <w:r w:rsidR="00C53109" w:rsidRPr="00275C25">
        <w:rPr>
          <w:lang w:val="tr-TR"/>
        </w:rPr>
        <w:t xml:space="preserve">rini ve hibelerini, </w:t>
      </w:r>
      <w:r w:rsidRPr="00275C25">
        <w:rPr>
          <w:lang w:val="tr-TR"/>
        </w:rPr>
        <w:t xml:space="preserve">proje </w:t>
      </w:r>
      <w:r w:rsidR="00C53109" w:rsidRPr="00275C25">
        <w:rPr>
          <w:lang w:val="tr-TR"/>
        </w:rPr>
        <w:t>hazırlık avanslarını</w:t>
      </w:r>
      <w:r w:rsidRPr="00275C25">
        <w:rPr>
          <w:lang w:val="tr-TR"/>
        </w:rPr>
        <w:t>,</w:t>
      </w:r>
      <w:r w:rsidRPr="00275C25">
        <w:rPr>
          <w:spacing w:val="-4"/>
          <w:lang w:val="tr-TR"/>
        </w:rPr>
        <w:t xml:space="preserve"> </w:t>
      </w:r>
      <w:proofErr w:type="spellStart"/>
      <w:r w:rsidRPr="00275C25">
        <w:rPr>
          <w:lang w:val="tr-TR"/>
        </w:rPr>
        <w:t>IDF</w:t>
      </w:r>
      <w:proofErr w:type="spellEnd"/>
      <w:r w:rsidRPr="00275C25">
        <w:rPr>
          <w:lang w:val="tr-TR"/>
        </w:rPr>
        <w:t xml:space="preserve"> </w:t>
      </w:r>
      <w:r w:rsidR="00C53109" w:rsidRPr="00275C25">
        <w:rPr>
          <w:lang w:val="tr-TR"/>
        </w:rPr>
        <w:t>hibelerini ve  ilgili hibe ve/veya kredi anlaşması uyarınca bu Kılavuzun geçerli  kılındığı alıcı tarafından yürütülen vakıf fonu hibelerini veya kredil</w:t>
      </w:r>
      <w:r w:rsidR="00E22B71" w:rsidRPr="00275C25">
        <w:rPr>
          <w:lang w:val="tr-TR"/>
        </w:rPr>
        <w:t>e</w:t>
      </w:r>
      <w:r w:rsidR="00C53109" w:rsidRPr="00275C25">
        <w:rPr>
          <w:lang w:val="tr-TR"/>
        </w:rPr>
        <w:t xml:space="preserve">rini </w:t>
      </w:r>
      <w:r w:rsidR="00E22B71" w:rsidRPr="00275C25">
        <w:rPr>
          <w:lang w:val="tr-TR"/>
        </w:rPr>
        <w:t xml:space="preserve"> </w:t>
      </w:r>
      <w:r w:rsidR="00C53109" w:rsidRPr="00275C25">
        <w:rPr>
          <w:lang w:val="tr-TR"/>
        </w:rPr>
        <w:t xml:space="preserve">içerir. Bu Kılavuz, </w:t>
      </w:r>
      <w:r w:rsidRPr="00275C25">
        <w:rPr>
          <w:lang w:val="tr-TR"/>
        </w:rPr>
        <w:t xml:space="preserve">(i) </w:t>
      </w:r>
      <w:r w:rsidR="00C53109" w:rsidRPr="00275C25">
        <w:rPr>
          <w:lang w:val="tr-TR"/>
        </w:rPr>
        <w:t xml:space="preserve">Sonuca Odaklı Program </w:t>
      </w:r>
      <w:r w:rsidRPr="00275C25">
        <w:rPr>
          <w:lang w:val="tr-TR"/>
        </w:rPr>
        <w:t>(</w:t>
      </w:r>
      <w:proofErr w:type="spellStart"/>
      <w:r w:rsidRPr="00275C25">
        <w:rPr>
          <w:lang w:val="tr-TR"/>
        </w:rPr>
        <w:t>PforR</w:t>
      </w:r>
      <w:proofErr w:type="spellEnd"/>
      <w:r w:rsidRPr="00275C25">
        <w:rPr>
          <w:lang w:val="tr-TR"/>
        </w:rPr>
        <w:t xml:space="preserve">) </w:t>
      </w:r>
      <w:r w:rsidR="00C53109" w:rsidRPr="00275C25">
        <w:rPr>
          <w:lang w:val="tr-TR"/>
        </w:rPr>
        <w:t xml:space="preserve">finansmanı veya </w:t>
      </w:r>
      <w:r w:rsidRPr="00275C25">
        <w:rPr>
          <w:lang w:val="tr-TR"/>
        </w:rPr>
        <w:t xml:space="preserve">(ii) </w:t>
      </w:r>
      <w:r w:rsidR="00C53109" w:rsidRPr="00275C25">
        <w:rPr>
          <w:lang w:val="tr-TR"/>
        </w:rPr>
        <w:t>Banka’nın Borçlu ile Kredi tutarl</w:t>
      </w:r>
      <w:r w:rsidR="00E22B71" w:rsidRPr="00275C25">
        <w:rPr>
          <w:lang w:val="tr-TR"/>
        </w:rPr>
        <w:t>a</w:t>
      </w:r>
      <w:r w:rsidR="00C53109" w:rsidRPr="00275C25">
        <w:rPr>
          <w:lang w:val="tr-TR"/>
        </w:rPr>
        <w:t xml:space="preserve">rının kullanılabileceği belirli amaçlar üzerinde mutabakata varmadığı sürece Kalkınma Politikası Operasyonları </w:t>
      </w:r>
      <w:r w:rsidRPr="00275C25">
        <w:rPr>
          <w:lang w:val="tr-TR"/>
        </w:rPr>
        <w:t>(</w:t>
      </w:r>
      <w:proofErr w:type="spellStart"/>
      <w:r w:rsidRPr="00275C25">
        <w:rPr>
          <w:lang w:val="tr-TR"/>
        </w:rPr>
        <w:t>DPO</w:t>
      </w:r>
      <w:proofErr w:type="spellEnd"/>
      <w:r w:rsidRPr="00275C25">
        <w:rPr>
          <w:lang w:val="tr-TR"/>
        </w:rPr>
        <w:t xml:space="preserve">), </w:t>
      </w:r>
      <w:r w:rsidR="00C53109" w:rsidRPr="00275C25">
        <w:rPr>
          <w:lang w:val="tr-TR"/>
        </w:rPr>
        <w:t xml:space="preserve">veya </w:t>
      </w:r>
      <w:r w:rsidRPr="00275C25">
        <w:rPr>
          <w:lang w:val="tr-TR"/>
        </w:rPr>
        <w:t xml:space="preserve">(iii) IBRD/IDA </w:t>
      </w:r>
      <w:r w:rsidR="00C53109" w:rsidRPr="00275C25">
        <w:rPr>
          <w:lang w:val="tr-TR"/>
        </w:rPr>
        <w:t>garanti operasyonları için geçerli değildir</w:t>
      </w:r>
      <w:r w:rsidRPr="00275C25">
        <w:rPr>
          <w:lang w:val="tr-TR"/>
        </w:rPr>
        <w:t>.</w:t>
      </w:r>
    </w:p>
  </w:footnote>
  <w:footnote w:id="2">
    <w:p w14:paraId="3A554B03" w14:textId="0B6A0273" w:rsidR="00717B0D" w:rsidRPr="00275C25" w:rsidRDefault="00717B0D">
      <w:pPr>
        <w:pStyle w:val="DipnotMetni"/>
        <w:rPr>
          <w:lang w:val="tr-TR"/>
        </w:rPr>
      </w:pPr>
      <w:r w:rsidRPr="00275C25">
        <w:rPr>
          <w:rStyle w:val="DipnotBavurusu"/>
          <w:lang w:val="tr-TR"/>
        </w:rPr>
        <w:footnoteRef/>
      </w:r>
      <w:r w:rsidRPr="00275C25">
        <w:rPr>
          <w:lang w:val="tr-TR"/>
        </w:rPr>
        <w:t xml:space="preserve"> </w:t>
      </w:r>
      <w:r w:rsidR="00C53109" w:rsidRPr="00275C25">
        <w:rPr>
          <w:lang w:val="tr-TR"/>
        </w:rPr>
        <w:t xml:space="preserve">Bu Kılavuzda kullanılan “Borçlu” ifadesi, </w:t>
      </w:r>
      <w:r w:rsidR="00E22B71" w:rsidRPr="00275C25">
        <w:rPr>
          <w:lang w:val="tr-TR"/>
        </w:rPr>
        <w:t>bir IBRD kredisinin borçlusunu veya bir IDA kredisinin veya hibesinin alıcısını veya bir vakıf fonu hibesinin veya kredisinin alıcısını içerir. Bazı durumlarda, Üye Ülke dışındaki bir kuruluşa IBRD kredisi sağlanabilmektedir. Bu gibi durumlarda, ilgili bağlam aksini gerektirmediği sürece bu Kılavuzda kullanılan “Borçlu” ifadesi Kredinin Garantörü olarak Üye Ülkeyi de içerir</w:t>
      </w:r>
      <w:r w:rsidRPr="00275C25">
        <w:rPr>
          <w:lang w:val="tr-TR"/>
        </w:rPr>
        <w:t>.</w:t>
      </w:r>
      <w:r w:rsidRPr="00275C25">
        <w:rPr>
          <w:spacing w:val="40"/>
          <w:lang w:val="tr-TR"/>
        </w:rPr>
        <w:t xml:space="preserve"> </w:t>
      </w:r>
      <w:r w:rsidR="00E22B71" w:rsidRPr="00275C25">
        <w:rPr>
          <w:lang w:val="tr-TR"/>
        </w:rPr>
        <w:t>Bazı durumlarda</w:t>
      </w:r>
      <w:r w:rsidRPr="00275C25">
        <w:rPr>
          <w:lang w:val="tr-TR"/>
        </w:rPr>
        <w:t xml:space="preserve">, </w:t>
      </w:r>
      <w:r w:rsidR="00E22B71" w:rsidRPr="00275C25">
        <w:rPr>
          <w:lang w:val="tr-TR"/>
        </w:rPr>
        <w:t xml:space="preserve">proje veya projenin bir bölümü Banka’nın Proje Anlaşması imzaladığı bir Proje Uygulayıcı Kuruluş tarafından gerçekleştirilmektedir. Bu gibi durumlarda, bu Kılavuzda kullanılan “Borçlu” ifadesi  Hukuki Anlaşmada tanımlandığı şekliyle Proje Uygulayıcı Kuruluşu içerir. </w:t>
      </w:r>
      <w:r w:rsidRPr="00275C25">
        <w:rPr>
          <w:lang w:val="tr-TR"/>
        </w:rPr>
        <w:t xml:space="preserve"> </w:t>
      </w:r>
    </w:p>
  </w:footnote>
  <w:footnote w:id="3">
    <w:p w14:paraId="1D307667" w14:textId="6BBCA24A" w:rsidR="00717B0D" w:rsidRPr="00275C25" w:rsidRDefault="00717B0D">
      <w:pPr>
        <w:pStyle w:val="DipnotMetni"/>
        <w:rPr>
          <w:lang w:val="tr-TR"/>
        </w:rPr>
      </w:pPr>
      <w:r w:rsidRPr="00275C25">
        <w:rPr>
          <w:rStyle w:val="DipnotBavurusu"/>
          <w:lang w:val="tr-TR"/>
        </w:rPr>
        <w:footnoteRef/>
      </w:r>
      <w:r w:rsidRPr="00275C25">
        <w:rPr>
          <w:lang w:val="tr-TR"/>
        </w:rPr>
        <w:t xml:space="preserve"> </w:t>
      </w:r>
      <w:r w:rsidR="00E22B71" w:rsidRPr="00275C25">
        <w:rPr>
          <w:lang w:val="tr-TR"/>
        </w:rPr>
        <w:t xml:space="preserve">Bu Kılavuzda kullanılan “Banka” ifadesi, ister kendi adlarına isterse başka donörler tarafından finanse edilen vakıf fonlarının yöneticisi olarak hareket </w:t>
      </w:r>
      <w:proofErr w:type="gramStart"/>
      <w:r w:rsidR="00E22B71" w:rsidRPr="00275C25">
        <w:rPr>
          <w:lang w:val="tr-TR"/>
        </w:rPr>
        <w:t>etsinler,</w:t>
      </w:r>
      <w:proofErr w:type="gramEnd"/>
      <w:r w:rsidR="00E22B71" w:rsidRPr="00275C25">
        <w:rPr>
          <w:lang w:val="tr-TR"/>
        </w:rPr>
        <w:t xml:space="preserve"> hem IBRD hem de IDA’yı içerir. </w:t>
      </w:r>
    </w:p>
  </w:footnote>
  <w:footnote w:id="4">
    <w:p w14:paraId="33F86C6C" w14:textId="1C5A2CA9" w:rsidR="00391F7A" w:rsidRPr="00275C25" w:rsidRDefault="00391F7A" w:rsidP="00391F7A">
      <w:pPr>
        <w:pStyle w:val="DipnotMetni"/>
        <w:rPr>
          <w:szCs w:val="22"/>
          <w:lang w:val="tr-TR"/>
        </w:rPr>
      </w:pPr>
      <w:r w:rsidRPr="00275C25">
        <w:rPr>
          <w:rStyle w:val="DipnotBavurusu"/>
          <w:lang w:val="tr-TR"/>
        </w:rPr>
        <w:footnoteRef/>
      </w:r>
      <w:r w:rsidRPr="00275C25">
        <w:rPr>
          <w:lang w:val="tr-TR"/>
        </w:rPr>
        <w:t xml:space="preserve"> </w:t>
      </w:r>
      <w:r w:rsidR="00E22B71" w:rsidRPr="00275C25">
        <w:rPr>
          <w:lang w:val="tr-TR"/>
        </w:rPr>
        <w:t>Bu Kılavuzda kullanılan “Hukuki Anlaşma</w:t>
      </w:r>
      <w:r w:rsidRPr="00275C25">
        <w:rPr>
          <w:lang w:val="tr-TR"/>
        </w:rPr>
        <w:t xml:space="preserve">” </w:t>
      </w:r>
      <w:r w:rsidR="00E22B71" w:rsidRPr="00275C25">
        <w:rPr>
          <w:lang w:val="tr-TR"/>
        </w:rPr>
        <w:t xml:space="preserve">ifadesi, </w:t>
      </w:r>
      <w:r w:rsidR="00A074D8" w:rsidRPr="00275C25">
        <w:rPr>
          <w:lang w:val="tr-TR"/>
        </w:rPr>
        <w:t xml:space="preserve">bir IBRD kredisinin sağlanması için imzalanan herhangi bir Kredi Anlaşmasını veya bir IDA kredisinin veya hibesinin sağlanması için imzalanan bir Finansman </w:t>
      </w:r>
      <w:r w:rsidR="00A03FAF" w:rsidRPr="00275C25">
        <w:rPr>
          <w:lang w:val="tr-TR"/>
        </w:rPr>
        <w:t>Anlaşmasını</w:t>
      </w:r>
      <w:r w:rsidRPr="00275C25">
        <w:rPr>
          <w:lang w:val="tr-TR"/>
        </w:rPr>
        <w:t xml:space="preserve">, </w:t>
      </w:r>
      <w:r w:rsidR="00A074D8" w:rsidRPr="00275C25">
        <w:rPr>
          <w:lang w:val="tr-TR"/>
        </w:rPr>
        <w:t>bir IBRD Kredisi için Üye Ülke tarafından garanti sağlanması için imzalanan  herhangi bir Garanti Anlaşmasını</w:t>
      </w:r>
      <w:r w:rsidRPr="00275C25">
        <w:rPr>
          <w:lang w:val="tr-TR"/>
        </w:rPr>
        <w:t xml:space="preserve">, </w:t>
      </w:r>
      <w:r w:rsidR="00A074D8" w:rsidRPr="00275C25">
        <w:rPr>
          <w:lang w:val="tr-TR"/>
        </w:rPr>
        <w:t xml:space="preserve">bir proje hazırlık avansı sağlanması için imzalanan bir anlaşmayı veya bu Kılavuzun anlaşma için </w:t>
      </w:r>
      <w:r w:rsidR="00A074D8" w:rsidRPr="00275C25">
        <w:rPr>
          <w:szCs w:val="22"/>
          <w:lang w:val="tr-TR"/>
        </w:rPr>
        <w:t>geçerli  kılındığı durumlarda bir alıcı tarafından yönetilen vakıf fonu hibesi veya kredisi sağlanması için imzalanan bir Kurumsal Gelişim Fonu (</w:t>
      </w:r>
      <w:proofErr w:type="spellStart"/>
      <w:r w:rsidR="00A074D8" w:rsidRPr="00275C25">
        <w:rPr>
          <w:szCs w:val="22"/>
          <w:lang w:val="tr-TR"/>
        </w:rPr>
        <w:t>IDF</w:t>
      </w:r>
      <w:proofErr w:type="spellEnd"/>
      <w:r w:rsidR="00A074D8" w:rsidRPr="00275C25">
        <w:rPr>
          <w:szCs w:val="22"/>
          <w:lang w:val="tr-TR"/>
        </w:rPr>
        <w:t xml:space="preserve">) Hibe Anlaşmasını, Vakıf Fonu Hibe veya Kredi Anlaşmasını veya  </w:t>
      </w:r>
      <w:r w:rsidR="00666922" w:rsidRPr="00275C25">
        <w:rPr>
          <w:szCs w:val="22"/>
          <w:lang w:val="tr-TR"/>
        </w:rPr>
        <w:t xml:space="preserve">yukarıdakilerden herhangi biri ile ilgili olarak bir proje Uygulayıcı Kuruluş ile imzalanan herhangi bir Proje Anlaşmasını içerir. </w:t>
      </w:r>
    </w:p>
  </w:footnote>
  <w:footnote w:id="5">
    <w:p w14:paraId="2F4A683E" w14:textId="66982C86" w:rsidR="00FD0A9E" w:rsidRPr="00275C25" w:rsidRDefault="00FD0A9E" w:rsidP="00FD0A9E">
      <w:pPr>
        <w:pStyle w:val="DipnotMetni"/>
        <w:rPr>
          <w:lang w:val="tr-TR"/>
        </w:rPr>
      </w:pPr>
      <w:r w:rsidRPr="00275C25">
        <w:rPr>
          <w:rStyle w:val="DipnotBavurusu"/>
          <w:lang w:val="tr-TR"/>
        </w:rPr>
        <w:footnoteRef/>
      </w:r>
      <w:r w:rsidRPr="00275C25">
        <w:rPr>
          <w:lang w:val="tr-TR"/>
        </w:rPr>
        <w:t xml:space="preserve"> </w:t>
      </w:r>
      <w:r w:rsidR="00666922" w:rsidRPr="00275C25">
        <w:rPr>
          <w:szCs w:val="22"/>
          <w:lang w:val="tr-TR"/>
        </w:rPr>
        <w:t xml:space="preserve">Bu Kılavuzda kullanılan </w:t>
      </w:r>
      <w:r w:rsidRPr="00275C25">
        <w:rPr>
          <w:szCs w:val="22"/>
          <w:lang w:val="tr-TR"/>
        </w:rPr>
        <w:t xml:space="preserve">“proje” </w:t>
      </w:r>
      <w:r w:rsidR="00666922" w:rsidRPr="00275C25">
        <w:rPr>
          <w:szCs w:val="22"/>
          <w:lang w:val="tr-TR"/>
        </w:rPr>
        <w:t>ifadesi Hukuki Anlaşmada tanımlanan proje anlamına</w:t>
      </w:r>
      <w:r w:rsidR="00666922" w:rsidRPr="00275C25">
        <w:rPr>
          <w:spacing w:val="1"/>
          <w:lang w:val="tr-TR"/>
        </w:rPr>
        <w:t xml:space="preserve"> gelir</w:t>
      </w:r>
      <w:r w:rsidRPr="00275C25">
        <w:rPr>
          <w:spacing w:val="-2"/>
          <w:lang w:val="tr-TR"/>
        </w:rPr>
        <w:t>.</w:t>
      </w:r>
    </w:p>
  </w:footnote>
  <w:footnote w:id="6">
    <w:p w14:paraId="64B8AABC" w14:textId="6B2C6A9E" w:rsidR="00391F7A" w:rsidRPr="00275C25" w:rsidRDefault="00391F7A">
      <w:pPr>
        <w:pStyle w:val="DipnotMetni"/>
        <w:rPr>
          <w:szCs w:val="22"/>
          <w:lang w:val="tr-TR"/>
        </w:rPr>
      </w:pPr>
      <w:r w:rsidRPr="00275C25">
        <w:rPr>
          <w:rStyle w:val="DipnotBavurusu"/>
          <w:lang w:val="tr-TR"/>
        </w:rPr>
        <w:footnoteRef/>
      </w:r>
      <w:r w:rsidRPr="00275C25">
        <w:rPr>
          <w:lang w:val="tr-TR"/>
        </w:rPr>
        <w:t xml:space="preserve"> </w:t>
      </w:r>
      <w:r w:rsidRPr="00275C25">
        <w:rPr>
          <w:szCs w:val="22"/>
          <w:lang w:val="tr-TR"/>
        </w:rPr>
        <w:t>IBRD’</w:t>
      </w:r>
      <w:r w:rsidR="00666922" w:rsidRPr="00275C25">
        <w:rPr>
          <w:szCs w:val="22"/>
          <w:lang w:val="tr-TR"/>
        </w:rPr>
        <w:t>nin</w:t>
      </w:r>
      <w:r w:rsidRPr="00275C25">
        <w:rPr>
          <w:szCs w:val="22"/>
          <w:lang w:val="tr-TR"/>
        </w:rPr>
        <w:t xml:space="preserve"> </w:t>
      </w:r>
      <w:r w:rsidR="00666922" w:rsidRPr="00275C25">
        <w:rPr>
          <w:szCs w:val="22"/>
          <w:lang w:val="tr-TR"/>
        </w:rPr>
        <w:t>Kuruluş Sözleşmesi</w:t>
      </w:r>
      <w:r w:rsidRPr="00275C25">
        <w:rPr>
          <w:szCs w:val="22"/>
          <w:lang w:val="tr-TR"/>
        </w:rPr>
        <w:t xml:space="preserve">, </w:t>
      </w:r>
      <w:r w:rsidR="00666922" w:rsidRPr="00275C25">
        <w:rPr>
          <w:szCs w:val="22"/>
          <w:lang w:val="tr-TR"/>
        </w:rPr>
        <w:t xml:space="preserve">Madde </w:t>
      </w:r>
      <w:r w:rsidRPr="00275C25">
        <w:rPr>
          <w:szCs w:val="22"/>
          <w:lang w:val="tr-TR"/>
        </w:rPr>
        <w:t xml:space="preserve">III, </w:t>
      </w:r>
      <w:r w:rsidR="00666922" w:rsidRPr="00275C25">
        <w:rPr>
          <w:szCs w:val="22"/>
          <w:lang w:val="tr-TR"/>
        </w:rPr>
        <w:t xml:space="preserve">Bölüm </w:t>
      </w:r>
      <w:r w:rsidRPr="00275C25">
        <w:rPr>
          <w:szCs w:val="22"/>
          <w:lang w:val="tr-TR"/>
        </w:rPr>
        <w:t>5(b); IDA’</w:t>
      </w:r>
      <w:r w:rsidR="00666922" w:rsidRPr="00275C25">
        <w:rPr>
          <w:szCs w:val="22"/>
          <w:lang w:val="tr-TR"/>
        </w:rPr>
        <w:t>nın Kuruluş Sözleşmesi</w:t>
      </w:r>
      <w:r w:rsidRPr="00275C25">
        <w:rPr>
          <w:szCs w:val="22"/>
          <w:lang w:val="tr-TR"/>
        </w:rPr>
        <w:t xml:space="preserve">, </w:t>
      </w:r>
      <w:r w:rsidR="00666922" w:rsidRPr="00275C25">
        <w:rPr>
          <w:szCs w:val="22"/>
          <w:lang w:val="tr-TR"/>
        </w:rPr>
        <w:t xml:space="preserve">Madde </w:t>
      </w:r>
      <w:r w:rsidRPr="00275C25">
        <w:rPr>
          <w:szCs w:val="22"/>
          <w:lang w:val="tr-TR"/>
        </w:rPr>
        <w:t xml:space="preserve">V, </w:t>
      </w:r>
      <w:r w:rsidR="00666922" w:rsidRPr="00275C25">
        <w:rPr>
          <w:szCs w:val="22"/>
          <w:lang w:val="tr-TR"/>
        </w:rPr>
        <w:t xml:space="preserve">Bölüm </w:t>
      </w:r>
      <w:r w:rsidRPr="00275C25">
        <w:rPr>
          <w:szCs w:val="22"/>
          <w:lang w:val="tr-TR"/>
        </w:rPr>
        <w:t>1(g).</w:t>
      </w:r>
    </w:p>
  </w:footnote>
  <w:footnote w:id="7">
    <w:p w14:paraId="229126FC" w14:textId="05FED7E1" w:rsidR="00391F7A" w:rsidRPr="00275C25" w:rsidRDefault="00391F7A">
      <w:pPr>
        <w:pStyle w:val="DipnotMetni"/>
        <w:rPr>
          <w:szCs w:val="22"/>
          <w:lang w:val="tr-TR"/>
        </w:rPr>
      </w:pPr>
      <w:r w:rsidRPr="00275C25">
        <w:rPr>
          <w:rStyle w:val="DipnotBavurusu"/>
          <w:lang w:val="tr-TR"/>
        </w:rPr>
        <w:footnoteRef/>
      </w:r>
      <w:r w:rsidRPr="00275C25">
        <w:rPr>
          <w:lang w:val="tr-TR"/>
        </w:rPr>
        <w:t xml:space="preserve"> </w:t>
      </w:r>
      <w:r w:rsidR="00666922" w:rsidRPr="00275C25">
        <w:rPr>
          <w:szCs w:val="22"/>
          <w:lang w:val="tr-TR"/>
        </w:rPr>
        <w:t>Belirli kişiler veya kuruluşlar, bu Kılavuzun 5’inci paragrafında belirtilen kategorilerin birden fazlasına girebilir</w:t>
      </w:r>
      <w:r w:rsidRPr="00275C25">
        <w:rPr>
          <w:szCs w:val="22"/>
          <w:lang w:val="tr-TR"/>
        </w:rPr>
        <w:t xml:space="preserve">. </w:t>
      </w:r>
      <w:r w:rsidR="00666922" w:rsidRPr="00275C25">
        <w:rPr>
          <w:szCs w:val="22"/>
          <w:lang w:val="tr-TR"/>
        </w:rPr>
        <w:t>Örneğin bir finansal aracı sunduğu hizmetler için ödeme alabilir</w:t>
      </w:r>
      <w:r w:rsidRPr="00275C25">
        <w:rPr>
          <w:szCs w:val="22"/>
          <w:lang w:val="tr-TR"/>
        </w:rPr>
        <w:t xml:space="preserve">, </w:t>
      </w:r>
      <w:r w:rsidR="00666922" w:rsidRPr="00275C25">
        <w:rPr>
          <w:szCs w:val="22"/>
          <w:lang w:val="tr-TR"/>
        </w:rPr>
        <w:t>son kullanıcılara fon transfer eder ve Kredi tutarlarının kullanımı ile ilgili kararlar alır veya bu gibi kararları etkiler</w:t>
      </w:r>
      <w:r w:rsidRPr="00275C25">
        <w:rPr>
          <w:szCs w:val="22"/>
          <w:lang w:val="tr-TR"/>
        </w:rPr>
        <w:t>.</w:t>
      </w:r>
    </w:p>
  </w:footnote>
  <w:footnote w:id="8">
    <w:p w14:paraId="4E0D0779" w14:textId="3CE799CF" w:rsidR="00CB6B3E" w:rsidRPr="00275C25" w:rsidRDefault="00CB6B3E">
      <w:pPr>
        <w:pStyle w:val="DipnotMetni"/>
        <w:rPr>
          <w:lang w:val="tr-TR"/>
        </w:rPr>
      </w:pPr>
      <w:r w:rsidRPr="00275C25">
        <w:rPr>
          <w:rStyle w:val="DipnotBavurusu"/>
          <w:lang w:val="tr-TR"/>
        </w:rPr>
        <w:footnoteRef/>
      </w:r>
      <w:r w:rsidRPr="00275C25">
        <w:rPr>
          <w:lang w:val="tr-TR"/>
        </w:rPr>
        <w:t xml:space="preserve"> </w:t>
      </w:r>
      <w:r w:rsidR="00E442C9" w:rsidRPr="00275C25">
        <w:rPr>
          <w:lang w:val="tr-TR"/>
        </w:rPr>
        <w:t xml:space="preserve">Hukuki Anlaşmada aksi belirtilmediği sürece, bu terimler, geçerli Genel Koşullar da dahil olmak üzere Hukuki Anlaşmada kullanıldıkları yerlerde Kılavuzun </w:t>
      </w:r>
      <w:r w:rsidRPr="00275C25">
        <w:rPr>
          <w:lang w:val="tr-TR"/>
        </w:rPr>
        <w:t xml:space="preserve"> </w:t>
      </w:r>
      <w:r w:rsidR="00E442C9" w:rsidRPr="00275C25">
        <w:rPr>
          <w:lang w:val="tr-TR"/>
        </w:rPr>
        <w:t>7’nci paragrafında belirtilen anlamları taşır</w:t>
      </w:r>
      <w:r w:rsidRPr="00275C25">
        <w:rPr>
          <w:lang w:val="tr-TR"/>
        </w:rPr>
        <w:t>.</w:t>
      </w:r>
    </w:p>
  </w:footnote>
  <w:footnote w:id="9">
    <w:p w14:paraId="0FAC67C3" w14:textId="60B712CE" w:rsidR="00CB6B3E" w:rsidRPr="00275C25" w:rsidRDefault="00CB6B3E">
      <w:pPr>
        <w:pStyle w:val="DipnotMetni"/>
        <w:rPr>
          <w:lang w:val="tr-TR"/>
        </w:rPr>
      </w:pPr>
      <w:r w:rsidRPr="00275C25">
        <w:rPr>
          <w:rStyle w:val="DipnotBavurusu"/>
          <w:lang w:val="tr-TR"/>
        </w:rPr>
        <w:footnoteRef/>
      </w:r>
      <w:r w:rsidRPr="00275C25">
        <w:rPr>
          <w:lang w:val="tr-TR"/>
        </w:rPr>
        <w:t xml:space="preserve"> </w:t>
      </w:r>
      <w:r w:rsidR="00E442C9" w:rsidRPr="00275C25">
        <w:rPr>
          <w:lang w:val="tr-TR"/>
        </w:rPr>
        <w:t xml:space="preserve">Yolsuzluk uygulamasının tipik örnekleri arasında rüşvet ve gayrıresmi komisyon sayılabilir. </w:t>
      </w:r>
    </w:p>
  </w:footnote>
  <w:footnote w:id="10">
    <w:p w14:paraId="6A504440" w14:textId="11251CA4" w:rsidR="00CB6B3E" w:rsidRPr="00275C25" w:rsidRDefault="00CB6B3E">
      <w:pPr>
        <w:pStyle w:val="DipnotMetni"/>
        <w:rPr>
          <w:lang w:val="tr-TR"/>
        </w:rPr>
      </w:pPr>
      <w:r w:rsidRPr="00275C25">
        <w:rPr>
          <w:rStyle w:val="DipnotBavurusu"/>
          <w:lang w:val="tr-TR"/>
        </w:rPr>
        <w:footnoteRef/>
      </w:r>
      <w:r w:rsidRPr="00275C25">
        <w:rPr>
          <w:lang w:val="tr-TR"/>
        </w:rPr>
        <w:t xml:space="preserve"> </w:t>
      </w:r>
      <w:r w:rsidR="00E442C9" w:rsidRPr="00275C25">
        <w:rPr>
          <w:lang w:val="tr-TR"/>
        </w:rPr>
        <w:t xml:space="preserve">“Bilerek veya dikkatsizlikle” hareket etmesi için, sahtecilik eyleminde bulunan tarafın kendisine iletilen bilgi veya izlenimin gerçek dışı olduğunu bilmesi ya da bunun doğru olup olmadığı hususuna dikkatsizce kayıtsız kalması gerekir. Basit bir ihmal sonucu ortaya çıkan hafif bir bilgi  veya izlenim yanlışlığı sahtecilik uygulamasının doğması için yeterli değildir. </w:t>
      </w:r>
    </w:p>
  </w:footnote>
  <w:footnote w:id="11">
    <w:p w14:paraId="402162DF" w14:textId="7E28EF77" w:rsidR="00CB6B3E" w:rsidRPr="00275C25" w:rsidRDefault="00CB6B3E">
      <w:pPr>
        <w:pStyle w:val="DipnotMetni"/>
        <w:rPr>
          <w:lang w:val="tr-TR"/>
        </w:rPr>
      </w:pPr>
      <w:r w:rsidRPr="00275C25">
        <w:rPr>
          <w:rStyle w:val="DipnotBavurusu"/>
          <w:lang w:val="tr-TR"/>
        </w:rPr>
        <w:footnoteRef/>
      </w:r>
      <w:r w:rsidRPr="00275C25">
        <w:rPr>
          <w:lang w:val="tr-TR"/>
        </w:rPr>
        <w:t xml:space="preserve"> </w:t>
      </w:r>
      <w:r w:rsidR="00E442C9" w:rsidRPr="00275C25">
        <w:rPr>
          <w:lang w:val="tr-TR"/>
        </w:rPr>
        <w:t>Bu haklar arasında, diğer hususların yanında bu Kılavuzun 9(d) no’lu paragrafında sayılan haklar yer alır</w:t>
      </w:r>
      <w:r w:rsidRPr="00275C25">
        <w:rPr>
          <w:spacing w:val="-2"/>
          <w:lang w:val="tr-TR"/>
        </w:rPr>
        <w:t>.</w:t>
      </w:r>
    </w:p>
  </w:footnote>
  <w:footnote w:id="12">
    <w:p w14:paraId="6CEB9671" w14:textId="2E095B53" w:rsidR="004668E1" w:rsidRPr="00275C25" w:rsidRDefault="004668E1">
      <w:pPr>
        <w:pStyle w:val="DipnotMetni"/>
        <w:rPr>
          <w:lang w:val="tr-TR"/>
        </w:rPr>
      </w:pPr>
      <w:r w:rsidRPr="00275C25">
        <w:rPr>
          <w:rStyle w:val="DipnotBavurusu"/>
          <w:lang w:val="tr-TR"/>
        </w:rPr>
        <w:footnoteRef/>
      </w:r>
      <w:r w:rsidRPr="00275C25">
        <w:rPr>
          <w:lang w:val="tr-TR"/>
        </w:rPr>
        <w:t xml:space="preserve"> </w:t>
      </w:r>
      <w:r w:rsidR="00653BFE" w:rsidRPr="00275C25">
        <w:rPr>
          <w:lang w:val="tr-TR"/>
        </w:rPr>
        <w:t>Bu Kılavuzda bir kuruluşun “temsilcilerine” yapılan atıflar, yetkililerini, görevlilerini, çalışanlarını ve vekillerini de içerir</w:t>
      </w:r>
      <w:r w:rsidR="00C1662C" w:rsidRPr="00275C25">
        <w:rPr>
          <w:w w:val="110"/>
          <w:lang w:val="tr-TR"/>
        </w:rPr>
        <w:t>.</w:t>
      </w:r>
    </w:p>
  </w:footnote>
  <w:footnote w:id="13">
    <w:p w14:paraId="604D0592" w14:textId="66B3EBF6" w:rsidR="008D2567" w:rsidRPr="00275C25" w:rsidRDefault="008D2567" w:rsidP="008D2567">
      <w:pPr>
        <w:pStyle w:val="DipnotMetni"/>
        <w:rPr>
          <w:lang w:val="tr-TR"/>
        </w:rPr>
      </w:pPr>
      <w:r w:rsidRPr="00275C25">
        <w:rPr>
          <w:rStyle w:val="DipnotBavurusu"/>
          <w:lang w:val="tr-TR"/>
        </w:rPr>
        <w:footnoteRef/>
      </w:r>
      <w:r w:rsidRPr="00275C25">
        <w:rPr>
          <w:lang w:val="tr-TR"/>
        </w:rPr>
        <w:t xml:space="preserve"> </w:t>
      </w:r>
      <w:r w:rsidR="00963ED2" w:rsidRPr="00275C25">
        <w:rPr>
          <w:lang w:val="tr-TR"/>
        </w:rPr>
        <w:t xml:space="preserve">Bu Kılavuzun amaçları bakımından, </w:t>
      </w:r>
      <w:r w:rsidRPr="00275C25">
        <w:rPr>
          <w:lang w:val="tr-TR"/>
        </w:rPr>
        <w:t>“</w:t>
      </w:r>
      <w:r w:rsidR="00963ED2" w:rsidRPr="00275C25">
        <w:rPr>
          <w:lang w:val="tr-TR"/>
        </w:rPr>
        <w:t>Üye Ülke</w:t>
      </w:r>
      <w:r w:rsidRPr="00275C25">
        <w:rPr>
          <w:lang w:val="tr-TR"/>
        </w:rPr>
        <w:t xml:space="preserve">” </w:t>
      </w:r>
      <w:r w:rsidR="00963ED2" w:rsidRPr="00275C25">
        <w:rPr>
          <w:lang w:val="tr-TR"/>
        </w:rPr>
        <w:t xml:space="preserve">ifadesi, ulusal hükümetin veya siyasi ya da idari alt bölümlerinin herhangi birinin ve Dünya Bankası’nın </w:t>
      </w:r>
      <w:proofErr w:type="spellStart"/>
      <w:r w:rsidR="00963ED2" w:rsidRPr="00275C25">
        <w:rPr>
          <w:lang w:val="tr-TR"/>
        </w:rPr>
        <w:t>IPF</w:t>
      </w:r>
      <w:proofErr w:type="spellEnd"/>
      <w:r w:rsidR="00963ED2" w:rsidRPr="00275C25">
        <w:rPr>
          <w:lang w:val="tr-TR"/>
        </w:rPr>
        <w:t xml:space="preserve"> Borçluları için Satın Alma Düzenlemeleri  paragraf 3.22 hükümleri uyarınca Banka finansmanlı sözleşmeler için  teklif veremeyecek ve sözleşme yapamayacak kamu iktisadi teşebbüslerinin ve teşekküllerinin görevlilerini ve çalışanlarını da kapsar</w:t>
      </w:r>
      <w:r w:rsidRPr="00275C25">
        <w:rPr>
          <w:lang w:val="tr-TR"/>
        </w:rPr>
        <w:t>.</w:t>
      </w:r>
    </w:p>
  </w:footnote>
  <w:footnote w:id="14">
    <w:p w14:paraId="060CA1EE" w14:textId="099A8902" w:rsidR="008D2567" w:rsidRPr="00275C25" w:rsidRDefault="008D2567" w:rsidP="008D2567">
      <w:pPr>
        <w:pStyle w:val="DipnotMetni"/>
        <w:rPr>
          <w:lang w:val="tr-TR"/>
        </w:rPr>
      </w:pPr>
      <w:r w:rsidRPr="00275C25">
        <w:rPr>
          <w:rStyle w:val="DipnotBavurusu"/>
          <w:lang w:val="tr-TR"/>
        </w:rPr>
        <w:footnoteRef/>
      </w:r>
      <w:r w:rsidRPr="00275C25">
        <w:rPr>
          <w:lang w:val="tr-TR"/>
        </w:rPr>
        <w:t xml:space="preserve"> </w:t>
      </w:r>
      <w:r w:rsidR="00963ED2" w:rsidRPr="00275C25">
        <w:rPr>
          <w:lang w:val="tr-TR"/>
        </w:rPr>
        <w:t xml:space="preserve">İhale bağlamında teklif sahipleri için geçerli olduğu gibi, Banka ister başarılı olsun isterse olmasın, Kredi tutarlarından yararlanmak için başvurma sürecinde Sahteciliğe ve Yolsuzluğa karışan bireylere ve kuruluşlara da yaptırım uygulayabilir </w:t>
      </w:r>
      <w:r w:rsidRPr="00275C25">
        <w:rPr>
          <w:lang w:val="tr-TR"/>
        </w:rPr>
        <w:t>(</w:t>
      </w:r>
      <w:r w:rsidR="00963ED2" w:rsidRPr="00275C25">
        <w:rPr>
          <w:lang w:val="tr-TR"/>
        </w:rPr>
        <w:t>örneğin Banka finansmanlı bir projede finansal aracı olabilmek için sahte belge sunan bir banka</w:t>
      </w:r>
      <w:r w:rsidRPr="00275C25">
        <w:rPr>
          <w:lang w:val="tr-TR"/>
        </w:rPr>
        <w:t>).</w:t>
      </w:r>
    </w:p>
  </w:footnote>
  <w:footnote w:id="15">
    <w:p w14:paraId="3C225DC7" w14:textId="7EB529F2" w:rsidR="00B56186" w:rsidRPr="00275C25" w:rsidRDefault="00B56186" w:rsidP="00B56186">
      <w:pPr>
        <w:pStyle w:val="DipnotMetni"/>
        <w:rPr>
          <w:lang w:val="tr-TR"/>
        </w:rPr>
      </w:pPr>
      <w:r w:rsidRPr="00275C25">
        <w:rPr>
          <w:rStyle w:val="DipnotBavurusu"/>
          <w:lang w:val="tr-TR"/>
        </w:rPr>
        <w:footnoteRef/>
      </w:r>
      <w:r w:rsidRPr="00275C25">
        <w:rPr>
          <w:lang w:val="tr-TR"/>
        </w:rPr>
        <w:t xml:space="preserve"> </w:t>
      </w:r>
      <w:r w:rsidR="00275C25" w:rsidRPr="00275C25">
        <w:rPr>
          <w:lang w:val="tr-TR"/>
        </w:rPr>
        <w:t xml:space="preserve">Banka, bu tür tespitlerin yapılabilmesi amacıyla bir Yaptırım Kurulu ve ilgili prosedürleri oluşturmuştur. Yaptırım Kurulunun prosedürleri, Banka'nın kullanabileceği tüm yaptırımları ortaya koymaktadır. </w:t>
      </w:r>
      <w:r w:rsidR="00963ED2" w:rsidRPr="00275C25">
        <w:rPr>
          <w:lang w:val="tr-TR"/>
        </w:rPr>
        <w:t xml:space="preserve"> </w:t>
      </w:r>
    </w:p>
  </w:footnote>
  <w:footnote w:id="16">
    <w:p w14:paraId="472FCCDB" w14:textId="288B7429" w:rsidR="00B56186" w:rsidRPr="00275C25" w:rsidRDefault="00B56186">
      <w:pPr>
        <w:pStyle w:val="DipnotMetni"/>
        <w:rPr>
          <w:lang w:val="tr-TR"/>
        </w:rPr>
      </w:pPr>
      <w:r w:rsidRPr="00275C25">
        <w:rPr>
          <w:rStyle w:val="DipnotBavurusu"/>
          <w:lang w:val="tr-TR"/>
        </w:rPr>
        <w:footnoteRef/>
      </w:r>
      <w:r w:rsidRPr="00275C25">
        <w:rPr>
          <w:lang w:val="tr-TR"/>
        </w:rPr>
        <w:t xml:space="preserve"> </w:t>
      </w:r>
      <w:r w:rsidR="00275C25" w:rsidRPr="00275C25">
        <w:rPr>
          <w:lang w:val="tr-TR"/>
        </w:rPr>
        <w:t>Yaptırım, herhangi bir sınırlama olmaksızın, Sahteciliğe ve Yolsuzluğa konu olan Kredi tutarlarının iade edilmesini de içerebilir. Dünya Bankası Grubu, bu Kılavuzun 11’inci paragrafı uyarınca uygun olmadığı açıklanan herhangi bir kişi veya kuruluşun kimliğini yayınlayabilir.</w:t>
      </w:r>
    </w:p>
  </w:footnote>
  <w:footnote w:id="17">
    <w:p w14:paraId="16AB222C" w14:textId="5731412E" w:rsidR="00B56186" w:rsidRPr="00275C25" w:rsidRDefault="00B56186" w:rsidP="00B56186">
      <w:pPr>
        <w:pStyle w:val="DipnotMetni"/>
        <w:rPr>
          <w:lang w:val="tr-TR"/>
        </w:rPr>
      </w:pPr>
      <w:r w:rsidRPr="00275C25">
        <w:rPr>
          <w:rStyle w:val="DipnotBavurusu"/>
          <w:lang w:val="tr-TR"/>
        </w:rPr>
        <w:footnoteRef/>
      </w:r>
      <w:r w:rsidRPr="00275C25">
        <w:rPr>
          <w:lang w:val="tr-TR"/>
        </w:rPr>
        <w:t xml:space="preserve"> </w:t>
      </w:r>
      <w:r w:rsidR="00275C25" w:rsidRPr="00275C25">
        <w:rPr>
          <w:lang w:val="tr-TR"/>
        </w:rPr>
        <w:t xml:space="preserve">Bazen “çapraz yasaklama” olarak da adlandırılır. </w:t>
      </w:r>
    </w:p>
  </w:footnote>
  <w:footnote w:id="18">
    <w:p w14:paraId="0B7299BE" w14:textId="258E98F0" w:rsidR="00963ED2" w:rsidRPr="006A6789" w:rsidRDefault="00963ED2" w:rsidP="00963ED2">
      <w:pPr>
        <w:pStyle w:val="DipnotMetni"/>
        <w:rPr>
          <w:lang w:val="tr-TR"/>
        </w:rPr>
      </w:pPr>
      <w:r w:rsidRPr="00275C25">
        <w:rPr>
          <w:rStyle w:val="DipnotBavurusu"/>
          <w:lang w:val="tr-TR"/>
        </w:rPr>
        <w:footnoteRef/>
      </w:r>
      <w:r w:rsidRPr="00275C25">
        <w:rPr>
          <w:lang w:val="tr-TR"/>
        </w:rPr>
        <w:t xml:space="preserve"> </w:t>
      </w:r>
      <w:r w:rsidR="00275C25">
        <w:rPr>
          <w:lang w:val="tr-TR"/>
        </w:rPr>
        <w:t xml:space="preserve">Hukuki </w:t>
      </w:r>
      <w:r w:rsidR="00275C25" w:rsidRPr="00275C25">
        <w:rPr>
          <w:lang w:val="tr-TR"/>
        </w:rPr>
        <w:t xml:space="preserve">Anlaşma, Banka'ya, Kredi </w:t>
      </w:r>
      <w:r w:rsidR="00275C25">
        <w:rPr>
          <w:lang w:val="tr-TR"/>
        </w:rPr>
        <w:t xml:space="preserve">tutarlarının </w:t>
      </w:r>
      <w:r w:rsidR="00275C25" w:rsidRPr="00275C25">
        <w:rPr>
          <w:lang w:val="tr-TR"/>
        </w:rPr>
        <w:t xml:space="preserve">kullanımıyla bağlantılı </w:t>
      </w:r>
      <w:r w:rsidR="00275C25">
        <w:rPr>
          <w:lang w:val="tr-TR"/>
        </w:rPr>
        <w:t xml:space="preserve">Sahtecilik </w:t>
      </w:r>
      <w:r w:rsidR="00275C25" w:rsidRPr="00275C25">
        <w:rPr>
          <w:lang w:val="tr-TR"/>
        </w:rPr>
        <w:t xml:space="preserve">ve Yolsuzluk durumunda, </w:t>
      </w:r>
      <w:r w:rsidR="002F4BC2">
        <w:rPr>
          <w:lang w:val="tr-TR"/>
        </w:rPr>
        <w:t xml:space="preserve">anlaşmada </w:t>
      </w:r>
      <w:r w:rsidR="00275C25" w:rsidRPr="00275C25">
        <w:rPr>
          <w:lang w:val="tr-TR"/>
        </w:rPr>
        <w:t xml:space="preserve">açıklanan </w:t>
      </w:r>
      <w:r w:rsidR="002F4BC2">
        <w:rPr>
          <w:lang w:val="tr-TR"/>
        </w:rPr>
        <w:t>koşullara</w:t>
      </w:r>
      <w:r w:rsidR="002E0270">
        <w:rPr>
          <w:lang w:val="tr-TR"/>
        </w:rPr>
        <w:t xml:space="preserve"> tabi olarak</w:t>
      </w:r>
      <w:r w:rsidR="002F4BC2">
        <w:rPr>
          <w:lang w:val="tr-TR"/>
        </w:rPr>
        <w:t xml:space="preserve"> </w:t>
      </w:r>
      <w:r w:rsidR="002E0270">
        <w:rPr>
          <w:lang w:val="tr-TR"/>
        </w:rPr>
        <w:t xml:space="preserve">Kredi bakımından </w:t>
      </w:r>
      <w:r w:rsidR="00275C25" w:rsidRPr="00275C25">
        <w:rPr>
          <w:lang w:val="tr-TR"/>
        </w:rPr>
        <w:t xml:space="preserve">kullanabileceği belirli haklar ve </w:t>
      </w:r>
      <w:r w:rsidR="00275C25">
        <w:rPr>
          <w:lang w:val="tr-TR"/>
        </w:rPr>
        <w:t xml:space="preserve">yasal başvuru </w:t>
      </w:r>
      <w:r w:rsidR="00275C25" w:rsidRPr="00275C25">
        <w:rPr>
          <w:lang w:val="tr-TR"/>
        </w:rPr>
        <w:t xml:space="preserve">yolları </w:t>
      </w:r>
      <w:r w:rsidR="002F4BC2">
        <w:rPr>
          <w:lang w:val="tr-TR"/>
        </w:rPr>
        <w:t>sunar</w:t>
      </w:r>
      <w:r w:rsidR="00275C25" w:rsidRPr="00275C25">
        <w:rPr>
          <w:lang w:val="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C551" w14:textId="73A812E3" w:rsidR="00BE5861" w:rsidRDefault="002C0341" w:rsidP="00B4260D">
    <w:pPr>
      <w:pStyle w:val="NormalWeb"/>
    </w:pPr>
    <w:r w:rsidRPr="00CA2B89">
      <w:rPr>
        <w:rFonts w:ascii="Arial" w:hAnsi="Arial" w:cs="Arial"/>
        <w:noProof/>
        <w:sz w:val="20"/>
        <w:szCs w:val="20"/>
      </w:rPr>
      <mc:AlternateContent>
        <mc:Choice Requires="wps">
          <w:drawing>
            <wp:anchor distT="0" distB="0" distL="114300" distR="114300" simplePos="0" relativeHeight="251661312" behindDoc="0" locked="0" layoutInCell="1" allowOverlap="1" wp14:anchorId="3BE1E504" wp14:editId="000C0072">
              <wp:simplePos x="0" y="0"/>
              <wp:positionH relativeFrom="column">
                <wp:posOffset>-492125</wp:posOffset>
              </wp:positionH>
              <wp:positionV relativeFrom="paragraph">
                <wp:posOffset>93345</wp:posOffset>
              </wp:positionV>
              <wp:extent cx="6696075" cy="885825"/>
              <wp:effectExtent l="0" t="0" r="28575" b="28575"/>
              <wp:wrapSquare wrapText="bothSides"/>
              <wp:docPr id="650790896" name="Metin Kutusu 1"/>
              <wp:cNvGraphicFramePr/>
              <a:graphic xmlns:a="http://schemas.openxmlformats.org/drawingml/2006/main">
                <a:graphicData uri="http://schemas.microsoft.com/office/word/2010/wordprocessingShape">
                  <wps:wsp>
                    <wps:cNvSpPr txBox="1"/>
                    <wps:spPr>
                      <a:xfrm>
                        <a:off x="0" y="0"/>
                        <a:ext cx="6696075" cy="885825"/>
                      </a:xfrm>
                      <a:prstGeom prst="rect">
                        <a:avLst/>
                      </a:prstGeom>
                      <a:solidFill>
                        <a:schemeClr val="lt1"/>
                      </a:solidFill>
                      <a:ln w="9525">
                        <a:solidFill>
                          <a:schemeClr val="accent1"/>
                        </a:solidFill>
                      </a:ln>
                    </wps:spPr>
                    <wps:txbx>
                      <w:txbxContent>
                        <w:p w14:paraId="04121C07" w14:textId="77777777" w:rsidR="002C0341" w:rsidRPr="002C0341" w:rsidRDefault="002C0341" w:rsidP="002C0341">
                          <w:pPr>
                            <w:rPr>
                              <w:sz w:val="14"/>
                              <w:szCs w:val="14"/>
                              <w:lang w:val="tr-TR"/>
                            </w:rPr>
                          </w:pPr>
                          <w:r w:rsidRPr="002C0341">
                            <w:rPr>
                              <w:b/>
                              <w:bCs/>
                              <w:sz w:val="14"/>
                              <w:szCs w:val="14"/>
                              <w:lang w:val="tr-TR"/>
                            </w:rPr>
                            <w:t xml:space="preserve">Politikalar/Prosedürler için Sorumluluk Reddi </w:t>
                          </w:r>
                        </w:p>
                        <w:p w14:paraId="45C9E400" w14:textId="77777777" w:rsidR="002C0341" w:rsidRPr="002C0341" w:rsidRDefault="002C0341" w:rsidP="002C0341">
                          <w:pPr>
                            <w:rPr>
                              <w:sz w:val="14"/>
                              <w:szCs w:val="14"/>
                              <w:lang w:val="tr-TR"/>
                            </w:rPr>
                          </w:pPr>
                          <w:r w:rsidRPr="002C0341">
                            <w:rPr>
                              <w:sz w:val="14"/>
                              <w:szCs w:val="14"/>
                              <w:lang w:val="tr-TR"/>
                            </w:rPr>
                            <w:t xml:space="preserve">Bu Doküman, 1 Temmuz 2016 tarihi itibariyle </w:t>
                          </w:r>
                          <w:proofErr w:type="gramStart"/>
                          <w:r w:rsidRPr="002C0341">
                            <w:rPr>
                              <w:sz w:val="14"/>
                              <w:szCs w:val="14"/>
                              <w:lang w:val="tr-TR"/>
                            </w:rPr>
                            <w:t>revize edilen</w:t>
                          </w:r>
                          <w:proofErr w:type="gramEnd"/>
                          <w:r w:rsidRPr="002C0341">
                            <w:rPr>
                              <w:sz w:val="14"/>
                              <w:szCs w:val="14"/>
                              <w:lang w:val="tr-TR"/>
                            </w:rPr>
                            <w:t xml:space="preserve"> “</w:t>
                          </w:r>
                          <w:proofErr w:type="spellStart"/>
                          <w:r w:rsidRPr="002C0341">
                            <w:rPr>
                              <w:i/>
                              <w:iCs/>
                              <w:sz w:val="14"/>
                              <w:szCs w:val="14"/>
                              <w:lang w:val="tr-TR"/>
                            </w:rPr>
                            <w:t>Guidelines</w:t>
                          </w:r>
                          <w:proofErr w:type="spellEnd"/>
                          <w:r w:rsidRPr="002C0341">
                            <w:rPr>
                              <w:i/>
                              <w:iCs/>
                              <w:sz w:val="14"/>
                              <w:szCs w:val="14"/>
                              <w:lang w:val="tr-TR"/>
                            </w:rPr>
                            <w:t xml:space="preserve"> on </w:t>
                          </w:r>
                          <w:proofErr w:type="spellStart"/>
                          <w:r w:rsidRPr="002C0341">
                            <w:rPr>
                              <w:i/>
                              <w:iCs/>
                              <w:sz w:val="14"/>
                              <w:szCs w:val="14"/>
                              <w:lang w:val="tr-TR"/>
                            </w:rPr>
                            <w:t>Preventing</w:t>
                          </w:r>
                          <w:proofErr w:type="spellEnd"/>
                          <w:r w:rsidRPr="002C0341">
                            <w:rPr>
                              <w:i/>
                              <w:iCs/>
                              <w:sz w:val="14"/>
                              <w:szCs w:val="14"/>
                              <w:lang w:val="tr-TR"/>
                            </w:rPr>
                            <w:t xml:space="preserve"> </w:t>
                          </w:r>
                          <w:proofErr w:type="spellStart"/>
                          <w:r w:rsidRPr="002C0341">
                            <w:rPr>
                              <w:i/>
                              <w:iCs/>
                              <w:sz w:val="14"/>
                              <w:szCs w:val="14"/>
                              <w:lang w:val="tr-TR"/>
                            </w:rPr>
                            <w:t>and</w:t>
                          </w:r>
                          <w:proofErr w:type="spellEnd"/>
                          <w:r w:rsidRPr="002C0341">
                            <w:rPr>
                              <w:i/>
                              <w:iCs/>
                              <w:sz w:val="14"/>
                              <w:szCs w:val="14"/>
                              <w:lang w:val="tr-TR"/>
                            </w:rPr>
                            <w:t xml:space="preserve"> </w:t>
                          </w:r>
                          <w:proofErr w:type="spellStart"/>
                          <w:r w:rsidRPr="002C0341">
                            <w:rPr>
                              <w:i/>
                              <w:iCs/>
                              <w:sz w:val="14"/>
                              <w:szCs w:val="14"/>
                              <w:lang w:val="tr-TR"/>
                            </w:rPr>
                            <w:t>Combating</w:t>
                          </w:r>
                          <w:proofErr w:type="spellEnd"/>
                          <w:r w:rsidRPr="002C0341">
                            <w:rPr>
                              <w:i/>
                              <w:iCs/>
                              <w:sz w:val="14"/>
                              <w:szCs w:val="14"/>
                              <w:lang w:val="tr-TR"/>
                            </w:rPr>
                            <w:t xml:space="preserve"> </w:t>
                          </w:r>
                          <w:proofErr w:type="spellStart"/>
                          <w:r w:rsidRPr="002C0341">
                            <w:rPr>
                              <w:i/>
                              <w:iCs/>
                              <w:sz w:val="14"/>
                              <w:szCs w:val="14"/>
                              <w:lang w:val="tr-TR"/>
                            </w:rPr>
                            <w:t>Fraud</w:t>
                          </w:r>
                          <w:proofErr w:type="spellEnd"/>
                          <w:r w:rsidRPr="002C0341">
                            <w:rPr>
                              <w:i/>
                              <w:iCs/>
                              <w:sz w:val="14"/>
                              <w:szCs w:val="14"/>
                              <w:lang w:val="tr-TR"/>
                            </w:rPr>
                            <w:t xml:space="preserve"> </w:t>
                          </w:r>
                          <w:proofErr w:type="spellStart"/>
                          <w:r w:rsidRPr="002C0341">
                            <w:rPr>
                              <w:i/>
                              <w:iCs/>
                              <w:sz w:val="14"/>
                              <w:szCs w:val="14"/>
                              <w:lang w:val="tr-TR"/>
                            </w:rPr>
                            <w:t>and</w:t>
                          </w:r>
                          <w:proofErr w:type="spellEnd"/>
                          <w:r w:rsidRPr="002C0341">
                            <w:rPr>
                              <w:i/>
                              <w:iCs/>
                              <w:sz w:val="14"/>
                              <w:szCs w:val="14"/>
                              <w:lang w:val="tr-TR"/>
                            </w:rPr>
                            <w:t xml:space="preserve"> </w:t>
                          </w:r>
                          <w:proofErr w:type="spellStart"/>
                          <w:r w:rsidRPr="002C0341">
                            <w:rPr>
                              <w:i/>
                              <w:iCs/>
                              <w:sz w:val="14"/>
                              <w:szCs w:val="14"/>
                              <w:lang w:val="tr-TR"/>
                            </w:rPr>
                            <w:t>Corruption</w:t>
                          </w:r>
                          <w:proofErr w:type="spellEnd"/>
                          <w:r w:rsidRPr="002C0341">
                            <w:rPr>
                              <w:i/>
                              <w:iCs/>
                              <w:sz w:val="14"/>
                              <w:szCs w:val="14"/>
                              <w:lang w:val="tr-TR"/>
                            </w:rPr>
                            <w:t xml:space="preserve"> in </w:t>
                          </w:r>
                          <w:proofErr w:type="spellStart"/>
                          <w:r w:rsidRPr="002C0341">
                            <w:rPr>
                              <w:i/>
                              <w:iCs/>
                              <w:sz w:val="14"/>
                              <w:szCs w:val="14"/>
                              <w:lang w:val="tr-TR"/>
                            </w:rPr>
                            <w:t>Projects</w:t>
                          </w:r>
                          <w:proofErr w:type="spellEnd"/>
                          <w:r w:rsidRPr="002C0341">
                            <w:rPr>
                              <w:i/>
                              <w:iCs/>
                              <w:sz w:val="14"/>
                              <w:szCs w:val="14"/>
                              <w:lang w:val="tr-TR"/>
                            </w:rPr>
                            <w:t xml:space="preserve"> </w:t>
                          </w:r>
                          <w:proofErr w:type="spellStart"/>
                          <w:r w:rsidRPr="002C0341">
                            <w:rPr>
                              <w:i/>
                              <w:iCs/>
                              <w:sz w:val="14"/>
                              <w:szCs w:val="14"/>
                              <w:lang w:val="tr-TR"/>
                            </w:rPr>
                            <w:t>Financed</w:t>
                          </w:r>
                          <w:proofErr w:type="spellEnd"/>
                          <w:r w:rsidRPr="002C0341">
                            <w:rPr>
                              <w:i/>
                              <w:iCs/>
                              <w:sz w:val="14"/>
                              <w:szCs w:val="14"/>
                              <w:lang w:val="tr-TR"/>
                            </w:rPr>
                            <w:t xml:space="preserve"> </w:t>
                          </w:r>
                          <w:proofErr w:type="spellStart"/>
                          <w:r w:rsidRPr="002C0341">
                            <w:rPr>
                              <w:i/>
                              <w:iCs/>
                              <w:sz w:val="14"/>
                              <w:szCs w:val="14"/>
                              <w:lang w:val="tr-TR"/>
                            </w:rPr>
                            <w:t>by</w:t>
                          </w:r>
                          <w:proofErr w:type="spellEnd"/>
                          <w:r w:rsidRPr="002C0341">
                            <w:rPr>
                              <w:i/>
                              <w:iCs/>
                              <w:sz w:val="14"/>
                              <w:szCs w:val="14"/>
                              <w:lang w:val="tr-TR"/>
                            </w:rPr>
                            <w:t xml:space="preserve"> IBRD </w:t>
                          </w:r>
                          <w:proofErr w:type="spellStart"/>
                          <w:r w:rsidRPr="002C0341">
                            <w:rPr>
                              <w:i/>
                              <w:iCs/>
                              <w:sz w:val="14"/>
                              <w:szCs w:val="14"/>
                              <w:lang w:val="tr-TR"/>
                            </w:rPr>
                            <w:t>Loans</w:t>
                          </w:r>
                          <w:proofErr w:type="spellEnd"/>
                          <w:r w:rsidRPr="002C0341">
                            <w:rPr>
                              <w:i/>
                              <w:iCs/>
                              <w:sz w:val="14"/>
                              <w:szCs w:val="14"/>
                              <w:lang w:val="tr-TR"/>
                            </w:rPr>
                            <w:t xml:space="preserve"> </w:t>
                          </w:r>
                          <w:proofErr w:type="spellStart"/>
                          <w:r w:rsidRPr="002C0341">
                            <w:rPr>
                              <w:i/>
                              <w:iCs/>
                              <w:sz w:val="14"/>
                              <w:szCs w:val="14"/>
                              <w:lang w:val="tr-TR"/>
                            </w:rPr>
                            <w:t>and</w:t>
                          </w:r>
                          <w:proofErr w:type="spellEnd"/>
                          <w:r w:rsidRPr="002C0341">
                            <w:rPr>
                              <w:i/>
                              <w:iCs/>
                              <w:sz w:val="14"/>
                              <w:szCs w:val="14"/>
                              <w:lang w:val="tr-TR"/>
                            </w:rPr>
                            <w:t xml:space="preserve"> IDA </w:t>
                          </w:r>
                          <w:proofErr w:type="spellStart"/>
                          <w:r w:rsidRPr="002C0341">
                            <w:rPr>
                              <w:i/>
                              <w:iCs/>
                              <w:sz w:val="14"/>
                              <w:szCs w:val="14"/>
                              <w:lang w:val="tr-TR"/>
                            </w:rPr>
                            <w:t>Credits</w:t>
                          </w:r>
                          <w:proofErr w:type="spellEnd"/>
                          <w:r w:rsidRPr="002C0341">
                            <w:rPr>
                              <w:i/>
                              <w:iCs/>
                              <w:sz w:val="14"/>
                              <w:szCs w:val="14"/>
                              <w:lang w:val="tr-TR"/>
                            </w:rPr>
                            <w:t xml:space="preserve"> </w:t>
                          </w:r>
                          <w:proofErr w:type="spellStart"/>
                          <w:r w:rsidRPr="002C0341">
                            <w:rPr>
                              <w:i/>
                              <w:iCs/>
                              <w:sz w:val="14"/>
                              <w:szCs w:val="14"/>
                              <w:lang w:val="tr-TR"/>
                            </w:rPr>
                            <w:t>and</w:t>
                          </w:r>
                          <w:proofErr w:type="spellEnd"/>
                          <w:r w:rsidRPr="002C0341">
                            <w:rPr>
                              <w:i/>
                              <w:iCs/>
                              <w:sz w:val="14"/>
                              <w:szCs w:val="14"/>
                              <w:lang w:val="tr-TR"/>
                            </w:rPr>
                            <w:t xml:space="preserve"> </w:t>
                          </w:r>
                          <w:proofErr w:type="spellStart"/>
                          <w:r w:rsidRPr="002C0341">
                            <w:rPr>
                              <w:i/>
                              <w:iCs/>
                              <w:sz w:val="14"/>
                              <w:szCs w:val="14"/>
                              <w:lang w:val="tr-TR"/>
                            </w:rPr>
                            <w:t>Grants</w:t>
                          </w:r>
                          <w:proofErr w:type="spellEnd"/>
                          <w:r w:rsidRPr="002C0341">
                            <w:rPr>
                              <w:sz w:val="14"/>
                              <w:szCs w:val="14"/>
                              <w:lang w:val="tr-TR"/>
                            </w:rPr>
                            <w:t xml:space="preserve">” başlıklı dokümanın, ilgili taraflar için bir hizmet olarak sağlanan bir çevirisidir. Uyuşmazlık olması halinde, İngilizce dilindeki resmi politika/prosedür geçerli olacaktır.   </w:t>
                          </w:r>
                        </w:p>
                        <w:p w14:paraId="6D3CBB53" w14:textId="77777777" w:rsidR="002C0341" w:rsidRPr="002C0341" w:rsidRDefault="002C0341" w:rsidP="002C0341">
                          <w:pPr>
                            <w:rPr>
                              <w:sz w:val="14"/>
                              <w:szCs w:val="14"/>
                            </w:rPr>
                          </w:pPr>
                        </w:p>
                        <w:p w14:paraId="4DEB4B80" w14:textId="77777777" w:rsidR="002C0341" w:rsidRPr="002C0341" w:rsidRDefault="002C0341" w:rsidP="002C0341">
                          <w:pPr>
                            <w:rPr>
                              <w:b/>
                              <w:bCs/>
                              <w:sz w:val="14"/>
                              <w:szCs w:val="14"/>
                            </w:rPr>
                          </w:pPr>
                          <w:r w:rsidRPr="002C0341">
                            <w:rPr>
                              <w:b/>
                              <w:bCs/>
                              <w:sz w:val="14"/>
                              <w:szCs w:val="14"/>
                            </w:rPr>
                            <w:t>Disclaimer for Policies/Procedures</w:t>
                          </w:r>
                        </w:p>
                        <w:p w14:paraId="56BC3A27" w14:textId="77777777" w:rsidR="002C0341" w:rsidRPr="002C0341" w:rsidRDefault="002C0341" w:rsidP="002C0341">
                          <w:pPr>
                            <w:rPr>
                              <w:sz w:val="14"/>
                              <w:szCs w:val="14"/>
                            </w:rPr>
                          </w:pPr>
                          <w:r w:rsidRPr="002C0341">
                            <w:rPr>
                              <w:sz w:val="14"/>
                              <w:szCs w:val="14"/>
                            </w:rPr>
                            <w:t>This document is a translation of “</w:t>
                          </w:r>
                          <w:r w:rsidRPr="002C0341">
                            <w:rPr>
                              <w:i/>
                              <w:iCs/>
                              <w:sz w:val="14"/>
                              <w:szCs w:val="14"/>
                            </w:rPr>
                            <w:t>Guidelines on Preventing and Combating Fraud and Corruption in Projects Financed by IBRD Loans and IDA Credits and Grants</w:t>
                          </w:r>
                          <w:r w:rsidRPr="002C0341">
                            <w:rPr>
                              <w:sz w:val="14"/>
                              <w:szCs w:val="14"/>
                            </w:rPr>
                            <w:t xml:space="preserve">”, revised as of July 1, 2016, which is  provided as a service to interested parties. In case of any discrepancies, the official policy/procedure in English governs. </w:t>
                          </w:r>
                        </w:p>
                        <w:p w14:paraId="0E0FBD0B" w14:textId="77777777" w:rsidR="002C0341" w:rsidRPr="002C0341" w:rsidRDefault="002C0341" w:rsidP="002C0341">
                          <w:pPr>
                            <w:rPr>
                              <w:sz w:val="14"/>
                              <w:szCs w:val="14"/>
                              <w:lang w:val="tr-TR"/>
                            </w:rPr>
                          </w:pPr>
                        </w:p>
                        <w:p w14:paraId="0CD3FE6E" w14:textId="77777777" w:rsidR="002C0341" w:rsidRPr="00177D43" w:rsidRDefault="002C0341" w:rsidP="002C0341">
                          <w:pPr>
                            <w:rPr>
                              <w:sz w:val="16"/>
                              <w:szCs w:val="16"/>
                              <w:lang w:val="tr-TR"/>
                            </w:rPr>
                          </w:pPr>
                        </w:p>
                        <w:p w14:paraId="3BD4749D" w14:textId="77777777" w:rsidR="002C0341" w:rsidRPr="00955FDA" w:rsidRDefault="002C0341" w:rsidP="002C0341">
                          <w:pPr>
                            <w:rPr>
                              <w:sz w:val="18"/>
                              <w:szCs w:val="18"/>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1E504" id="_x0000_t202" coordsize="21600,21600" o:spt="202" path="m,l,21600r21600,l21600,xe">
              <v:stroke joinstyle="miter"/>
              <v:path gradientshapeok="t" o:connecttype="rect"/>
            </v:shapetype>
            <v:shape id="Metin Kutusu 1" o:spid="_x0000_s1026" type="#_x0000_t202" style="position:absolute;margin-left:-38.75pt;margin-top:7.35pt;width:527.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" fillcolor="white [3201]" strokecolor="#4f81bd [3204]">
              <v:textbox>
                <w:txbxContent>
                  <w:p w14:paraId="04121C07" w14:textId="77777777" w:rsidR="002C0341" w:rsidRPr="002C0341" w:rsidRDefault="002C0341" w:rsidP="002C0341">
                    <w:pPr>
                      <w:rPr>
                        <w:sz w:val="14"/>
                        <w:szCs w:val="14"/>
                        <w:lang w:val="tr-TR"/>
                      </w:rPr>
                    </w:pPr>
                    <w:r w:rsidRPr="002C0341">
                      <w:rPr>
                        <w:b/>
                        <w:bCs/>
                        <w:sz w:val="14"/>
                        <w:szCs w:val="14"/>
                        <w:lang w:val="tr-TR"/>
                      </w:rPr>
                      <w:t xml:space="preserve">Politikalar/Prosedürler için Sorumluluk Reddi </w:t>
                    </w:r>
                  </w:p>
                  <w:p w14:paraId="45C9E400" w14:textId="77777777" w:rsidR="002C0341" w:rsidRPr="002C0341" w:rsidRDefault="002C0341" w:rsidP="002C0341">
                    <w:pPr>
                      <w:rPr>
                        <w:sz w:val="14"/>
                        <w:szCs w:val="14"/>
                        <w:lang w:val="tr-TR"/>
                      </w:rPr>
                    </w:pPr>
                    <w:r w:rsidRPr="002C0341">
                      <w:rPr>
                        <w:sz w:val="14"/>
                        <w:szCs w:val="14"/>
                        <w:lang w:val="tr-TR"/>
                      </w:rPr>
                      <w:t xml:space="preserve">Bu Doküman, 1 Temmuz 2016 tarihi itibariyle </w:t>
                    </w:r>
                    <w:proofErr w:type="gramStart"/>
                    <w:r w:rsidRPr="002C0341">
                      <w:rPr>
                        <w:sz w:val="14"/>
                        <w:szCs w:val="14"/>
                        <w:lang w:val="tr-TR"/>
                      </w:rPr>
                      <w:t>revize edilen</w:t>
                    </w:r>
                    <w:proofErr w:type="gramEnd"/>
                    <w:r w:rsidRPr="002C0341">
                      <w:rPr>
                        <w:sz w:val="14"/>
                        <w:szCs w:val="14"/>
                        <w:lang w:val="tr-TR"/>
                      </w:rPr>
                      <w:t xml:space="preserve"> “</w:t>
                    </w:r>
                    <w:proofErr w:type="spellStart"/>
                    <w:r w:rsidRPr="002C0341">
                      <w:rPr>
                        <w:i/>
                        <w:iCs/>
                        <w:sz w:val="14"/>
                        <w:szCs w:val="14"/>
                        <w:lang w:val="tr-TR"/>
                      </w:rPr>
                      <w:t>Guidelines</w:t>
                    </w:r>
                    <w:proofErr w:type="spellEnd"/>
                    <w:r w:rsidRPr="002C0341">
                      <w:rPr>
                        <w:i/>
                        <w:iCs/>
                        <w:sz w:val="14"/>
                        <w:szCs w:val="14"/>
                        <w:lang w:val="tr-TR"/>
                      </w:rPr>
                      <w:t xml:space="preserve"> on </w:t>
                    </w:r>
                    <w:proofErr w:type="spellStart"/>
                    <w:r w:rsidRPr="002C0341">
                      <w:rPr>
                        <w:i/>
                        <w:iCs/>
                        <w:sz w:val="14"/>
                        <w:szCs w:val="14"/>
                        <w:lang w:val="tr-TR"/>
                      </w:rPr>
                      <w:t>Preventing</w:t>
                    </w:r>
                    <w:proofErr w:type="spellEnd"/>
                    <w:r w:rsidRPr="002C0341">
                      <w:rPr>
                        <w:i/>
                        <w:iCs/>
                        <w:sz w:val="14"/>
                        <w:szCs w:val="14"/>
                        <w:lang w:val="tr-TR"/>
                      </w:rPr>
                      <w:t xml:space="preserve"> </w:t>
                    </w:r>
                    <w:proofErr w:type="spellStart"/>
                    <w:r w:rsidRPr="002C0341">
                      <w:rPr>
                        <w:i/>
                        <w:iCs/>
                        <w:sz w:val="14"/>
                        <w:szCs w:val="14"/>
                        <w:lang w:val="tr-TR"/>
                      </w:rPr>
                      <w:t>and</w:t>
                    </w:r>
                    <w:proofErr w:type="spellEnd"/>
                    <w:r w:rsidRPr="002C0341">
                      <w:rPr>
                        <w:i/>
                        <w:iCs/>
                        <w:sz w:val="14"/>
                        <w:szCs w:val="14"/>
                        <w:lang w:val="tr-TR"/>
                      </w:rPr>
                      <w:t xml:space="preserve"> </w:t>
                    </w:r>
                    <w:proofErr w:type="spellStart"/>
                    <w:r w:rsidRPr="002C0341">
                      <w:rPr>
                        <w:i/>
                        <w:iCs/>
                        <w:sz w:val="14"/>
                        <w:szCs w:val="14"/>
                        <w:lang w:val="tr-TR"/>
                      </w:rPr>
                      <w:t>Combating</w:t>
                    </w:r>
                    <w:proofErr w:type="spellEnd"/>
                    <w:r w:rsidRPr="002C0341">
                      <w:rPr>
                        <w:i/>
                        <w:iCs/>
                        <w:sz w:val="14"/>
                        <w:szCs w:val="14"/>
                        <w:lang w:val="tr-TR"/>
                      </w:rPr>
                      <w:t xml:space="preserve"> </w:t>
                    </w:r>
                    <w:proofErr w:type="spellStart"/>
                    <w:r w:rsidRPr="002C0341">
                      <w:rPr>
                        <w:i/>
                        <w:iCs/>
                        <w:sz w:val="14"/>
                        <w:szCs w:val="14"/>
                        <w:lang w:val="tr-TR"/>
                      </w:rPr>
                      <w:t>Fraud</w:t>
                    </w:r>
                    <w:proofErr w:type="spellEnd"/>
                    <w:r w:rsidRPr="002C0341">
                      <w:rPr>
                        <w:i/>
                        <w:iCs/>
                        <w:sz w:val="14"/>
                        <w:szCs w:val="14"/>
                        <w:lang w:val="tr-TR"/>
                      </w:rPr>
                      <w:t xml:space="preserve"> </w:t>
                    </w:r>
                    <w:proofErr w:type="spellStart"/>
                    <w:r w:rsidRPr="002C0341">
                      <w:rPr>
                        <w:i/>
                        <w:iCs/>
                        <w:sz w:val="14"/>
                        <w:szCs w:val="14"/>
                        <w:lang w:val="tr-TR"/>
                      </w:rPr>
                      <w:t>and</w:t>
                    </w:r>
                    <w:proofErr w:type="spellEnd"/>
                    <w:r w:rsidRPr="002C0341">
                      <w:rPr>
                        <w:i/>
                        <w:iCs/>
                        <w:sz w:val="14"/>
                        <w:szCs w:val="14"/>
                        <w:lang w:val="tr-TR"/>
                      </w:rPr>
                      <w:t xml:space="preserve"> </w:t>
                    </w:r>
                    <w:proofErr w:type="spellStart"/>
                    <w:r w:rsidRPr="002C0341">
                      <w:rPr>
                        <w:i/>
                        <w:iCs/>
                        <w:sz w:val="14"/>
                        <w:szCs w:val="14"/>
                        <w:lang w:val="tr-TR"/>
                      </w:rPr>
                      <w:t>Corruption</w:t>
                    </w:r>
                    <w:proofErr w:type="spellEnd"/>
                    <w:r w:rsidRPr="002C0341">
                      <w:rPr>
                        <w:i/>
                        <w:iCs/>
                        <w:sz w:val="14"/>
                        <w:szCs w:val="14"/>
                        <w:lang w:val="tr-TR"/>
                      </w:rPr>
                      <w:t xml:space="preserve"> in </w:t>
                    </w:r>
                    <w:proofErr w:type="spellStart"/>
                    <w:r w:rsidRPr="002C0341">
                      <w:rPr>
                        <w:i/>
                        <w:iCs/>
                        <w:sz w:val="14"/>
                        <w:szCs w:val="14"/>
                        <w:lang w:val="tr-TR"/>
                      </w:rPr>
                      <w:t>Projects</w:t>
                    </w:r>
                    <w:proofErr w:type="spellEnd"/>
                    <w:r w:rsidRPr="002C0341">
                      <w:rPr>
                        <w:i/>
                        <w:iCs/>
                        <w:sz w:val="14"/>
                        <w:szCs w:val="14"/>
                        <w:lang w:val="tr-TR"/>
                      </w:rPr>
                      <w:t xml:space="preserve"> </w:t>
                    </w:r>
                    <w:proofErr w:type="spellStart"/>
                    <w:r w:rsidRPr="002C0341">
                      <w:rPr>
                        <w:i/>
                        <w:iCs/>
                        <w:sz w:val="14"/>
                        <w:szCs w:val="14"/>
                        <w:lang w:val="tr-TR"/>
                      </w:rPr>
                      <w:t>Financed</w:t>
                    </w:r>
                    <w:proofErr w:type="spellEnd"/>
                    <w:r w:rsidRPr="002C0341">
                      <w:rPr>
                        <w:i/>
                        <w:iCs/>
                        <w:sz w:val="14"/>
                        <w:szCs w:val="14"/>
                        <w:lang w:val="tr-TR"/>
                      </w:rPr>
                      <w:t xml:space="preserve"> </w:t>
                    </w:r>
                    <w:proofErr w:type="spellStart"/>
                    <w:r w:rsidRPr="002C0341">
                      <w:rPr>
                        <w:i/>
                        <w:iCs/>
                        <w:sz w:val="14"/>
                        <w:szCs w:val="14"/>
                        <w:lang w:val="tr-TR"/>
                      </w:rPr>
                      <w:t>by</w:t>
                    </w:r>
                    <w:proofErr w:type="spellEnd"/>
                    <w:r w:rsidRPr="002C0341">
                      <w:rPr>
                        <w:i/>
                        <w:iCs/>
                        <w:sz w:val="14"/>
                        <w:szCs w:val="14"/>
                        <w:lang w:val="tr-TR"/>
                      </w:rPr>
                      <w:t xml:space="preserve"> IBRD </w:t>
                    </w:r>
                    <w:proofErr w:type="spellStart"/>
                    <w:r w:rsidRPr="002C0341">
                      <w:rPr>
                        <w:i/>
                        <w:iCs/>
                        <w:sz w:val="14"/>
                        <w:szCs w:val="14"/>
                        <w:lang w:val="tr-TR"/>
                      </w:rPr>
                      <w:t>Loans</w:t>
                    </w:r>
                    <w:proofErr w:type="spellEnd"/>
                    <w:r w:rsidRPr="002C0341">
                      <w:rPr>
                        <w:i/>
                        <w:iCs/>
                        <w:sz w:val="14"/>
                        <w:szCs w:val="14"/>
                        <w:lang w:val="tr-TR"/>
                      </w:rPr>
                      <w:t xml:space="preserve"> </w:t>
                    </w:r>
                    <w:proofErr w:type="spellStart"/>
                    <w:r w:rsidRPr="002C0341">
                      <w:rPr>
                        <w:i/>
                        <w:iCs/>
                        <w:sz w:val="14"/>
                        <w:szCs w:val="14"/>
                        <w:lang w:val="tr-TR"/>
                      </w:rPr>
                      <w:t>and</w:t>
                    </w:r>
                    <w:proofErr w:type="spellEnd"/>
                    <w:r w:rsidRPr="002C0341">
                      <w:rPr>
                        <w:i/>
                        <w:iCs/>
                        <w:sz w:val="14"/>
                        <w:szCs w:val="14"/>
                        <w:lang w:val="tr-TR"/>
                      </w:rPr>
                      <w:t xml:space="preserve"> IDA </w:t>
                    </w:r>
                    <w:proofErr w:type="spellStart"/>
                    <w:r w:rsidRPr="002C0341">
                      <w:rPr>
                        <w:i/>
                        <w:iCs/>
                        <w:sz w:val="14"/>
                        <w:szCs w:val="14"/>
                        <w:lang w:val="tr-TR"/>
                      </w:rPr>
                      <w:t>Credits</w:t>
                    </w:r>
                    <w:proofErr w:type="spellEnd"/>
                    <w:r w:rsidRPr="002C0341">
                      <w:rPr>
                        <w:i/>
                        <w:iCs/>
                        <w:sz w:val="14"/>
                        <w:szCs w:val="14"/>
                        <w:lang w:val="tr-TR"/>
                      </w:rPr>
                      <w:t xml:space="preserve"> </w:t>
                    </w:r>
                    <w:proofErr w:type="spellStart"/>
                    <w:r w:rsidRPr="002C0341">
                      <w:rPr>
                        <w:i/>
                        <w:iCs/>
                        <w:sz w:val="14"/>
                        <w:szCs w:val="14"/>
                        <w:lang w:val="tr-TR"/>
                      </w:rPr>
                      <w:t>and</w:t>
                    </w:r>
                    <w:proofErr w:type="spellEnd"/>
                    <w:r w:rsidRPr="002C0341">
                      <w:rPr>
                        <w:i/>
                        <w:iCs/>
                        <w:sz w:val="14"/>
                        <w:szCs w:val="14"/>
                        <w:lang w:val="tr-TR"/>
                      </w:rPr>
                      <w:t xml:space="preserve"> </w:t>
                    </w:r>
                    <w:proofErr w:type="spellStart"/>
                    <w:r w:rsidRPr="002C0341">
                      <w:rPr>
                        <w:i/>
                        <w:iCs/>
                        <w:sz w:val="14"/>
                        <w:szCs w:val="14"/>
                        <w:lang w:val="tr-TR"/>
                      </w:rPr>
                      <w:t>Grants</w:t>
                    </w:r>
                    <w:proofErr w:type="spellEnd"/>
                    <w:r w:rsidRPr="002C0341">
                      <w:rPr>
                        <w:sz w:val="14"/>
                        <w:szCs w:val="14"/>
                        <w:lang w:val="tr-TR"/>
                      </w:rPr>
                      <w:t xml:space="preserve">” başlıklı dokümanın, ilgili taraflar için bir hizmet olarak sağlanan bir çevirisidir. Uyuşmazlık olması halinde, İngilizce dilindeki resmi politika/prosedür geçerli olacaktır.   </w:t>
                    </w:r>
                  </w:p>
                  <w:p w14:paraId="6D3CBB53" w14:textId="77777777" w:rsidR="002C0341" w:rsidRPr="002C0341" w:rsidRDefault="002C0341" w:rsidP="002C0341">
                    <w:pPr>
                      <w:rPr>
                        <w:sz w:val="14"/>
                        <w:szCs w:val="14"/>
                      </w:rPr>
                    </w:pPr>
                  </w:p>
                  <w:p w14:paraId="4DEB4B80" w14:textId="77777777" w:rsidR="002C0341" w:rsidRPr="002C0341" w:rsidRDefault="002C0341" w:rsidP="002C0341">
                    <w:pPr>
                      <w:rPr>
                        <w:b/>
                        <w:bCs/>
                        <w:sz w:val="14"/>
                        <w:szCs w:val="14"/>
                      </w:rPr>
                    </w:pPr>
                    <w:r w:rsidRPr="002C0341">
                      <w:rPr>
                        <w:b/>
                        <w:bCs/>
                        <w:sz w:val="14"/>
                        <w:szCs w:val="14"/>
                      </w:rPr>
                      <w:t>Disclaimer for Policies/Procedures</w:t>
                    </w:r>
                  </w:p>
                  <w:p w14:paraId="56BC3A27" w14:textId="77777777" w:rsidR="002C0341" w:rsidRPr="002C0341" w:rsidRDefault="002C0341" w:rsidP="002C0341">
                    <w:pPr>
                      <w:rPr>
                        <w:sz w:val="14"/>
                        <w:szCs w:val="14"/>
                      </w:rPr>
                    </w:pPr>
                    <w:r w:rsidRPr="002C0341">
                      <w:rPr>
                        <w:sz w:val="14"/>
                        <w:szCs w:val="14"/>
                      </w:rPr>
                      <w:t>This document is a translation of “</w:t>
                    </w:r>
                    <w:r w:rsidRPr="002C0341">
                      <w:rPr>
                        <w:i/>
                        <w:iCs/>
                        <w:sz w:val="14"/>
                        <w:szCs w:val="14"/>
                      </w:rPr>
                      <w:t>Guidelines on Preventing and Combating Fraud and Corruption in Projects Financed by IBRD Loans and IDA Credits and Grants</w:t>
                    </w:r>
                    <w:r w:rsidRPr="002C0341">
                      <w:rPr>
                        <w:sz w:val="14"/>
                        <w:szCs w:val="14"/>
                      </w:rPr>
                      <w:t xml:space="preserve">”, revised as of July 1, 2016, which is  provided as a service to interested parties. In case of any discrepancies, the official policy/procedure in English governs. </w:t>
                    </w:r>
                  </w:p>
                  <w:p w14:paraId="0E0FBD0B" w14:textId="77777777" w:rsidR="002C0341" w:rsidRPr="002C0341" w:rsidRDefault="002C0341" w:rsidP="002C0341">
                    <w:pPr>
                      <w:rPr>
                        <w:sz w:val="14"/>
                        <w:szCs w:val="14"/>
                        <w:lang w:val="tr-TR"/>
                      </w:rPr>
                    </w:pPr>
                  </w:p>
                  <w:p w14:paraId="0CD3FE6E" w14:textId="77777777" w:rsidR="002C0341" w:rsidRPr="00177D43" w:rsidRDefault="002C0341" w:rsidP="002C0341">
                    <w:pPr>
                      <w:rPr>
                        <w:sz w:val="16"/>
                        <w:szCs w:val="16"/>
                        <w:lang w:val="tr-TR"/>
                      </w:rPr>
                    </w:pPr>
                  </w:p>
                  <w:p w14:paraId="3BD4749D" w14:textId="77777777" w:rsidR="002C0341" w:rsidRPr="00955FDA" w:rsidRDefault="002C0341" w:rsidP="002C0341">
                    <w:pPr>
                      <w:rPr>
                        <w:sz w:val="18"/>
                        <w:szCs w:val="18"/>
                        <w:lang w:val="tr-TR"/>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D02"/>
    <w:multiLevelType w:val="hybridMultilevel"/>
    <w:tmpl w:val="779AD56C"/>
    <w:lvl w:ilvl="0" w:tplc="1C30E188">
      <w:start w:val="1"/>
      <w:numFmt w:val="lowerLetter"/>
      <w:lvlText w:val="(%1)"/>
      <w:lvlJc w:val="left"/>
      <w:pPr>
        <w:ind w:left="1674" w:hanging="701"/>
        <w:jc w:val="left"/>
      </w:pPr>
      <w:rPr>
        <w:rFonts w:ascii="Times New Roman" w:eastAsia="Times New Roman" w:hAnsi="Times New Roman" w:cs="Times New Roman" w:hint="default"/>
        <w:b w:val="0"/>
        <w:bCs w:val="0"/>
        <w:i w:val="0"/>
        <w:iCs w:val="0"/>
        <w:spacing w:val="-8"/>
        <w:w w:val="105"/>
        <w:sz w:val="24"/>
        <w:szCs w:val="24"/>
        <w:lang w:val="en-US" w:eastAsia="en-US" w:bidi="ar-SA"/>
      </w:rPr>
    </w:lvl>
    <w:lvl w:ilvl="1" w:tplc="BF944AA8">
      <w:numFmt w:val="bullet"/>
      <w:lvlText w:val="•"/>
      <w:lvlJc w:val="left"/>
      <w:pPr>
        <w:ind w:left="2416" w:hanging="701"/>
      </w:pPr>
      <w:rPr>
        <w:rFonts w:hint="default"/>
        <w:lang w:val="en-US" w:eastAsia="en-US" w:bidi="ar-SA"/>
      </w:rPr>
    </w:lvl>
    <w:lvl w:ilvl="2" w:tplc="9C04F5C8">
      <w:numFmt w:val="bullet"/>
      <w:lvlText w:val="•"/>
      <w:lvlJc w:val="left"/>
      <w:pPr>
        <w:ind w:left="3152" w:hanging="701"/>
      </w:pPr>
      <w:rPr>
        <w:rFonts w:hint="default"/>
        <w:lang w:val="en-US" w:eastAsia="en-US" w:bidi="ar-SA"/>
      </w:rPr>
    </w:lvl>
    <w:lvl w:ilvl="3" w:tplc="9E8E50E6">
      <w:numFmt w:val="bullet"/>
      <w:lvlText w:val="•"/>
      <w:lvlJc w:val="left"/>
      <w:pPr>
        <w:ind w:left="3888" w:hanging="701"/>
      </w:pPr>
      <w:rPr>
        <w:rFonts w:hint="default"/>
        <w:lang w:val="en-US" w:eastAsia="en-US" w:bidi="ar-SA"/>
      </w:rPr>
    </w:lvl>
    <w:lvl w:ilvl="4" w:tplc="1AF22B5C">
      <w:numFmt w:val="bullet"/>
      <w:lvlText w:val="•"/>
      <w:lvlJc w:val="left"/>
      <w:pPr>
        <w:ind w:left="4624" w:hanging="701"/>
      </w:pPr>
      <w:rPr>
        <w:rFonts w:hint="default"/>
        <w:lang w:val="en-US" w:eastAsia="en-US" w:bidi="ar-SA"/>
      </w:rPr>
    </w:lvl>
    <w:lvl w:ilvl="5" w:tplc="D46E3EA0">
      <w:numFmt w:val="bullet"/>
      <w:lvlText w:val="•"/>
      <w:lvlJc w:val="left"/>
      <w:pPr>
        <w:ind w:left="5360" w:hanging="701"/>
      </w:pPr>
      <w:rPr>
        <w:rFonts w:hint="default"/>
        <w:lang w:val="en-US" w:eastAsia="en-US" w:bidi="ar-SA"/>
      </w:rPr>
    </w:lvl>
    <w:lvl w:ilvl="6" w:tplc="E0444E82">
      <w:numFmt w:val="bullet"/>
      <w:lvlText w:val="•"/>
      <w:lvlJc w:val="left"/>
      <w:pPr>
        <w:ind w:left="6096" w:hanging="701"/>
      </w:pPr>
      <w:rPr>
        <w:rFonts w:hint="default"/>
        <w:lang w:val="en-US" w:eastAsia="en-US" w:bidi="ar-SA"/>
      </w:rPr>
    </w:lvl>
    <w:lvl w:ilvl="7" w:tplc="5C0C8E94">
      <w:numFmt w:val="bullet"/>
      <w:lvlText w:val="•"/>
      <w:lvlJc w:val="left"/>
      <w:pPr>
        <w:ind w:left="6832" w:hanging="701"/>
      </w:pPr>
      <w:rPr>
        <w:rFonts w:hint="default"/>
        <w:lang w:val="en-US" w:eastAsia="en-US" w:bidi="ar-SA"/>
      </w:rPr>
    </w:lvl>
    <w:lvl w:ilvl="8" w:tplc="42868120">
      <w:numFmt w:val="bullet"/>
      <w:lvlText w:val="•"/>
      <w:lvlJc w:val="left"/>
      <w:pPr>
        <w:ind w:left="7568" w:hanging="701"/>
      </w:pPr>
      <w:rPr>
        <w:rFonts w:hint="default"/>
        <w:lang w:val="en-US" w:eastAsia="en-US" w:bidi="ar-SA"/>
      </w:rPr>
    </w:lvl>
  </w:abstractNum>
  <w:abstractNum w:abstractNumId="1" w15:restartNumberingAfterBreak="0">
    <w:nsid w:val="0C5D76EA"/>
    <w:multiLevelType w:val="hybridMultilevel"/>
    <w:tmpl w:val="6C9AE9D0"/>
    <w:lvl w:ilvl="0" w:tplc="8C9830C2">
      <w:start w:val="1"/>
      <w:numFmt w:val="decimal"/>
      <w:lvlText w:val="%1."/>
      <w:lvlJc w:val="left"/>
      <w:pPr>
        <w:ind w:left="162" w:hanging="792"/>
        <w:jc w:val="right"/>
      </w:pPr>
      <w:rPr>
        <w:rFonts w:ascii="Times New Roman" w:eastAsia="Times New Roman" w:hAnsi="Times New Roman" w:cs="Times New Roman" w:hint="default"/>
        <w:b w:val="0"/>
        <w:bCs w:val="0"/>
        <w:i w:val="0"/>
        <w:iCs w:val="0"/>
        <w:spacing w:val="-4"/>
        <w:w w:val="105"/>
        <w:sz w:val="24"/>
        <w:szCs w:val="24"/>
        <w:lang w:val="en-US" w:eastAsia="en-US" w:bidi="ar-SA"/>
      </w:rPr>
    </w:lvl>
    <w:lvl w:ilvl="1" w:tplc="07E2C4BC">
      <w:start w:val="1"/>
      <w:numFmt w:val="lowerLetter"/>
      <w:lvlText w:val="%2)"/>
      <w:lvlJc w:val="left"/>
      <w:pPr>
        <w:ind w:left="1602" w:hanging="634"/>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2" w:tplc="D4ECF9A0">
      <w:numFmt w:val="bullet"/>
      <w:lvlText w:val="•"/>
      <w:lvlJc w:val="left"/>
      <w:pPr>
        <w:ind w:left="2426" w:hanging="634"/>
      </w:pPr>
      <w:rPr>
        <w:rFonts w:hint="default"/>
        <w:lang w:val="en-US" w:eastAsia="en-US" w:bidi="ar-SA"/>
      </w:rPr>
    </w:lvl>
    <w:lvl w:ilvl="3" w:tplc="239C9972">
      <w:numFmt w:val="bullet"/>
      <w:lvlText w:val="•"/>
      <w:lvlJc w:val="left"/>
      <w:pPr>
        <w:ind w:left="3253" w:hanging="634"/>
      </w:pPr>
      <w:rPr>
        <w:rFonts w:hint="default"/>
        <w:lang w:val="en-US" w:eastAsia="en-US" w:bidi="ar-SA"/>
      </w:rPr>
    </w:lvl>
    <w:lvl w:ilvl="4" w:tplc="0F4E8522">
      <w:numFmt w:val="bullet"/>
      <w:lvlText w:val="•"/>
      <w:lvlJc w:val="left"/>
      <w:pPr>
        <w:ind w:left="4080" w:hanging="634"/>
      </w:pPr>
      <w:rPr>
        <w:rFonts w:hint="default"/>
        <w:lang w:val="en-US" w:eastAsia="en-US" w:bidi="ar-SA"/>
      </w:rPr>
    </w:lvl>
    <w:lvl w:ilvl="5" w:tplc="00CCFC76">
      <w:numFmt w:val="bullet"/>
      <w:lvlText w:val="•"/>
      <w:lvlJc w:val="left"/>
      <w:pPr>
        <w:ind w:left="4906" w:hanging="634"/>
      </w:pPr>
      <w:rPr>
        <w:rFonts w:hint="default"/>
        <w:lang w:val="en-US" w:eastAsia="en-US" w:bidi="ar-SA"/>
      </w:rPr>
    </w:lvl>
    <w:lvl w:ilvl="6" w:tplc="038EB032">
      <w:numFmt w:val="bullet"/>
      <w:lvlText w:val="•"/>
      <w:lvlJc w:val="left"/>
      <w:pPr>
        <w:ind w:left="5733" w:hanging="634"/>
      </w:pPr>
      <w:rPr>
        <w:rFonts w:hint="default"/>
        <w:lang w:val="en-US" w:eastAsia="en-US" w:bidi="ar-SA"/>
      </w:rPr>
    </w:lvl>
    <w:lvl w:ilvl="7" w:tplc="09ECF36A">
      <w:numFmt w:val="bullet"/>
      <w:lvlText w:val="•"/>
      <w:lvlJc w:val="left"/>
      <w:pPr>
        <w:ind w:left="6560" w:hanging="634"/>
      </w:pPr>
      <w:rPr>
        <w:rFonts w:hint="default"/>
        <w:lang w:val="en-US" w:eastAsia="en-US" w:bidi="ar-SA"/>
      </w:rPr>
    </w:lvl>
    <w:lvl w:ilvl="8" w:tplc="C58ACA4A">
      <w:numFmt w:val="bullet"/>
      <w:lvlText w:val="•"/>
      <w:lvlJc w:val="left"/>
      <w:pPr>
        <w:ind w:left="7386" w:hanging="634"/>
      </w:pPr>
      <w:rPr>
        <w:rFonts w:hint="default"/>
        <w:lang w:val="en-US" w:eastAsia="en-US" w:bidi="ar-SA"/>
      </w:rPr>
    </w:lvl>
  </w:abstractNum>
  <w:abstractNum w:abstractNumId="2" w15:restartNumberingAfterBreak="0">
    <w:nsid w:val="65C50141"/>
    <w:multiLevelType w:val="hybridMultilevel"/>
    <w:tmpl w:val="9FFE4F96"/>
    <w:lvl w:ilvl="0" w:tplc="9B22CE6A">
      <w:start w:val="1"/>
      <w:numFmt w:val="lowerLetter"/>
      <w:lvlText w:val="(%1)"/>
      <w:lvlJc w:val="left"/>
      <w:pPr>
        <w:ind w:left="882" w:hanging="360"/>
        <w:jc w:val="left"/>
      </w:pPr>
      <w:rPr>
        <w:rFonts w:ascii="Times New Roman" w:eastAsia="Times New Roman" w:hAnsi="Times New Roman" w:cs="Times New Roman" w:hint="default"/>
        <w:b w:val="0"/>
        <w:bCs w:val="0"/>
        <w:i w:val="0"/>
        <w:iCs w:val="0"/>
        <w:spacing w:val="-10"/>
        <w:w w:val="105"/>
        <w:sz w:val="24"/>
        <w:szCs w:val="24"/>
        <w:lang w:val="en-US" w:eastAsia="en-US" w:bidi="ar-SA"/>
      </w:rPr>
    </w:lvl>
    <w:lvl w:ilvl="1" w:tplc="6E02B6E8">
      <w:numFmt w:val="bullet"/>
      <w:lvlText w:val="•"/>
      <w:lvlJc w:val="left"/>
      <w:pPr>
        <w:ind w:left="1696" w:hanging="360"/>
      </w:pPr>
      <w:rPr>
        <w:rFonts w:hint="default"/>
        <w:lang w:val="en-US" w:eastAsia="en-US" w:bidi="ar-SA"/>
      </w:rPr>
    </w:lvl>
    <w:lvl w:ilvl="2" w:tplc="849A8E2E">
      <w:numFmt w:val="bullet"/>
      <w:lvlText w:val="•"/>
      <w:lvlJc w:val="left"/>
      <w:pPr>
        <w:ind w:left="2512" w:hanging="360"/>
      </w:pPr>
      <w:rPr>
        <w:rFonts w:hint="default"/>
        <w:lang w:val="en-US" w:eastAsia="en-US" w:bidi="ar-SA"/>
      </w:rPr>
    </w:lvl>
    <w:lvl w:ilvl="3" w:tplc="032293A2">
      <w:numFmt w:val="bullet"/>
      <w:lvlText w:val="•"/>
      <w:lvlJc w:val="left"/>
      <w:pPr>
        <w:ind w:left="3328" w:hanging="360"/>
      </w:pPr>
      <w:rPr>
        <w:rFonts w:hint="default"/>
        <w:lang w:val="en-US" w:eastAsia="en-US" w:bidi="ar-SA"/>
      </w:rPr>
    </w:lvl>
    <w:lvl w:ilvl="4" w:tplc="44B68C7E">
      <w:numFmt w:val="bullet"/>
      <w:lvlText w:val="•"/>
      <w:lvlJc w:val="left"/>
      <w:pPr>
        <w:ind w:left="4144" w:hanging="360"/>
      </w:pPr>
      <w:rPr>
        <w:rFonts w:hint="default"/>
        <w:lang w:val="en-US" w:eastAsia="en-US" w:bidi="ar-SA"/>
      </w:rPr>
    </w:lvl>
    <w:lvl w:ilvl="5" w:tplc="5DBA3EA4">
      <w:numFmt w:val="bullet"/>
      <w:lvlText w:val="•"/>
      <w:lvlJc w:val="left"/>
      <w:pPr>
        <w:ind w:left="4960" w:hanging="360"/>
      </w:pPr>
      <w:rPr>
        <w:rFonts w:hint="default"/>
        <w:lang w:val="en-US" w:eastAsia="en-US" w:bidi="ar-SA"/>
      </w:rPr>
    </w:lvl>
    <w:lvl w:ilvl="6" w:tplc="681C51C8">
      <w:numFmt w:val="bullet"/>
      <w:lvlText w:val="•"/>
      <w:lvlJc w:val="left"/>
      <w:pPr>
        <w:ind w:left="5776" w:hanging="360"/>
      </w:pPr>
      <w:rPr>
        <w:rFonts w:hint="default"/>
        <w:lang w:val="en-US" w:eastAsia="en-US" w:bidi="ar-SA"/>
      </w:rPr>
    </w:lvl>
    <w:lvl w:ilvl="7" w:tplc="D8DE74B8">
      <w:numFmt w:val="bullet"/>
      <w:lvlText w:val="•"/>
      <w:lvlJc w:val="left"/>
      <w:pPr>
        <w:ind w:left="6592" w:hanging="360"/>
      </w:pPr>
      <w:rPr>
        <w:rFonts w:hint="default"/>
        <w:lang w:val="en-US" w:eastAsia="en-US" w:bidi="ar-SA"/>
      </w:rPr>
    </w:lvl>
    <w:lvl w:ilvl="8" w:tplc="2C866F0A">
      <w:numFmt w:val="bullet"/>
      <w:lvlText w:val="•"/>
      <w:lvlJc w:val="left"/>
      <w:pPr>
        <w:ind w:left="7408" w:hanging="360"/>
      </w:pPr>
      <w:rPr>
        <w:rFonts w:hint="default"/>
        <w:lang w:val="en-US" w:eastAsia="en-US" w:bidi="ar-SA"/>
      </w:rPr>
    </w:lvl>
  </w:abstractNum>
  <w:abstractNum w:abstractNumId="3" w15:restartNumberingAfterBreak="0">
    <w:nsid w:val="788E3336"/>
    <w:multiLevelType w:val="hybridMultilevel"/>
    <w:tmpl w:val="931ACA2A"/>
    <w:lvl w:ilvl="0" w:tplc="5E7892B6">
      <w:start w:val="1"/>
      <w:numFmt w:val="lowerLetter"/>
      <w:lvlText w:val="(%1)"/>
      <w:lvlJc w:val="left"/>
      <w:pPr>
        <w:ind w:left="968" w:hanging="706"/>
        <w:jc w:val="left"/>
      </w:pPr>
      <w:rPr>
        <w:rFonts w:ascii="Times New Roman" w:eastAsia="Times New Roman" w:hAnsi="Times New Roman" w:cs="Times New Roman" w:hint="default"/>
        <w:b w:val="0"/>
        <w:bCs w:val="0"/>
        <w:i w:val="0"/>
        <w:iCs w:val="0"/>
        <w:spacing w:val="-5"/>
        <w:w w:val="105"/>
        <w:sz w:val="24"/>
        <w:szCs w:val="24"/>
        <w:lang w:val="en-US" w:eastAsia="en-US" w:bidi="ar-SA"/>
      </w:rPr>
    </w:lvl>
    <w:lvl w:ilvl="1" w:tplc="EA0670AC">
      <w:numFmt w:val="bullet"/>
      <w:lvlText w:val="•"/>
      <w:lvlJc w:val="left"/>
      <w:pPr>
        <w:ind w:left="1768" w:hanging="706"/>
      </w:pPr>
      <w:rPr>
        <w:rFonts w:hint="default"/>
        <w:lang w:val="en-US" w:eastAsia="en-US" w:bidi="ar-SA"/>
      </w:rPr>
    </w:lvl>
    <w:lvl w:ilvl="2" w:tplc="06487150">
      <w:numFmt w:val="bullet"/>
      <w:lvlText w:val="•"/>
      <w:lvlJc w:val="left"/>
      <w:pPr>
        <w:ind w:left="2576" w:hanging="706"/>
      </w:pPr>
      <w:rPr>
        <w:rFonts w:hint="default"/>
        <w:lang w:val="en-US" w:eastAsia="en-US" w:bidi="ar-SA"/>
      </w:rPr>
    </w:lvl>
    <w:lvl w:ilvl="3" w:tplc="62DAB40A">
      <w:numFmt w:val="bullet"/>
      <w:lvlText w:val="•"/>
      <w:lvlJc w:val="left"/>
      <w:pPr>
        <w:ind w:left="3384" w:hanging="706"/>
      </w:pPr>
      <w:rPr>
        <w:rFonts w:hint="default"/>
        <w:lang w:val="en-US" w:eastAsia="en-US" w:bidi="ar-SA"/>
      </w:rPr>
    </w:lvl>
    <w:lvl w:ilvl="4" w:tplc="7A2A231C">
      <w:numFmt w:val="bullet"/>
      <w:lvlText w:val="•"/>
      <w:lvlJc w:val="left"/>
      <w:pPr>
        <w:ind w:left="4192" w:hanging="706"/>
      </w:pPr>
      <w:rPr>
        <w:rFonts w:hint="default"/>
        <w:lang w:val="en-US" w:eastAsia="en-US" w:bidi="ar-SA"/>
      </w:rPr>
    </w:lvl>
    <w:lvl w:ilvl="5" w:tplc="6ABAF420">
      <w:numFmt w:val="bullet"/>
      <w:lvlText w:val="•"/>
      <w:lvlJc w:val="left"/>
      <w:pPr>
        <w:ind w:left="5000" w:hanging="706"/>
      </w:pPr>
      <w:rPr>
        <w:rFonts w:hint="default"/>
        <w:lang w:val="en-US" w:eastAsia="en-US" w:bidi="ar-SA"/>
      </w:rPr>
    </w:lvl>
    <w:lvl w:ilvl="6" w:tplc="2B9E8FB8">
      <w:numFmt w:val="bullet"/>
      <w:lvlText w:val="•"/>
      <w:lvlJc w:val="left"/>
      <w:pPr>
        <w:ind w:left="5808" w:hanging="706"/>
      </w:pPr>
      <w:rPr>
        <w:rFonts w:hint="default"/>
        <w:lang w:val="en-US" w:eastAsia="en-US" w:bidi="ar-SA"/>
      </w:rPr>
    </w:lvl>
    <w:lvl w:ilvl="7" w:tplc="FBDE0CC6">
      <w:numFmt w:val="bullet"/>
      <w:lvlText w:val="•"/>
      <w:lvlJc w:val="left"/>
      <w:pPr>
        <w:ind w:left="6616" w:hanging="706"/>
      </w:pPr>
      <w:rPr>
        <w:rFonts w:hint="default"/>
        <w:lang w:val="en-US" w:eastAsia="en-US" w:bidi="ar-SA"/>
      </w:rPr>
    </w:lvl>
    <w:lvl w:ilvl="8" w:tplc="5DFC1B26">
      <w:numFmt w:val="bullet"/>
      <w:lvlText w:val="•"/>
      <w:lvlJc w:val="left"/>
      <w:pPr>
        <w:ind w:left="7424" w:hanging="706"/>
      </w:pPr>
      <w:rPr>
        <w:rFonts w:hint="default"/>
        <w:lang w:val="en-US" w:eastAsia="en-US" w:bidi="ar-SA"/>
      </w:rPr>
    </w:lvl>
  </w:abstractNum>
  <w:num w:numId="1" w16cid:durableId="1578977554">
    <w:abstractNumId w:val="2"/>
  </w:num>
  <w:num w:numId="2" w16cid:durableId="312678714">
    <w:abstractNumId w:val="0"/>
  </w:num>
  <w:num w:numId="3" w16cid:durableId="1122459190">
    <w:abstractNumId w:val="3"/>
  </w:num>
  <w:num w:numId="4" w16cid:durableId="2073842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E5"/>
    <w:rsid w:val="000556B1"/>
    <w:rsid w:val="00093B0E"/>
    <w:rsid w:val="000E6AAF"/>
    <w:rsid w:val="00121D90"/>
    <w:rsid w:val="00125274"/>
    <w:rsid w:val="00145050"/>
    <w:rsid w:val="00146C16"/>
    <w:rsid w:val="00177D43"/>
    <w:rsid w:val="00182EAD"/>
    <w:rsid w:val="001A1A86"/>
    <w:rsid w:val="00200B91"/>
    <w:rsid w:val="0022532D"/>
    <w:rsid w:val="00245C9D"/>
    <w:rsid w:val="002659E2"/>
    <w:rsid w:val="00275C25"/>
    <w:rsid w:val="002C0341"/>
    <w:rsid w:val="002E0270"/>
    <w:rsid w:val="002F1874"/>
    <w:rsid w:val="002F2E5F"/>
    <w:rsid w:val="002F4BC2"/>
    <w:rsid w:val="003367C9"/>
    <w:rsid w:val="00391F7A"/>
    <w:rsid w:val="003A62D7"/>
    <w:rsid w:val="003A6D1C"/>
    <w:rsid w:val="003B2CDF"/>
    <w:rsid w:val="003E6E43"/>
    <w:rsid w:val="003F2E0F"/>
    <w:rsid w:val="00403197"/>
    <w:rsid w:val="0042325A"/>
    <w:rsid w:val="004336D0"/>
    <w:rsid w:val="004668E1"/>
    <w:rsid w:val="005969EE"/>
    <w:rsid w:val="005A2C9C"/>
    <w:rsid w:val="005F0C1E"/>
    <w:rsid w:val="00610DE5"/>
    <w:rsid w:val="00610E0D"/>
    <w:rsid w:val="00646D3E"/>
    <w:rsid w:val="00653BFE"/>
    <w:rsid w:val="00666922"/>
    <w:rsid w:val="006671AF"/>
    <w:rsid w:val="00697AAD"/>
    <w:rsid w:val="006A6789"/>
    <w:rsid w:val="006B4590"/>
    <w:rsid w:val="006E29C2"/>
    <w:rsid w:val="006F3CA2"/>
    <w:rsid w:val="006F6B2F"/>
    <w:rsid w:val="00717B0D"/>
    <w:rsid w:val="0072049B"/>
    <w:rsid w:val="00754220"/>
    <w:rsid w:val="007616EC"/>
    <w:rsid w:val="00780B12"/>
    <w:rsid w:val="007D0245"/>
    <w:rsid w:val="007E1332"/>
    <w:rsid w:val="00803982"/>
    <w:rsid w:val="00810D71"/>
    <w:rsid w:val="00816686"/>
    <w:rsid w:val="00876861"/>
    <w:rsid w:val="00885CA2"/>
    <w:rsid w:val="008D2567"/>
    <w:rsid w:val="00946985"/>
    <w:rsid w:val="0095527B"/>
    <w:rsid w:val="00955FDA"/>
    <w:rsid w:val="00963ED2"/>
    <w:rsid w:val="00964CE1"/>
    <w:rsid w:val="009931A7"/>
    <w:rsid w:val="009B1116"/>
    <w:rsid w:val="009C0BB0"/>
    <w:rsid w:val="00A03FAF"/>
    <w:rsid w:val="00A074D8"/>
    <w:rsid w:val="00A312EB"/>
    <w:rsid w:val="00A926B1"/>
    <w:rsid w:val="00AD1B3E"/>
    <w:rsid w:val="00AD4B4F"/>
    <w:rsid w:val="00B02570"/>
    <w:rsid w:val="00B4260D"/>
    <w:rsid w:val="00B56186"/>
    <w:rsid w:val="00B574C6"/>
    <w:rsid w:val="00B6691A"/>
    <w:rsid w:val="00B8307D"/>
    <w:rsid w:val="00BE5861"/>
    <w:rsid w:val="00C06C8E"/>
    <w:rsid w:val="00C1662C"/>
    <w:rsid w:val="00C53109"/>
    <w:rsid w:val="00C871B5"/>
    <w:rsid w:val="00CA1EE4"/>
    <w:rsid w:val="00CA2B89"/>
    <w:rsid w:val="00CB6B3E"/>
    <w:rsid w:val="00CD613C"/>
    <w:rsid w:val="00CF5DC5"/>
    <w:rsid w:val="00D150B3"/>
    <w:rsid w:val="00D16B05"/>
    <w:rsid w:val="00D324C9"/>
    <w:rsid w:val="00D97BF5"/>
    <w:rsid w:val="00DF6858"/>
    <w:rsid w:val="00E02706"/>
    <w:rsid w:val="00E22B71"/>
    <w:rsid w:val="00E442C9"/>
    <w:rsid w:val="00EA3FB9"/>
    <w:rsid w:val="00ED305C"/>
    <w:rsid w:val="00FD0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B611"/>
  <w15:docId w15:val="{0EE02B86-946C-4DB2-8208-B4573BFB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6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70"/>
      <w:ind w:left="2353"/>
    </w:pPr>
    <w:rPr>
      <w:rFonts w:ascii="Arial" w:eastAsia="Arial" w:hAnsi="Arial" w:cs="Arial"/>
      <w:b/>
      <w:bCs/>
      <w:sz w:val="48"/>
      <w:szCs w:val="48"/>
    </w:rPr>
  </w:style>
  <w:style w:type="paragraph" w:styleId="ListeParagraf">
    <w:name w:val="List Paragraph"/>
    <w:basedOn w:val="Normal"/>
    <w:uiPriority w:val="1"/>
    <w:qFormat/>
    <w:pPr>
      <w:ind w:left="162" w:right="12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E5861"/>
    <w:pPr>
      <w:tabs>
        <w:tab w:val="center" w:pos="4536"/>
        <w:tab w:val="right" w:pos="9072"/>
      </w:tabs>
    </w:pPr>
  </w:style>
  <w:style w:type="character" w:customStyle="1" w:styleId="stBilgiChar">
    <w:name w:val="Üst Bilgi Char"/>
    <w:basedOn w:val="VarsaylanParagrafYazTipi"/>
    <w:link w:val="stBilgi"/>
    <w:uiPriority w:val="99"/>
    <w:rsid w:val="00BE5861"/>
    <w:rPr>
      <w:rFonts w:ascii="Times New Roman" w:eastAsia="Times New Roman" w:hAnsi="Times New Roman" w:cs="Times New Roman"/>
    </w:rPr>
  </w:style>
  <w:style w:type="paragraph" w:styleId="AltBilgi">
    <w:name w:val="footer"/>
    <w:basedOn w:val="Normal"/>
    <w:link w:val="AltBilgiChar"/>
    <w:uiPriority w:val="99"/>
    <w:unhideWhenUsed/>
    <w:rsid w:val="00BE5861"/>
    <w:pPr>
      <w:tabs>
        <w:tab w:val="center" w:pos="4536"/>
        <w:tab w:val="right" w:pos="9072"/>
      </w:tabs>
    </w:pPr>
  </w:style>
  <w:style w:type="character" w:customStyle="1" w:styleId="AltBilgiChar">
    <w:name w:val="Alt Bilgi Char"/>
    <w:basedOn w:val="VarsaylanParagrafYazTipi"/>
    <w:link w:val="AltBilgi"/>
    <w:uiPriority w:val="99"/>
    <w:rsid w:val="00BE5861"/>
    <w:rPr>
      <w:rFonts w:ascii="Times New Roman" w:eastAsia="Times New Roman" w:hAnsi="Times New Roman" w:cs="Times New Roman"/>
    </w:rPr>
  </w:style>
  <w:style w:type="paragraph" w:styleId="NormalWeb">
    <w:name w:val="Normal (Web)"/>
    <w:basedOn w:val="Normal"/>
    <w:uiPriority w:val="99"/>
    <w:unhideWhenUsed/>
    <w:rsid w:val="00BE5861"/>
    <w:pPr>
      <w:widowControl/>
      <w:autoSpaceDE/>
      <w:autoSpaceDN/>
      <w:spacing w:before="100" w:beforeAutospacing="1" w:after="100" w:afterAutospacing="1"/>
    </w:pPr>
    <w:rPr>
      <w:sz w:val="24"/>
      <w:szCs w:val="24"/>
      <w:lang w:val="tr-TR" w:eastAsia="tr-TR"/>
    </w:rPr>
  </w:style>
  <w:style w:type="paragraph" w:styleId="DipnotMetni">
    <w:name w:val="footnote text"/>
    <w:basedOn w:val="Normal"/>
    <w:link w:val="DipnotMetniChar"/>
    <w:uiPriority w:val="99"/>
    <w:semiHidden/>
    <w:unhideWhenUsed/>
    <w:rsid w:val="00717B0D"/>
    <w:rPr>
      <w:sz w:val="20"/>
      <w:szCs w:val="20"/>
    </w:rPr>
  </w:style>
  <w:style w:type="character" w:customStyle="1" w:styleId="DipnotMetniChar">
    <w:name w:val="Dipnot Metni Char"/>
    <w:basedOn w:val="VarsaylanParagrafYazTipi"/>
    <w:link w:val="DipnotMetni"/>
    <w:uiPriority w:val="99"/>
    <w:semiHidden/>
    <w:rsid w:val="00717B0D"/>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717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49643">
      <w:bodyDiv w:val="1"/>
      <w:marLeft w:val="0"/>
      <w:marRight w:val="0"/>
      <w:marTop w:val="0"/>
      <w:marBottom w:val="0"/>
      <w:divBdr>
        <w:top w:val="none" w:sz="0" w:space="0" w:color="auto"/>
        <w:left w:val="none" w:sz="0" w:space="0" w:color="auto"/>
        <w:bottom w:val="none" w:sz="0" w:space="0" w:color="auto"/>
        <w:right w:val="none" w:sz="0" w:space="0" w:color="auto"/>
      </w:divBdr>
    </w:div>
    <w:div w:id="197617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9A3E-043E-4FF1-8C89-A255B3F2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2151</Words>
  <Characters>12265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saleg019</dc:creator>
  <cp:lastModifiedBy>Barış Öngel</cp:lastModifiedBy>
  <cp:revision>3</cp:revision>
  <dcterms:created xsi:type="dcterms:W3CDTF">2024-03-29T10:29:00Z</dcterms:created>
  <dcterms:modified xsi:type="dcterms:W3CDTF">2024-03-29T10:32:00Z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Microsoft® Word 2013</vt:lpwstr>
  </property>
  <property fmtid="{D5CDD505-2E9C-101B-9397-08002B2CF9AE}" pid="4" name="LastSaved">
    <vt:filetime>2024-03-22T00:00:00Z</vt:filetime>
  </property>
  <property fmtid="{D5CDD505-2E9C-101B-9397-08002B2CF9AE}" pid="5" name="Producer">
    <vt:lpwstr>Microsoft® Word 2013</vt:lpwstr>
  </property>
</Properties>
</file>