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415E" w14:textId="5E048B7C" w:rsidR="00DC0DC1" w:rsidRPr="00DC0DC1" w:rsidRDefault="0090600C" w:rsidP="00DC0DC1">
      <w:pPr>
        <w:spacing w:line="360" w:lineRule="auto"/>
        <w:jc w:val="center"/>
        <w:rPr>
          <w:rFonts w:ascii="Times New Roman" w:hAnsi="Times New Roman" w:cs="Times New Roman"/>
          <w:lang w:val="en-US"/>
        </w:rPr>
      </w:pPr>
      <w:r w:rsidRPr="00DC0DC1">
        <w:rPr>
          <w:rFonts w:ascii="Times New Roman" w:hAnsi="Times New Roman" w:cs="Times New Roman"/>
          <w:b/>
          <w:bCs/>
          <w:lang w:val="en-US"/>
        </w:rPr>
        <w:t>MANİSA</w:t>
      </w:r>
      <w:r w:rsidR="00DC0DC1">
        <w:rPr>
          <w:rFonts w:ascii="Times New Roman" w:hAnsi="Times New Roman" w:cs="Times New Roman"/>
          <w:b/>
          <w:bCs/>
          <w:lang w:val="en-US"/>
        </w:rPr>
        <w:t xml:space="preserve"> PUBLIC</w:t>
      </w:r>
      <w:r w:rsidRPr="00DC0DC1">
        <w:rPr>
          <w:rFonts w:ascii="Times New Roman" w:hAnsi="Times New Roman" w:cs="Times New Roman"/>
          <w:b/>
          <w:bCs/>
          <w:lang w:val="en-US"/>
        </w:rPr>
        <w:t xml:space="preserve"> CONSULTATION MEETING </w:t>
      </w:r>
      <w:proofErr w:type="gramStart"/>
      <w:r w:rsidRPr="00DC0DC1">
        <w:rPr>
          <w:rFonts w:ascii="Times New Roman" w:hAnsi="Times New Roman" w:cs="Times New Roman"/>
          <w:b/>
          <w:bCs/>
          <w:lang w:val="en-US"/>
        </w:rPr>
        <w:t xml:space="preserve">– </w:t>
      </w:r>
      <w:r w:rsidR="007F2B29">
        <w:rPr>
          <w:rFonts w:ascii="Times New Roman" w:hAnsi="Times New Roman" w:cs="Times New Roman"/>
          <w:b/>
          <w:bCs/>
          <w:lang w:val="en-US"/>
        </w:rPr>
        <w:t xml:space="preserve"> Q</w:t>
      </w:r>
      <w:proofErr w:type="gramEnd"/>
      <w:r w:rsidR="007F2B29">
        <w:rPr>
          <w:rFonts w:ascii="Times New Roman" w:hAnsi="Times New Roman" w:cs="Times New Roman"/>
          <w:b/>
          <w:bCs/>
          <w:lang w:val="en-US"/>
        </w:rPr>
        <w:t>&amp;A</w:t>
      </w:r>
    </w:p>
    <w:p w14:paraId="1259EB87" w14:textId="6F6809C2" w:rsidR="0090600C" w:rsidRPr="00DC0DC1" w:rsidRDefault="0090600C" w:rsidP="00DC0DC1">
      <w:pPr>
        <w:spacing w:line="360" w:lineRule="auto"/>
        <w:jc w:val="center"/>
        <w:rPr>
          <w:rFonts w:ascii="Times New Roman" w:hAnsi="Times New Roman" w:cs="Times New Roman"/>
          <w:b/>
          <w:bCs/>
          <w:lang w:val="en-US"/>
        </w:rPr>
      </w:pPr>
    </w:p>
    <w:p w14:paraId="080AC724" w14:textId="77777777" w:rsidR="007F2B29" w:rsidRPr="00DC0DC1" w:rsidRDefault="007F2B29" w:rsidP="00DC0DC1">
      <w:pPr>
        <w:pStyle w:val="p1"/>
        <w:numPr>
          <w:ilvl w:val="0"/>
          <w:numId w:val="4"/>
        </w:numPr>
        <w:jc w:val="both"/>
        <w:rPr>
          <w:lang w:val="en-US"/>
        </w:rPr>
      </w:pPr>
      <w:r w:rsidRPr="00DC0DC1">
        <w:rPr>
          <w:b/>
          <w:bCs/>
          <w:lang w:val="en-US"/>
        </w:rPr>
        <w:t>How is the asbestos risk in demolished buildings planned to be addressed?</w:t>
      </w:r>
    </w:p>
    <w:p w14:paraId="2086735E" w14:textId="77777777" w:rsidR="007F2B29" w:rsidRPr="00DC0DC1" w:rsidRDefault="007F2B29" w:rsidP="00DC0DC1">
      <w:pPr>
        <w:pStyle w:val="p2"/>
        <w:ind w:left="720"/>
        <w:jc w:val="both"/>
        <w:rPr>
          <w:lang w:val="en-US"/>
        </w:rPr>
      </w:pPr>
      <w:r w:rsidRPr="00DC0DC1">
        <w:rPr>
          <w:lang w:val="en-US"/>
        </w:rPr>
        <w:t>For Type III applications, an Asbestos Inventory Report for the risky building is required. If asbestos is detected in the building, an asbestos removal report documenting that the asbestos has been dismantled in accordance with procedure must be submitted to the Urban Transformation Presidency Project Management Unit (UTP PMU). The use of asbestos-containing materials is prohibited under national legislation, and it is not possible to carry out production with materials containing asbestos within the scope of the Project.</w:t>
      </w:r>
    </w:p>
    <w:p w14:paraId="610494F8" w14:textId="77777777" w:rsidR="007F2B29" w:rsidRPr="00DC0DC1" w:rsidRDefault="007F2B29" w:rsidP="00DC0DC1">
      <w:pPr>
        <w:pStyle w:val="p1"/>
        <w:numPr>
          <w:ilvl w:val="0"/>
          <w:numId w:val="4"/>
        </w:numPr>
        <w:jc w:val="both"/>
        <w:rPr>
          <w:lang w:val="en-US"/>
        </w:rPr>
      </w:pPr>
      <w:r w:rsidRPr="00DC0DC1">
        <w:rPr>
          <w:b/>
          <w:bCs/>
          <w:lang w:val="en-US"/>
        </w:rPr>
        <w:t>Are measures such as watering planned to be taken during demolition? It is observed in specific cases that such measures are not taken.</w:t>
      </w:r>
    </w:p>
    <w:p w14:paraId="07D3D44D" w14:textId="77777777" w:rsidR="007F2B29" w:rsidRPr="00DC0DC1" w:rsidRDefault="007F2B29" w:rsidP="00DC0DC1">
      <w:pPr>
        <w:pStyle w:val="p2"/>
        <w:ind w:left="720"/>
        <w:jc w:val="both"/>
        <w:rPr>
          <w:lang w:val="en-US"/>
        </w:rPr>
      </w:pPr>
      <w:r w:rsidRPr="00DC0DC1">
        <w:rPr>
          <w:lang w:val="en-US"/>
        </w:rPr>
        <w:t>In order to control dust generation during demolition activities, all environmental measures, including watering, must be implemented. Pursuant to national legislation and the World Bank’s environmental and social standards, it is the contractor’s responsibility to take on-site mitigation measures regarding noise, vibration, and dust generation. For buildings that were demolished previously, a retroactive environmental and social audit report is prepared, and a site visit and documents are examined to determine whether adequate environmental and social measures were taken during demolition. Likewise, under the Contractor Environmental and Social Management Plan (C-ESMP), which the contractor is obliged to implement if included within the project scope, the contractor must take the necessary measures against dust during construction. To verify implementation of the obligations and measures specified in the C-ESMP, the UTP PMU conducts environmental and social monitoring and evaluation activities.</w:t>
      </w:r>
    </w:p>
    <w:p w14:paraId="64843828" w14:textId="77777777" w:rsidR="007F2B29" w:rsidRPr="00DC0DC1" w:rsidRDefault="007F2B29" w:rsidP="00DC0DC1">
      <w:pPr>
        <w:pStyle w:val="p1"/>
        <w:numPr>
          <w:ilvl w:val="0"/>
          <w:numId w:val="4"/>
        </w:numPr>
        <w:jc w:val="both"/>
        <w:rPr>
          <w:lang w:val="en-US"/>
        </w:rPr>
      </w:pPr>
      <w:r w:rsidRPr="00DC0DC1">
        <w:rPr>
          <w:b/>
          <w:bCs/>
          <w:lang w:val="en-US"/>
        </w:rPr>
        <w:t>How can we trust the contractor—can you recommend one?</w:t>
      </w:r>
    </w:p>
    <w:p w14:paraId="3F6B3A7C" w14:textId="77777777" w:rsidR="007F2B29" w:rsidRPr="00DC0DC1" w:rsidRDefault="007F2B29" w:rsidP="00DC0DC1">
      <w:pPr>
        <w:pStyle w:val="p2"/>
        <w:ind w:left="720"/>
        <w:jc w:val="both"/>
        <w:rPr>
          <w:lang w:val="en-US"/>
        </w:rPr>
      </w:pPr>
      <w:r w:rsidRPr="00DC0DC1">
        <w:rPr>
          <w:lang w:val="en-US"/>
        </w:rPr>
        <w:t>Due to the scope and mandate of our Presidency and free-market rules, we cannot recommend contractors. Owners of risky structures should conduct their own market research and enter into agreements within the principle of freedom of contract. While conducting their research, owners can use the “</w:t>
      </w:r>
      <w:proofErr w:type="spellStart"/>
      <w:r w:rsidRPr="00DC0DC1">
        <w:rPr>
          <w:lang w:val="en-US"/>
        </w:rPr>
        <w:t>Şantiye</w:t>
      </w:r>
      <w:proofErr w:type="spellEnd"/>
      <w:r w:rsidRPr="00DC0DC1">
        <w:rPr>
          <w:lang w:val="en-US"/>
        </w:rPr>
        <w:t>-M” application to learn contractors’ documents, authorizations, classifications, and prohibition status. (https://santiyem.csb.gov.tr/)</w:t>
      </w:r>
    </w:p>
    <w:p w14:paraId="0FAF8CBA" w14:textId="77777777" w:rsidR="007F2B29" w:rsidRPr="00DC0DC1" w:rsidRDefault="007F2B29" w:rsidP="00DC0DC1">
      <w:pPr>
        <w:pStyle w:val="p1"/>
        <w:numPr>
          <w:ilvl w:val="0"/>
          <w:numId w:val="4"/>
        </w:numPr>
        <w:jc w:val="both"/>
        <w:rPr>
          <w:lang w:val="en-US"/>
        </w:rPr>
      </w:pPr>
      <w:r w:rsidRPr="00DC0DC1">
        <w:rPr>
          <w:b/>
          <w:bCs/>
          <w:lang w:val="en-US"/>
        </w:rPr>
        <w:t>Can property owners who take a loan for a building undergoing urban transformation also receive rental assistance?</w:t>
      </w:r>
    </w:p>
    <w:p w14:paraId="5CB681B4" w14:textId="77777777" w:rsidR="007F2B29" w:rsidRPr="00DC0DC1" w:rsidRDefault="007F2B29" w:rsidP="00DC0DC1">
      <w:pPr>
        <w:pStyle w:val="p2"/>
        <w:ind w:left="720"/>
        <w:jc w:val="both"/>
        <w:rPr>
          <w:lang w:val="en-US"/>
        </w:rPr>
      </w:pPr>
      <w:r w:rsidRPr="00DC0DC1">
        <w:rPr>
          <w:lang w:val="en-US"/>
        </w:rPr>
        <w:t xml:space="preserve">In buildings designated as risky and demolished under Law No. 6306, property owners may apply to the Provincial Directorates of Environment, Urbanization and Climate Change within the first year after demolition to benefit from rental assistance. Within the scope of the Climate and Disaster Resilient Cities (CDRC) Project, the rental assistance process for right holders who apply to the project is evaluated separately within the project framework. Therefore, even if more than one year has passed since </w:t>
      </w:r>
      <w:r w:rsidRPr="00DC0DC1">
        <w:rPr>
          <w:lang w:val="en-US"/>
        </w:rPr>
        <w:lastRenderedPageBreak/>
        <w:t>the date of demolition, right holders may apply to the CDRC Project Consultation Offices to receive rental assistance.</w:t>
      </w:r>
    </w:p>
    <w:p w14:paraId="609AB0D4" w14:textId="77777777" w:rsidR="007F2B29" w:rsidRPr="00DC0DC1" w:rsidRDefault="007F2B29" w:rsidP="00DC0DC1">
      <w:pPr>
        <w:pStyle w:val="p1"/>
        <w:numPr>
          <w:ilvl w:val="0"/>
          <w:numId w:val="4"/>
        </w:numPr>
        <w:jc w:val="both"/>
        <w:rPr>
          <w:lang w:val="en-US"/>
        </w:rPr>
      </w:pPr>
      <w:r w:rsidRPr="00DC0DC1">
        <w:rPr>
          <w:b/>
          <w:bCs/>
          <w:lang w:val="en-US"/>
        </w:rPr>
        <w:t>Is a letter of guarantee required from the contractor (contracting firm)?</w:t>
      </w:r>
    </w:p>
    <w:p w14:paraId="297E9813" w14:textId="77777777" w:rsidR="007F2B29" w:rsidRPr="00DC0DC1" w:rsidRDefault="007F2B29" w:rsidP="00DC0DC1">
      <w:pPr>
        <w:pStyle w:val="p2"/>
        <w:ind w:left="720"/>
        <w:jc w:val="both"/>
        <w:rPr>
          <w:lang w:val="en-US"/>
        </w:rPr>
      </w:pPr>
      <w:r w:rsidRPr="00DC0DC1">
        <w:rPr>
          <w:lang w:val="en-US"/>
        </w:rPr>
        <w:t>Within the scope of the Project, a copy of the performance guarantee submitted to the relevant municipality, issued in the amount of 6% of the construction cost, is requested from contractors. Our Presidency does not require an additional letter of guarantee under the Project.</w:t>
      </w:r>
    </w:p>
    <w:p w14:paraId="789CC952" w14:textId="77777777" w:rsidR="007F2B29" w:rsidRPr="00DC0DC1" w:rsidRDefault="007F2B29" w:rsidP="00DC0DC1">
      <w:pPr>
        <w:pStyle w:val="p1"/>
        <w:numPr>
          <w:ilvl w:val="0"/>
          <w:numId w:val="4"/>
        </w:numPr>
        <w:jc w:val="both"/>
        <w:rPr>
          <w:lang w:val="en-US"/>
        </w:rPr>
      </w:pPr>
      <w:r w:rsidRPr="00DC0DC1">
        <w:rPr>
          <w:b/>
          <w:bCs/>
          <w:lang w:val="en-US"/>
        </w:rPr>
        <w:t>Do I have to repay the loan over 15 years? Can I repay early?</w:t>
      </w:r>
    </w:p>
    <w:p w14:paraId="31E44660" w14:textId="77777777" w:rsidR="007F2B29" w:rsidRPr="00DC0DC1" w:rsidRDefault="007F2B29" w:rsidP="00DC0DC1">
      <w:pPr>
        <w:pStyle w:val="p2"/>
        <w:ind w:left="720"/>
        <w:jc w:val="both"/>
        <w:rPr>
          <w:lang w:val="en-US"/>
        </w:rPr>
      </w:pPr>
      <w:r w:rsidRPr="00DC0DC1">
        <w:rPr>
          <w:lang w:val="en-US"/>
        </w:rPr>
        <w:t>The maximum loan repayment term is 15 years. Right holders may choose term options suitable to their budgets during discussions with the bank. After construction is completed, it is also possible to prepay the loan at any time. The early repayment process is carried out in line with the bank’s general procedures. It is not possible to close the debt until the occupancy permit is obtained and condominium title is established.</w:t>
      </w:r>
    </w:p>
    <w:p w14:paraId="1D6CA6D2" w14:textId="77777777" w:rsidR="007F2B29" w:rsidRPr="00DC0DC1" w:rsidRDefault="007F2B29" w:rsidP="00DC0DC1">
      <w:pPr>
        <w:pStyle w:val="p1"/>
        <w:numPr>
          <w:ilvl w:val="0"/>
          <w:numId w:val="4"/>
        </w:numPr>
        <w:jc w:val="both"/>
        <w:rPr>
          <w:lang w:val="en-US"/>
        </w:rPr>
      </w:pPr>
      <w:r w:rsidRPr="00DC0DC1">
        <w:rPr>
          <w:b/>
          <w:bCs/>
          <w:lang w:val="en-US"/>
        </w:rPr>
        <w:t>Can anyone apply? Are applications made individually?</w:t>
      </w:r>
    </w:p>
    <w:p w14:paraId="6C4886E0" w14:textId="77777777" w:rsidR="007F2B29" w:rsidRPr="00DC0DC1" w:rsidRDefault="007F2B29" w:rsidP="00DC0DC1">
      <w:pPr>
        <w:pStyle w:val="p2"/>
        <w:ind w:left="720"/>
        <w:jc w:val="both"/>
        <w:rPr>
          <w:lang w:val="en-US"/>
        </w:rPr>
      </w:pPr>
      <w:r w:rsidRPr="00DC0DC1">
        <w:rPr>
          <w:lang w:val="en-US"/>
        </w:rPr>
        <w:t>Right holders in buildings designated as risky under Law No. 6306 may apply to the Project. At the first stage, the contractor submits the project application; following the final approval of the project, right holders then submit their individual applications to the protocol bank within the scope of the project.</w:t>
      </w:r>
    </w:p>
    <w:p w14:paraId="356B2F3E" w14:textId="77777777" w:rsidR="007F2B29" w:rsidRPr="00DC0DC1" w:rsidRDefault="007F2B29" w:rsidP="00DC0DC1">
      <w:pPr>
        <w:pStyle w:val="p1"/>
        <w:numPr>
          <w:ilvl w:val="0"/>
          <w:numId w:val="4"/>
        </w:numPr>
        <w:jc w:val="both"/>
        <w:rPr>
          <w:lang w:val="en-US"/>
        </w:rPr>
      </w:pPr>
      <w:r w:rsidRPr="00DC0DC1">
        <w:rPr>
          <w:b/>
          <w:bCs/>
          <w:lang w:val="en-US"/>
        </w:rPr>
        <w:t>Is contractor classification important? Which contractors may be included?</w:t>
      </w:r>
    </w:p>
    <w:p w14:paraId="6C003EB4" w14:textId="77777777" w:rsidR="007F2B29" w:rsidRPr="00DC0DC1" w:rsidRDefault="007F2B29" w:rsidP="00DC0DC1">
      <w:pPr>
        <w:pStyle w:val="p2"/>
        <w:ind w:left="720"/>
        <w:jc w:val="both"/>
        <w:rPr>
          <w:lang w:val="en-US"/>
        </w:rPr>
      </w:pPr>
      <w:r w:rsidRPr="00DC0DC1">
        <w:rPr>
          <w:lang w:val="en-US"/>
        </w:rPr>
        <w:t>Contractors in classes A, B, C, D, E, F, and G may apply to the Project. Contractors in classes H and G1 may apply only for buildings with a maximum configuration of one basement + ground + three floors; more than one basement floor is not accepted. Following evaluation of completion certificates by our technical experts, it is possible for such contractors to be included within the project. In addition, for projects carried out as ordinary partnerships, the ordinary partnership must hold at least a class D contractor certificate and may consist of no more than two partners.</w:t>
      </w:r>
    </w:p>
    <w:p w14:paraId="60726FC8" w14:textId="77777777" w:rsidR="007F2B29" w:rsidRPr="00DC0DC1" w:rsidRDefault="007F2B29" w:rsidP="00DC0DC1">
      <w:pPr>
        <w:pStyle w:val="p1"/>
        <w:numPr>
          <w:ilvl w:val="0"/>
          <w:numId w:val="4"/>
        </w:numPr>
        <w:jc w:val="both"/>
        <w:rPr>
          <w:lang w:val="en-US"/>
        </w:rPr>
      </w:pPr>
      <w:r w:rsidRPr="00DC0DC1">
        <w:rPr>
          <w:b/>
          <w:bCs/>
          <w:lang w:val="en-US"/>
        </w:rPr>
        <w:t>From completion of the application, how long does it take for the loan to be finalized?</w:t>
      </w:r>
    </w:p>
    <w:p w14:paraId="2137372E" w14:textId="77777777" w:rsidR="007F2B29" w:rsidRPr="00DC0DC1" w:rsidRDefault="007F2B29" w:rsidP="00DC0DC1">
      <w:pPr>
        <w:pStyle w:val="p2"/>
        <w:ind w:left="720"/>
        <w:jc w:val="both"/>
        <w:rPr>
          <w:lang w:val="en-US"/>
        </w:rPr>
      </w:pPr>
      <w:r w:rsidRPr="00DC0DC1">
        <w:rPr>
          <w:lang w:val="en-US"/>
        </w:rPr>
        <w:t>Right holders submit their loan applications via the ARAAD system. After submission through the system, the bank contacts right holders to complete the individual loan application process. The time for the individual application to be finalized at the bank and the Presidency generally varies between 1 and 3 weeks. The duration may differ depending on the bank’s evaluation steps and workload. In the initial project application carried out by the contractor, the waiting time varies according to the volume of applications and the contractor’s timeframe for completing the required documents and requested revisions. Following the project’s final approval, the individual loan application process with the bank must commence within three months.</w:t>
      </w:r>
    </w:p>
    <w:p w14:paraId="3E33E1BC" w14:textId="77777777" w:rsidR="0090600C" w:rsidRPr="006369D8" w:rsidRDefault="0090600C" w:rsidP="0090600C">
      <w:pPr>
        <w:spacing w:line="360" w:lineRule="auto"/>
        <w:jc w:val="both"/>
        <w:rPr>
          <w:rFonts w:ascii="Times New Roman" w:hAnsi="Times New Roman" w:cs="Times New Roman"/>
        </w:rPr>
      </w:pPr>
    </w:p>
    <w:sectPr w:rsidR="0090600C" w:rsidRPr="006369D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E656" w14:textId="77777777" w:rsidR="008908C4" w:rsidRDefault="008908C4" w:rsidP="003400B0">
      <w:pPr>
        <w:spacing w:after="0" w:line="240" w:lineRule="auto"/>
      </w:pPr>
      <w:r>
        <w:separator/>
      </w:r>
    </w:p>
  </w:endnote>
  <w:endnote w:type="continuationSeparator" w:id="0">
    <w:p w14:paraId="038D03AF" w14:textId="77777777" w:rsidR="008908C4" w:rsidRDefault="008908C4" w:rsidP="0034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78085"/>
      <w:docPartObj>
        <w:docPartGallery w:val="Page Numbers (Bottom of Page)"/>
        <w:docPartUnique/>
      </w:docPartObj>
    </w:sdtPr>
    <w:sdtEndPr>
      <w:rPr>
        <w:rFonts w:ascii="Times New Roman" w:hAnsi="Times New Roman" w:cs="Times New Roman"/>
        <w:sz w:val="22"/>
        <w:szCs w:val="22"/>
      </w:rPr>
    </w:sdtEndPr>
    <w:sdtContent>
      <w:p w14:paraId="34D9DF33" w14:textId="31AF75F7" w:rsidR="00DC0DC1" w:rsidRPr="00DC0DC1" w:rsidRDefault="00DC0DC1">
        <w:pPr>
          <w:pStyle w:val="AltBilgi"/>
          <w:jc w:val="right"/>
          <w:rPr>
            <w:rFonts w:ascii="Times New Roman" w:hAnsi="Times New Roman" w:cs="Times New Roman"/>
            <w:sz w:val="22"/>
            <w:szCs w:val="22"/>
          </w:rPr>
        </w:pPr>
        <w:r w:rsidRPr="00DC0DC1">
          <w:rPr>
            <w:rFonts w:ascii="Times New Roman" w:hAnsi="Times New Roman" w:cs="Times New Roman"/>
            <w:sz w:val="22"/>
            <w:szCs w:val="22"/>
          </w:rPr>
          <w:fldChar w:fldCharType="begin"/>
        </w:r>
        <w:r w:rsidRPr="00DC0DC1">
          <w:rPr>
            <w:rFonts w:ascii="Times New Roman" w:hAnsi="Times New Roman" w:cs="Times New Roman"/>
            <w:sz w:val="22"/>
            <w:szCs w:val="22"/>
          </w:rPr>
          <w:instrText>PAGE   \* MERGEFORMAT</w:instrText>
        </w:r>
        <w:r w:rsidRPr="00DC0DC1">
          <w:rPr>
            <w:rFonts w:ascii="Times New Roman" w:hAnsi="Times New Roman" w:cs="Times New Roman"/>
            <w:sz w:val="22"/>
            <w:szCs w:val="22"/>
          </w:rPr>
          <w:fldChar w:fldCharType="separate"/>
        </w:r>
        <w:r w:rsidRPr="00DC0DC1">
          <w:rPr>
            <w:rFonts w:ascii="Times New Roman" w:hAnsi="Times New Roman" w:cs="Times New Roman"/>
            <w:sz w:val="22"/>
            <w:szCs w:val="22"/>
          </w:rPr>
          <w:t>2</w:t>
        </w:r>
        <w:r w:rsidRPr="00DC0DC1">
          <w:rPr>
            <w:rFonts w:ascii="Times New Roman" w:hAnsi="Times New Roman" w:cs="Times New Roman"/>
            <w:sz w:val="22"/>
            <w:szCs w:val="22"/>
          </w:rPr>
          <w:fldChar w:fldCharType="end"/>
        </w:r>
      </w:p>
    </w:sdtContent>
  </w:sdt>
  <w:p w14:paraId="7E69CCE5" w14:textId="77777777" w:rsidR="00DC0DC1" w:rsidRDefault="00DC0D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57CC" w14:textId="77777777" w:rsidR="008908C4" w:rsidRDefault="008908C4" w:rsidP="003400B0">
      <w:pPr>
        <w:spacing w:after="0" w:line="240" w:lineRule="auto"/>
      </w:pPr>
      <w:r>
        <w:separator/>
      </w:r>
    </w:p>
  </w:footnote>
  <w:footnote w:type="continuationSeparator" w:id="0">
    <w:p w14:paraId="178E546A" w14:textId="77777777" w:rsidR="008908C4" w:rsidRDefault="008908C4" w:rsidP="00340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1A5E"/>
    <w:multiLevelType w:val="hybridMultilevel"/>
    <w:tmpl w:val="01765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9A17D4"/>
    <w:multiLevelType w:val="multilevel"/>
    <w:tmpl w:val="B07E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F6090"/>
    <w:multiLevelType w:val="hybridMultilevel"/>
    <w:tmpl w:val="E77C2AD2"/>
    <w:lvl w:ilvl="0" w:tplc="3074611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8D4E3C"/>
    <w:multiLevelType w:val="hybridMultilevel"/>
    <w:tmpl w:val="0AA6D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2A"/>
    <w:rsid w:val="000509ED"/>
    <w:rsid w:val="0005603E"/>
    <w:rsid w:val="000603AD"/>
    <w:rsid w:val="000A3274"/>
    <w:rsid w:val="000C0205"/>
    <w:rsid w:val="000D5CFC"/>
    <w:rsid w:val="00134729"/>
    <w:rsid w:val="00183A14"/>
    <w:rsid w:val="001E06F6"/>
    <w:rsid w:val="00254B42"/>
    <w:rsid w:val="002901C9"/>
    <w:rsid w:val="002B5889"/>
    <w:rsid w:val="002D1AD2"/>
    <w:rsid w:val="003148D6"/>
    <w:rsid w:val="003400B0"/>
    <w:rsid w:val="003C5CDB"/>
    <w:rsid w:val="00421618"/>
    <w:rsid w:val="0044492A"/>
    <w:rsid w:val="00482048"/>
    <w:rsid w:val="005437E7"/>
    <w:rsid w:val="005F301F"/>
    <w:rsid w:val="005F5D06"/>
    <w:rsid w:val="006369D8"/>
    <w:rsid w:val="00664DC8"/>
    <w:rsid w:val="00665CC4"/>
    <w:rsid w:val="00674CAE"/>
    <w:rsid w:val="006B4ACE"/>
    <w:rsid w:val="006B5BCD"/>
    <w:rsid w:val="006E733F"/>
    <w:rsid w:val="00747F77"/>
    <w:rsid w:val="00797180"/>
    <w:rsid w:val="007F2B29"/>
    <w:rsid w:val="00854F0E"/>
    <w:rsid w:val="008908C4"/>
    <w:rsid w:val="008B4C33"/>
    <w:rsid w:val="008B4DF0"/>
    <w:rsid w:val="0090600C"/>
    <w:rsid w:val="00953FF9"/>
    <w:rsid w:val="00957B64"/>
    <w:rsid w:val="00981389"/>
    <w:rsid w:val="009A5148"/>
    <w:rsid w:val="00A144D9"/>
    <w:rsid w:val="00A32E9D"/>
    <w:rsid w:val="00A41CFC"/>
    <w:rsid w:val="00A86CAA"/>
    <w:rsid w:val="00A90E3B"/>
    <w:rsid w:val="00A971E0"/>
    <w:rsid w:val="00AA21C5"/>
    <w:rsid w:val="00AC161D"/>
    <w:rsid w:val="00BF2427"/>
    <w:rsid w:val="00C1384C"/>
    <w:rsid w:val="00CB7DCB"/>
    <w:rsid w:val="00DC0DC1"/>
    <w:rsid w:val="00E556A6"/>
    <w:rsid w:val="00E91E93"/>
    <w:rsid w:val="00EB55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FAAD"/>
  <w15:chartTrackingRefBased/>
  <w15:docId w15:val="{40A2C7C8-3E0A-4C6F-A83B-36E2CBC5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4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4492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4492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4492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4492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492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492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492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492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4492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4492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4492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4492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4492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492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492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492A"/>
    <w:rPr>
      <w:rFonts w:eastAsiaTheme="majorEastAsia" w:cstheme="majorBidi"/>
      <w:color w:val="272727" w:themeColor="text1" w:themeTint="D8"/>
    </w:rPr>
  </w:style>
  <w:style w:type="paragraph" w:styleId="KonuBal">
    <w:name w:val="Title"/>
    <w:basedOn w:val="Normal"/>
    <w:next w:val="Normal"/>
    <w:link w:val="KonuBalChar"/>
    <w:uiPriority w:val="10"/>
    <w:qFormat/>
    <w:rsid w:val="0044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492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492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492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492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492A"/>
    <w:rPr>
      <w:i/>
      <w:iCs/>
      <w:color w:val="404040" w:themeColor="text1" w:themeTint="BF"/>
    </w:rPr>
  </w:style>
  <w:style w:type="paragraph" w:styleId="ListeParagraf">
    <w:name w:val="List Paragraph"/>
    <w:basedOn w:val="Normal"/>
    <w:uiPriority w:val="34"/>
    <w:qFormat/>
    <w:rsid w:val="0044492A"/>
    <w:pPr>
      <w:ind w:left="720"/>
      <w:contextualSpacing/>
    </w:pPr>
  </w:style>
  <w:style w:type="character" w:styleId="GlVurgulama">
    <w:name w:val="Intense Emphasis"/>
    <w:basedOn w:val="VarsaylanParagrafYazTipi"/>
    <w:uiPriority w:val="21"/>
    <w:qFormat/>
    <w:rsid w:val="0044492A"/>
    <w:rPr>
      <w:i/>
      <w:iCs/>
      <w:color w:val="2F5496" w:themeColor="accent1" w:themeShade="BF"/>
    </w:rPr>
  </w:style>
  <w:style w:type="paragraph" w:styleId="GlAlnt">
    <w:name w:val="Intense Quote"/>
    <w:basedOn w:val="Normal"/>
    <w:next w:val="Normal"/>
    <w:link w:val="GlAlntChar"/>
    <w:uiPriority w:val="30"/>
    <w:qFormat/>
    <w:rsid w:val="0044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4492A"/>
    <w:rPr>
      <w:i/>
      <w:iCs/>
      <w:color w:val="2F5496" w:themeColor="accent1" w:themeShade="BF"/>
    </w:rPr>
  </w:style>
  <w:style w:type="character" w:styleId="GlBavuru">
    <w:name w:val="Intense Reference"/>
    <w:basedOn w:val="VarsaylanParagrafYazTipi"/>
    <w:uiPriority w:val="32"/>
    <w:qFormat/>
    <w:rsid w:val="0044492A"/>
    <w:rPr>
      <w:b/>
      <w:bCs/>
      <w:smallCaps/>
      <w:color w:val="2F5496" w:themeColor="accent1" w:themeShade="BF"/>
      <w:spacing w:val="5"/>
    </w:rPr>
  </w:style>
  <w:style w:type="paragraph" w:styleId="NormalWeb">
    <w:name w:val="Normal (Web)"/>
    <w:basedOn w:val="Normal"/>
    <w:uiPriority w:val="99"/>
    <w:unhideWhenUsed/>
    <w:rsid w:val="000C020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0C0205"/>
    <w:rPr>
      <w:b/>
      <w:bCs/>
    </w:rPr>
  </w:style>
  <w:style w:type="paragraph" w:styleId="stBilgi">
    <w:name w:val="header"/>
    <w:basedOn w:val="Normal"/>
    <w:link w:val="stBilgiChar"/>
    <w:uiPriority w:val="99"/>
    <w:unhideWhenUsed/>
    <w:rsid w:val="003400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00B0"/>
  </w:style>
  <w:style w:type="paragraph" w:styleId="AltBilgi">
    <w:name w:val="footer"/>
    <w:basedOn w:val="Normal"/>
    <w:link w:val="AltBilgiChar"/>
    <w:uiPriority w:val="99"/>
    <w:unhideWhenUsed/>
    <w:rsid w:val="003400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00B0"/>
  </w:style>
  <w:style w:type="paragraph" w:styleId="Dzeltme">
    <w:name w:val="Revision"/>
    <w:hidden/>
    <w:uiPriority w:val="99"/>
    <w:semiHidden/>
    <w:rsid w:val="005F301F"/>
    <w:pPr>
      <w:spacing w:after="0" w:line="240" w:lineRule="auto"/>
    </w:pPr>
  </w:style>
  <w:style w:type="character" w:styleId="Kpr">
    <w:name w:val="Hyperlink"/>
    <w:basedOn w:val="VarsaylanParagrafYazTipi"/>
    <w:uiPriority w:val="99"/>
    <w:unhideWhenUsed/>
    <w:rsid w:val="00BF2427"/>
    <w:rPr>
      <w:color w:val="0563C1" w:themeColor="hyperlink"/>
      <w:u w:val="single"/>
    </w:rPr>
  </w:style>
  <w:style w:type="character" w:styleId="zmlenmeyenBahsetme">
    <w:name w:val="Unresolved Mention"/>
    <w:basedOn w:val="VarsaylanParagrafYazTipi"/>
    <w:uiPriority w:val="99"/>
    <w:semiHidden/>
    <w:unhideWhenUsed/>
    <w:rsid w:val="00BF2427"/>
    <w:rPr>
      <w:color w:val="605E5C"/>
      <w:shd w:val="clear" w:color="auto" w:fill="E1DFDD"/>
    </w:rPr>
  </w:style>
  <w:style w:type="paragraph" w:customStyle="1" w:styleId="p1">
    <w:name w:val="p1"/>
    <w:basedOn w:val="Normal"/>
    <w:rsid w:val="007F2B2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customStyle="1" w:styleId="p2">
    <w:name w:val="p2"/>
    <w:basedOn w:val="Normal"/>
    <w:rsid w:val="007F2B29"/>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855</Words>
  <Characters>4879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Nur Duran</dc:creator>
  <cp:keywords/>
  <dc:description/>
  <cp:lastModifiedBy>Ali KINCAL</cp:lastModifiedBy>
  <cp:revision>27</cp:revision>
  <dcterms:created xsi:type="dcterms:W3CDTF">2025-12-11T06:42:00Z</dcterms:created>
  <dcterms:modified xsi:type="dcterms:W3CDTF">2025-12-12T08:39:00Z</dcterms:modified>
</cp:coreProperties>
</file>