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1F51" w14:textId="7017D1FE" w:rsidR="00120361" w:rsidRPr="004773FA" w:rsidRDefault="001D4F89" w:rsidP="00120361">
      <w:pPr>
        <w:tabs>
          <w:tab w:val="left" w:pos="720"/>
          <w:tab w:val="right" w:leader="dot" w:pos="8640"/>
        </w:tabs>
        <w:jc w:val="center"/>
        <w:rPr>
          <w:b/>
          <w:color w:val="000000"/>
          <w:sz w:val="28"/>
          <w:szCs w:val="28"/>
          <w:lang w:val="en-US"/>
        </w:rPr>
      </w:pPr>
      <w:r w:rsidRPr="00B040AD">
        <w:rPr>
          <w:noProof/>
        </w:rPr>
        <w:drawing>
          <wp:anchor distT="0" distB="0" distL="0" distR="0" simplePos="0" relativeHeight="251659264" behindDoc="0" locked="0" layoutInCell="1" allowOverlap="1" wp14:anchorId="5CDFDE9B" wp14:editId="7E8C39FF">
            <wp:simplePos x="0" y="0"/>
            <wp:positionH relativeFrom="page">
              <wp:align>center</wp:align>
            </wp:positionH>
            <wp:positionV relativeFrom="paragraph">
              <wp:posOffset>-635</wp:posOffset>
            </wp:positionV>
            <wp:extent cx="947772" cy="952500"/>
            <wp:effectExtent l="0" t="0" r="508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947772" cy="952500"/>
                    </a:xfrm>
                    <a:prstGeom prst="rect">
                      <a:avLst/>
                    </a:prstGeom>
                  </pic:spPr>
                </pic:pic>
              </a:graphicData>
            </a:graphic>
          </wp:anchor>
        </w:drawing>
      </w:r>
    </w:p>
    <w:p w14:paraId="6E746C8C" w14:textId="77777777" w:rsidR="00120361" w:rsidRPr="004773FA" w:rsidRDefault="00120361" w:rsidP="00120361">
      <w:pPr>
        <w:tabs>
          <w:tab w:val="left" w:pos="720"/>
          <w:tab w:val="right" w:leader="dot" w:pos="8640"/>
        </w:tabs>
        <w:jc w:val="center"/>
        <w:rPr>
          <w:b/>
          <w:color w:val="000000"/>
          <w:sz w:val="28"/>
          <w:szCs w:val="28"/>
          <w:lang w:val="en-US"/>
        </w:rPr>
      </w:pPr>
    </w:p>
    <w:p w14:paraId="03751619" w14:textId="77777777" w:rsidR="00120361" w:rsidRPr="004773FA" w:rsidRDefault="00120361" w:rsidP="00120361">
      <w:pPr>
        <w:tabs>
          <w:tab w:val="left" w:pos="720"/>
          <w:tab w:val="right" w:leader="dot" w:pos="8640"/>
        </w:tabs>
        <w:jc w:val="center"/>
        <w:rPr>
          <w:b/>
          <w:color w:val="000000"/>
          <w:sz w:val="28"/>
          <w:szCs w:val="28"/>
          <w:lang w:val="en-US"/>
        </w:rPr>
      </w:pPr>
    </w:p>
    <w:p w14:paraId="3DDD6B77" w14:textId="77777777" w:rsidR="00120361" w:rsidRPr="004773FA" w:rsidRDefault="00120361" w:rsidP="00120361">
      <w:pPr>
        <w:tabs>
          <w:tab w:val="left" w:pos="720"/>
          <w:tab w:val="right" w:leader="dot" w:pos="8640"/>
        </w:tabs>
        <w:jc w:val="center"/>
        <w:rPr>
          <w:b/>
          <w:color w:val="000000"/>
          <w:sz w:val="28"/>
          <w:szCs w:val="28"/>
          <w:lang w:val="en-US"/>
        </w:rPr>
      </w:pPr>
    </w:p>
    <w:p w14:paraId="7270786A" w14:textId="77777777" w:rsidR="00120361" w:rsidRPr="004773FA" w:rsidRDefault="00120361" w:rsidP="00120361">
      <w:pPr>
        <w:tabs>
          <w:tab w:val="left" w:pos="720"/>
          <w:tab w:val="right" w:leader="dot" w:pos="8640"/>
        </w:tabs>
        <w:jc w:val="center"/>
        <w:rPr>
          <w:b/>
          <w:color w:val="000000"/>
          <w:sz w:val="28"/>
          <w:szCs w:val="28"/>
          <w:lang w:val="en-US"/>
        </w:rPr>
      </w:pPr>
    </w:p>
    <w:p w14:paraId="5FC85F96" w14:textId="77777777" w:rsidR="00120361" w:rsidRPr="004773FA" w:rsidRDefault="00120361" w:rsidP="00120361">
      <w:pPr>
        <w:spacing w:after="120" w:line="276" w:lineRule="auto"/>
        <w:jc w:val="center"/>
        <w:rPr>
          <w:b/>
          <w:color w:val="000000"/>
          <w:sz w:val="36"/>
          <w:szCs w:val="28"/>
          <w:lang w:val="en-US"/>
        </w:rPr>
      </w:pPr>
      <w:r w:rsidRPr="004773FA">
        <w:rPr>
          <w:b/>
          <w:color w:val="000000"/>
          <w:sz w:val="36"/>
          <w:szCs w:val="28"/>
          <w:lang w:val="en-US"/>
        </w:rPr>
        <w:t>REPUBLIC OF TURKEY</w:t>
      </w:r>
    </w:p>
    <w:p w14:paraId="2507D8AF" w14:textId="77777777" w:rsidR="00120361" w:rsidRPr="004773FA" w:rsidRDefault="008C29CB" w:rsidP="00120361">
      <w:pPr>
        <w:tabs>
          <w:tab w:val="left" w:pos="720"/>
          <w:tab w:val="right" w:leader="dot" w:pos="8640"/>
        </w:tabs>
        <w:spacing w:after="120" w:line="276" w:lineRule="auto"/>
        <w:jc w:val="center"/>
        <w:rPr>
          <w:b/>
          <w:iCs/>
          <w:smallCaps/>
          <w:sz w:val="22"/>
          <w:szCs w:val="28"/>
          <w:lang w:val="en-US"/>
        </w:rPr>
      </w:pPr>
      <w:r w:rsidRPr="004773FA">
        <w:rPr>
          <w:b/>
          <w:color w:val="000000"/>
          <w:sz w:val="22"/>
          <w:szCs w:val="28"/>
          <w:lang w:val="en-US"/>
        </w:rPr>
        <w:t xml:space="preserve">MINISTRY OF ENVIRONMENT, </w:t>
      </w:r>
      <w:r w:rsidR="00120361" w:rsidRPr="004773FA">
        <w:rPr>
          <w:b/>
          <w:color w:val="000000"/>
          <w:sz w:val="22"/>
          <w:szCs w:val="28"/>
          <w:lang w:val="en-US"/>
        </w:rPr>
        <w:t xml:space="preserve">URBANIZATION </w:t>
      </w:r>
      <w:r w:rsidRPr="004773FA">
        <w:rPr>
          <w:b/>
          <w:color w:val="000000"/>
          <w:sz w:val="22"/>
          <w:szCs w:val="28"/>
          <w:lang w:val="en-US"/>
        </w:rPr>
        <w:t xml:space="preserve">AND CLIMATE CHANGE </w:t>
      </w:r>
      <w:r w:rsidR="00120361" w:rsidRPr="004773FA">
        <w:rPr>
          <w:b/>
          <w:color w:val="000000"/>
          <w:sz w:val="22"/>
          <w:szCs w:val="28"/>
          <w:lang w:val="en-US"/>
        </w:rPr>
        <w:t>(MOEU</w:t>
      </w:r>
      <w:r w:rsidRPr="004773FA">
        <w:rPr>
          <w:b/>
          <w:color w:val="000000"/>
          <w:sz w:val="22"/>
          <w:szCs w:val="28"/>
          <w:lang w:val="en-US"/>
        </w:rPr>
        <w:t>CC</w:t>
      </w:r>
      <w:r w:rsidR="00120361" w:rsidRPr="004773FA">
        <w:rPr>
          <w:b/>
          <w:color w:val="000000"/>
          <w:sz w:val="22"/>
          <w:szCs w:val="28"/>
          <w:lang w:val="en-US"/>
        </w:rPr>
        <w:t>)</w:t>
      </w:r>
    </w:p>
    <w:p w14:paraId="4554D1A5" w14:textId="29427796" w:rsidR="00120361" w:rsidRPr="004773FA" w:rsidRDefault="00EA3ECB" w:rsidP="00120361">
      <w:pPr>
        <w:spacing w:after="240"/>
        <w:jc w:val="center"/>
        <w:rPr>
          <w:color w:val="000000"/>
          <w:sz w:val="28"/>
          <w:szCs w:val="28"/>
          <w:lang w:val="en-US"/>
        </w:rPr>
      </w:pPr>
      <w:r w:rsidRPr="004773FA">
        <w:rPr>
          <w:b/>
          <w:color w:val="000000"/>
          <w:sz w:val="22"/>
          <w:szCs w:val="28"/>
          <w:lang w:val="en-US"/>
        </w:rPr>
        <w:t>URBAN TRANSFORMATION PRESIDENCY (UTP)</w:t>
      </w:r>
    </w:p>
    <w:p w14:paraId="61FB7BE9" w14:textId="77777777" w:rsidR="00120361" w:rsidRPr="004773FA" w:rsidRDefault="00120361" w:rsidP="00120361">
      <w:pPr>
        <w:spacing w:after="120" w:line="276" w:lineRule="auto"/>
        <w:jc w:val="center"/>
        <w:rPr>
          <w:color w:val="000000"/>
          <w:sz w:val="28"/>
          <w:szCs w:val="28"/>
          <w:lang w:val="en-US"/>
        </w:rPr>
      </w:pPr>
    </w:p>
    <w:p w14:paraId="07CD72BD" w14:textId="1FD7D87E" w:rsidR="00120361" w:rsidRPr="004773FA" w:rsidRDefault="00120361" w:rsidP="00120361">
      <w:pPr>
        <w:spacing w:after="120" w:line="276" w:lineRule="auto"/>
        <w:jc w:val="center"/>
        <w:rPr>
          <w:b/>
          <w:color w:val="000000"/>
          <w:sz w:val="28"/>
          <w:szCs w:val="28"/>
          <w:lang w:val="en-US"/>
        </w:rPr>
      </w:pPr>
      <w:r w:rsidRPr="004773FA">
        <w:rPr>
          <w:b/>
          <w:color w:val="000000"/>
          <w:sz w:val="28"/>
          <w:szCs w:val="28"/>
          <w:lang w:val="en-US"/>
        </w:rPr>
        <w:t>“</w:t>
      </w:r>
      <w:r w:rsidR="00EA3ECB" w:rsidRPr="004773FA">
        <w:rPr>
          <w:b/>
          <w:color w:val="000000"/>
          <w:sz w:val="28"/>
          <w:szCs w:val="28"/>
          <w:lang w:val="en-US"/>
        </w:rPr>
        <w:t>Climate and Disaster Resilient Cities Project</w:t>
      </w:r>
      <w:r w:rsidRPr="004773FA">
        <w:rPr>
          <w:b/>
          <w:color w:val="000000"/>
          <w:sz w:val="28"/>
          <w:szCs w:val="28"/>
          <w:lang w:val="en-US"/>
        </w:rPr>
        <w:t>”</w:t>
      </w:r>
    </w:p>
    <w:p w14:paraId="6FB76F02" w14:textId="6B91B0CA" w:rsidR="00120361" w:rsidRPr="004773FA" w:rsidRDefault="00120361" w:rsidP="00120361">
      <w:pPr>
        <w:tabs>
          <w:tab w:val="left" w:pos="720"/>
          <w:tab w:val="right" w:leader="dot" w:pos="8640"/>
        </w:tabs>
        <w:spacing w:after="120" w:line="276" w:lineRule="auto"/>
        <w:jc w:val="center"/>
        <w:rPr>
          <w:b/>
          <w:color w:val="000000"/>
          <w:sz w:val="28"/>
          <w:szCs w:val="28"/>
          <w:lang w:val="en-US"/>
        </w:rPr>
      </w:pPr>
      <w:r w:rsidRPr="004773FA">
        <w:rPr>
          <w:b/>
          <w:color w:val="000000"/>
          <w:sz w:val="28"/>
          <w:szCs w:val="28"/>
          <w:lang w:val="en-US"/>
        </w:rPr>
        <w:t>Loan No: 9</w:t>
      </w:r>
      <w:r w:rsidR="00EA3ECB" w:rsidRPr="004773FA">
        <w:rPr>
          <w:b/>
          <w:color w:val="000000"/>
          <w:sz w:val="28"/>
          <w:szCs w:val="28"/>
          <w:lang w:val="en-US"/>
        </w:rPr>
        <w:t>443</w:t>
      </w:r>
      <w:r w:rsidRPr="004773FA">
        <w:rPr>
          <w:b/>
          <w:color w:val="000000"/>
          <w:sz w:val="28"/>
          <w:szCs w:val="28"/>
          <w:lang w:val="en-US"/>
        </w:rPr>
        <w:t xml:space="preserve">-TR | Project ID: </w:t>
      </w:r>
      <w:r w:rsidR="000F4411" w:rsidRPr="004773FA">
        <w:rPr>
          <w:b/>
          <w:color w:val="000000"/>
          <w:sz w:val="28"/>
          <w:szCs w:val="28"/>
          <w:lang w:val="en-US"/>
        </w:rPr>
        <w:t>173025</w:t>
      </w:r>
    </w:p>
    <w:p w14:paraId="6B2AA253" w14:textId="77777777" w:rsidR="00120361" w:rsidRPr="004773FA" w:rsidRDefault="00120361" w:rsidP="00120361">
      <w:pPr>
        <w:tabs>
          <w:tab w:val="left" w:pos="720"/>
          <w:tab w:val="right" w:leader="dot" w:pos="8640"/>
        </w:tabs>
        <w:spacing w:after="240"/>
        <w:jc w:val="center"/>
        <w:rPr>
          <w:b/>
          <w:color w:val="000000"/>
          <w:sz w:val="28"/>
          <w:szCs w:val="28"/>
          <w:lang w:val="en-US"/>
        </w:rPr>
      </w:pPr>
    </w:p>
    <w:p w14:paraId="5DA23B11" w14:textId="77777777" w:rsidR="00120361" w:rsidRPr="004773FA" w:rsidRDefault="00120361" w:rsidP="00120361">
      <w:pPr>
        <w:tabs>
          <w:tab w:val="left" w:pos="720"/>
          <w:tab w:val="right" w:leader="dot" w:pos="8640"/>
        </w:tabs>
        <w:spacing w:after="240"/>
        <w:jc w:val="center"/>
        <w:rPr>
          <w:b/>
          <w:color w:val="000000"/>
          <w:sz w:val="28"/>
          <w:szCs w:val="28"/>
          <w:lang w:val="en-US"/>
        </w:rPr>
      </w:pPr>
    </w:p>
    <w:p w14:paraId="33C0F130" w14:textId="77777777" w:rsidR="00120361" w:rsidRPr="004773FA" w:rsidRDefault="00120361" w:rsidP="00120361">
      <w:pPr>
        <w:spacing w:before="120" w:after="240" w:line="276" w:lineRule="auto"/>
        <w:jc w:val="center"/>
        <w:rPr>
          <w:b/>
          <w:color w:val="000000"/>
          <w:sz w:val="28"/>
          <w:szCs w:val="28"/>
          <w:lang w:val="en-US"/>
        </w:rPr>
      </w:pPr>
      <w:r w:rsidRPr="004773FA">
        <w:rPr>
          <w:b/>
          <w:color w:val="000000"/>
          <w:sz w:val="28"/>
          <w:szCs w:val="28"/>
          <w:lang w:val="en-US"/>
        </w:rPr>
        <w:t>CONSULTANCY SERVICES FOR</w:t>
      </w:r>
    </w:p>
    <w:p w14:paraId="4EE747E7" w14:textId="6FAB61AB" w:rsidR="00120361" w:rsidRPr="004773FA" w:rsidRDefault="00EA3ECB" w:rsidP="00120361">
      <w:pPr>
        <w:spacing w:before="120" w:after="240" w:line="276" w:lineRule="auto"/>
        <w:jc w:val="center"/>
        <w:rPr>
          <w:b/>
          <w:color w:val="000000"/>
          <w:sz w:val="28"/>
          <w:szCs w:val="28"/>
          <w:lang w:val="en-US"/>
        </w:rPr>
      </w:pPr>
      <w:r w:rsidRPr="004773FA">
        <w:rPr>
          <w:b/>
          <w:color w:val="000000"/>
          <w:sz w:val="28"/>
          <w:szCs w:val="28"/>
          <w:lang w:val="en-US"/>
        </w:rPr>
        <w:t>Implementation Support Consultant for the Climate and Disaster Resilient Cities Project: Consultancy Services to Provide Technical and Legal Support to Property Owners for Resilient Housing Reconstruction/Retrofitting and Verification/Inspections of Retrofitting/Reconstruction Activities in Project Provinces (</w:t>
      </w:r>
      <w:proofErr w:type="spellStart"/>
      <w:r w:rsidRPr="004773FA">
        <w:rPr>
          <w:b/>
          <w:color w:val="000000"/>
          <w:sz w:val="28"/>
          <w:szCs w:val="28"/>
          <w:lang w:val="en-US"/>
        </w:rPr>
        <w:t>Kocaeli</w:t>
      </w:r>
      <w:proofErr w:type="spellEnd"/>
      <w:r w:rsidRPr="004773FA">
        <w:rPr>
          <w:b/>
          <w:color w:val="000000"/>
          <w:sz w:val="28"/>
          <w:szCs w:val="28"/>
          <w:lang w:val="en-US"/>
        </w:rPr>
        <w:t xml:space="preserve">, </w:t>
      </w:r>
      <w:proofErr w:type="spellStart"/>
      <w:r w:rsidRPr="004773FA">
        <w:rPr>
          <w:b/>
          <w:color w:val="000000"/>
          <w:sz w:val="28"/>
          <w:szCs w:val="28"/>
          <w:lang w:val="en-US"/>
        </w:rPr>
        <w:t>Manisa</w:t>
      </w:r>
      <w:proofErr w:type="spellEnd"/>
      <w:r w:rsidRPr="004773FA">
        <w:rPr>
          <w:b/>
          <w:color w:val="000000"/>
          <w:sz w:val="28"/>
          <w:szCs w:val="28"/>
          <w:lang w:val="en-US"/>
        </w:rPr>
        <w:t xml:space="preserve">, </w:t>
      </w:r>
      <w:proofErr w:type="spellStart"/>
      <w:r w:rsidRPr="004773FA">
        <w:rPr>
          <w:b/>
          <w:color w:val="000000"/>
          <w:sz w:val="28"/>
          <w:szCs w:val="28"/>
          <w:lang w:val="en-US"/>
        </w:rPr>
        <w:t>Tekirdağ</w:t>
      </w:r>
      <w:proofErr w:type="spellEnd"/>
      <w:r w:rsidRPr="004773FA">
        <w:rPr>
          <w:b/>
          <w:color w:val="000000"/>
          <w:sz w:val="28"/>
          <w:szCs w:val="28"/>
          <w:lang w:val="en-US"/>
        </w:rPr>
        <w:t>)</w:t>
      </w:r>
    </w:p>
    <w:p w14:paraId="19BE50EC" w14:textId="77777777" w:rsidR="00120361" w:rsidRPr="004773FA" w:rsidRDefault="00120361" w:rsidP="00120361">
      <w:pPr>
        <w:spacing w:before="120" w:after="240" w:line="276" w:lineRule="auto"/>
        <w:jc w:val="center"/>
        <w:rPr>
          <w:b/>
          <w:color w:val="000000"/>
          <w:sz w:val="28"/>
          <w:szCs w:val="28"/>
          <w:lang w:val="en-US"/>
        </w:rPr>
      </w:pPr>
      <w:r w:rsidRPr="004773FA">
        <w:rPr>
          <w:b/>
          <w:color w:val="000000"/>
          <w:sz w:val="28"/>
          <w:szCs w:val="28"/>
          <w:lang w:val="en-US"/>
        </w:rPr>
        <w:t>Reference No:</w:t>
      </w:r>
    </w:p>
    <w:p w14:paraId="063A5E89" w14:textId="246354DC" w:rsidR="00120361" w:rsidRPr="004773FA" w:rsidRDefault="00EA3ECB" w:rsidP="00120361">
      <w:pPr>
        <w:tabs>
          <w:tab w:val="left" w:pos="720"/>
          <w:tab w:val="right" w:leader="dot" w:pos="8640"/>
        </w:tabs>
        <w:spacing w:after="240"/>
        <w:jc w:val="center"/>
        <w:rPr>
          <w:b/>
          <w:color w:val="000000"/>
          <w:sz w:val="28"/>
          <w:szCs w:val="28"/>
          <w:lang w:val="en-US"/>
        </w:rPr>
      </w:pPr>
      <w:r w:rsidRPr="004773FA">
        <w:rPr>
          <w:b/>
          <w:color w:val="000000"/>
          <w:sz w:val="28"/>
          <w:szCs w:val="28"/>
          <w:lang w:val="en-US"/>
        </w:rPr>
        <w:t>TCDRCP-C1-CS-TECHLEGAL-03</w:t>
      </w:r>
    </w:p>
    <w:p w14:paraId="08494FB7" w14:textId="77777777" w:rsidR="00120361" w:rsidRPr="004773FA" w:rsidRDefault="00120361" w:rsidP="00120361">
      <w:pPr>
        <w:tabs>
          <w:tab w:val="left" w:pos="720"/>
          <w:tab w:val="right" w:leader="dot" w:pos="8640"/>
        </w:tabs>
        <w:spacing w:after="240"/>
        <w:jc w:val="center"/>
        <w:rPr>
          <w:b/>
          <w:color w:val="000000"/>
          <w:sz w:val="28"/>
          <w:szCs w:val="28"/>
          <w:lang w:val="en-US"/>
        </w:rPr>
      </w:pPr>
    </w:p>
    <w:p w14:paraId="7F83DDD1" w14:textId="77777777" w:rsidR="00120361" w:rsidRPr="004773FA" w:rsidRDefault="00120361" w:rsidP="00120361">
      <w:pPr>
        <w:tabs>
          <w:tab w:val="left" w:pos="720"/>
          <w:tab w:val="right" w:leader="dot" w:pos="8640"/>
        </w:tabs>
        <w:spacing w:after="240"/>
        <w:jc w:val="center"/>
        <w:rPr>
          <w:b/>
          <w:color w:val="000000"/>
          <w:sz w:val="28"/>
          <w:szCs w:val="28"/>
          <w:lang w:val="en-US"/>
        </w:rPr>
      </w:pPr>
    </w:p>
    <w:p w14:paraId="00E19FED" w14:textId="77777777" w:rsidR="00120361" w:rsidRPr="004773FA" w:rsidRDefault="00120361" w:rsidP="00120361">
      <w:pPr>
        <w:tabs>
          <w:tab w:val="left" w:pos="720"/>
          <w:tab w:val="right" w:leader="dot" w:pos="8640"/>
        </w:tabs>
        <w:spacing w:after="240"/>
        <w:jc w:val="center"/>
        <w:rPr>
          <w:b/>
          <w:color w:val="000000"/>
          <w:sz w:val="28"/>
          <w:szCs w:val="28"/>
          <w:lang w:val="en-US"/>
        </w:rPr>
      </w:pPr>
    </w:p>
    <w:p w14:paraId="6AC10A75" w14:textId="77777777" w:rsidR="00120361" w:rsidRPr="004773FA" w:rsidRDefault="00F351A6" w:rsidP="00120361">
      <w:pPr>
        <w:jc w:val="center"/>
        <w:rPr>
          <w:b/>
          <w:color w:val="000000"/>
          <w:sz w:val="36"/>
          <w:szCs w:val="28"/>
          <w:lang w:val="en-US"/>
        </w:rPr>
      </w:pPr>
      <w:r w:rsidRPr="004773FA">
        <w:rPr>
          <w:b/>
          <w:color w:val="000000"/>
          <w:sz w:val="36"/>
          <w:szCs w:val="28"/>
          <w:lang w:val="en-US"/>
        </w:rPr>
        <w:t xml:space="preserve">REPLIES TO QUERIES AND CLARIFICATIONS </w:t>
      </w:r>
      <w:r w:rsidR="00120361" w:rsidRPr="004773FA">
        <w:rPr>
          <w:b/>
          <w:color w:val="000000"/>
          <w:sz w:val="36"/>
          <w:szCs w:val="28"/>
          <w:lang w:val="en-US"/>
        </w:rPr>
        <w:t>NO.1</w:t>
      </w:r>
    </w:p>
    <w:p w14:paraId="0ABB0FA9" w14:textId="77777777" w:rsidR="00E44149" w:rsidRPr="004773FA" w:rsidRDefault="00E44149" w:rsidP="00120361">
      <w:pPr>
        <w:jc w:val="center"/>
        <w:rPr>
          <w:b/>
          <w:i/>
          <w:color w:val="000000"/>
          <w:szCs w:val="28"/>
          <w:lang w:val="en-US"/>
        </w:rPr>
      </w:pPr>
    </w:p>
    <w:p w14:paraId="45548D94" w14:textId="77777777" w:rsidR="00E44149" w:rsidRPr="004773FA" w:rsidRDefault="00E44149" w:rsidP="00120361">
      <w:pPr>
        <w:jc w:val="center"/>
        <w:rPr>
          <w:b/>
          <w:i/>
          <w:color w:val="000000"/>
          <w:szCs w:val="28"/>
          <w:lang w:val="en-US"/>
        </w:rPr>
      </w:pPr>
    </w:p>
    <w:p w14:paraId="57C82FAB" w14:textId="77777777" w:rsidR="00E44149" w:rsidRPr="004773FA" w:rsidRDefault="00E44149" w:rsidP="00120361">
      <w:pPr>
        <w:jc w:val="center"/>
        <w:rPr>
          <w:b/>
          <w:i/>
          <w:color w:val="000000"/>
          <w:szCs w:val="28"/>
          <w:lang w:val="en-US"/>
        </w:rPr>
      </w:pPr>
    </w:p>
    <w:p w14:paraId="35D9A936" w14:textId="77777777" w:rsidR="00E44149" w:rsidRPr="004773FA" w:rsidRDefault="00E44149" w:rsidP="00120361">
      <w:pPr>
        <w:jc w:val="center"/>
        <w:rPr>
          <w:b/>
          <w:i/>
          <w:color w:val="000000"/>
          <w:szCs w:val="28"/>
          <w:lang w:val="en-US"/>
        </w:rPr>
      </w:pPr>
    </w:p>
    <w:p w14:paraId="7A3D3A48" w14:textId="77777777" w:rsidR="00E44149" w:rsidRPr="004773FA" w:rsidRDefault="00E44149" w:rsidP="00120361">
      <w:pPr>
        <w:jc w:val="center"/>
        <w:rPr>
          <w:b/>
          <w:i/>
          <w:color w:val="000000"/>
          <w:szCs w:val="28"/>
          <w:lang w:val="en-US"/>
        </w:rPr>
      </w:pPr>
    </w:p>
    <w:p w14:paraId="19F1C8CE" w14:textId="77777777" w:rsidR="00E44149" w:rsidRPr="004773FA" w:rsidRDefault="00E44149" w:rsidP="00120361">
      <w:pPr>
        <w:jc w:val="center"/>
        <w:rPr>
          <w:b/>
          <w:i/>
          <w:color w:val="000000"/>
          <w:szCs w:val="28"/>
          <w:lang w:val="en-US"/>
        </w:rPr>
      </w:pPr>
    </w:p>
    <w:p w14:paraId="6BB148FF" w14:textId="77777777" w:rsidR="00E44149" w:rsidRPr="004773FA" w:rsidRDefault="00E44149" w:rsidP="00120361">
      <w:pPr>
        <w:jc w:val="center"/>
        <w:rPr>
          <w:b/>
          <w:i/>
          <w:color w:val="000000"/>
          <w:szCs w:val="28"/>
          <w:lang w:val="en-US"/>
        </w:rPr>
      </w:pPr>
    </w:p>
    <w:p w14:paraId="0B4A4764" w14:textId="77777777" w:rsidR="00E44149" w:rsidRPr="004773FA" w:rsidRDefault="00E44149" w:rsidP="00120361">
      <w:pPr>
        <w:jc w:val="center"/>
        <w:rPr>
          <w:b/>
          <w:i/>
          <w:color w:val="000000"/>
          <w:szCs w:val="28"/>
          <w:lang w:val="en-US"/>
        </w:rPr>
      </w:pPr>
    </w:p>
    <w:p w14:paraId="3BA17868" w14:textId="140AF2DE" w:rsidR="00F55649" w:rsidRPr="004773FA" w:rsidRDefault="00120361" w:rsidP="00EA3ECB">
      <w:pPr>
        <w:jc w:val="center"/>
        <w:rPr>
          <w:i/>
          <w:color w:val="000000"/>
          <w:szCs w:val="28"/>
          <w:lang w:val="en-US"/>
        </w:rPr>
        <w:sectPr w:rsidR="00F55649" w:rsidRPr="004773FA" w:rsidSect="00F55649">
          <w:headerReference w:type="default" r:id="rId13"/>
          <w:footerReference w:type="default" r:id="rId14"/>
          <w:pgSz w:w="11906" w:h="16838"/>
          <w:pgMar w:top="953" w:right="851" w:bottom="641" w:left="1418" w:header="995" w:footer="822" w:gutter="0"/>
          <w:pgBorders w:offsetFrom="page">
            <w:top w:val="single" w:sz="4" w:space="24" w:color="auto"/>
            <w:left w:val="single" w:sz="4" w:space="24" w:color="auto"/>
            <w:bottom w:val="single" w:sz="4" w:space="24" w:color="auto"/>
            <w:right w:val="single" w:sz="4" w:space="24" w:color="auto"/>
          </w:pgBorders>
          <w:cols w:space="708"/>
          <w:titlePg/>
          <w:docGrid w:linePitch="326"/>
        </w:sectPr>
      </w:pPr>
      <w:r w:rsidRPr="004773FA">
        <w:rPr>
          <w:b/>
          <w:i/>
          <w:color w:val="000000"/>
          <w:szCs w:val="28"/>
          <w:lang w:val="en-US"/>
        </w:rPr>
        <w:t xml:space="preserve">Issued on: </w:t>
      </w:r>
      <w:r w:rsidR="00EA3ECB" w:rsidRPr="004773FA">
        <w:rPr>
          <w:i/>
          <w:color w:val="000000"/>
          <w:szCs w:val="28"/>
          <w:lang w:val="en-US"/>
        </w:rPr>
        <w:t>October</w:t>
      </w:r>
      <w:r w:rsidRPr="004773FA">
        <w:rPr>
          <w:i/>
          <w:color w:val="000000"/>
          <w:szCs w:val="28"/>
          <w:lang w:val="en-US"/>
        </w:rPr>
        <w:t xml:space="preserve"> </w:t>
      </w:r>
      <w:r w:rsidR="00035A08">
        <w:rPr>
          <w:i/>
          <w:color w:val="000000"/>
          <w:szCs w:val="28"/>
          <w:lang w:val="en-US"/>
        </w:rPr>
        <w:t>8</w:t>
      </w:r>
      <w:r w:rsidRPr="004773FA">
        <w:rPr>
          <w:i/>
          <w:color w:val="000000"/>
          <w:szCs w:val="28"/>
          <w:lang w:val="en-US"/>
        </w:rPr>
        <w:t>, 202</w:t>
      </w:r>
      <w:r w:rsidR="00EA3ECB" w:rsidRPr="004773FA">
        <w:rPr>
          <w:i/>
          <w:color w:val="000000"/>
          <w:szCs w:val="28"/>
          <w:lang w:val="en-US"/>
        </w:rPr>
        <w:t>5</w:t>
      </w:r>
    </w:p>
    <w:tbl>
      <w:tblPr>
        <w:tblStyle w:val="a"/>
        <w:tblW w:w="15325" w:type="dxa"/>
        <w:jc w:val="center"/>
        <w:tblLayout w:type="fixed"/>
        <w:tblLook w:val="0000" w:firstRow="0" w:lastRow="0" w:firstColumn="0" w:lastColumn="0" w:noHBand="0" w:noVBand="0"/>
      </w:tblPr>
      <w:tblGrid>
        <w:gridCol w:w="15325"/>
      </w:tblGrid>
      <w:tr w:rsidR="001B10E2" w:rsidRPr="004773FA" w14:paraId="46381673" w14:textId="77777777" w:rsidTr="00D6586D">
        <w:trPr>
          <w:trHeight w:val="65"/>
          <w:jc w:val="center"/>
        </w:trPr>
        <w:tc>
          <w:tcPr>
            <w:tcW w:w="153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1F34C5" w14:textId="77777777" w:rsidR="001B10E2" w:rsidRPr="004773FA" w:rsidRDefault="00F351A6" w:rsidP="00F351A6">
            <w:pPr>
              <w:shd w:val="clear" w:color="auto" w:fill="FFFFFF"/>
              <w:jc w:val="center"/>
              <w:rPr>
                <w:sz w:val="22"/>
                <w:szCs w:val="22"/>
                <w:lang w:val="en-US"/>
              </w:rPr>
            </w:pPr>
            <w:r w:rsidRPr="004773FA">
              <w:rPr>
                <w:b/>
                <w:color w:val="000000"/>
                <w:sz w:val="22"/>
                <w:szCs w:val="22"/>
                <w:lang w:val="en-US"/>
              </w:rPr>
              <w:lastRenderedPageBreak/>
              <w:t>REPLIES TO QUERIES AND CLARIFICATIONS NO: 1</w:t>
            </w:r>
          </w:p>
        </w:tc>
      </w:tr>
      <w:tr w:rsidR="001B10E2" w:rsidRPr="004773FA" w14:paraId="5F551321" w14:textId="77777777" w:rsidTr="00D6586D">
        <w:trPr>
          <w:trHeight w:val="213"/>
          <w:jc w:val="center"/>
        </w:trPr>
        <w:tc>
          <w:tcPr>
            <w:tcW w:w="153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C20C0C" w14:textId="20C061DD" w:rsidR="00D6586D" w:rsidRPr="00D6586D" w:rsidRDefault="00F351A6" w:rsidP="00120361">
            <w:pPr>
              <w:shd w:val="clear" w:color="auto" w:fill="FFFFFF"/>
              <w:spacing w:line="230" w:lineRule="auto"/>
              <w:ind w:right="51"/>
              <w:rPr>
                <w:sz w:val="22"/>
                <w:szCs w:val="22"/>
                <w:lang w:val="en-US"/>
              </w:rPr>
            </w:pPr>
            <w:r w:rsidRPr="004773FA">
              <w:rPr>
                <w:color w:val="000000"/>
                <w:sz w:val="22"/>
                <w:szCs w:val="22"/>
                <w:lang w:val="en-US"/>
              </w:rPr>
              <w:t xml:space="preserve">The provisions of this "Replies to Queries and Clarifications" are being issued to provide necessary clarifications on certain aspects of the Request for Proposal document in response to the queries or clarification requests raised during the pre-proposal conference or queries and clarification requests sent by the Shortlisted Consultants in writing </w:t>
            </w:r>
            <w:r w:rsidRPr="004773FA">
              <w:rPr>
                <w:sz w:val="22"/>
                <w:szCs w:val="22"/>
                <w:lang w:val="en-US"/>
              </w:rPr>
              <w:t>or</w:t>
            </w:r>
            <w:r w:rsidR="00FA0267" w:rsidRPr="004773FA">
              <w:rPr>
                <w:sz w:val="22"/>
                <w:szCs w:val="22"/>
                <w:lang w:val="en-US"/>
              </w:rPr>
              <w:t xml:space="preserve"> </w:t>
            </w:r>
            <w:r w:rsidR="00120361" w:rsidRPr="004773FA">
              <w:rPr>
                <w:sz w:val="22"/>
                <w:szCs w:val="22"/>
                <w:lang w:val="en-US"/>
              </w:rPr>
              <w:t>e-mail.</w:t>
            </w:r>
          </w:p>
        </w:tc>
      </w:tr>
    </w:tbl>
    <w:tbl>
      <w:tblPr>
        <w:tblStyle w:val="a0"/>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6095"/>
        <w:gridCol w:w="1843"/>
      </w:tblGrid>
      <w:tr w:rsidR="00B504CB" w:rsidRPr="007B7495" w14:paraId="4473C59E" w14:textId="77777777" w:rsidTr="00B504CB">
        <w:trPr>
          <w:tblHeader/>
          <w:jc w:val="center"/>
        </w:trPr>
        <w:tc>
          <w:tcPr>
            <w:tcW w:w="562" w:type="dxa"/>
            <w:vAlign w:val="center"/>
          </w:tcPr>
          <w:p w14:paraId="6F6C4913" w14:textId="77777777" w:rsidR="007B7495" w:rsidRPr="007B7495" w:rsidRDefault="007B7495" w:rsidP="00F351A6">
            <w:pPr>
              <w:spacing w:before="120" w:after="120"/>
              <w:ind w:left="57" w:right="57"/>
              <w:jc w:val="center"/>
              <w:rPr>
                <w:sz w:val="20"/>
                <w:szCs w:val="20"/>
                <w:lang w:val="en-US"/>
              </w:rPr>
            </w:pPr>
            <w:r w:rsidRPr="007B7495">
              <w:rPr>
                <w:b/>
                <w:color w:val="000000"/>
                <w:sz w:val="20"/>
                <w:szCs w:val="20"/>
                <w:lang w:val="en-US"/>
              </w:rPr>
              <w:lastRenderedPageBreak/>
              <w:t>N</w:t>
            </w:r>
            <w:r w:rsidRPr="007B7495">
              <w:rPr>
                <w:b/>
                <w:color w:val="000000"/>
                <w:sz w:val="20"/>
                <w:szCs w:val="20"/>
                <w:vertAlign w:val="superscript"/>
                <w:lang w:val="en-US"/>
              </w:rPr>
              <w:t>o</w:t>
            </w:r>
          </w:p>
        </w:tc>
        <w:tc>
          <w:tcPr>
            <w:tcW w:w="5954" w:type="dxa"/>
            <w:vAlign w:val="center"/>
          </w:tcPr>
          <w:p w14:paraId="6F413A50" w14:textId="77777777" w:rsidR="007B7495" w:rsidRPr="007B7495" w:rsidRDefault="007B7495" w:rsidP="00F351A6">
            <w:pPr>
              <w:spacing w:before="120" w:after="120"/>
              <w:ind w:left="57" w:right="57"/>
              <w:jc w:val="center"/>
              <w:rPr>
                <w:sz w:val="20"/>
                <w:szCs w:val="20"/>
                <w:lang w:val="en-US"/>
              </w:rPr>
            </w:pPr>
            <w:r w:rsidRPr="007B7495">
              <w:rPr>
                <w:b/>
                <w:color w:val="000000"/>
                <w:sz w:val="20"/>
                <w:szCs w:val="20"/>
                <w:lang w:val="en-US"/>
              </w:rPr>
              <w:t>Query or Clarification Requested by the Shortlisted Consultants</w:t>
            </w:r>
          </w:p>
        </w:tc>
        <w:tc>
          <w:tcPr>
            <w:tcW w:w="6095" w:type="dxa"/>
            <w:vAlign w:val="center"/>
          </w:tcPr>
          <w:p w14:paraId="3466FEEE" w14:textId="77777777" w:rsidR="007B7495" w:rsidRPr="007B7495" w:rsidRDefault="007B7495" w:rsidP="00F351A6">
            <w:pPr>
              <w:spacing w:before="120" w:after="120"/>
              <w:ind w:left="57" w:right="57"/>
              <w:jc w:val="center"/>
              <w:rPr>
                <w:sz w:val="20"/>
                <w:szCs w:val="20"/>
                <w:lang w:val="en-US"/>
              </w:rPr>
            </w:pPr>
            <w:r w:rsidRPr="007B7495">
              <w:rPr>
                <w:b/>
                <w:color w:val="000000"/>
                <w:sz w:val="20"/>
                <w:szCs w:val="20"/>
                <w:lang w:val="en-US"/>
              </w:rPr>
              <w:t>Reply of the Client</w:t>
            </w:r>
          </w:p>
        </w:tc>
        <w:tc>
          <w:tcPr>
            <w:tcW w:w="1843" w:type="dxa"/>
          </w:tcPr>
          <w:p w14:paraId="7DB2CC7B" w14:textId="77777777" w:rsidR="00D6586D" w:rsidRDefault="007B7495" w:rsidP="00D6586D">
            <w:pPr>
              <w:spacing w:before="120" w:after="120"/>
              <w:ind w:left="57" w:right="57"/>
              <w:jc w:val="center"/>
              <w:rPr>
                <w:b/>
                <w:color w:val="000000"/>
                <w:sz w:val="20"/>
                <w:szCs w:val="20"/>
                <w:lang w:val="en-US"/>
              </w:rPr>
            </w:pPr>
            <w:r w:rsidRPr="007B7495">
              <w:rPr>
                <w:b/>
                <w:color w:val="000000"/>
                <w:sz w:val="20"/>
                <w:szCs w:val="20"/>
                <w:lang w:val="en-US"/>
              </w:rPr>
              <w:t>Amendment in the RFP document is required</w:t>
            </w:r>
          </w:p>
          <w:p w14:paraId="60CD70F8" w14:textId="33A28AC7" w:rsidR="007B7495" w:rsidRPr="007B7495" w:rsidRDefault="007B7495" w:rsidP="00D6586D">
            <w:pPr>
              <w:spacing w:before="120" w:after="120"/>
              <w:ind w:left="57" w:right="57"/>
              <w:jc w:val="center"/>
              <w:rPr>
                <w:b/>
                <w:color w:val="000000"/>
                <w:sz w:val="20"/>
                <w:szCs w:val="20"/>
                <w:lang w:val="en-US"/>
              </w:rPr>
            </w:pPr>
            <w:r w:rsidRPr="007B7495">
              <w:rPr>
                <w:b/>
                <w:color w:val="000000"/>
                <w:sz w:val="20"/>
                <w:szCs w:val="20"/>
                <w:lang w:val="en-US"/>
              </w:rPr>
              <w:t>YES or NO</w:t>
            </w:r>
          </w:p>
        </w:tc>
      </w:tr>
      <w:tr w:rsidR="00B504CB" w:rsidRPr="007B7495" w14:paraId="5F0A8496" w14:textId="77777777" w:rsidTr="00D6586D">
        <w:trPr>
          <w:trHeight w:val="247"/>
          <w:tblHeader/>
          <w:jc w:val="center"/>
        </w:trPr>
        <w:tc>
          <w:tcPr>
            <w:tcW w:w="562" w:type="dxa"/>
            <w:vAlign w:val="center"/>
          </w:tcPr>
          <w:p w14:paraId="33828622" w14:textId="5C43FBFA" w:rsidR="007B7495" w:rsidRPr="007B7495" w:rsidRDefault="007B7495" w:rsidP="007B7495">
            <w:pPr>
              <w:spacing w:before="120" w:after="120"/>
              <w:ind w:left="57" w:right="57"/>
              <w:jc w:val="center"/>
              <w:rPr>
                <w:b/>
                <w:color w:val="000000"/>
                <w:sz w:val="20"/>
                <w:szCs w:val="20"/>
                <w:lang w:val="en-US"/>
              </w:rPr>
            </w:pPr>
            <w:r w:rsidRPr="007B7495">
              <w:rPr>
                <w:b/>
                <w:color w:val="000000"/>
                <w:sz w:val="20"/>
                <w:szCs w:val="20"/>
                <w:lang w:val="en-US"/>
              </w:rPr>
              <w:t>1</w:t>
            </w:r>
          </w:p>
        </w:tc>
        <w:tc>
          <w:tcPr>
            <w:tcW w:w="5954" w:type="dxa"/>
          </w:tcPr>
          <w:p w14:paraId="70B6A0F7" w14:textId="3D17D1BE" w:rsidR="007B7495" w:rsidRPr="007B7495" w:rsidRDefault="007B7495" w:rsidP="007B7495">
            <w:pPr>
              <w:spacing w:before="120" w:after="120"/>
              <w:ind w:left="57" w:right="57"/>
              <w:jc w:val="center"/>
              <w:rPr>
                <w:b/>
                <w:color w:val="000000"/>
                <w:sz w:val="20"/>
                <w:szCs w:val="20"/>
                <w:lang w:val="en-US"/>
              </w:rPr>
            </w:pPr>
            <w:r w:rsidRPr="007B7495">
              <w:rPr>
                <w:sz w:val="20"/>
                <w:szCs w:val="20"/>
              </w:rPr>
              <w:t>Could the Client clarify the criteria for "resilient housing"? Are there specific standards (nationa/international) to follow?</w:t>
            </w:r>
          </w:p>
        </w:tc>
        <w:tc>
          <w:tcPr>
            <w:tcW w:w="6095" w:type="dxa"/>
          </w:tcPr>
          <w:p w14:paraId="294A05BD" w14:textId="55D63E37"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Resilient structures are buildings constructed in compliance with existing national laws and regulations.</w:t>
            </w:r>
          </w:p>
        </w:tc>
        <w:tc>
          <w:tcPr>
            <w:tcW w:w="1843" w:type="dxa"/>
          </w:tcPr>
          <w:p w14:paraId="17CAED9E" w14:textId="5C746AED"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779C1881" w14:textId="77777777" w:rsidTr="00D6586D">
        <w:trPr>
          <w:trHeight w:val="101"/>
          <w:tblHeader/>
          <w:jc w:val="center"/>
        </w:trPr>
        <w:tc>
          <w:tcPr>
            <w:tcW w:w="562" w:type="dxa"/>
            <w:vAlign w:val="center"/>
          </w:tcPr>
          <w:p w14:paraId="1F29E4C9" w14:textId="3726923E" w:rsidR="007B7495" w:rsidRPr="007B7495" w:rsidRDefault="007B7495" w:rsidP="007B7495">
            <w:pPr>
              <w:spacing w:before="120" w:after="120"/>
              <w:ind w:left="57" w:right="57"/>
              <w:jc w:val="center"/>
              <w:rPr>
                <w:b/>
                <w:color w:val="000000"/>
                <w:sz w:val="20"/>
                <w:szCs w:val="20"/>
                <w:lang w:val="en-US"/>
              </w:rPr>
            </w:pPr>
            <w:r w:rsidRPr="007B7495">
              <w:rPr>
                <w:b/>
                <w:color w:val="000000"/>
                <w:sz w:val="20"/>
                <w:szCs w:val="20"/>
                <w:lang w:val="en-US"/>
              </w:rPr>
              <w:t>2</w:t>
            </w:r>
          </w:p>
        </w:tc>
        <w:tc>
          <w:tcPr>
            <w:tcW w:w="5954" w:type="dxa"/>
          </w:tcPr>
          <w:p w14:paraId="2C4D9F97" w14:textId="171D95CE" w:rsidR="007B7495" w:rsidRPr="007B7495" w:rsidRDefault="007B7495" w:rsidP="007B7495">
            <w:pPr>
              <w:spacing w:before="120" w:after="120"/>
              <w:ind w:left="57" w:right="57"/>
              <w:jc w:val="center"/>
              <w:rPr>
                <w:b/>
                <w:color w:val="000000"/>
                <w:sz w:val="20"/>
                <w:szCs w:val="20"/>
                <w:lang w:val="en-US"/>
              </w:rPr>
            </w:pPr>
            <w:r w:rsidRPr="007B7495">
              <w:rPr>
                <w:sz w:val="20"/>
                <w:szCs w:val="20"/>
              </w:rPr>
              <w:t>Are there preferred guidelines or methodologies for assesing climate and seismic risks (e.g. IBC,ISO standards, local codes)</w:t>
            </w:r>
          </w:p>
        </w:tc>
        <w:tc>
          <w:tcPr>
            <w:tcW w:w="6095" w:type="dxa"/>
          </w:tcPr>
          <w:p w14:paraId="38F03D19" w14:textId="6508C0CC"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The project was prepared to transform structures declared risky under Law No. 6306.</w:t>
            </w:r>
          </w:p>
        </w:tc>
        <w:tc>
          <w:tcPr>
            <w:tcW w:w="1843" w:type="dxa"/>
          </w:tcPr>
          <w:p w14:paraId="7364A85E" w14:textId="7936F583"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3DF38F25" w14:textId="77777777" w:rsidTr="00D6586D">
        <w:trPr>
          <w:trHeight w:val="380"/>
          <w:tblHeader/>
          <w:jc w:val="center"/>
        </w:trPr>
        <w:tc>
          <w:tcPr>
            <w:tcW w:w="562" w:type="dxa"/>
            <w:vAlign w:val="center"/>
          </w:tcPr>
          <w:p w14:paraId="52D68397" w14:textId="5DC527FE" w:rsidR="007B7495" w:rsidRPr="007B7495" w:rsidRDefault="007B7495" w:rsidP="007B7495">
            <w:pPr>
              <w:spacing w:before="120" w:after="120"/>
              <w:ind w:left="57" w:right="57"/>
              <w:jc w:val="center"/>
              <w:rPr>
                <w:b/>
                <w:color w:val="000000"/>
                <w:sz w:val="20"/>
                <w:szCs w:val="20"/>
                <w:lang w:val="en-US"/>
              </w:rPr>
            </w:pPr>
            <w:r w:rsidRPr="007B7495">
              <w:rPr>
                <w:b/>
                <w:color w:val="000000"/>
                <w:sz w:val="20"/>
                <w:szCs w:val="20"/>
                <w:lang w:val="en-US"/>
              </w:rPr>
              <w:t>3</w:t>
            </w:r>
          </w:p>
        </w:tc>
        <w:tc>
          <w:tcPr>
            <w:tcW w:w="5954" w:type="dxa"/>
          </w:tcPr>
          <w:p w14:paraId="2C4D4211" w14:textId="1BD93E75" w:rsidR="007B7495" w:rsidRPr="007B7495" w:rsidRDefault="007B7495" w:rsidP="007B7495">
            <w:pPr>
              <w:spacing w:before="120" w:after="120"/>
              <w:ind w:left="57" w:right="57"/>
              <w:jc w:val="center"/>
              <w:rPr>
                <w:b/>
                <w:color w:val="000000"/>
                <w:sz w:val="20"/>
                <w:szCs w:val="20"/>
                <w:lang w:val="en-US"/>
              </w:rPr>
            </w:pPr>
            <w:r w:rsidRPr="007B7495">
              <w:rPr>
                <w:sz w:val="20"/>
                <w:szCs w:val="20"/>
              </w:rPr>
              <w:t>Could the client provide any existing reports, studies, or baseline data regarding housing conditions in Kocaeli, Manisa and Tekirdağ?</w:t>
            </w:r>
          </w:p>
        </w:tc>
        <w:tc>
          <w:tcPr>
            <w:tcW w:w="6095" w:type="dxa"/>
          </w:tcPr>
          <w:p w14:paraId="2AEC4950" w14:textId="783DDB01"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The necessary documents will be shared when needed.</w:t>
            </w:r>
          </w:p>
        </w:tc>
        <w:tc>
          <w:tcPr>
            <w:tcW w:w="1843" w:type="dxa"/>
          </w:tcPr>
          <w:p w14:paraId="45C55250" w14:textId="4C75A69D"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402AF501" w14:textId="77777777" w:rsidTr="00D6586D">
        <w:trPr>
          <w:trHeight w:val="250"/>
          <w:tblHeader/>
          <w:jc w:val="center"/>
        </w:trPr>
        <w:tc>
          <w:tcPr>
            <w:tcW w:w="562" w:type="dxa"/>
            <w:vAlign w:val="center"/>
          </w:tcPr>
          <w:p w14:paraId="12909295" w14:textId="6F9C2272" w:rsidR="007B7495" w:rsidRPr="007B7495" w:rsidRDefault="007B7495" w:rsidP="007B7495">
            <w:pPr>
              <w:spacing w:before="120" w:after="120"/>
              <w:ind w:left="57" w:right="57"/>
              <w:jc w:val="center"/>
              <w:rPr>
                <w:b/>
                <w:color w:val="000000"/>
                <w:sz w:val="20"/>
                <w:szCs w:val="20"/>
                <w:lang w:val="en-US"/>
              </w:rPr>
            </w:pPr>
            <w:r w:rsidRPr="007B7495">
              <w:rPr>
                <w:b/>
                <w:color w:val="000000"/>
                <w:sz w:val="20"/>
                <w:szCs w:val="20"/>
                <w:lang w:val="en-US"/>
              </w:rPr>
              <w:t>4</w:t>
            </w:r>
          </w:p>
        </w:tc>
        <w:tc>
          <w:tcPr>
            <w:tcW w:w="5954" w:type="dxa"/>
          </w:tcPr>
          <w:p w14:paraId="66EA2820" w14:textId="7807A0A8" w:rsidR="007B7495" w:rsidRPr="007B7495" w:rsidRDefault="007B7495" w:rsidP="007B7495">
            <w:pPr>
              <w:spacing w:before="120" w:after="120"/>
              <w:ind w:left="57" w:right="57"/>
              <w:jc w:val="center"/>
              <w:rPr>
                <w:b/>
                <w:color w:val="000000"/>
                <w:sz w:val="20"/>
                <w:szCs w:val="20"/>
                <w:lang w:val="en-US"/>
              </w:rPr>
            </w:pPr>
            <w:r w:rsidRPr="007B7495">
              <w:rPr>
                <w:sz w:val="20"/>
                <w:szCs w:val="20"/>
              </w:rPr>
              <w:t>Can the Client provide deadlines or a timetable for interim and final deliverables?</w:t>
            </w:r>
          </w:p>
        </w:tc>
        <w:tc>
          <w:tcPr>
            <w:tcW w:w="6095" w:type="dxa"/>
          </w:tcPr>
          <w:p w14:paraId="4012418C" w14:textId="57AB516E"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This is stated in Article 12.1 of the TOR.</w:t>
            </w:r>
          </w:p>
        </w:tc>
        <w:tc>
          <w:tcPr>
            <w:tcW w:w="1843" w:type="dxa"/>
          </w:tcPr>
          <w:p w14:paraId="17695D3F" w14:textId="5885B0F9"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4958FFA5" w14:textId="77777777" w:rsidTr="00D6586D">
        <w:trPr>
          <w:trHeight w:val="231"/>
          <w:tblHeader/>
          <w:jc w:val="center"/>
        </w:trPr>
        <w:tc>
          <w:tcPr>
            <w:tcW w:w="562" w:type="dxa"/>
            <w:vAlign w:val="center"/>
          </w:tcPr>
          <w:p w14:paraId="46BD88F4" w14:textId="53E27430" w:rsidR="007B7495" w:rsidRPr="007B7495" w:rsidRDefault="007B7495" w:rsidP="007B7495">
            <w:pPr>
              <w:spacing w:before="120" w:after="120"/>
              <w:ind w:left="57" w:right="57"/>
              <w:jc w:val="center"/>
              <w:rPr>
                <w:b/>
                <w:color w:val="000000"/>
                <w:sz w:val="20"/>
                <w:szCs w:val="20"/>
                <w:lang w:val="en-US"/>
              </w:rPr>
            </w:pPr>
            <w:r w:rsidRPr="007B7495">
              <w:rPr>
                <w:b/>
                <w:color w:val="000000"/>
                <w:sz w:val="20"/>
                <w:szCs w:val="20"/>
                <w:lang w:val="en-US"/>
              </w:rPr>
              <w:t>5</w:t>
            </w:r>
          </w:p>
        </w:tc>
        <w:tc>
          <w:tcPr>
            <w:tcW w:w="5954" w:type="dxa"/>
          </w:tcPr>
          <w:p w14:paraId="45427E08" w14:textId="625FC14D" w:rsidR="007B7495" w:rsidRPr="007B7495" w:rsidRDefault="007B7495" w:rsidP="007B7495">
            <w:pPr>
              <w:spacing w:before="120" w:after="120"/>
              <w:ind w:left="57" w:right="57"/>
              <w:jc w:val="center"/>
              <w:rPr>
                <w:b/>
                <w:color w:val="000000"/>
                <w:sz w:val="20"/>
                <w:szCs w:val="20"/>
                <w:lang w:val="en-US"/>
              </w:rPr>
            </w:pPr>
            <w:r w:rsidRPr="007B7495">
              <w:rPr>
                <w:sz w:val="20"/>
                <w:szCs w:val="20"/>
              </w:rPr>
              <w:t>Are there templates or formats required for reports, presentations, or training materials?</w:t>
            </w:r>
          </w:p>
        </w:tc>
        <w:tc>
          <w:tcPr>
            <w:tcW w:w="6095" w:type="dxa"/>
          </w:tcPr>
          <w:p w14:paraId="22E9E1F5" w14:textId="0E8786BC"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The main elements that must be included in the reports are specified in Article 12.1 of the TOR. The report formats must be prepared by the consulting firm following the signing of the contract and sent to us for approval. Changes may be made to the report formats during the process based on any deficiencies observed in their operation.</w:t>
            </w:r>
          </w:p>
        </w:tc>
        <w:tc>
          <w:tcPr>
            <w:tcW w:w="1843" w:type="dxa"/>
          </w:tcPr>
          <w:p w14:paraId="018E40CF" w14:textId="1BE3156E"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352BA203" w14:textId="77777777" w:rsidTr="00D6586D">
        <w:trPr>
          <w:trHeight w:val="70"/>
          <w:tblHeader/>
          <w:jc w:val="center"/>
        </w:trPr>
        <w:tc>
          <w:tcPr>
            <w:tcW w:w="562" w:type="dxa"/>
            <w:vAlign w:val="center"/>
          </w:tcPr>
          <w:p w14:paraId="6EEA9C7F" w14:textId="31902A2F" w:rsidR="007B7495" w:rsidRPr="007B7495" w:rsidRDefault="007B7495" w:rsidP="007B7495">
            <w:pPr>
              <w:spacing w:before="120" w:after="120"/>
              <w:ind w:left="57" w:right="57"/>
              <w:jc w:val="center"/>
              <w:rPr>
                <w:b/>
                <w:color w:val="000000"/>
                <w:sz w:val="20"/>
                <w:szCs w:val="20"/>
                <w:lang w:val="en-US"/>
              </w:rPr>
            </w:pPr>
            <w:r w:rsidRPr="007B7495">
              <w:rPr>
                <w:b/>
                <w:color w:val="000000"/>
                <w:sz w:val="20"/>
                <w:szCs w:val="20"/>
                <w:lang w:val="en-US"/>
              </w:rPr>
              <w:t>6</w:t>
            </w:r>
          </w:p>
        </w:tc>
        <w:tc>
          <w:tcPr>
            <w:tcW w:w="5954" w:type="dxa"/>
          </w:tcPr>
          <w:p w14:paraId="50279A19" w14:textId="00489306" w:rsidR="007B7495" w:rsidRPr="007B7495" w:rsidRDefault="007B7495" w:rsidP="007B7495">
            <w:pPr>
              <w:spacing w:before="120" w:after="120"/>
              <w:ind w:left="57" w:right="57"/>
              <w:jc w:val="center"/>
              <w:rPr>
                <w:b/>
                <w:color w:val="000000"/>
                <w:sz w:val="20"/>
                <w:szCs w:val="20"/>
                <w:lang w:val="en-US"/>
              </w:rPr>
            </w:pPr>
            <w:r w:rsidRPr="007B7495">
              <w:rPr>
                <w:sz w:val="20"/>
                <w:szCs w:val="20"/>
              </w:rPr>
              <w:t>What is the expected frequency of progress reports and monitoring submissions?</w:t>
            </w:r>
          </w:p>
        </w:tc>
        <w:tc>
          <w:tcPr>
            <w:tcW w:w="6095" w:type="dxa"/>
          </w:tcPr>
          <w:p w14:paraId="1A4F842E" w14:textId="7B3CED8C"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This is stated clearly in Article 12.1 of the TOR.</w:t>
            </w:r>
          </w:p>
        </w:tc>
        <w:tc>
          <w:tcPr>
            <w:tcW w:w="1843" w:type="dxa"/>
          </w:tcPr>
          <w:p w14:paraId="778E9D0B" w14:textId="71B9CFAF"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7B154E14" w14:textId="77777777" w:rsidTr="00D6586D">
        <w:trPr>
          <w:trHeight w:val="70"/>
          <w:tblHeader/>
          <w:jc w:val="center"/>
        </w:trPr>
        <w:tc>
          <w:tcPr>
            <w:tcW w:w="562" w:type="dxa"/>
            <w:vAlign w:val="center"/>
          </w:tcPr>
          <w:p w14:paraId="5664276D" w14:textId="02AF1143" w:rsidR="007B7495" w:rsidRPr="007B7495" w:rsidRDefault="007B7495" w:rsidP="007B7495">
            <w:pPr>
              <w:spacing w:before="120" w:after="120"/>
              <w:ind w:left="57" w:right="57"/>
              <w:jc w:val="center"/>
              <w:rPr>
                <w:b/>
                <w:color w:val="000000"/>
                <w:sz w:val="20"/>
                <w:szCs w:val="20"/>
                <w:lang w:val="en-US"/>
              </w:rPr>
            </w:pPr>
            <w:r w:rsidRPr="007B7495">
              <w:rPr>
                <w:b/>
                <w:color w:val="000000"/>
                <w:sz w:val="20"/>
                <w:szCs w:val="20"/>
                <w:lang w:val="en-US"/>
              </w:rPr>
              <w:t>7</w:t>
            </w:r>
          </w:p>
        </w:tc>
        <w:tc>
          <w:tcPr>
            <w:tcW w:w="5954" w:type="dxa"/>
          </w:tcPr>
          <w:p w14:paraId="554ACB8E" w14:textId="6B71FFAE" w:rsidR="007B7495" w:rsidRPr="007B7495" w:rsidRDefault="007B7495" w:rsidP="007B7495">
            <w:pPr>
              <w:spacing w:before="120" w:after="120"/>
              <w:ind w:left="57" w:right="57"/>
              <w:jc w:val="center"/>
              <w:rPr>
                <w:b/>
                <w:color w:val="000000"/>
                <w:sz w:val="20"/>
                <w:szCs w:val="20"/>
                <w:lang w:val="en-US"/>
              </w:rPr>
            </w:pPr>
            <w:r w:rsidRPr="007B7495">
              <w:rPr>
                <w:sz w:val="20"/>
                <w:szCs w:val="20"/>
              </w:rPr>
              <w:t>Will Key Experts' roles include field inspections or are they advisory only?</w:t>
            </w:r>
          </w:p>
        </w:tc>
        <w:tc>
          <w:tcPr>
            <w:tcW w:w="6095" w:type="dxa"/>
          </w:tcPr>
          <w:p w14:paraId="316FDEA1" w14:textId="0F6AAD20"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 xml:space="preserve">Key Experts will conduct field inspections and provide consulting services to citizens who request them. </w:t>
            </w:r>
          </w:p>
        </w:tc>
        <w:tc>
          <w:tcPr>
            <w:tcW w:w="1843" w:type="dxa"/>
          </w:tcPr>
          <w:p w14:paraId="2BBC8A60" w14:textId="00616BA8"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6C37DA33" w14:textId="77777777" w:rsidTr="00B504CB">
        <w:trPr>
          <w:tblHeader/>
          <w:jc w:val="center"/>
        </w:trPr>
        <w:tc>
          <w:tcPr>
            <w:tcW w:w="562" w:type="dxa"/>
            <w:vAlign w:val="center"/>
          </w:tcPr>
          <w:p w14:paraId="24744DDC" w14:textId="1135F60F" w:rsidR="007B7495" w:rsidRPr="007B7495" w:rsidRDefault="007B7495" w:rsidP="007B7495">
            <w:pPr>
              <w:spacing w:before="120" w:after="120"/>
              <w:ind w:left="57" w:right="57"/>
              <w:jc w:val="center"/>
              <w:rPr>
                <w:b/>
                <w:color w:val="000000"/>
                <w:sz w:val="20"/>
                <w:szCs w:val="20"/>
                <w:lang w:val="en-US"/>
              </w:rPr>
            </w:pPr>
            <w:r w:rsidRPr="007B7495">
              <w:rPr>
                <w:b/>
                <w:color w:val="000000"/>
                <w:sz w:val="20"/>
                <w:szCs w:val="20"/>
                <w:lang w:val="en-US"/>
              </w:rPr>
              <w:t>8</w:t>
            </w:r>
          </w:p>
        </w:tc>
        <w:tc>
          <w:tcPr>
            <w:tcW w:w="5954" w:type="dxa"/>
          </w:tcPr>
          <w:p w14:paraId="7B7F5674" w14:textId="0A80624B" w:rsidR="007B7495" w:rsidRPr="007B7495" w:rsidRDefault="007B7495" w:rsidP="007B7495">
            <w:pPr>
              <w:spacing w:before="120" w:after="120"/>
              <w:ind w:left="57" w:right="57"/>
              <w:jc w:val="center"/>
              <w:rPr>
                <w:b/>
                <w:color w:val="000000"/>
                <w:sz w:val="20"/>
                <w:szCs w:val="20"/>
                <w:lang w:val="en-US"/>
              </w:rPr>
            </w:pPr>
            <w:r w:rsidRPr="007B7495">
              <w:rPr>
                <w:sz w:val="20"/>
                <w:szCs w:val="20"/>
              </w:rPr>
              <w:t>What is the procedure for substituting Key Experts if necessary?</w:t>
            </w:r>
          </w:p>
        </w:tc>
        <w:tc>
          <w:tcPr>
            <w:tcW w:w="6095" w:type="dxa"/>
          </w:tcPr>
          <w:p w14:paraId="5F248A2A" w14:textId="5CD24E8D" w:rsidR="007B7495" w:rsidRPr="007B7495" w:rsidRDefault="007B7495" w:rsidP="054B0C30">
            <w:pPr>
              <w:spacing w:before="120" w:after="120"/>
              <w:ind w:left="57" w:right="57"/>
              <w:jc w:val="center"/>
              <w:rPr>
                <w:sz w:val="20"/>
                <w:szCs w:val="20"/>
                <w:lang w:val="en-US"/>
              </w:rPr>
            </w:pPr>
            <w:r w:rsidRPr="054B0C30">
              <w:rPr>
                <w:sz w:val="20"/>
                <w:szCs w:val="20"/>
                <w:lang w:val="en-US"/>
              </w:rPr>
              <w:t>In cases of necessity or if the administration deems the current key personnel unsuitable, the consulting firm shall send the resumes and social security records of the new key personnel to the administration and may replace its personnel following the approval.</w:t>
            </w:r>
            <w:r w:rsidR="589E28A7" w:rsidRPr="054B0C30">
              <w:rPr>
                <w:sz w:val="20"/>
                <w:szCs w:val="20"/>
                <w:lang w:val="en-US"/>
              </w:rPr>
              <w:t xml:space="preserve"> </w:t>
            </w:r>
            <w:r w:rsidR="17339060" w:rsidRPr="054B0C30">
              <w:rPr>
                <w:sz w:val="20"/>
                <w:szCs w:val="20"/>
                <w:lang w:val="en-US"/>
              </w:rPr>
              <w:t xml:space="preserve">However, it should be noted that the proposed expert </w:t>
            </w:r>
            <w:r w:rsidR="2A820A12" w:rsidRPr="054B0C30">
              <w:rPr>
                <w:sz w:val="20"/>
                <w:szCs w:val="20"/>
                <w:lang w:val="en-US"/>
              </w:rPr>
              <w:t>must</w:t>
            </w:r>
            <w:r w:rsidR="17339060" w:rsidRPr="054B0C30">
              <w:rPr>
                <w:sz w:val="20"/>
                <w:szCs w:val="20"/>
                <w:lang w:val="en-US"/>
              </w:rPr>
              <w:t xml:space="preserve"> at least meet the minimum qualifications requirement indicated in the </w:t>
            </w:r>
            <w:proofErr w:type="spellStart"/>
            <w:r w:rsidR="17339060" w:rsidRPr="054B0C30">
              <w:rPr>
                <w:sz w:val="20"/>
                <w:szCs w:val="20"/>
                <w:lang w:val="en-US"/>
              </w:rPr>
              <w:t>ToR</w:t>
            </w:r>
            <w:proofErr w:type="spellEnd"/>
            <w:r w:rsidR="17339060" w:rsidRPr="054B0C30">
              <w:rPr>
                <w:sz w:val="20"/>
                <w:szCs w:val="20"/>
                <w:lang w:val="en-US"/>
              </w:rPr>
              <w:t>,</w:t>
            </w:r>
          </w:p>
        </w:tc>
        <w:tc>
          <w:tcPr>
            <w:tcW w:w="1843" w:type="dxa"/>
          </w:tcPr>
          <w:p w14:paraId="17D54800" w14:textId="346BC1E8"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66594013" w14:textId="77777777" w:rsidTr="00B504CB">
        <w:trPr>
          <w:tblHeader/>
          <w:jc w:val="center"/>
        </w:trPr>
        <w:tc>
          <w:tcPr>
            <w:tcW w:w="562" w:type="dxa"/>
            <w:vAlign w:val="center"/>
          </w:tcPr>
          <w:p w14:paraId="78E205AA" w14:textId="5E2D5233" w:rsidR="007B7495" w:rsidRPr="007B7495" w:rsidRDefault="007B7495" w:rsidP="007B7495">
            <w:pPr>
              <w:spacing w:before="120" w:after="120"/>
              <w:ind w:left="57" w:right="57"/>
              <w:jc w:val="center"/>
              <w:rPr>
                <w:b/>
                <w:color w:val="000000"/>
                <w:sz w:val="20"/>
                <w:szCs w:val="20"/>
                <w:lang w:val="en-US"/>
              </w:rPr>
            </w:pPr>
            <w:r w:rsidRPr="007B7495">
              <w:rPr>
                <w:b/>
                <w:color w:val="000000"/>
                <w:sz w:val="20"/>
                <w:szCs w:val="20"/>
                <w:lang w:val="en-US"/>
              </w:rPr>
              <w:lastRenderedPageBreak/>
              <w:t>9</w:t>
            </w:r>
          </w:p>
        </w:tc>
        <w:tc>
          <w:tcPr>
            <w:tcW w:w="5954" w:type="dxa"/>
          </w:tcPr>
          <w:p w14:paraId="1849BDA0" w14:textId="28732C6B" w:rsidR="007B7495" w:rsidRPr="007B7495" w:rsidRDefault="007B7495" w:rsidP="007B7495">
            <w:pPr>
              <w:spacing w:before="120" w:after="120"/>
              <w:ind w:left="57" w:right="57"/>
              <w:jc w:val="center"/>
              <w:rPr>
                <w:b/>
                <w:color w:val="000000"/>
                <w:sz w:val="20"/>
                <w:szCs w:val="20"/>
                <w:lang w:val="en-US"/>
              </w:rPr>
            </w:pPr>
            <w:r w:rsidRPr="007B7495">
              <w:rPr>
                <w:sz w:val="20"/>
                <w:szCs w:val="20"/>
              </w:rPr>
              <w:t>Are there restrictions on remote work for Key Experts or Non-Key Experts in the project areas?</w:t>
            </w:r>
          </w:p>
        </w:tc>
        <w:tc>
          <w:tcPr>
            <w:tcW w:w="6095" w:type="dxa"/>
          </w:tcPr>
          <w:p w14:paraId="5FFC62BD" w14:textId="657BDFC2"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As the staff are expected to perform office and consulting work at the consultation offices to be opened in the project provinces, as well as conduct field inspections, remote work is not possible. Therefore, the consulting firm's staff will not be working remotely.</w:t>
            </w:r>
          </w:p>
        </w:tc>
        <w:tc>
          <w:tcPr>
            <w:tcW w:w="1843" w:type="dxa"/>
          </w:tcPr>
          <w:p w14:paraId="7064CEAA" w14:textId="24FAABC3"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11878582" w14:textId="77777777" w:rsidTr="00B504CB">
        <w:trPr>
          <w:tblHeader/>
          <w:jc w:val="center"/>
        </w:trPr>
        <w:tc>
          <w:tcPr>
            <w:tcW w:w="562" w:type="dxa"/>
            <w:vAlign w:val="center"/>
          </w:tcPr>
          <w:p w14:paraId="020A330C" w14:textId="141A9066" w:rsidR="007B7495" w:rsidRPr="007B7495" w:rsidRDefault="007B7495" w:rsidP="007B7495">
            <w:pPr>
              <w:spacing w:before="120" w:after="120"/>
              <w:ind w:left="57" w:right="57"/>
              <w:jc w:val="center"/>
              <w:rPr>
                <w:b/>
                <w:color w:val="000000"/>
                <w:sz w:val="20"/>
                <w:szCs w:val="20"/>
                <w:lang w:val="en-US"/>
              </w:rPr>
            </w:pPr>
            <w:r w:rsidRPr="007B7495">
              <w:rPr>
                <w:b/>
                <w:color w:val="000000"/>
                <w:sz w:val="20"/>
                <w:szCs w:val="20"/>
                <w:lang w:val="en-US"/>
              </w:rPr>
              <w:t>10</w:t>
            </w:r>
          </w:p>
        </w:tc>
        <w:tc>
          <w:tcPr>
            <w:tcW w:w="5954" w:type="dxa"/>
            <w:vAlign w:val="center"/>
          </w:tcPr>
          <w:p w14:paraId="06FBD288" w14:textId="77777777" w:rsidR="007B7495" w:rsidRPr="007B7495" w:rsidRDefault="007B7495" w:rsidP="007B7495">
            <w:pPr>
              <w:spacing w:before="120" w:after="120"/>
              <w:ind w:left="57" w:right="57"/>
              <w:rPr>
                <w:sz w:val="20"/>
                <w:szCs w:val="20"/>
                <w:lang w:val="en-US"/>
              </w:rPr>
            </w:pPr>
            <w:r w:rsidRPr="007B7495">
              <w:rPr>
                <w:sz w:val="20"/>
                <w:szCs w:val="20"/>
                <w:lang w:val="en-US"/>
              </w:rPr>
              <w:t>The TOR identifies "housing experience" as similar experience for evaluating Key Experts' CVs.</w:t>
            </w:r>
          </w:p>
          <w:p w14:paraId="05C85765" w14:textId="77777777" w:rsidR="007B7495" w:rsidRPr="007B7495" w:rsidRDefault="007B7495" w:rsidP="007B7495">
            <w:pPr>
              <w:spacing w:before="120" w:after="120"/>
              <w:ind w:left="57" w:right="57"/>
              <w:rPr>
                <w:sz w:val="20"/>
                <w:szCs w:val="20"/>
                <w:lang w:val="en-US"/>
              </w:rPr>
            </w:pPr>
            <w:r w:rsidRPr="007B7495">
              <w:rPr>
                <w:sz w:val="20"/>
                <w:szCs w:val="20"/>
                <w:lang w:val="en-US"/>
              </w:rPr>
              <w:t>Please clarify:</w:t>
            </w:r>
          </w:p>
          <w:p w14:paraId="71CD62B4" w14:textId="77777777" w:rsidR="007B7495" w:rsidRPr="007B7495" w:rsidRDefault="007B7495" w:rsidP="007B7495">
            <w:pPr>
              <w:spacing w:before="120" w:after="120"/>
              <w:ind w:left="57" w:right="57"/>
              <w:rPr>
                <w:sz w:val="20"/>
                <w:szCs w:val="20"/>
                <w:lang w:val="en-US"/>
              </w:rPr>
            </w:pPr>
            <w:r w:rsidRPr="007B7495">
              <w:rPr>
                <w:sz w:val="20"/>
                <w:szCs w:val="20"/>
                <w:lang w:val="en-US"/>
              </w:rPr>
              <w:t>a. Does "housing experience" include all superstructures (office buildings, schools, medical, commercial, social facilities)?</w:t>
            </w:r>
          </w:p>
          <w:p w14:paraId="6F508940" w14:textId="77777777" w:rsidR="007B7495" w:rsidRPr="007B7495" w:rsidRDefault="007B7495" w:rsidP="007B7495">
            <w:pPr>
              <w:spacing w:before="120" w:after="120"/>
              <w:ind w:left="57" w:right="57"/>
              <w:rPr>
                <w:sz w:val="20"/>
                <w:szCs w:val="20"/>
                <w:lang w:val="en-US"/>
              </w:rPr>
            </w:pPr>
            <w:r w:rsidRPr="007B7495">
              <w:rPr>
                <w:sz w:val="20"/>
                <w:szCs w:val="20"/>
                <w:lang w:val="en-US"/>
              </w:rPr>
              <w:t>b. Or is the evaluation restricted to residential projects (apartment blocks, houses, villas, residential complexes)?</w:t>
            </w:r>
          </w:p>
          <w:p w14:paraId="1F91C6EA" w14:textId="7FAE51CF"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c. Please provide the explicit criteria for what is considered acceptable as housing experience.</w:t>
            </w:r>
          </w:p>
        </w:tc>
        <w:tc>
          <w:tcPr>
            <w:tcW w:w="6095" w:type="dxa"/>
            <w:vAlign w:val="center"/>
          </w:tcPr>
          <w:p w14:paraId="3688BDF3" w14:textId="1FDFBE68" w:rsidR="007B7495" w:rsidRPr="007B7495" w:rsidRDefault="007B7495" w:rsidP="054B0C30">
            <w:pPr>
              <w:spacing w:before="120" w:after="120"/>
              <w:ind w:left="57" w:right="57"/>
              <w:jc w:val="center"/>
              <w:rPr>
                <w:b/>
                <w:bCs/>
                <w:color w:val="000000"/>
                <w:sz w:val="20"/>
                <w:szCs w:val="20"/>
                <w:lang w:val="en-US"/>
              </w:rPr>
            </w:pPr>
            <w:r w:rsidRPr="054B0C30">
              <w:rPr>
                <w:sz w:val="20"/>
                <w:szCs w:val="20"/>
                <w:lang w:val="en-US"/>
              </w:rPr>
              <w:t>Experience of all superstructures will be evaluate</w:t>
            </w:r>
            <w:r w:rsidR="024E80FE" w:rsidRPr="054B0C30">
              <w:rPr>
                <w:sz w:val="20"/>
                <w:szCs w:val="20"/>
                <w:lang w:val="en-US"/>
              </w:rPr>
              <w:t>d</w:t>
            </w:r>
            <w:r w:rsidRPr="054B0C30">
              <w:rPr>
                <w:sz w:val="20"/>
                <w:szCs w:val="20"/>
                <w:lang w:val="en-US"/>
              </w:rPr>
              <w:t xml:space="preserve"> as experience for Key Experts.</w:t>
            </w:r>
          </w:p>
        </w:tc>
        <w:tc>
          <w:tcPr>
            <w:tcW w:w="1843" w:type="dxa"/>
          </w:tcPr>
          <w:p w14:paraId="36EBDCEF" w14:textId="3F9C2ED5"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30992AE5" w14:textId="77777777" w:rsidTr="00B504CB">
        <w:trPr>
          <w:tblHeader/>
          <w:jc w:val="center"/>
        </w:trPr>
        <w:tc>
          <w:tcPr>
            <w:tcW w:w="562" w:type="dxa"/>
            <w:vAlign w:val="center"/>
          </w:tcPr>
          <w:p w14:paraId="7712B631" w14:textId="2E226B77" w:rsidR="007B7495" w:rsidRPr="007B7495" w:rsidRDefault="007B7495" w:rsidP="007B7495">
            <w:pPr>
              <w:spacing w:before="120" w:after="120"/>
              <w:ind w:right="57"/>
              <w:jc w:val="left"/>
              <w:rPr>
                <w:b/>
                <w:color w:val="000000"/>
                <w:sz w:val="20"/>
                <w:szCs w:val="20"/>
                <w:lang w:val="en-US"/>
              </w:rPr>
            </w:pPr>
            <w:r w:rsidRPr="007B7495">
              <w:rPr>
                <w:b/>
                <w:color w:val="000000"/>
                <w:sz w:val="20"/>
                <w:szCs w:val="20"/>
                <w:lang w:val="en-US"/>
              </w:rPr>
              <w:t>11</w:t>
            </w:r>
          </w:p>
        </w:tc>
        <w:tc>
          <w:tcPr>
            <w:tcW w:w="5954" w:type="dxa"/>
          </w:tcPr>
          <w:p w14:paraId="77F3455E" w14:textId="653B3591" w:rsidR="007B7495" w:rsidRPr="007B7495" w:rsidRDefault="007B7495" w:rsidP="007B7495">
            <w:pPr>
              <w:spacing w:before="120" w:after="120"/>
              <w:ind w:left="57" w:right="57"/>
              <w:rPr>
                <w:sz w:val="20"/>
                <w:szCs w:val="20"/>
                <w:lang w:val="en-US"/>
              </w:rPr>
            </w:pPr>
            <w:r w:rsidRPr="007B7495">
              <w:rPr>
                <w:sz w:val="20"/>
                <w:szCs w:val="20"/>
              </w:rPr>
              <w:t>What types and numbers of counterpart staff will be provided?</w:t>
            </w:r>
          </w:p>
        </w:tc>
        <w:tc>
          <w:tcPr>
            <w:tcW w:w="6095" w:type="dxa"/>
          </w:tcPr>
          <w:p w14:paraId="4AB90CFA" w14:textId="2B82E0E8" w:rsidR="007B7495" w:rsidRPr="007B7495" w:rsidRDefault="007B7495" w:rsidP="007B7495">
            <w:pPr>
              <w:spacing w:before="120" w:after="120"/>
              <w:ind w:left="57" w:right="57"/>
              <w:jc w:val="center"/>
              <w:rPr>
                <w:sz w:val="20"/>
                <w:szCs w:val="20"/>
                <w:lang w:val="en-US"/>
              </w:rPr>
            </w:pPr>
            <w:r w:rsidRPr="007B7495">
              <w:rPr>
                <w:sz w:val="20"/>
                <w:szCs w:val="20"/>
                <w:lang w:val="en-US"/>
              </w:rPr>
              <w:t>This is stated clearly in Article 8 of the TOR.</w:t>
            </w:r>
          </w:p>
        </w:tc>
        <w:tc>
          <w:tcPr>
            <w:tcW w:w="1843" w:type="dxa"/>
          </w:tcPr>
          <w:p w14:paraId="3833A6F7" w14:textId="65BD76CC"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6F32639B" w14:textId="77777777" w:rsidTr="00B504CB">
        <w:trPr>
          <w:tblHeader/>
          <w:jc w:val="center"/>
        </w:trPr>
        <w:tc>
          <w:tcPr>
            <w:tcW w:w="562" w:type="dxa"/>
            <w:vAlign w:val="center"/>
          </w:tcPr>
          <w:p w14:paraId="26D31AB0" w14:textId="79C11F61"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12</w:t>
            </w:r>
          </w:p>
        </w:tc>
        <w:tc>
          <w:tcPr>
            <w:tcW w:w="5954" w:type="dxa"/>
          </w:tcPr>
          <w:p w14:paraId="560EF441" w14:textId="56FAE6F7" w:rsidR="007B7495" w:rsidRPr="007B7495" w:rsidRDefault="007B7495" w:rsidP="007B7495">
            <w:pPr>
              <w:spacing w:before="120" w:after="120"/>
              <w:ind w:left="57" w:right="57"/>
              <w:rPr>
                <w:sz w:val="20"/>
                <w:szCs w:val="20"/>
                <w:lang w:val="en-US"/>
              </w:rPr>
            </w:pPr>
            <w:r w:rsidRPr="007B7495">
              <w:rPr>
                <w:sz w:val="20"/>
                <w:szCs w:val="20"/>
              </w:rPr>
              <w:t>Will the Client provide office space, workstations, internet, and other basic facilities in each province?</w:t>
            </w:r>
          </w:p>
        </w:tc>
        <w:tc>
          <w:tcPr>
            <w:tcW w:w="6095" w:type="dxa"/>
          </w:tcPr>
          <w:p w14:paraId="53772731" w14:textId="77777777" w:rsidR="0092794C" w:rsidRPr="0092794C" w:rsidRDefault="0092794C" w:rsidP="0092794C">
            <w:pPr>
              <w:spacing w:before="120" w:after="120"/>
              <w:ind w:left="57" w:right="57"/>
              <w:jc w:val="center"/>
              <w:rPr>
                <w:sz w:val="20"/>
                <w:szCs w:val="20"/>
                <w:lang w:val="en-US"/>
              </w:rPr>
            </w:pPr>
            <w:r w:rsidRPr="0092794C">
              <w:rPr>
                <w:sz w:val="20"/>
                <w:szCs w:val="20"/>
                <w:lang w:val="en-US"/>
              </w:rPr>
              <w:t>An explanation regarding the subject matter has been provided in the relevant TOR.</w:t>
            </w:r>
          </w:p>
          <w:p w14:paraId="1D275227" w14:textId="77777777" w:rsidR="0092794C" w:rsidRPr="0092794C" w:rsidRDefault="0092794C" w:rsidP="0092794C">
            <w:pPr>
              <w:spacing w:before="120" w:after="120"/>
              <w:ind w:left="57" w:right="57"/>
              <w:jc w:val="center"/>
              <w:rPr>
                <w:sz w:val="20"/>
                <w:szCs w:val="20"/>
                <w:lang w:val="en-US"/>
              </w:rPr>
            </w:pPr>
            <w:r w:rsidRPr="0092794C">
              <w:rPr>
                <w:sz w:val="20"/>
                <w:szCs w:val="20"/>
                <w:lang w:val="en-US"/>
              </w:rPr>
              <w:t xml:space="preserve">“The Consultant staff will be located in the Presidency’s information offices in </w:t>
            </w:r>
            <w:proofErr w:type="spellStart"/>
            <w:r w:rsidRPr="0092794C">
              <w:rPr>
                <w:sz w:val="20"/>
                <w:szCs w:val="20"/>
                <w:lang w:val="en-US"/>
              </w:rPr>
              <w:t>Manisa</w:t>
            </w:r>
            <w:proofErr w:type="spellEnd"/>
            <w:r w:rsidRPr="0092794C">
              <w:rPr>
                <w:sz w:val="20"/>
                <w:szCs w:val="20"/>
                <w:lang w:val="en-US"/>
              </w:rPr>
              <w:t xml:space="preserve">, </w:t>
            </w:r>
            <w:proofErr w:type="spellStart"/>
            <w:r w:rsidRPr="0092794C">
              <w:rPr>
                <w:sz w:val="20"/>
                <w:szCs w:val="20"/>
                <w:lang w:val="en-US"/>
              </w:rPr>
              <w:t>Tekirdağ</w:t>
            </w:r>
            <w:proofErr w:type="spellEnd"/>
            <w:r w:rsidRPr="0092794C">
              <w:rPr>
                <w:sz w:val="20"/>
                <w:szCs w:val="20"/>
                <w:lang w:val="en-US"/>
              </w:rPr>
              <w:t xml:space="preserve"> and </w:t>
            </w:r>
            <w:proofErr w:type="spellStart"/>
            <w:r w:rsidRPr="0092794C">
              <w:rPr>
                <w:sz w:val="20"/>
                <w:szCs w:val="20"/>
                <w:lang w:val="en-US"/>
              </w:rPr>
              <w:t>Kocaeli</w:t>
            </w:r>
            <w:proofErr w:type="spellEnd"/>
            <w:r w:rsidRPr="0092794C">
              <w:rPr>
                <w:sz w:val="20"/>
                <w:szCs w:val="20"/>
                <w:lang w:val="en-US"/>
              </w:rPr>
              <w:t>.”</w:t>
            </w:r>
          </w:p>
          <w:p w14:paraId="16BD3B01" w14:textId="0887635C" w:rsidR="007B7495" w:rsidRPr="00206823" w:rsidRDefault="0092794C" w:rsidP="0092794C">
            <w:pPr>
              <w:spacing w:before="120" w:after="120"/>
              <w:ind w:left="57" w:right="57"/>
              <w:jc w:val="center"/>
              <w:rPr>
                <w:sz w:val="20"/>
                <w:szCs w:val="20"/>
                <w:highlight w:val="yellow"/>
                <w:lang w:val="en-US"/>
              </w:rPr>
            </w:pPr>
            <w:r w:rsidRPr="0092794C">
              <w:rPr>
                <w:sz w:val="20"/>
                <w:szCs w:val="20"/>
                <w:lang w:val="en-US"/>
              </w:rPr>
              <w:t xml:space="preserve">“The Consultant will provide all kinds of tools, computers, equipment and all other materials required for technical-legal consultancy, reporting, monitoring and control services to be provided in </w:t>
            </w:r>
            <w:proofErr w:type="spellStart"/>
            <w:r w:rsidRPr="0092794C">
              <w:rPr>
                <w:sz w:val="20"/>
                <w:szCs w:val="20"/>
                <w:lang w:val="en-US"/>
              </w:rPr>
              <w:t>Manisa</w:t>
            </w:r>
            <w:proofErr w:type="spellEnd"/>
            <w:r w:rsidRPr="0092794C">
              <w:rPr>
                <w:sz w:val="20"/>
                <w:szCs w:val="20"/>
                <w:lang w:val="en-US"/>
              </w:rPr>
              <w:t xml:space="preserve">, </w:t>
            </w:r>
            <w:proofErr w:type="spellStart"/>
            <w:r w:rsidRPr="0092794C">
              <w:rPr>
                <w:sz w:val="20"/>
                <w:szCs w:val="20"/>
                <w:lang w:val="en-US"/>
              </w:rPr>
              <w:t>Tekirdağ</w:t>
            </w:r>
            <w:proofErr w:type="spellEnd"/>
            <w:r w:rsidRPr="0092794C">
              <w:rPr>
                <w:sz w:val="20"/>
                <w:szCs w:val="20"/>
                <w:lang w:val="en-US"/>
              </w:rPr>
              <w:t xml:space="preserve"> and </w:t>
            </w:r>
            <w:proofErr w:type="spellStart"/>
            <w:r w:rsidRPr="0092794C">
              <w:rPr>
                <w:sz w:val="20"/>
                <w:szCs w:val="20"/>
                <w:lang w:val="en-US"/>
              </w:rPr>
              <w:t>Kocaeli</w:t>
            </w:r>
            <w:proofErr w:type="spellEnd"/>
            <w:r w:rsidRPr="0092794C">
              <w:rPr>
                <w:sz w:val="20"/>
                <w:szCs w:val="20"/>
                <w:lang w:val="en-US"/>
              </w:rPr>
              <w:t>.”</w:t>
            </w:r>
          </w:p>
        </w:tc>
        <w:tc>
          <w:tcPr>
            <w:tcW w:w="1843" w:type="dxa"/>
          </w:tcPr>
          <w:p w14:paraId="748D6396" w14:textId="30834CA6"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56268755" w14:textId="77777777" w:rsidTr="00B504CB">
        <w:trPr>
          <w:tblHeader/>
          <w:jc w:val="center"/>
        </w:trPr>
        <w:tc>
          <w:tcPr>
            <w:tcW w:w="562" w:type="dxa"/>
            <w:vAlign w:val="center"/>
          </w:tcPr>
          <w:p w14:paraId="6C4F1FAC" w14:textId="59A249A8"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13</w:t>
            </w:r>
          </w:p>
        </w:tc>
        <w:tc>
          <w:tcPr>
            <w:tcW w:w="5954" w:type="dxa"/>
          </w:tcPr>
          <w:p w14:paraId="684F6AB2" w14:textId="07A62601" w:rsidR="007B7495" w:rsidRPr="007B7495" w:rsidRDefault="007B7495" w:rsidP="007B7495">
            <w:pPr>
              <w:spacing w:before="120" w:after="120"/>
              <w:ind w:left="57" w:right="57"/>
              <w:rPr>
                <w:sz w:val="20"/>
                <w:szCs w:val="20"/>
                <w:lang w:val="en-US"/>
              </w:rPr>
            </w:pPr>
            <w:r w:rsidRPr="007B7495">
              <w:rPr>
                <w:sz w:val="20"/>
                <w:szCs w:val="20"/>
              </w:rPr>
              <w:t>Will local transport be provided for field visits?</w:t>
            </w:r>
          </w:p>
        </w:tc>
        <w:tc>
          <w:tcPr>
            <w:tcW w:w="6095" w:type="dxa"/>
          </w:tcPr>
          <w:p w14:paraId="49BD2C05" w14:textId="794BCC2C" w:rsidR="007B7495" w:rsidRPr="0041223D" w:rsidRDefault="007B7495" w:rsidP="054B0C30">
            <w:pPr>
              <w:spacing w:before="120" w:after="120"/>
              <w:ind w:left="57" w:right="57"/>
              <w:jc w:val="center"/>
              <w:rPr>
                <w:sz w:val="20"/>
                <w:szCs w:val="20"/>
                <w:highlight w:val="yellow"/>
                <w:lang w:val="en-US"/>
              </w:rPr>
            </w:pPr>
            <w:r w:rsidRPr="054B0C30">
              <w:rPr>
                <w:sz w:val="20"/>
                <w:szCs w:val="20"/>
                <w:lang w:val="en-US"/>
              </w:rPr>
              <w:t xml:space="preserve">The consultant firm is responsible for transportation and vehicle provision during field visits to be conducted in the project provinces. </w:t>
            </w:r>
            <w:r w:rsidRPr="00C14E2C">
              <w:rPr>
                <w:sz w:val="20"/>
                <w:lang w:val="en-US"/>
              </w:rPr>
              <w:t>In addition, the consultant firm accompany the Presidency staff</w:t>
            </w:r>
            <w:r w:rsidR="25A6237D" w:rsidRPr="00C14E2C">
              <w:rPr>
                <w:sz w:val="20"/>
                <w:lang w:val="en-US"/>
              </w:rPr>
              <w:t xml:space="preserve"> during the field visits.</w:t>
            </w:r>
          </w:p>
        </w:tc>
        <w:tc>
          <w:tcPr>
            <w:tcW w:w="1843" w:type="dxa"/>
          </w:tcPr>
          <w:p w14:paraId="794E913B" w14:textId="38203C4B"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3B811D08" w14:textId="77777777" w:rsidTr="00B504CB">
        <w:trPr>
          <w:tblHeader/>
          <w:jc w:val="center"/>
        </w:trPr>
        <w:tc>
          <w:tcPr>
            <w:tcW w:w="562" w:type="dxa"/>
            <w:vAlign w:val="center"/>
          </w:tcPr>
          <w:p w14:paraId="43D06D2A" w14:textId="45C2552C"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lastRenderedPageBreak/>
              <w:t>14</w:t>
            </w:r>
          </w:p>
        </w:tc>
        <w:tc>
          <w:tcPr>
            <w:tcW w:w="5954" w:type="dxa"/>
          </w:tcPr>
          <w:p w14:paraId="2F32BB64" w14:textId="5AB849FC" w:rsidR="007B7495" w:rsidRPr="007B7495" w:rsidRDefault="007B7495" w:rsidP="007B7495">
            <w:pPr>
              <w:spacing w:before="120" w:after="120"/>
              <w:ind w:left="57" w:right="57"/>
              <w:rPr>
                <w:sz w:val="20"/>
                <w:szCs w:val="20"/>
                <w:lang w:val="en-US"/>
              </w:rPr>
            </w:pPr>
            <w:r w:rsidRPr="007B7495">
              <w:rPr>
                <w:sz w:val="20"/>
                <w:szCs w:val="20"/>
              </w:rPr>
              <w:t>Will permits, security clearance, or access arrangements be provided for field inspections?</w:t>
            </w:r>
          </w:p>
        </w:tc>
        <w:tc>
          <w:tcPr>
            <w:tcW w:w="6095" w:type="dxa"/>
          </w:tcPr>
          <w:p w14:paraId="6AFB399D" w14:textId="77777777" w:rsidR="007B7495" w:rsidRPr="007B7495" w:rsidRDefault="007B7495" w:rsidP="007B7495">
            <w:pPr>
              <w:spacing w:before="120" w:after="120"/>
              <w:ind w:left="57" w:right="57"/>
              <w:rPr>
                <w:sz w:val="20"/>
                <w:szCs w:val="20"/>
                <w:lang w:val="en-US"/>
              </w:rPr>
            </w:pPr>
            <w:r w:rsidRPr="007B7495">
              <w:rPr>
                <w:sz w:val="20"/>
                <w:szCs w:val="20"/>
                <w:lang w:val="en-US"/>
              </w:rPr>
              <w:t>When applying for the project, contractor companies have committed not to engage in any behavior that would hinder the site visits to be conducted, in accordance with the clause specified in the supplementary commitment letter outlined below.</w:t>
            </w:r>
          </w:p>
          <w:p w14:paraId="484BB056" w14:textId="69CE99B5" w:rsidR="007B7495" w:rsidRPr="007B7495" w:rsidRDefault="007B7495" w:rsidP="007B7495">
            <w:pPr>
              <w:spacing w:before="120" w:after="120"/>
              <w:ind w:left="57" w:right="57"/>
              <w:jc w:val="center"/>
              <w:rPr>
                <w:sz w:val="20"/>
                <w:szCs w:val="20"/>
                <w:lang w:val="en-US"/>
              </w:rPr>
            </w:pPr>
            <w:r w:rsidRPr="054B0C30">
              <w:rPr>
                <w:sz w:val="20"/>
                <w:szCs w:val="20"/>
                <w:lang w:val="en-US"/>
              </w:rPr>
              <w:t xml:space="preserve">"- The contractor and its </w:t>
            </w:r>
            <w:proofErr w:type="gramStart"/>
            <w:r w:rsidRPr="054B0C30">
              <w:rPr>
                <w:sz w:val="20"/>
                <w:szCs w:val="20"/>
                <w:lang w:val="en-US"/>
              </w:rPr>
              <w:t>subcontractors )</w:t>
            </w:r>
            <w:proofErr w:type="gramEnd"/>
            <w:r w:rsidRPr="054B0C30">
              <w:rPr>
                <w:sz w:val="20"/>
                <w:szCs w:val="20"/>
                <w:lang w:val="en-US"/>
              </w:rPr>
              <w:t>, sub-consultants, service providers, suppliers, and personnel shall allow inspectors appointed by the Urban Transformation Authority and the World Bank to inspect the work covered by the contract on site and to access the necessary documents (purchasing processes, accounts related to the implementation of the contract, records, and other documents)."</w:t>
            </w:r>
          </w:p>
        </w:tc>
        <w:tc>
          <w:tcPr>
            <w:tcW w:w="1843" w:type="dxa"/>
          </w:tcPr>
          <w:p w14:paraId="1AB8B840" w14:textId="47B5E7BB"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0A13237D" w14:textId="77777777" w:rsidTr="00B504CB">
        <w:trPr>
          <w:tblHeader/>
          <w:jc w:val="center"/>
        </w:trPr>
        <w:tc>
          <w:tcPr>
            <w:tcW w:w="562" w:type="dxa"/>
            <w:vAlign w:val="center"/>
          </w:tcPr>
          <w:p w14:paraId="73981681" w14:textId="7C780469"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15</w:t>
            </w:r>
          </w:p>
        </w:tc>
        <w:tc>
          <w:tcPr>
            <w:tcW w:w="5954" w:type="dxa"/>
          </w:tcPr>
          <w:p w14:paraId="49C58A87" w14:textId="5D86DDB5" w:rsidR="007B7495" w:rsidRPr="007B7495" w:rsidRDefault="007B7495" w:rsidP="007B7495">
            <w:pPr>
              <w:spacing w:before="120" w:after="120"/>
              <w:ind w:left="57" w:right="57"/>
              <w:rPr>
                <w:sz w:val="20"/>
                <w:szCs w:val="20"/>
                <w:lang w:val="en-US"/>
              </w:rPr>
            </w:pPr>
            <w:r w:rsidRPr="007B7495">
              <w:rPr>
                <w:sz w:val="20"/>
                <w:szCs w:val="20"/>
              </w:rPr>
              <w:t>Is there a centralized repository for project data, background reports, and reference documents?</w:t>
            </w:r>
          </w:p>
        </w:tc>
        <w:tc>
          <w:tcPr>
            <w:tcW w:w="6095" w:type="dxa"/>
          </w:tcPr>
          <w:p w14:paraId="3A604C03" w14:textId="6BE4BF80" w:rsidR="007B7495" w:rsidRPr="007B7495" w:rsidRDefault="4F8029F7" w:rsidP="007B7495">
            <w:pPr>
              <w:spacing w:before="120" w:after="120"/>
              <w:ind w:left="57" w:right="57"/>
              <w:jc w:val="center"/>
              <w:rPr>
                <w:sz w:val="20"/>
                <w:szCs w:val="20"/>
                <w:lang w:val="en-US"/>
              </w:rPr>
            </w:pPr>
            <w:r w:rsidRPr="054B0C30">
              <w:rPr>
                <w:sz w:val="20"/>
                <w:szCs w:val="20"/>
                <w:lang w:val="en-US"/>
              </w:rPr>
              <w:t>All data and relevant reference documents will be provided to the Consultant after the signature of the Contract.</w:t>
            </w:r>
          </w:p>
        </w:tc>
        <w:tc>
          <w:tcPr>
            <w:tcW w:w="1843" w:type="dxa"/>
          </w:tcPr>
          <w:p w14:paraId="1B50E94E" w14:textId="2887CCA6"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155E435C" w14:textId="77777777" w:rsidTr="00B504CB">
        <w:trPr>
          <w:tblHeader/>
          <w:jc w:val="center"/>
        </w:trPr>
        <w:tc>
          <w:tcPr>
            <w:tcW w:w="562" w:type="dxa"/>
            <w:vAlign w:val="center"/>
          </w:tcPr>
          <w:p w14:paraId="28BC5B4F" w14:textId="05FE41FC"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16</w:t>
            </w:r>
          </w:p>
        </w:tc>
        <w:tc>
          <w:tcPr>
            <w:tcW w:w="5954" w:type="dxa"/>
          </w:tcPr>
          <w:p w14:paraId="74D7D5CA" w14:textId="4ED602E9" w:rsidR="007B7495" w:rsidRPr="007B7495" w:rsidRDefault="007B7495" w:rsidP="007B7495">
            <w:pPr>
              <w:spacing w:before="120" w:after="120"/>
              <w:ind w:left="57" w:right="57"/>
              <w:rPr>
                <w:sz w:val="20"/>
                <w:szCs w:val="20"/>
                <w:lang w:val="en-US"/>
              </w:rPr>
            </w:pPr>
            <w:r w:rsidRPr="007B7495">
              <w:rPr>
                <w:sz w:val="20"/>
                <w:szCs w:val="20"/>
              </w:rPr>
              <w:t>Are specific methodologies required for risk assesments (climate, seismic, housing)?</w:t>
            </w:r>
          </w:p>
        </w:tc>
        <w:tc>
          <w:tcPr>
            <w:tcW w:w="6095" w:type="dxa"/>
          </w:tcPr>
          <w:p w14:paraId="17319B0D" w14:textId="0CD6E2ED" w:rsidR="007B7495" w:rsidRPr="007B7495" w:rsidRDefault="007B7495" w:rsidP="007B7495">
            <w:pPr>
              <w:spacing w:before="120" w:after="120"/>
              <w:ind w:left="57" w:right="57"/>
              <w:jc w:val="center"/>
              <w:rPr>
                <w:sz w:val="20"/>
                <w:szCs w:val="20"/>
                <w:lang w:val="en-US"/>
              </w:rPr>
            </w:pPr>
            <w:r w:rsidRPr="054B0C30">
              <w:rPr>
                <w:sz w:val="20"/>
                <w:szCs w:val="20"/>
                <w:lang w:val="en-US"/>
              </w:rPr>
              <w:t xml:space="preserve">Risk </w:t>
            </w:r>
            <w:r w:rsidR="00340C82">
              <w:rPr>
                <w:sz w:val="20"/>
                <w:szCs w:val="20"/>
                <w:lang w:val="en-US"/>
              </w:rPr>
              <w:t>ass</w:t>
            </w:r>
            <w:r w:rsidR="002E1B4D">
              <w:rPr>
                <w:sz w:val="20"/>
                <w:szCs w:val="20"/>
                <w:lang w:val="en-US"/>
              </w:rPr>
              <w:t>es</w:t>
            </w:r>
            <w:r w:rsidR="00340C82">
              <w:rPr>
                <w:sz w:val="20"/>
                <w:szCs w:val="20"/>
                <w:lang w:val="en-US"/>
              </w:rPr>
              <w:t>sment</w:t>
            </w:r>
            <w:r w:rsidR="002E1B4D">
              <w:rPr>
                <w:sz w:val="20"/>
                <w:szCs w:val="20"/>
                <w:lang w:val="en-US"/>
              </w:rPr>
              <w:t>s</w:t>
            </w:r>
            <w:r w:rsidRPr="054B0C30">
              <w:rPr>
                <w:sz w:val="20"/>
                <w:szCs w:val="20"/>
                <w:lang w:val="en-US"/>
              </w:rPr>
              <w:t xml:space="preserve"> will be made using the method specified within the scope of the law.</w:t>
            </w:r>
            <w:r w:rsidR="00340C82">
              <w:t xml:space="preserve"> </w:t>
            </w:r>
            <w:r w:rsidR="00340C82">
              <w:rPr>
                <w:sz w:val="20"/>
                <w:szCs w:val="20"/>
                <w:lang w:val="en-US"/>
              </w:rPr>
              <w:t>I</w:t>
            </w:r>
            <w:r w:rsidR="00340C82" w:rsidRPr="00340C82">
              <w:rPr>
                <w:sz w:val="20"/>
                <w:szCs w:val="20"/>
                <w:lang w:val="en-US"/>
              </w:rPr>
              <w:t>t will not be the responsibility of the consultant to determine whether existing buildings are risky, but homeowners hire licensed companies for this assessment.</w:t>
            </w:r>
          </w:p>
        </w:tc>
        <w:tc>
          <w:tcPr>
            <w:tcW w:w="1843" w:type="dxa"/>
          </w:tcPr>
          <w:p w14:paraId="6515EE27" w14:textId="7CC2BC5D"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40BDC58E" w14:textId="77777777" w:rsidTr="00B504CB">
        <w:trPr>
          <w:tblHeader/>
          <w:jc w:val="center"/>
        </w:trPr>
        <w:tc>
          <w:tcPr>
            <w:tcW w:w="562" w:type="dxa"/>
            <w:vAlign w:val="center"/>
          </w:tcPr>
          <w:p w14:paraId="543835EA" w14:textId="63859D88"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17</w:t>
            </w:r>
          </w:p>
        </w:tc>
        <w:tc>
          <w:tcPr>
            <w:tcW w:w="5954" w:type="dxa"/>
          </w:tcPr>
          <w:p w14:paraId="665A0552" w14:textId="76D983CB" w:rsidR="007B7495" w:rsidRPr="007B7495" w:rsidRDefault="007B7495" w:rsidP="007B7495">
            <w:pPr>
              <w:spacing w:before="120" w:after="120"/>
              <w:ind w:left="57" w:right="57"/>
              <w:rPr>
                <w:sz w:val="20"/>
                <w:szCs w:val="20"/>
                <w:lang w:val="en-US"/>
              </w:rPr>
            </w:pPr>
            <w:r w:rsidRPr="007B7495">
              <w:rPr>
                <w:sz w:val="20"/>
                <w:szCs w:val="20"/>
              </w:rPr>
              <w:t xml:space="preserve">Is there a preferred format or template for resillience strategies or risk models? </w:t>
            </w:r>
          </w:p>
        </w:tc>
        <w:tc>
          <w:tcPr>
            <w:tcW w:w="6095" w:type="dxa"/>
          </w:tcPr>
          <w:p w14:paraId="268B0018" w14:textId="526ACEC5" w:rsidR="007B7495" w:rsidRPr="007B7495" w:rsidRDefault="00B27C0F" w:rsidP="007B7495">
            <w:pPr>
              <w:spacing w:before="120" w:after="120"/>
              <w:ind w:left="57" w:right="57"/>
              <w:jc w:val="center"/>
              <w:rPr>
                <w:sz w:val="20"/>
                <w:szCs w:val="20"/>
                <w:lang w:val="en-US"/>
              </w:rPr>
            </w:pPr>
            <w:proofErr w:type="spellStart"/>
            <w:r w:rsidRPr="00B27C0F">
              <w:rPr>
                <w:sz w:val="20"/>
                <w:szCs w:val="20"/>
                <w:lang w:val="en-US"/>
              </w:rPr>
              <w:t>ToR</w:t>
            </w:r>
            <w:proofErr w:type="spellEnd"/>
            <w:r w:rsidRPr="00B27C0F">
              <w:rPr>
                <w:sz w:val="20"/>
                <w:szCs w:val="20"/>
                <w:lang w:val="en-US"/>
              </w:rPr>
              <w:t xml:space="preserve"> does not include tasks related to </w:t>
            </w:r>
            <w:r w:rsidR="002E1B4D" w:rsidRPr="00B27C0F">
              <w:rPr>
                <w:sz w:val="20"/>
                <w:szCs w:val="20"/>
                <w:lang w:val="en-US"/>
              </w:rPr>
              <w:t>resilience</w:t>
            </w:r>
            <w:r w:rsidRPr="00B27C0F">
              <w:rPr>
                <w:sz w:val="20"/>
                <w:szCs w:val="20"/>
                <w:lang w:val="en-US"/>
              </w:rPr>
              <w:t xml:space="preserve"> strategies and risk models. </w:t>
            </w:r>
            <w:r>
              <w:rPr>
                <w:sz w:val="20"/>
                <w:szCs w:val="20"/>
                <w:lang w:val="en-US"/>
              </w:rPr>
              <w:t>I</w:t>
            </w:r>
            <w:r w:rsidRPr="00340C82">
              <w:rPr>
                <w:sz w:val="20"/>
                <w:szCs w:val="20"/>
                <w:lang w:val="en-US"/>
              </w:rPr>
              <w:t>t will not be the responsibility of the consultant to determine whether existing buildings are risky, but homeowners hire licensed companies for this assessment.</w:t>
            </w:r>
          </w:p>
        </w:tc>
        <w:tc>
          <w:tcPr>
            <w:tcW w:w="1843" w:type="dxa"/>
          </w:tcPr>
          <w:p w14:paraId="3D8F6260" w14:textId="55C1479A"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5A784A19" w14:textId="77777777" w:rsidTr="00B504CB">
        <w:trPr>
          <w:tblHeader/>
          <w:jc w:val="center"/>
        </w:trPr>
        <w:tc>
          <w:tcPr>
            <w:tcW w:w="562" w:type="dxa"/>
            <w:vAlign w:val="center"/>
          </w:tcPr>
          <w:p w14:paraId="5884EFDB" w14:textId="52F23D15"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18</w:t>
            </w:r>
          </w:p>
        </w:tc>
        <w:tc>
          <w:tcPr>
            <w:tcW w:w="5954" w:type="dxa"/>
          </w:tcPr>
          <w:p w14:paraId="754A7D0C" w14:textId="6BFEEDA8" w:rsidR="007B7495" w:rsidRPr="007B7495" w:rsidRDefault="007B7495" w:rsidP="007B7495">
            <w:pPr>
              <w:spacing w:before="120" w:after="120"/>
              <w:ind w:left="57" w:right="57"/>
              <w:rPr>
                <w:sz w:val="20"/>
                <w:szCs w:val="20"/>
                <w:lang w:val="en-US"/>
              </w:rPr>
            </w:pPr>
            <w:r w:rsidRPr="007B7495">
              <w:rPr>
                <w:sz w:val="20"/>
                <w:szCs w:val="20"/>
                <w:lang w:val="en-US"/>
              </w:rPr>
              <w:t>Stakeholder Engagement – Any specific expectations for workshops, consultations, or knowledge transfer sessions?</w:t>
            </w:r>
          </w:p>
        </w:tc>
        <w:tc>
          <w:tcPr>
            <w:tcW w:w="6095" w:type="dxa"/>
          </w:tcPr>
          <w:p w14:paraId="45AC3496" w14:textId="74CC08AA" w:rsidR="007B7495" w:rsidRPr="007B7495" w:rsidRDefault="007B7495" w:rsidP="007B7495">
            <w:pPr>
              <w:spacing w:before="120" w:after="120"/>
              <w:ind w:left="57" w:right="57"/>
              <w:jc w:val="center"/>
              <w:rPr>
                <w:sz w:val="20"/>
                <w:szCs w:val="20"/>
                <w:lang w:val="en-US"/>
              </w:rPr>
            </w:pPr>
            <w:r w:rsidRPr="007B7495">
              <w:rPr>
                <w:sz w:val="20"/>
                <w:szCs w:val="20"/>
                <w:lang w:val="en-US"/>
              </w:rPr>
              <w:t xml:space="preserve">The Consultant will be supported UTP PMU in stakeholder engagement, including communication with citizens and property owners. Workshops, consultations, and knowledge transfer will be organized as needed to ensure property owners, including vulnerable and female-headed households, are fully informed about contracts, construction processes, grievance procedures, and ESF and semi-annual reports. </w:t>
            </w:r>
          </w:p>
        </w:tc>
        <w:tc>
          <w:tcPr>
            <w:tcW w:w="1843" w:type="dxa"/>
          </w:tcPr>
          <w:p w14:paraId="7A6A48D0" w14:textId="72E4B6AF"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77D74E65" w14:textId="77777777" w:rsidTr="00B504CB">
        <w:trPr>
          <w:tblHeader/>
          <w:jc w:val="center"/>
        </w:trPr>
        <w:tc>
          <w:tcPr>
            <w:tcW w:w="562" w:type="dxa"/>
            <w:vAlign w:val="center"/>
          </w:tcPr>
          <w:p w14:paraId="6A9E9B84" w14:textId="1EAFF0E1"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lastRenderedPageBreak/>
              <w:t>19</w:t>
            </w:r>
          </w:p>
        </w:tc>
        <w:tc>
          <w:tcPr>
            <w:tcW w:w="5954" w:type="dxa"/>
          </w:tcPr>
          <w:p w14:paraId="52754B42" w14:textId="77777777" w:rsidR="007B7495" w:rsidRPr="007B7495" w:rsidRDefault="007B7495" w:rsidP="007B7495">
            <w:pPr>
              <w:rPr>
                <w:sz w:val="20"/>
                <w:szCs w:val="20"/>
              </w:rPr>
            </w:pPr>
            <w:r w:rsidRPr="007B7495">
              <w:rPr>
                <w:sz w:val="20"/>
                <w:szCs w:val="20"/>
                <w:lang w:val="en-US"/>
              </w:rPr>
              <w:t>Policies &amp; Mechanisms-</w:t>
            </w:r>
            <w:r w:rsidRPr="007B7495">
              <w:rPr>
                <w:sz w:val="20"/>
                <w:szCs w:val="20"/>
              </w:rPr>
              <w:t xml:space="preserve"> </w:t>
            </w:r>
            <w:r w:rsidRPr="007B7495">
              <w:rPr>
                <w:sz w:val="20"/>
                <w:szCs w:val="20"/>
                <w:lang w:val="en-US"/>
              </w:rPr>
              <w:t>Are there existing Client SEA/SH policies to integrate into the project?</w:t>
            </w:r>
          </w:p>
          <w:p w14:paraId="3FA36769" w14:textId="77777777" w:rsidR="007B7495" w:rsidRPr="007B7495" w:rsidRDefault="007B7495" w:rsidP="007B7495">
            <w:pPr>
              <w:spacing w:before="120" w:after="120"/>
              <w:ind w:left="57" w:right="57"/>
              <w:rPr>
                <w:sz w:val="20"/>
                <w:szCs w:val="20"/>
                <w:lang w:val="en-US"/>
              </w:rPr>
            </w:pPr>
          </w:p>
        </w:tc>
        <w:tc>
          <w:tcPr>
            <w:tcW w:w="6095" w:type="dxa"/>
          </w:tcPr>
          <w:p w14:paraId="5C037B52" w14:textId="07ED42D6" w:rsidR="00393377" w:rsidRDefault="007B7495" w:rsidP="007B7495">
            <w:pPr>
              <w:spacing w:before="120" w:after="120"/>
              <w:ind w:left="57" w:right="57"/>
              <w:jc w:val="center"/>
              <w:rPr>
                <w:sz w:val="20"/>
                <w:szCs w:val="20"/>
                <w:lang w:val="en-US"/>
              </w:rPr>
            </w:pPr>
            <w:r w:rsidRPr="007B7495">
              <w:rPr>
                <w:sz w:val="20"/>
                <w:szCs w:val="20"/>
                <w:lang w:val="en-US"/>
              </w:rPr>
              <w:t xml:space="preserve">Yes. The Project will follow the World Bank’s Environmental and Social Framework (ESF), including requirements for SEA/SH prevention and response. The Consultant will integrate these requirements into all activities, ensuring consistency with WB policies and national legislation. Procedures and mechanisms are included in the TOR to align with </w:t>
            </w:r>
            <w:r w:rsidR="00393377">
              <w:rPr>
                <w:sz w:val="20"/>
                <w:szCs w:val="20"/>
                <w:lang w:val="en-US"/>
              </w:rPr>
              <w:t>Environmental and Social Commitment Plan (</w:t>
            </w:r>
            <w:r w:rsidRPr="007B7495">
              <w:rPr>
                <w:sz w:val="20"/>
                <w:szCs w:val="20"/>
                <w:lang w:val="en-US"/>
              </w:rPr>
              <w:t>ESCP</w:t>
            </w:r>
            <w:r w:rsidR="00393377">
              <w:rPr>
                <w:sz w:val="20"/>
                <w:szCs w:val="20"/>
                <w:lang w:val="en-US"/>
              </w:rPr>
              <w:t>)</w:t>
            </w:r>
            <w:r w:rsidR="00E919EB">
              <w:rPr>
                <w:rStyle w:val="DipnotBavurusu"/>
                <w:sz w:val="20"/>
                <w:szCs w:val="20"/>
                <w:lang w:val="en-US"/>
              </w:rPr>
              <w:footnoteReference w:id="2"/>
            </w:r>
            <w:r w:rsidRPr="007B7495">
              <w:rPr>
                <w:sz w:val="20"/>
                <w:szCs w:val="20"/>
                <w:lang w:val="en-US"/>
              </w:rPr>
              <w:t xml:space="preserve">, </w:t>
            </w:r>
            <w:r w:rsidR="00393377">
              <w:rPr>
                <w:sz w:val="20"/>
                <w:szCs w:val="20"/>
                <w:lang w:val="en-US"/>
              </w:rPr>
              <w:t>Environmental and Social Management Framework (</w:t>
            </w:r>
            <w:r w:rsidRPr="007B7495">
              <w:rPr>
                <w:sz w:val="20"/>
                <w:szCs w:val="20"/>
                <w:lang w:val="en-US"/>
              </w:rPr>
              <w:t>ESMF</w:t>
            </w:r>
            <w:r w:rsidR="00393377">
              <w:rPr>
                <w:sz w:val="20"/>
                <w:szCs w:val="20"/>
                <w:lang w:val="en-US"/>
              </w:rPr>
              <w:t>)</w:t>
            </w:r>
            <w:r w:rsidR="00E919EB">
              <w:rPr>
                <w:rStyle w:val="DipnotBavurusu"/>
                <w:sz w:val="20"/>
                <w:szCs w:val="20"/>
                <w:lang w:val="en-US"/>
              </w:rPr>
              <w:footnoteReference w:id="3"/>
            </w:r>
            <w:r w:rsidRPr="007B7495">
              <w:rPr>
                <w:sz w:val="20"/>
                <w:szCs w:val="20"/>
                <w:lang w:val="en-US"/>
              </w:rPr>
              <w:t xml:space="preserve">, </w:t>
            </w:r>
            <w:r w:rsidR="00393377">
              <w:rPr>
                <w:sz w:val="20"/>
                <w:szCs w:val="20"/>
                <w:lang w:val="en-US"/>
              </w:rPr>
              <w:t>Stakeholder Engagement Plan (</w:t>
            </w:r>
            <w:r w:rsidRPr="007B7495">
              <w:rPr>
                <w:sz w:val="20"/>
                <w:szCs w:val="20"/>
                <w:lang w:val="en-US"/>
              </w:rPr>
              <w:t>SEP</w:t>
            </w:r>
            <w:r w:rsidR="00393377">
              <w:rPr>
                <w:sz w:val="20"/>
                <w:szCs w:val="20"/>
                <w:lang w:val="en-US"/>
              </w:rPr>
              <w:t>)</w:t>
            </w:r>
            <w:r w:rsidR="00E919EB">
              <w:rPr>
                <w:rStyle w:val="DipnotBavurusu"/>
                <w:sz w:val="20"/>
                <w:szCs w:val="20"/>
                <w:lang w:val="en-US"/>
              </w:rPr>
              <w:footnoteReference w:id="4"/>
            </w:r>
            <w:r w:rsidRPr="007B7495">
              <w:rPr>
                <w:sz w:val="20"/>
                <w:szCs w:val="20"/>
                <w:lang w:val="en-US"/>
              </w:rPr>
              <w:t xml:space="preserve">, </w:t>
            </w:r>
            <w:r w:rsidR="00393377">
              <w:rPr>
                <w:sz w:val="20"/>
                <w:szCs w:val="20"/>
                <w:lang w:val="en-US"/>
              </w:rPr>
              <w:t>Labor Management Procedure (</w:t>
            </w:r>
            <w:r w:rsidRPr="007B7495">
              <w:rPr>
                <w:sz w:val="20"/>
                <w:szCs w:val="20"/>
                <w:lang w:val="en-US"/>
              </w:rPr>
              <w:t>LMP</w:t>
            </w:r>
            <w:r w:rsidR="00393377">
              <w:rPr>
                <w:sz w:val="20"/>
                <w:szCs w:val="20"/>
                <w:lang w:val="en-US"/>
              </w:rPr>
              <w:t>)</w:t>
            </w:r>
            <w:r w:rsidR="00E919EB">
              <w:rPr>
                <w:rStyle w:val="DipnotBavurusu"/>
                <w:sz w:val="20"/>
                <w:szCs w:val="20"/>
                <w:lang w:val="en-US"/>
              </w:rPr>
              <w:footnoteReference w:id="5"/>
            </w:r>
            <w:r w:rsidRPr="007B7495">
              <w:rPr>
                <w:sz w:val="20"/>
                <w:szCs w:val="20"/>
                <w:lang w:val="en-US"/>
              </w:rPr>
              <w:t xml:space="preserve">, and </w:t>
            </w:r>
            <w:r w:rsidR="00393377">
              <w:rPr>
                <w:sz w:val="20"/>
                <w:szCs w:val="20"/>
                <w:lang w:val="en-US"/>
              </w:rPr>
              <w:t>Resettlement Framework (</w:t>
            </w:r>
            <w:r w:rsidRPr="007B7495">
              <w:rPr>
                <w:sz w:val="20"/>
                <w:szCs w:val="20"/>
                <w:lang w:val="en-US"/>
              </w:rPr>
              <w:t>RF</w:t>
            </w:r>
            <w:r w:rsidR="00393377">
              <w:rPr>
                <w:sz w:val="20"/>
                <w:szCs w:val="20"/>
                <w:lang w:val="en-US"/>
              </w:rPr>
              <w:t>)</w:t>
            </w:r>
            <w:r w:rsidR="00777D49">
              <w:rPr>
                <w:rStyle w:val="DipnotBavurusu"/>
                <w:sz w:val="20"/>
                <w:szCs w:val="20"/>
                <w:lang w:val="en-US"/>
              </w:rPr>
              <w:footnoteReference w:id="6"/>
            </w:r>
            <w:r w:rsidR="00E919EB">
              <w:rPr>
                <w:sz w:val="20"/>
                <w:szCs w:val="20"/>
                <w:lang w:val="en-US"/>
              </w:rPr>
              <w:t xml:space="preserve">, which have been prepared specifically for the CDRC Project and are </w:t>
            </w:r>
            <w:proofErr w:type="spellStart"/>
            <w:r w:rsidR="00E919EB">
              <w:rPr>
                <w:sz w:val="20"/>
                <w:szCs w:val="20"/>
                <w:lang w:val="en-US"/>
              </w:rPr>
              <w:t>publicy</w:t>
            </w:r>
            <w:proofErr w:type="spellEnd"/>
            <w:r w:rsidR="00E919EB">
              <w:rPr>
                <w:sz w:val="20"/>
                <w:szCs w:val="20"/>
                <w:lang w:val="en-US"/>
              </w:rPr>
              <w:t xml:space="preserve"> </w:t>
            </w:r>
            <w:proofErr w:type="spellStart"/>
            <w:r w:rsidR="00E919EB">
              <w:rPr>
                <w:sz w:val="20"/>
                <w:szCs w:val="20"/>
                <w:lang w:val="en-US"/>
              </w:rPr>
              <w:t>discloed</w:t>
            </w:r>
            <w:proofErr w:type="spellEnd"/>
            <w:r w:rsidR="00E919EB">
              <w:rPr>
                <w:sz w:val="20"/>
                <w:szCs w:val="20"/>
                <w:lang w:val="en-US"/>
              </w:rPr>
              <w:t xml:space="preserve"> on the UTP website. </w:t>
            </w:r>
          </w:p>
          <w:p w14:paraId="7AC30EEB" w14:textId="424E855C" w:rsidR="007B7495" w:rsidRPr="007B7495" w:rsidRDefault="007B7495" w:rsidP="007B7495">
            <w:pPr>
              <w:spacing w:before="120" w:after="120"/>
              <w:ind w:left="57" w:right="57"/>
              <w:jc w:val="center"/>
              <w:rPr>
                <w:sz w:val="20"/>
                <w:szCs w:val="20"/>
                <w:lang w:val="en-US"/>
              </w:rPr>
            </w:pPr>
            <w:r w:rsidRPr="007B7495">
              <w:rPr>
                <w:sz w:val="20"/>
                <w:szCs w:val="20"/>
                <w:lang w:val="en-US"/>
              </w:rPr>
              <w:t xml:space="preserve">In addition, the consultant will be responsible for delivering the mandatory Code of Conduct training and the Gender-Based Violence and Sexual Harassment (SEA/SH) training required under the social framework. </w:t>
            </w:r>
          </w:p>
        </w:tc>
        <w:tc>
          <w:tcPr>
            <w:tcW w:w="1843" w:type="dxa"/>
          </w:tcPr>
          <w:p w14:paraId="28203D2A" w14:textId="4B414C50"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1DC3CFC1" w14:textId="77777777" w:rsidTr="00B504CB">
        <w:trPr>
          <w:tblHeader/>
          <w:jc w:val="center"/>
        </w:trPr>
        <w:tc>
          <w:tcPr>
            <w:tcW w:w="562" w:type="dxa"/>
            <w:vAlign w:val="center"/>
          </w:tcPr>
          <w:p w14:paraId="0B368710" w14:textId="1CADB634"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20</w:t>
            </w:r>
          </w:p>
        </w:tc>
        <w:tc>
          <w:tcPr>
            <w:tcW w:w="5954" w:type="dxa"/>
          </w:tcPr>
          <w:p w14:paraId="1C83C027" w14:textId="77777777" w:rsidR="007B7495" w:rsidRPr="007B7495" w:rsidRDefault="007B7495" w:rsidP="007B7495">
            <w:pPr>
              <w:rPr>
                <w:sz w:val="20"/>
                <w:szCs w:val="20"/>
                <w:lang w:val="en-US"/>
              </w:rPr>
            </w:pPr>
            <w:r w:rsidRPr="007B7495">
              <w:rPr>
                <w:sz w:val="20"/>
                <w:szCs w:val="20"/>
                <w:lang w:val="en-US"/>
              </w:rPr>
              <w:t>Reporting Obligations- Are there obligations to report SEA/SH incidents externally, beyond internal project management?</w:t>
            </w:r>
          </w:p>
          <w:p w14:paraId="44CB1368" w14:textId="77777777" w:rsidR="007B7495" w:rsidRPr="007B7495" w:rsidRDefault="007B7495" w:rsidP="007B7495">
            <w:pPr>
              <w:spacing w:before="120" w:after="120"/>
              <w:ind w:left="57" w:right="57"/>
              <w:rPr>
                <w:sz w:val="20"/>
                <w:szCs w:val="20"/>
                <w:lang w:val="en-US"/>
              </w:rPr>
            </w:pPr>
          </w:p>
        </w:tc>
        <w:tc>
          <w:tcPr>
            <w:tcW w:w="6095" w:type="dxa"/>
          </w:tcPr>
          <w:p w14:paraId="3DB4665B" w14:textId="056F681F" w:rsidR="007B7495" w:rsidRPr="007B7495" w:rsidRDefault="007B7495" w:rsidP="007B7495">
            <w:pPr>
              <w:spacing w:before="120" w:after="120"/>
              <w:ind w:left="57" w:right="57"/>
              <w:jc w:val="center"/>
              <w:rPr>
                <w:sz w:val="20"/>
                <w:szCs w:val="20"/>
                <w:lang w:val="en-US"/>
              </w:rPr>
            </w:pPr>
            <w:r w:rsidRPr="007B7495">
              <w:rPr>
                <w:sz w:val="20"/>
                <w:szCs w:val="20"/>
                <w:lang w:val="en-US"/>
              </w:rPr>
              <w:t>Yes. All SEA/SH incidents will be reported to the UTP PMU and documented in monthly and semi-annual reports. Where applicable, incidents will also be communicated in accordance with the World Bank’s ESF requirements and national legislation. The Consultant will provide immediate notification to UTP PMU and ensure confidentiality and survivor-centered handling of cases.</w:t>
            </w:r>
          </w:p>
        </w:tc>
        <w:tc>
          <w:tcPr>
            <w:tcW w:w="1843" w:type="dxa"/>
          </w:tcPr>
          <w:p w14:paraId="4CC78846" w14:textId="231972E7"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0BA905D8" w14:textId="77777777" w:rsidTr="00B504CB">
        <w:trPr>
          <w:tblHeader/>
          <w:jc w:val="center"/>
        </w:trPr>
        <w:tc>
          <w:tcPr>
            <w:tcW w:w="562" w:type="dxa"/>
            <w:vAlign w:val="center"/>
          </w:tcPr>
          <w:p w14:paraId="5411CB92" w14:textId="03C1160A"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21</w:t>
            </w:r>
          </w:p>
        </w:tc>
        <w:tc>
          <w:tcPr>
            <w:tcW w:w="5954" w:type="dxa"/>
          </w:tcPr>
          <w:p w14:paraId="474A284A" w14:textId="06B5F1A6" w:rsidR="007B7495" w:rsidRPr="007B7495" w:rsidRDefault="007B7495" w:rsidP="007B7495">
            <w:pPr>
              <w:spacing w:before="120" w:after="120"/>
              <w:ind w:left="57" w:right="57"/>
              <w:rPr>
                <w:sz w:val="20"/>
                <w:szCs w:val="20"/>
                <w:lang w:val="en-US"/>
              </w:rPr>
            </w:pPr>
            <w:r w:rsidRPr="007B7495">
              <w:rPr>
                <w:sz w:val="20"/>
                <w:szCs w:val="20"/>
              </w:rPr>
              <w:t>Are there existing Client data management or IT security protocols to follow?</w:t>
            </w:r>
          </w:p>
        </w:tc>
        <w:tc>
          <w:tcPr>
            <w:tcW w:w="6095" w:type="dxa"/>
          </w:tcPr>
          <w:p w14:paraId="02F888B0" w14:textId="595EE739" w:rsidR="007B7495" w:rsidRPr="007B7495" w:rsidRDefault="007B7495" w:rsidP="007B7495">
            <w:pPr>
              <w:spacing w:before="120" w:after="120"/>
              <w:ind w:left="57" w:right="57"/>
              <w:jc w:val="center"/>
              <w:rPr>
                <w:sz w:val="20"/>
                <w:szCs w:val="20"/>
                <w:lang w:val="en-US"/>
              </w:rPr>
            </w:pPr>
            <w:r w:rsidRPr="054B0C30">
              <w:rPr>
                <w:sz w:val="20"/>
                <w:szCs w:val="20"/>
                <w:lang w:val="en-US"/>
              </w:rPr>
              <w:t xml:space="preserve">The Consulting Firm will </w:t>
            </w:r>
            <w:r w:rsidR="13A3E9E4" w:rsidRPr="054B0C30">
              <w:rPr>
                <w:sz w:val="20"/>
                <w:szCs w:val="20"/>
                <w:lang w:val="en-US"/>
              </w:rPr>
              <w:t>use</w:t>
            </w:r>
            <w:r w:rsidRPr="054B0C30">
              <w:rPr>
                <w:sz w:val="20"/>
                <w:szCs w:val="20"/>
                <w:lang w:val="en-US"/>
              </w:rPr>
              <w:t xml:space="preserve"> the ARAAD system, which is the system used by the Presidency to carry out this project, and will be responsible for performing tasks and operations such as control, data entry, and uploading materials such as photographs.</w:t>
            </w:r>
          </w:p>
        </w:tc>
        <w:tc>
          <w:tcPr>
            <w:tcW w:w="1843" w:type="dxa"/>
          </w:tcPr>
          <w:p w14:paraId="13A06756" w14:textId="2259D998"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4D0D8479" w14:textId="77777777" w:rsidTr="00B504CB">
        <w:trPr>
          <w:tblHeader/>
          <w:jc w:val="center"/>
        </w:trPr>
        <w:tc>
          <w:tcPr>
            <w:tcW w:w="562" w:type="dxa"/>
            <w:vAlign w:val="center"/>
          </w:tcPr>
          <w:p w14:paraId="0D5F12AA" w14:textId="76C03887"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22</w:t>
            </w:r>
          </w:p>
        </w:tc>
        <w:tc>
          <w:tcPr>
            <w:tcW w:w="5954" w:type="dxa"/>
            <w:vAlign w:val="center"/>
          </w:tcPr>
          <w:p w14:paraId="7B88A6B3" w14:textId="1102ADC5" w:rsidR="007B7495" w:rsidRPr="007B7495" w:rsidRDefault="007B7495" w:rsidP="007B7495">
            <w:pPr>
              <w:spacing w:before="120" w:after="120"/>
              <w:ind w:left="57" w:right="57"/>
              <w:rPr>
                <w:sz w:val="20"/>
                <w:szCs w:val="20"/>
                <w:lang w:val="en-US"/>
              </w:rPr>
            </w:pPr>
            <w:r w:rsidRPr="007B7495">
              <w:rPr>
                <w:sz w:val="20"/>
                <w:szCs w:val="20"/>
              </w:rPr>
              <w:t>Are certifications like ISO 27001 or GDPR compliance required?</w:t>
            </w:r>
          </w:p>
        </w:tc>
        <w:tc>
          <w:tcPr>
            <w:tcW w:w="6095" w:type="dxa"/>
            <w:vAlign w:val="center"/>
          </w:tcPr>
          <w:p w14:paraId="447008E1" w14:textId="4457FA51" w:rsidR="007B7495" w:rsidRPr="007B7495" w:rsidRDefault="007B7495" w:rsidP="007B7495">
            <w:pPr>
              <w:spacing w:before="120" w:after="120"/>
              <w:ind w:left="57" w:right="57"/>
              <w:jc w:val="center"/>
              <w:rPr>
                <w:sz w:val="20"/>
                <w:szCs w:val="20"/>
                <w:lang w:val="en-US"/>
              </w:rPr>
            </w:pPr>
            <w:r w:rsidRPr="007B7495">
              <w:rPr>
                <w:sz w:val="20"/>
                <w:szCs w:val="20"/>
                <w:lang w:val="en-US"/>
              </w:rPr>
              <w:t>No, not required.</w:t>
            </w:r>
          </w:p>
        </w:tc>
        <w:tc>
          <w:tcPr>
            <w:tcW w:w="1843" w:type="dxa"/>
          </w:tcPr>
          <w:p w14:paraId="1911704A" w14:textId="6BFD4F3E"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60CD0457" w14:textId="77777777" w:rsidTr="00B504CB">
        <w:trPr>
          <w:tblHeader/>
          <w:jc w:val="center"/>
        </w:trPr>
        <w:tc>
          <w:tcPr>
            <w:tcW w:w="562" w:type="dxa"/>
            <w:vAlign w:val="center"/>
          </w:tcPr>
          <w:p w14:paraId="31717C7F" w14:textId="17AC7533"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23</w:t>
            </w:r>
          </w:p>
        </w:tc>
        <w:tc>
          <w:tcPr>
            <w:tcW w:w="5954" w:type="dxa"/>
          </w:tcPr>
          <w:p w14:paraId="05EA7273" w14:textId="2FAB5161" w:rsidR="007B7495" w:rsidRPr="007B7495" w:rsidRDefault="007B7495" w:rsidP="007B7495">
            <w:pPr>
              <w:spacing w:before="120" w:after="120"/>
              <w:ind w:left="57" w:right="57"/>
              <w:rPr>
                <w:sz w:val="20"/>
                <w:szCs w:val="20"/>
                <w:lang w:val="en-US"/>
              </w:rPr>
            </w:pPr>
            <w:r w:rsidRPr="007B7495">
              <w:rPr>
                <w:sz w:val="20"/>
                <w:szCs w:val="20"/>
                <w:lang w:val="en-US"/>
              </w:rPr>
              <w:t>Could the Client confirm the basis of remuneration, payment schedule, and pre-financing provisions?</w:t>
            </w:r>
          </w:p>
        </w:tc>
        <w:tc>
          <w:tcPr>
            <w:tcW w:w="6095" w:type="dxa"/>
          </w:tcPr>
          <w:p w14:paraId="7A0514B1" w14:textId="77777777" w:rsidR="007B7495" w:rsidRPr="007B7495" w:rsidRDefault="007B7495" w:rsidP="007B7495">
            <w:pPr>
              <w:spacing w:before="120" w:after="120"/>
              <w:ind w:left="57" w:right="57"/>
              <w:rPr>
                <w:sz w:val="20"/>
                <w:szCs w:val="20"/>
                <w:lang w:val="en-US"/>
              </w:rPr>
            </w:pPr>
            <w:r w:rsidRPr="007B7495">
              <w:rPr>
                <w:sz w:val="20"/>
                <w:szCs w:val="20"/>
                <w:lang w:val="en-US"/>
              </w:rPr>
              <w:t>The basis of the remuneration is in 16.2 of the ITC and 47.3 of the SCC.</w:t>
            </w:r>
          </w:p>
          <w:p w14:paraId="2FF7BC0B" w14:textId="77777777" w:rsidR="007B7495" w:rsidRPr="007B7495" w:rsidRDefault="007B7495" w:rsidP="007B7495">
            <w:pPr>
              <w:spacing w:before="120" w:after="120"/>
              <w:ind w:left="57" w:right="57"/>
              <w:rPr>
                <w:sz w:val="20"/>
                <w:szCs w:val="20"/>
                <w:lang w:val="en-US"/>
              </w:rPr>
            </w:pPr>
            <w:r w:rsidRPr="007B7495">
              <w:rPr>
                <w:sz w:val="20"/>
                <w:szCs w:val="20"/>
                <w:lang w:val="en-US"/>
              </w:rPr>
              <w:t>The basis of the pre-financing provisions is in the 50.1(a) of the SCC. (Advance payment shall not be made.)</w:t>
            </w:r>
          </w:p>
          <w:p w14:paraId="0E354F5E" w14:textId="4DF5C1A5" w:rsidR="007B7495" w:rsidRPr="007B7495" w:rsidRDefault="007B7495" w:rsidP="007B7495">
            <w:pPr>
              <w:spacing w:before="120" w:after="120"/>
              <w:ind w:left="57" w:right="57"/>
              <w:jc w:val="center"/>
              <w:rPr>
                <w:sz w:val="20"/>
                <w:szCs w:val="20"/>
                <w:lang w:val="en-US"/>
              </w:rPr>
            </w:pPr>
            <w:r w:rsidRPr="007B7495">
              <w:rPr>
                <w:sz w:val="20"/>
                <w:szCs w:val="20"/>
                <w:lang w:val="en-US"/>
              </w:rPr>
              <w:t>The payment plan will be based on the work plan and person/month realization proposed by the consultant.</w:t>
            </w:r>
          </w:p>
        </w:tc>
        <w:tc>
          <w:tcPr>
            <w:tcW w:w="1843" w:type="dxa"/>
          </w:tcPr>
          <w:p w14:paraId="2E32755C" w14:textId="6FD5F21C"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7D2C2736" w14:textId="77777777" w:rsidTr="00B504CB">
        <w:trPr>
          <w:tblHeader/>
          <w:jc w:val="center"/>
        </w:trPr>
        <w:tc>
          <w:tcPr>
            <w:tcW w:w="562" w:type="dxa"/>
            <w:vAlign w:val="center"/>
          </w:tcPr>
          <w:p w14:paraId="4AFE5C87" w14:textId="2A440D4C"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lastRenderedPageBreak/>
              <w:t>24</w:t>
            </w:r>
          </w:p>
        </w:tc>
        <w:tc>
          <w:tcPr>
            <w:tcW w:w="5954" w:type="dxa"/>
          </w:tcPr>
          <w:p w14:paraId="3646E2D1" w14:textId="3EEE63CE" w:rsidR="007B7495" w:rsidRPr="007B7495" w:rsidRDefault="007B7495" w:rsidP="007B7495">
            <w:pPr>
              <w:spacing w:before="120" w:after="120"/>
              <w:ind w:left="57" w:right="57"/>
              <w:rPr>
                <w:sz w:val="20"/>
                <w:szCs w:val="20"/>
                <w:lang w:val="en-US"/>
              </w:rPr>
            </w:pPr>
            <w:r w:rsidRPr="007B7495">
              <w:rPr>
                <w:sz w:val="20"/>
                <w:szCs w:val="20"/>
                <w:lang w:val="en-US"/>
              </w:rPr>
              <w:t>Are there audit or reporting requirements for invoices or financial submissions?</w:t>
            </w:r>
          </w:p>
        </w:tc>
        <w:tc>
          <w:tcPr>
            <w:tcW w:w="6095" w:type="dxa"/>
          </w:tcPr>
          <w:p w14:paraId="58783C8C" w14:textId="309054C5" w:rsidR="007B7495" w:rsidRPr="007B7495" w:rsidRDefault="007B7495" w:rsidP="007B7495">
            <w:pPr>
              <w:spacing w:before="120" w:after="120"/>
              <w:ind w:left="57" w:right="57"/>
              <w:jc w:val="center"/>
              <w:rPr>
                <w:sz w:val="20"/>
                <w:szCs w:val="20"/>
                <w:lang w:val="en-US"/>
              </w:rPr>
            </w:pPr>
            <w:r w:rsidRPr="007B7495">
              <w:rPr>
                <w:sz w:val="20"/>
                <w:szCs w:val="20"/>
                <w:lang w:val="en-US"/>
              </w:rPr>
              <w:t xml:space="preserve">Invoices will be submitted along with the documents required for the progress payment.  There is no specific audit or reporting requirement other than the defined reports in </w:t>
            </w:r>
            <w:proofErr w:type="spellStart"/>
            <w:r w:rsidRPr="007B7495">
              <w:rPr>
                <w:sz w:val="20"/>
                <w:szCs w:val="20"/>
                <w:lang w:val="en-US"/>
              </w:rPr>
              <w:t>ToR</w:t>
            </w:r>
            <w:proofErr w:type="spellEnd"/>
            <w:r w:rsidRPr="007B7495">
              <w:rPr>
                <w:sz w:val="20"/>
                <w:szCs w:val="20"/>
                <w:lang w:val="en-US"/>
              </w:rPr>
              <w:t>.</w:t>
            </w:r>
          </w:p>
        </w:tc>
        <w:tc>
          <w:tcPr>
            <w:tcW w:w="1843" w:type="dxa"/>
          </w:tcPr>
          <w:p w14:paraId="17B7B1C9" w14:textId="5DFA2460"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65318457" w14:textId="77777777" w:rsidTr="00B504CB">
        <w:trPr>
          <w:tblHeader/>
          <w:jc w:val="center"/>
        </w:trPr>
        <w:tc>
          <w:tcPr>
            <w:tcW w:w="562" w:type="dxa"/>
            <w:vAlign w:val="center"/>
          </w:tcPr>
          <w:p w14:paraId="7957270B" w14:textId="276CA037"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25</w:t>
            </w:r>
          </w:p>
        </w:tc>
        <w:tc>
          <w:tcPr>
            <w:tcW w:w="5954" w:type="dxa"/>
          </w:tcPr>
          <w:p w14:paraId="6AE4F4B2" w14:textId="130BF26D" w:rsidR="007B7495" w:rsidRPr="007B7495" w:rsidRDefault="007B7495" w:rsidP="007B7495">
            <w:pPr>
              <w:spacing w:before="120" w:after="120"/>
              <w:ind w:left="57" w:right="57"/>
              <w:rPr>
                <w:sz w:val="20"/>
                <w:szCs w:val="20"/>
                <w:lang w:val="en-US"/>
              </w:rPr>
            </w:pPr>
            <w:r w:rsidRPr="007B7495">
              <w:rPr>
                <w:sz w:val="20"/>
                <w:szCs w:val="20"/>
                <w:lang w:val="en-US"/>
              </w:rPr>
              <w:t>Is there a ceiling on reimbursable costs for travel, accommodation, or field activities</w:t>
            </w:r>
          </w:p>
        </w:tc>
        <w:tc>
          <w:tcPr>
            <w:tcW w:w="6095" w:type="dxa"/>
          </w:tcPr>
          <w:p w14:paraId="6C8C4BEB" w14:textId="1B50683A" w:rsidR="007B7495" w:rsidRPr="007B7495" w:rsidRDefault="007B7495" w:rsidP="007B7495">
            <w:pPr>
              <w:spacing w:before="120" w:after="120"/>
              <w:ind w:left="57" w:right="57"/>
              <w:jc w:val="center"/>
              <w:rPr>
                <w:sz w:val="20"/>
                <w:szCs w:val="20"/>
                <w:lang w:val="en-US"/>
              </w:rPr>
            </w:pPr>
            <w:r w:rsidRPr="007B7495">
              <w:rPr>
                <w:sz w:val="20"/>
                <w:szCs w:val="20"/>
                <w:lang w:val="en-US"/>
              </w:rPr>
              <w:t>There is no ceiling for reimbursable costs. In accordance with ITC 16.2, the financial offer will also include reimbursable and the total price offer will be the price including reimbursable.</w:t>
            </w:r>
          </w:p>
        </w:tc>
        <w:tc>
          <w:tcPr>
            <w:tcW w:w="1843" w:type="dxa"/>
          </w:tcPr>
          <w:p w14:paraId="5D496EEE" w14:textId="60524D7E"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2CF6A907" w14:textId="77777777" w:rsidTr="00B504CB">
        <w:trPr>
          <w:tblHeader/>
          <w:jc w:val="center"/>
        </w:trPr>
        <w:tc>
          <w:tcPr>
            <w:tcW w:w="562" w:type="dxa"/>
            <w:vAlign w:val="center"/>
          </w:tcPr>
          <w:p w14:paraId="157A7E25" w14:textId="55DB1FF9"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26</w:t>
            </w:r>
          </w:p>
        </w:tc>
        <w:tc>
          <w:tcPr>
            <w:tcW w:w="5954" w:type="dxa"/>
          </w:tcPr>
          <w:p w14:paraId="0BB8E60C" w14:textId="33AFF3A9" w:rsidR="007B7495" w:rsidRPr="007B7495" w:rsidRDefault="007B7495" w:rsidP="007B7495">
            <w:pPr>
              <w:spacing w:before="120" w:after="120"/>
              <w:ind w:left="57" w:right="57"/>
              <w:rPr>
                <w:sz w:val="20"/>
                <w:szCs w:val="20"/>
                <w:lang w:val="en-US"/>
              </w:rPr>
            </w:pPr>
            <w:r w:rsidRPr="007B7495">
              <w:rPr>
                <w:sz w:val="20"/>
                <w:szCs w:val="20"/>
              </w:rPr>
              <w:t>How will the Client review and approve interim and final deliverables?</w:t>
            </w:r>
          </w:p>
        </w:tc>
        <w:tc>
          <w:tcPr>
            <w:tcW w:w="6095" w:type="dxa"/>
          </w:tcPr>
          <w:p w14:paraId="4F5E1806" w14:textId="548A991C" w:rsidR="007B7495" w:rsidRPr="007B7495" w:rsidRDefault="00512659" w:rsidP="007B7495">
            <w:pPr>
              <w:spacing w:before="120" w:after="120"/>
              <w:ind w:left="57" w:right="57"/>
              <w:jc w:val="center"/>
              <w:rPr>
                <w:sz w:val="20"/>
                <w:szCs w:val="20"/>
                <w:lang w:val="en-US"/>
              </w:rPr>
            </w:pPr>
            <w:r>
              <w:rPr>
                <w:sz w:val="20"/>
                <w:szCs w:val="20"/>
                <w:lang w:val="en-US"/>
              </w:rPr>
              <w:t>As stated in th</w:t>
            </w:r>
            <w:r w:rsidR="0097417F">
              <w:rPr>
                <w:sz w:val="20"/>
                <w:szCs w:val="20"/>
                <w:lang w:val="en-US"/>
              </w:rPr>
              <w:t>e</w:t>
            </w:r>
            <w:r>
              <w:rPr>
                <w:sz w:val="20"/>
                <w:szCs w:val="20"/>
                <w:lang w:val="en-US"/>
              </w:rPr>
              <w:t xml:space="preserve"> TOR under article</w:t>
            </w:r>
            <w:r w:rsidR="0097417F">
              <w:rPr>
                <w:sz w:val="20"/>
                <w:szCs w:val="20"/>
                <w:lang w:val="en-US"/>
              </w:rPr>
              <w:t xml:space="preserve"> 9.</w:t>
            </w:r>
            <w:r w:rsidR="007778AD">
              <w:rPr>
                <w:sz w:val="20"/>
                <w:szCs w:val="20"/>
                <w:lang w:val="en-US"/>
              </w:rPr>
              <w:t xml:space="preserve"> </w:t>
            </w:r>
            <w:r w:rsidR="0097417F" w:rsidRPr="0097417F">
              <w:rPr>
                <w:sz w:val="20"/>
                <w:szCs w:val="20"/>
                <w:lang w:val="en-US"/>
              </w:rPr>
              <w:t>Implementation and Reporting Arrangements</w:t>
            </w:r>
            <w:r w:rsidR="0097417F">
              <w:rPr>
                <w:sz w:val="20"/>
                <w:szCs w:val="20"/>
                <w:lang w:val="en-US"/>
              </w:rPr>
              <w:t xml:space="preserve">, </w:t>
            </w:r>
            <w:r w:rsidR="007B7495" w:rsidRPr="054B0C30">
              <w:rPr>
                <w:sz w:val="20"/>
                <w:szCs w:val="20"/>
                <w:lang w:val="en-US"/>
              </w:rPr>
              <w:t>Reports to be sent to the Presidency via email will be reviewed by the Presidency staff, and if deemed appropriate after review, three copies will be forwarded to the Presidency.</w:t>
            </w:r>
            <w:r w:rsidR="00BD5E21">
              <w:rPr>
                <w:sz w:val="20"/>
                <w:szCs w:val="20"/>
                <w:lang w:val="en-US"/>
              </w:rPr>
              <w:t xml:space="preserve"> </w:t>
            </w:r>
            <w:r w:rsidR="00BD5E21" w:rsidRPr="00BD5E21">
              <w:rPr>
                <w:sz w:val="20"/>
                <w:szCs w:val="20"/>
                <w:lang w:val="en-US"/>
              </w:rPr>
              <w:t xml:space="preserve">Please see Article </w:t>
            </w:r>
            <w:r w:rsidR="00BD5E21">
              <w:rPr>
                <w:sz w:val="20"/>
                <w:szCs w:val="20"/>
                <w:lang w:val="en-US"/>
              </w:rPr>
              <w:t xml:space="preserve">26 and 27 </w:t>
            </w:r>
            <w:r w:rsidR="00BD5E21" w:rsidRPr="00BD5E21">
              <w:rPr>
                <w:sz w:val="20"/>
                <w:szCs w:val="20"/>
                <w:lang w:val="en-US"/>
              </w:rPr>
              <w:t>of</w:t>
            </w:r>
            <w:r w:rsidR="00BD5E21">
              <w:rPr>
                <w:sz w:val="20"/>
                <w:szCs w:val="20"/>
                <w:lang w:val="en-US"/>
              </w:rPr>
              <w:t xml:space="preserve"> </w:t>
            </w:r>
            <w:r w:rsidR="00BD5E21" w:rsidRPr="00BD5E21">
              <w:rPr>
                <w:sz w:val="20"/>
                <w:szCs w:val="20"/>
                <w:lang w:val="en-US"/>
              </w:rPr>
              <w:t>General Conditions of Contrac</w:t>
            </w:r>
            <w:r w:rsidR="00BD5E21">
              <w:rPr>
                <w:sz w:val="20"/>
                <w:szCs w:val="20"/>
                <w:lang w:val="en-US"/>
              </w:rPr>
              <w:t>t.</w:t>
            </w:r>
          </w:p>
        </w:tc>
        <w:tc>
          <w:tcPr>
            <w:tcW w:w="1843" w:type="dxa"/>
          </w:tcPr>
          <w:p w14:paraId="67CC8AD3" w14:textId="5073B3B6"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698E32D2" w14:textId="77777777" w:rsidTr="00B504CB">
        <w:trPr>
          <w:tblHeader/>
          <w:jc w:val="center"/>
        </w:trPr>
        <w:tc>
          <w:tcPr>
            <w:tcW w:w="562" w:type="dxa"/>
            <w:vAlign w:val="center"/>
          </w:tcPr>
          <w:p w14:paraId="015BA082" w14:textId="405EB88E"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27</w:t>
            </w:r>
          </w:p>
        </w:tc>
        <w:tc>
          <w:tcPr>
            <w:tcW w:w="5954" w:type="dxa"/>
          </w:tcPr>
          <w:p w14:paraId="13A18C67" w14:textId="6B659102" w:rsidR="007B7495" w:rsidRPr="007B7495" w:rsidRDefault="007B7495" w:rsidP="007B7495">
            <w:pPr>
              <w:spacing w:before="120" w:after="120"/>
              <w:ind w:left="57" w:right="57"/>
              <w:rPr>
                <w:sz w:val="20"/>
                <w:szCs w:val="20"/>
                <w:lang w:val="en-US"/>
              </w:rPr>
            </w:pPr>
            <w:r w:rsidRPr="007B7495">
              <w:rPr>
                <w:sz w:val="20"/>
                <w:szCs w:val="20"/>
              </w:rPr>
              <w:t>What is the expected turnaround time for feedback on submitted deliverables?</w:t>
            </w:r>
          </w:p>
        </w:tc>
        <w:tc>
          <w:tcPr>
            <w:tcW w:w="6095" w:type="dxa"/>
          </w:tcPr>
          <w:p w14:paraId="37940E8E" w14:textId="3278F7E9" w:rsidR="007B7495" w:rsidRPr="007B7495" w:rsidRDefault="007B7495" w:rsidP="007B7495">
            <w:pPr>
              <w:spacing w:before="120" w:after="120"/>
              <w:ind w:left="57" w:right="57"/>
              <w:jc w:val="center"/>
              <w:rPr>
                <w:sz w:val="20"/>
                <w:szCs w:val="20"/>
                <w:lang w:val="en-US"/>
              </w:rPr>
            </w:pPr>
            <w:r w:rsidRPr="007B7495">
              <w:rPr>
                <w:sz w:val="20"/>
                <w:szCs w:val="20"/>
                <w:lang w:val="en-US"/>
              </w:rPr>
              <w:t>Depending on the content of the documents, the turnaround time is up to 15 business days.</w:t>
            </w:r>
          </w:p>
        </w:tc>
        <w:tc>
          <w:tcPr>
            <w:tcW w:w="1843" w:type="dxa"/>
          </w:tcPr>
          <w:p w14:paraId="45FF2DD6" w14:textId="01C23E43"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5C264190" w14:textId="77777777" w:rsidTr="00B504CB">
        <w:trPr>
          <w:tblHeader/>
          <w:jc w:val="center"/>
        </w:trPr>
        <w:tc>
          <w:tcPr>
            <w:tcW w:w="562" w:type="dxa"/>
            <w:vAlign w:val="center"/>
          </w:tcPr>
          <w:p w14:paraId="5DB6170A" w14:textId="7736DCA5"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28</w:t>
            </w:r>
          </w:p>
        </w:tc>
        <w:tc>
          <w:tcPr>
            <w:tcW w:w="5954" w:type="dxa"/>
          </w:tcPr>
          <w:p w14:paraId="6F2A9E22" w14:textId="65CB6302" w:rsidR="007B7495" w:rsidRPr="007B7495" w:rsidRDefault="007B7495" w:rsidP="007B7495">
            <w:pPr>
              <w:spacing w:before="120" w:after="120"/>
              <w:ind w:left="57" w:right="57"/>
              <w:rPr>
                <w:sz w:val="20"/>
                <w:szCs w:val="20"/>
                <w:lang w:val="en-US"/>
              </w:rPr>
            </w:pPr>
            <w:r w:rsidRPr="007B7495">
              <w:rPr>
                <w:sz w:val="20"/>
                <w:szCs w:val="20"/>
              </w:rPr>
              <w:t>Are there anticipated risks or constraints affecting data collection or field activities?</w:t>
            </w:r>
          </w:p>
        </w:tc>
        <w:tc>
          <w:tcPr>
            <w:tcW w:w="6095" w:type="dxa"/>
          </w:tcPr>
          <w:p w14:paraId="46A23ADD" w14:textId="77777777" w:rsidR="007B7495" w:rsidRPr="007B7495" w:rsidRDefault="007B7495" w:rsidP="007B7495">
            <w:pPr>
              <w:spacing w:before="120" w:after="120"/>
              <w:ind w:left="57" w:right="57"/>
              <w:rPr>
                <w:sz w:val="20"/>
                <w:szCs w:val="20"/>
                <w:lang w:val="en-US"/>
              </w:rPr>
            </w:pPr>
            <w:r w:rsidRPr="007B7495">
              <w:rPr>
                <w:sz w:val="20"/>
                <w:szCs w:val="20"/>
                <w:lang w:val="en-US"/>
              </w:rPr>
              <w:t>When applying for the project, contractor companies have committed not to engage in any behavior that would hinder the site visits to be conducted, in accordance with the clause specified in the supplementary commitment letter outlined below.</w:t>
            </w:r>
          </w:p>
          <w:p w14:paraId="51017423" w14:textId="58B902C8" w:rsidR="007B7495" w:rsidRPr="007B7495" w:rsidRDefault="007B7495" w:rsidP="007B7495">
            <w:pPr>
              <w:spacing w:before="120" w:after="120"/>
              <w:ind w:left="57" w:right="57"/>
              <w:jc w:val="center"/>
              <w:rPr>
                <w:sz w:val="20"/>
                <w:szCs w:val="20"/>
                <w:lang w:val="en-US"/>
              </w:rPr>
            </w:pPr>
            <w:r w:rsidRPr="054B0C30">
              <w:rPr>
                <w:sz w:val="20"/>
                <w:szCs w:val="20"/>
                <w:lang w:val="en-US"/>
              </w:rPr>
              <w:t xml:space="preserve">"- The contractor and its subcontractors (whether declared </w:t>
            </w:r>
            <w:r w:rsidR="0097417F">
              <w:rPr>
                <w:sz w:val="20"/>
                <w:szCs w:val="20"/>
                <w:lang w:val="en-US"/>
              </w:rPr>
              <w:t>to the contractor before the visit</w:t>
            </w:r>
            <w:r w:rsidR="0097417F" w:rsidRPr="054B0C30">
              <w:rPr>
                <w:sz w:val="20"/>
                <w:szCs w:val="20"/>
                <w:lang w:val="en-US"/>
              </w:rPr>
              <w:t xml:space="preserve"> </w:t>
            </w:r>
            <w:r w:rsidRPr="054B0C30">
              <w:rPr>
                <w:sz w:val="20"/>
                <w:szCs w:val="20"/>
                <w:lang w:val="en-US"/>
              </w:rPr>
              <w:t>or not), sub-consultants, service providers, suppliers, and personnel shall allow inspectors appointed by the Urban Transformation Authority and the World Bank to inspect the work covered by the contract on site and to access the necessary documents (purchasing processes, accounts related to the implementation of the contract, records, and other documents). "</w:t>
            </w:r>
          </w:p>
        </w:tc>
        <w:tc>
          <w:tcPr>
            <w:tcW w:w="1843" w:type="dxa"/>
          </w:tcPr>
          <w:p w14:paraId="3FD1513C" w14:textId="13DB4E75"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7AE2DA40" w14:textId="77777777" w:rsidTr="00B504CB">
        <w:trPr>
          <w:tblHeader/>
          <w:jc w:val="center"/>
        </w:trPr>
        <w:tc>
          <w:tcPr>
            <w:tcW w:w="562" w:type="dxa"/>
            <w:vAlign w:val="center"/>
          </w:tcPr>
          <w:p w14:paraId="1F3F69EF" w14:textId="4C5B13CC" w:rsidR="007B7495" w:rsidRPr="007B7495" w:rsidRDefault="007B7495" w:rsidP="007B7495">
            <w:pPr>
              <w:spacing w:before="120" w:after="120"/>
              <w:ind w:right="57"/>
              <w:rPr>
                <w:b/>
                <w:color w:val="000000"/>
                <w:sz w:val="20"/>
                <w:szCs w:val="20"/>
                <w:lang w:val="en-US"/>
              </w:rPr>
            </w:pPr>
            <w:r w:rsidRPr="007B7495">
              <w:rPr>
                <w:b/>
                <w:color w:val="000000"/>
                <w:sz w:val="20"/>
                <w:szCs w:val="20"/>
                <w:lang w:val="en-US"/>
              </w:rPr>
              <w:t>29</w:t>
            </w:r>
          </w:p>
        </w:tc>
        <w:tc>
          <w:tcPr>
            <w:tcW w:w="5954" w:type="dxa"/>
          </w:tcPr>
          <w:p w14:paraId="7A0AE970" w14:textId="4CAC8BF8" w:rsidR="007B7495" w:rsidRPr="007B7495" w:rsidRDefault="007B7495" w:rsidP="007B7495">
            <w:pPr>
              <w:spacing w:before="120" w:after="120"/>
              <w:ind w:left="57" w:right="57"/>
              <w:rPr>
                <w:sz w:val="20"/>
                <w:szCs w:val="20"/>
                <w:lang w:val="en-US"/>
              </w:rPr>
            </w:pPr>
            <w:r w:rsidRPr="007B7495">
              <w:rPr>
                <w:sz w:val="20"/>
                <w:szCs w:val="20"/>
              </w:rPr>
              <w:t>Are there additional services beyond the TOR scope (e.g., GIS mapping, satellite imagery analysis, advanced modelling) expected by the Client?</w:t>
            </w:r>
          </w:p>
        </w:tc>
        <w:tc>
          <w:tcPr>
            <w:tcW w:w="6095" w:type="dxa"/>
          </w:tcPr>
          <w:p w14:paraId="0FAA61E8" w14:textId="28D95684" w:rsidR="007B7495" w:rsidRPr="007B7495" w:rsidRDefault="007B7495" w:rsidP="007B7495">
            <w:pPr>
              <w:spacing w:before="120" w:after="120"/>
              <w:ind w:left="57" w:right="57"/>
              <w:jc w:val="center"/>
              <w:rPr>
                <w:sz w:val="20"/>
                <w:szCs w:val="20"/>
                <w:lang w:val="en-US"/>
              </w:rPr>
            </w:pPr>
            <w:r w:rsidRPr="054B0C30">
              <w:rPr>
                <w:sz w:val="20"/>
                <w:szCs w:val="20"/>
                <w:lang w:val="en-US"/>
              </w:rPr>
              <w:t>The consulting firm will carry out the necessary work and procedures within the scope of the TOR. In addition, it will work in close contact with the Presidency Project Management Unit and must fulfill the written requests of the Presidency staff without exceeding the scope of the TOR and contract.</w:t>
            </w:r>
          </w:p>
        </w:tc>
        <w:tc>
          <w:tcPr>
            <w:tcW w:w="1843" w:type="dxa"/>
          </w:tcPr>
          <w:p w14:paraId="167AAA45" w14:textId="5F5DA83C" w:rsidR="007B7495" w:rsidRPr="007B7495" w:rsidRDefault="007B7495" w:rsidP="007B7495">
            <w:pPr>
              <w:spacing w:before="120" w:after="120"/>
              <w:ind w:left="57" w:right="57"/>
              <w:jc w:val="center"/>
              <w:rPr>
                <w:b/>
                <w:color w:val="000000"/>
                <w:sz w:val="20"/>
                <w:szCs w:val="20"/>
                <w:lang w:val="en-US"/>
              </w:rPr>
            </w:pPr>
            <w:r w:rsidRPr="007B7495">
              <w:rPr>
                <w:sz w:val="20"/>
                <w:szCs w:val="20"/>
                <w:lang w:val="en-US"/>
              </w:rPr>
              <w:t>NO</w:t>
            </w:r>
          </w:p>
        </w:tc>
      </w:tr>
      <w:tr w:rsidR="00B504CB" w:rsidRPr="007B7495" w14:paraId="01AB5C75" w14:textId="77777777" w:rsidTr="00B504CB">
        <w:trPr>
          <w:jc w:val="center"/>
        </w:trPr>
        <w:tc>
          <w:tcPr>
            <w:tcW w:w="562" w:type="dxa"/>
          </w:tcPr>
          <w:p w14:paraId="28710AFA" w14:textId="453F9CF2" w:rsidR="007B7495" w:rsidRPr="007B7495" w:rsidRDefault="000003FD" w:rsidP="007B7495">
            <w:pPr>
              <w:spacing w:before="120" w:after="120"/>
              <w:ind w:left="57" w:right="57"/>
              <w:rPr>
                <w:b/>
                <w:sz w:val="20"/>
                <w:szCs w:val="20"/>
                <w:lang w:val="en-US"/>
              </w:rPr>
            </w:pPr>
            <w:r>
              <w:rPr>
                <w:b/>
                <w:sz w:val="20"/>
                <w:szCs w:val="20"/>
                <w:lang w:val="en-US"/>
              </w:rPr>
              <w:t>30</w:t>
            </w:r>
          </w:p>
        </w:tc>
        <w:tc>
          <w:tcPr>
            <w:tcW w:w="5954" w:type="dxa"/>
          </w:tcPr>
          <w:p w14:paraId="38607024" w14:textId="6B5F4704" w:rsidR="007B7495" w:rsidRPr="007B7495" w:rsidRDefault="007B7495" w:rsidP="007B7495">
            <w:pPr>
              <w:spacing w:before="120" w:after="120"/>
              <w:ind w:left="57" w:right="57"/>
              <w:rPr>
                <w:sz w:val="20"/>
                <w:szCs w:val="20"/>
                <w:lang w:val="en-US"/>
              </w:rPr>
            </w:pPr>
            <w:r w:rsidRPr="007B7495">
              <w:rPr>
                <w:sz w:val="20"/>
                <w:szCs w:val="20"/>
                <w:lang w:val="en-US"/>
              </w:rPr>
              <w:t>Will the submission of applications by Property Owners be maintained throughout the entire project duration of 24 months, or will it be limited to a specific timeframe?</w:t>
            </w:r>
          </w:p>
        </w:tc>
        <w:tc>
          <w:tcPr>
            <w:tcW w:w="6095" w:type="dxa"/>
          </w:tcPr>
          <w:p w14:paraId="22431FE8" w14:textId="77777777" w:rsidR="007B7495" w:rsidRPr="007B7495" w:rsidRDefault="007B7495" w:rsidP="007B7495">
            <w:pPr>
              <w:pStyle w:val="Default"/>
              <w:rPr>
                <w:sz w:val="20"/>
                <w:szCs w:val="20"/>
              </w:rPr>
            </w:pPr>
          </w:p>
          <w:p w14:paraId="5140E75E" w14:textId="24019E61" w:rsidR="007B7495" w:rsidRPr="007B7495" w:rsidRDefault="007B7495" w:rsidP="054B0C30">
            <w:pPr>
              <w:pStyle w:val="Default"/>
              <w:rPr>
                <w:sz w:val="20"/>
                <w:szCs w:val="20"/>
                <w:lang w:val="tr-TR"/>
              </w:rPr>
            </w:pPr>
            <w:r w:rsidRPr="054B0C30">
              <w:rPr>
                <w:sz w:val="20"/>
                <w:szCs w:val="20"/>
                <w:lang w:val="tr-TR"/>
              </w:rPr>
              <w:t>Applications made by Property Owners will be maintained throughout the 24-month project period.</w:t>
            </w:r>
          </w:p>
        </w:tc>
        <w:tc>
          <w:tcPr>
            <w:tcW w:w="1843" w:type="dxa"/>
          </w:tcPr>
          <w:p w14:paraId="41F8D25F" w14:textId="77777777" w:rsidR="007B7495" w:rsidRPr="007B7495" w:rsidRDefault="007B7495" w:rsidP="007B7495">
            <w:pPr>
              <w:spacing w:before="120" w:after="120"/>
              <w:ind w:left="57" w:right="57"/>
              <w:jc w:val="center"/>
              <w:rPr>
                <w:sz w:val="20"/>
                <w:szCs w:val="20"/>
                <w:lang w:val="en-US"/>
              </w:rPr>
            </w:pPr>
            <w:r w:rsidRPr="007B7495">
              <w:rPr>
                <w:sz w:val="20"/>
                <w:szCs w:val="20"/>
                <w:lang w:val="en-US"/>
              </w:rPr>
              <w:t>NO</w:t>
            </w:r>
          </w:p>
        </w:tc>
      </w:tr>
      <w:tr w:rsidR="00B504CB" w:rsidRPr="007B7495" w14:paraId="3E796A1D" w14:textId="77777777" w:rsidTr="00B504CB">
        <w:trPr>
          <w:jc w:val="center"/>
        </w:trPr>
        <w:tc>
          <w:tcPr>
            <w:tcW w:w="562" w:type="dxa"/>
          </w:tcPr>
          <w:p w14:paraId="2606B518" w14:textId="5D075D71" w:rsidR="007B7495" w:rsidRPr="007B7495" w:rsidRDefault="000003FD" w:rsidP="007B7495">
            <w:pPr>
              <w:spacing w:before="120" w:after="120"/>
              <w:ind w:left="57" w:right="57"/>
              <w:rPr>
                <w:b/>
                <w:sz w:val="20"/>
                <w:szCs w:val="20"/>
                <w:lang w:val="en-US"/>
              </w:rPr>
            </w:pPr>
            <w:r>
              <w:rPr>
                <w:b/>
                <w:sz w:val="20"/>
                <w:szCs w:val="20"/>
                <w:lang w:val="en-US"/>
              </w:rPr>
              <w:lastRenderedPageBreak/>
              <w:t>31</w:t>
            </w:r>
          </w:p>
        </w:tc>
        <w:tc>
          <w:tcPr>
            <w:tcW w:w="5954" w:type="dxa"/>
          </w:tcPr>
          <w:p w14:paraId="029CB752" w14:textId="0D1345FE" w:rsidR="007B7495" w:rsidRPr="007B7495" w:rsidRDefault="007B7495" w:rsidP="007B7495">
            <w:pPr>
              <w:spacing w:before="120" w:after="120"/>
              <w:ind w:left="57" w:right="57"/>
              <w:rPr>
                <w:sz w:val="20"/>
                <w:szCs w:val="20"/>
                <w:lang w:val="en-US"/>
              </w:rPr>
            </w:pPr>
            <w:r w:rsidRPr="007B7495">
              <w:rPr>
                <w:sz w:val="20"/>
                <w:szCs w:val="20"/>
                <w:lang w:val="en-US"/>
              </w:rPr>
              <w:t>Will all key and non-key experts be expected to work for the full 24 months, or can their deployment be scheduled in accordance with the Consultant’s work plan?</w:t>
            </w:r>
          </w:p>
        </w:tc>
        <w:tc>
          <w:tcPr>
            <w:tcW w:w="6095" w:type="dxa"/>
          </w:tcPr>
          <w:p w14:paraId="745ADDCB" w14:textId="4812328A" w:rsidR="007B7495" w:rsidRPr="007B7495" w:rsidRDefault="007B7495" w:rsidP="007B7495">
            <w:pPr>
              <w:spacing w:before="120" w:after="120"/>
              <w:ind w:left="57" w:right="57"/>
              <w:rPr>
                <w:sz w:val="20"/>
                <w:szCs w:val="20"/>
                <w:lang w:val="en-US"/>
              </w:rPr>
            </w:pPr>
            <w:r w:rsidRPr="054B0C30">
              <w:rPr>
                <w:sz w:val="20"/>
                <w:szCs w:val="20"/>
                <w:lang w:val="en-US"/>
              </w:rPr>
              <w:t>Estimated input of Key Experts’ time-input: 588 person-months. This estimate is indicative and the Proposal shall be based on the Consultant’s own estimates for the same.</w:t>
            </w:r>
            <w:r w:rsidR="5253B373" w:rsidRPr="054B0C30">
              <w:rPr>
                <w:sz w:val="20"/>
                <w:szCs w:val="20"/>
                <w:lang w:val="en-US"/>
              </w:rPr>
              <w:t xml:space="preserve"> Please see Article 14.1.3 of Data Sheet for missing time-input.</w:t>
            </w:r>
          </w:p>
        </w:tc>
        <w:tc>
          <w:tcPr>
            <w:tcW w:w="1843" w:type="dxa"/>
          </w:tcPr>
          <w:p w14:paraId="5CFBAF1A" w14:textId="77777777" w:rsidR="007B7495" w:rsidRPr="007B7495" w:rsidRDefault="007B7495" w:rsidP="007B7495">
            <w:pPr>
              <w:spacing w:before="120" w:after="120"/>
              <w:ind w:left="57" w:right="57"/>
              <w:jc w:val="center"/>
              <w:rPr>
                <w:sz w:val="20"/>
                <w:szCs w:val="20"/>
                <w:lang w:val="en-US"/>
              </w:rPr>
            </w:pPr>
            <w:r w:rsidRPr="007B7495">
              <w:rPr>
                <w:sz w:val="20"/>
                <w:szCs w:val="20"/>
                <w:lang w:val="en-US"/>
              </w:rPr>
              <w:t>NO</w:t>
            </w:r>
          </w:p>
        </w:tc>
      </w:tr>
      <w:tr w:rsidR="000003FD" w:rsidRPr="007B7495" w14:paraId="184CF6BF" w14:textId="77777777" w:rsidTr="00B504CB">
        <w:trPr>
          <w:jc w:val="center"/>
        </w:trPr>
        <w:tc>
          <w:tcPr>
            <w:tcW w:w="562" w:type="dxa"/>
          </w:tcPr>
          <w:p w14:paraId="6DCF3DC0" w14:textId="0F759146" w:rsidR="000003FD" w:rsidRDefault="000003FD" w:rsidP="007B7495">
            <w:pPr>
              <w:spacing w:before="120" w:after="120"/>
              <w:ind w:left="57" w:right="57"/>
              <w:rPr>
                <w:b/>
                <w:sz w:val="20"/>
                <w:szCs w:val="20"/>
                <w:lang w:val="en-US"/>
              </w:rPr>
            </w:pPr>
            <w:r>
              <w:rPr>
                <w:b/>
                <w:sz w:val="20"/>
                <w:szCs w:val="20"/>
                <w:lang w:val="en-US"/>
              </w:rPr>
              <w:t>32</w:t>
            </w:r>
          </w:p>
        </w:tc>
        <w:tc>
          <w:tcPr>
            <w:tcW w:w="5954" w:type="dxa"/>
          </w:tcPr>
          <w:p w14:paraId="4280F15A" w14:textId="60DBDECD" w:rsidR="000003FD" w:rsidRPr="007B7495" w:rsidRDefault="00206823" w:rsidP="007B7495">
            <w:pPr>
              <w:spacing w:before="120" w:after="120"/>
              <w:ind w:left="57" w:right="57"/>
              <w:rPr>
                <w:sz w:val="20"/>
                <w:szCs w:val="20"/>
                <w:lang w:val="en-US"/>
              </w:rPr>
            </w:pPr>
            <w:r>
              <w:rPr>
                <w:sz w:val="20"/>
                <w:szCs w:val="20"/>
                <w:lang w:val="en-US"/>
              </w:rPr>
              <w:t>We kindly request an extension of two weeks for the preparation of a comprehensive and complete proposal.</w:t>
            </w:r>
          </w:p>
        </w:tc>
        <w:tc>
          <w:tcPr>
            <w:tcW w:w="6095" w:type="dxa"/>
          </w:tcPr>
          <w:p w14:paraId="67B7D43F" w14:textId="385AEA87" w:rsidR="000003FD" w:rsidRPr="007B7495" w:rsidRDefault="0050711E" w:rsidP="007B7495">
            <w:pPr>
              <w:spacing w:before="120" w:after="120"/>
              <w:ind w:left="57" w:right="57"/>
              <w:rPr>
                <w:sz w:val="20"/>
                <w:szCs w:val="20"/>
                <w:lang w:val="en-US"/>
              </w:rPr>
            </w:pPr>
            <w:r w:rsidRPr="054B0C30">
              <w:rPr>
                <w:sz w:val="20"/>
                <w:szCs w:val="20"/>
                <w:lang w:val="en-US"/>
              </w:rPr>
              <w:t>Bids</w:t>
            </w:r>
            <w:r w:rsidR="00206823" w:rsidRPr="054B0C30">
              <w:rPr>
                <w:sz w:val="20"/>
                <w:szCs w:val="20"/>
                <w:lang w:val="en-US"/>
              </w:rPr>
              <w:t xml:space="preserve"> preparation deadlines are determined in accordance with </w:t>
            </w:r>
            <w:r w:rsidR="00E96E6E" w:rsidRPr="054B0C30">
              <w:rPr>
                <w:sz w:val="20"/>
                <w:szCs w:val="20"/>
                <w:lang w:val="en-US"/>
              </w:rPr>
              <w:t>regulations</w:t>
            </w:r>
            <w:r w:rsidR="00206823" w:rsidRPr="054B0C30">
              <w:rPr>
                <w:sz w:val="20"/>
                <w:szCs w:val="20"/>
                <w:lang w:val="en-US"/>
              </w:rPr>
              <w:t xml:space="preserve">. No extension is </w:t>
            </w:r>
            <w:r w:rsidR="006B251C" w:rsidRPr="054B0C30">
              <w:rPr>
                <w:sz w:val="20"/>
                <w:szCs w:val="20"/>
                <w:lang w:val="en-US"/>
              </w:rPr>
              <w:t>considered</w:t>
            </w:r>
            <w:r w:rsidR="00206823" w:rsidRPr="054B0C30">
              <w:rPr>
                <w:sz w:val="20"/>
                <w:szCs w:val="20"/>
                <w:lang w:val="en-US"/>
              </w:rPr>
              <w:t>.</w:t>
            </w:r>
          </w:p>
        </w:tc>
        <w:tc>
          <w:tcPr>
            <w:tcW w:w="1843" w:type="dxa"/>
          </w:tcPr>
          <w:p w14:paraId="12566AD4" w14:textId="60649DCA" w:rsidR="000003FD" w:rsidRPr="007B7495" w:rsidRDefault="00206823" w:rsidP="007B7495">
            <w:pPr>
              <w:spacing w:before="120" w:after="120"/>
              <w:ind w:left="57" w:right="57"/>
              <w:jc w:val="center"/>
              <w:rPr>
                <w:sz w:val="20"/>
                <w:szCs w:val="20"/>
                <w:lang w:val="en-US"/>
              </w:rPr>
            </w:pPr>
            <w:r>
              <w:rPr>
                <w:sz w:val="20"/>
                <w:szCs w:val="20"/>
                <w:lang w:val="en-US"/>
              </w:rPr>
              <w:t>NO</w:t>
            </w:r>
          </w:p>
        </w:tc>
      </w:tr>
      <w:tr w:rsidR="00B504CB" w:rsidRPr="007B7495" w14:paraId="665D7D08" w14:textId="77777777" w:rsidTr="00B504CB">
        <w:trPr>
          <w:jc w:val="center"/>
        </w:trPr>
        <w:tc>
          <w:tcPr>
            <w:tcW w:w="562" w:type="dxa"/>
          </w:tcPr>
          <w:p w14:paraId="593D788D" w14:textId="22D7273D" w:rsidR="005C3C94" w:rsidRDefault="005C3C94" w:rsidP="007B7495">
            <w:pPr>
              <w:spacing w:before="120" w:after="120"/>
              <w:ind w:left="57" w:right="57"/>
              <w:rPr>
                <w:b/>
                <w:sz w:val="20"/>
                <w:szCs w:val="20"/>
                <w:lang w:val="en-US"/>
              </w:rPr>
            </w:pPr>
            <w:r>
              <w:rPr>
                <w:b/>
                <w:sz w:val="20"/>
                <w:szCs w:val="20"/>
                <w:lang w:val="en-US"/>
              </w:rPr>
              <w:t>33</w:t>
            </w:r>
          </w:p>
        </w:tc>
        <w:tc>
          <w:tcPr>
            <w:tcW w:w="5954" w:type="dxa"/>
          </w:tcPr>
          <w:p w14:paraId="2646B169" w14:textId="4311F455" w:rsidR="005C3C94" w:rsidRDefault="005C3C94" w:rsidP="005C3C94">
            <w:pPr>
              <w:spacing w:before="120" w:after="120"/>
              <w:ind w:left="57" w:right="57"/>
              <w:rPr>
                <w:sz w:val="20"/>
                <w:szCs w:val="20"/>
                <w:lang w:val="en-US"/>
              </w:rPr>
            </w:pPr>
            <w:r w:rsidRPr="005C3C94">
              <w:rPr>
                <w:sz w:val="20"/>
                <w:szCs w:val="20"/>
                <w:lang w:val="en-US"/>
              </w:rPr>
              <w:t>Regarding the Data Sheet clause 14.1.2, the time-input has given only for Key Experts as an</w:t>
            </w:r>
            <w:r>
              <w:rPr>
                <w:sz w:val="20"/>
                <w:szCs w:val="20"/>
                <w:lang w:val="en-US"/>
              </w:rPr>
              <w:t xml:space="preserve"> </w:t>
            </w:r>
            <w:r w:rsidRPr="005C3C94">
              <w:rPr>
                <w:sz w:val="20"/>
                <w:szCs w:val="20"/>
                <w:lang w:val="en-US"/>
              </w:rPr>
              <w:t xml:space="preserve">estimated input of 588 person-months. However, there are many Non-Key Experts which has been stated in the table of section 8. Qualification Requirements of Key/Non-Key Experts in </w:t>
            </w:r>
            <w:proofErr w:type="spellStart"/>
            <w:r w:rsidRPr="005C3C94">
              <w:rPr>
                <w:sz w:val="20"/>
                <w:szCs w:val="20"/>
                <w:lang w:val="en-US"/>
              </w:rPr>
              <w:t>ToR</w:t>
            </w:r>
            <w:proofErr w:type="spellEnd"/>
            <w:r w:rsidRPr="005C3C94">
              <w:rPr>
                <w:sz w:val="20"/>
                <w:szCs w:val="20"/>
                <w:lang w:val="en-US"/>
              </w:rPr>
              <w:t>. Will the given man/month input also be used for non-key experts, or will it not be used for them? Or will you provide additional man/month input specifically for the non-key experts? We kindly ask you to clarify this statement for the complete submission of the Proposal.</w:t>
            </w:r>
          </w:p>
        </w:tc>
        <w:tc>
          <w:tcPr>
            <w:tcW w:w="6095" w:type="dxa"/>
          </w:tcPr>
          <w:p w14:paraId="3CDD40C5" w14:textId="769812B0" w:rsidR="00E03A5A" w:rsidRDefault="005C3C94" w:rsidP="00F572C6">
            <w:pPr>
              <w:spacing w:before="120" w:after="120"/>
              <w:ind w:left="57" w:right="57"/>
              <w:rPr>
                <w:sz w:val="20"/>
                <w:szCs w:val="20"/>
                <w:lang w:val="en-US"/>
              </w:rPr>
            </w:pPr>
            <w:r>
              <w:rPr>
                <w:sz w:val="20"/>
                <w:szCs w:val="20"/>
                <w:lang w:val="en-US"/>
              </w:rPr>
              <w:t xml:space="preserve">This is stated in the </w:t>
            </w:r>
            <w:proofErr w:type="spellStart"/>
            <w:r>
              <w:rPr>
                <w:sz w:val="20"/>
                <w:szCs w:val="20"/>
                <w:lang w:val="en-US"/>
              </w:rPr>
              <w:t>ToR</w:t>
            </w:r>
            <w:proofErr w:type="spellEnd"/>
            <w:r>
              <w:rPr>
                <w:sz w:val="20"/>
                <w:szCs w:val="20"/>
                <w:lang w:val="en-US"/>
              </w:rPr>
              <w:t xml:space="preserve"> “</w:t>
            </w:r>
            <w:r w:rsidRPr="005C3C94">
              <w:rPr>
                <w:sz w:val="20"/>
                <w:szCs w:val="20"/>
                <w:lang w:val="en-US"/>
              </w:rPr>
              <w:t>Accordingly, the number of personnel planned to be employed for project provinces during the two-year contract period is planned to be approximately 588 man/month,</w:t>
            </w:r>
            <w:r>
              <w:rPr>
                <w:sz w:val="20"/>
                <w:szCs w:val="20"/>
                <w:lang w:val="en-US"/>
              </w:rPr>
              <w:t xml:space="preserve">”. </w:t>
            </w:r>
            <w:proofErr w:type="gramStart"/>
            <w:r>
              <w:rPr>
                <w:sz w:val="20"/>
                <w:szCs w:val="20"/>
                <w:lang w:val="en-US"/>
              </w:rPr>
              <w:t>So</w:t>
            </w:r>
            <w:proofErr w:type="gramEnd"/>
            <w:r>
              <w:rPr>
                <w:sz w:val="20"/>
                <w:szCs w:val="20"/>
                <w:lang w:val="en-US"/>
              </w:rPr>
              <w:t xml:space="preserve"> </w:t>
            </w:r>
            <w:r w:rsidR="00E72B4E">
              <w:rPr>
                <w:sz w:val="20"/>
                <w:szCs w:val="20"/>
                <w:lang w:val="en-US"/>
              </w:rPr>
              <w:t xml:space="preserve">time input </w:t>
            </w:r>
            <w:r w:rsidRPr="005C3C94">
              <w:rPr>
                <w:sz w:val="20"/>
                <w:szCs w:val="20"/>
                <w:lang w:val="en-US"/>
              </w:rPr>
              <w:t>588 person-months</w:t>
            </w:r>
            <w:r>
              <w:rPr>
                <w:sz w:val="20"/>
                <w:szCs w:val="20"/>
                <w:lang w:val="en-US"/>
              </w:rPr>
              <w:t xml:space="preserve"> </w:t>
            </w:r>
            <w:r w:rsidR="00390C27">
              <w:rPr>
                <w:sz w:val="20"/>
                <w:szCs w:val="20"/>
                <w:lang w:val="en-US"/>
              </w:rPr>
              <w:t>estimated</w:t>
            </w:r>
            <w:r w:rsidR="00E72B4E">
              <w:rPr>
                <w:sz w:val="20"/>
                <w:szCs w:val="20"/>
                <w:lang w:val="en-US"/>
              </w:rPr>
              <w:t xml:space="preserve"> for all experts (key and non-key). </w:t>
            </w:r>
            <w:r w:rsidR="00E72B4E" w:rsidRPr="00E72B4E">
              <w:rPr>
                <w:sz w:val="20"/>
                <w:szCs w:val="20"/>
                <w:lang w:val="en-US"/>
              </w:rPr>
              <w:t>This estimate is indicative and the Proposal shall be based on the Consultant’s own estimates for the same.</w:t>
            </w:r>
            <w:r w:rsidR="00E03A5A">
              <w:rPr>
                <w:sz w:val="20"/>
                <w:szCs w:val="20"/>
                <w:lang w:val="en-US"/>
              </w:rPr>
              <w:t xml:space="preserve"> </w:t>
            </w:r>
          </w:p>
          <w:p w14:paraId="4638D798" w14:textId="06A9D857" w:rsidR="00F572C6" w:rsidRPr="00F572C6" w:rsidRDefault="00F572C6" w:rsidP="00F572C6">
            <w:pPr>
              <w:spacing w:before="120" w:after="120"/>
              <w:ind w:left="57" w:right="57"/>
              <w:rPr>
                <w:sz w:val="20"/>
                <w:szCs w:val="20"/>
                <w:lang w:val="en-US"/>
              </w:rPr>
            </w:pPr>
            <w:r w:rsidRPr="00F572C6">
              <w:rPr>
                <w:sz w:val="20"/>
                <w:szCs w:val="20"/>
                <w:lang w:val="en-US"/>
              </w:rPr>
              <w:t xml:space="preserve">The Consultant’s Proposal must include minimum </w:t>
            </w:r>
            <w:r w:rsidR="00372A78">
              <w:rPr>
                <w:sz w:val="20"/>
                <w:szCs w:val="20"/>
                <w:lang w:val="en-US"/>
              </w:rPr>
              <w:t>588</w:t>
            </w:r>
            <w:r w:rsidRPr="00F572C6">
              <w:rPr>
                <w:sz w:val="20"/>
                <w:szCs w:val="20"/>
                <w:lang w:val="en-US"/>
              </w:rPr>
              <w:t xml:space="preserve"> staff-months of time-input for Key Experts</w:t>
            </w:r>
            <w:r w:rsidR="00372A78">
              <w:rPr>
                <w:sz w:val="20"/>
                <w:szCs w:val="20"/>
                <w:lang w:val="en-US"/>
              </w:rPr>
              <w:t>.</w:t>
            </w:r>
          </w:p>
          <w:p w14:paraId="0DB3B0E6" w14:textId="77777777" w:rsidR="00F572C6" w:rsidRPr="00F572C6" w:rsidRDefault="00F572C6" w:rsidP="00F572C6">
            <w:pPr>
              <w:spacing w:before="120" w:after="120"/>
              <w:ind w:left="57" w:right="57"/>
              <w:rPr>
                <w:sz w:val="20"/>
                <w:szCs w:val="20"/>
                <w:lang w:val="en-US"/>
              </w:rPr>
            </w:pPr>
            <w:r w:rsidRPr="00F572C6">
              <w:rPr>
                <w:sz w:val="20"/>
                <w:szCs w:val="20"/>
                <w:lang w:val="en-US"/>
              </w:rPr>
              <w:t>For the evaluation and comparison of Proposals only, if a Proposal includes less than the required minimum time-input, the missing time-input (expressed in staff-month) is calculated as follows:</w:t>
            </w:r>
          </w:p>
          <w:p w14:paraId="0110CA1D" w14:textId="37D8F01F" w:rsidR="005C3C94" w:rsidRPr="054B0C30" w:rsidRDefault="00F572C6" w:rsidP="00F572C6">
            <w:pPr>
              <w:spacing w:before="120" w:after="120"/>
              <w:ind w:left="57" w:right="57"/>
              <w:rPr>
                <w:sz w:val="20"/>
                <w:szCs w:val="20"/>
                <w:lang w:val="en-US"/>
              </w:rPr>
            </w:pPr>
            <w:r w:rsidRPr="00F572C6">
              <w:rPr>
                <w:sz w:val="20"/>
                <w:szCs w:val="20"/>
                <w:lang w:val="en-US"/>
              </w:rPr>
              <w:t>The missing time-input is multiplied by the highest remuneration rate for a Key Expert in the Consultant’s Proposal and added to the total remuneration amount. Proposals that quoted higher than the required minimum of time-input will not be adjusted.</w:t>
            </w:r>
          </w:p>
        </w:tc>
        <w:tc>
          <w:tcPr>
            <w:tcW w:w="1843" w:type="dxa"/>
          </w:tcPr>
          <w:p w14:paraId="7C265A27" w14:textId="33091824" w:rsidR="005C3C94" w:rsidRDefault="00F70F5B" w:rsidP="007B7495">
            <w:pPr>
              <w:spacing w:before="120" w:after="120"/>
              <w:ind w:left="57" w:right="57"/>
              <w:jc w:val="center"/>
              <w:rPr>
                <w:sz w:val="20"/>
                <w:szCs w:val="20"/>
                <w:lang w:val="en-US"/>
              </w:rPr>
            </w:pPr>
            <w:r>
              <w:rPr>
                <w:sz w:val="20"/>
                <w:szCs w:val="20"/>
                <w:lang w:val="en-US"/>
              </w:rPr>
              <w:t>YES</w:t>
            </w:r>
          </w:p>
        </w:tc>
      </w:tr>
    </w:tbl>
    <w:p w14:paraId="75AEA819" w14:textId="77777777" w:rsidR="001B10E2" w:rsidRPr="004773FA" w:rsidRDefault="001B10E2" w:rsidP="00D6586D">
      <w:pPr>
        <w:pStyle w:val="Altyaz"/>
        <w:jc w:val="left"/>
        <w:rPr>
          <w:lang w:val="en-US"/>
        </w:rPr>
      </w:pPr>
    </w:p>
    <w:sectPr w:rsidR="001B10E2" w:rsidRPr="004773FA" w:rsidSect="00F55649">
      <w:type w:val="oddPage"/>
      <w:pgSz w:w="16838" w:h="11906" w:orient="landscape"/>
      <w:pgMar w:top="1418" w:right="953" w:bottom="851" w:left="641" w:header="995" w:footer="82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4044" w14:textId="77777777" w:rsidR="00B504CB" w:rsidRDefault="00B504CB">
      <w:r>
        <w:separator/>
      </w:r>
    </w:p>
  </w:endnote>
  <w:endnote w:type="continuationSeparator" w:id="0">
    <w:p w14:paraId="3F129CCE" w14:textId="77777777" w:rsidR="00B504CB" w:rsidRDefault="00B504CB">
      <w:r>
        <w:continuationSeparator/>
      </w:r>
    </w:p>
  </w:endnote>
  <w:endnote w:type="continuationNotice" w:id="1">
    <w:p w14:paraId="1C74C5CB" w14:textId="77777777" w:rsidR="00B504CB" w:rsidRDefault="00B50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Optima">
    <w:panose1 w:val="00000000000000000000"/>
    <w:charset w:val="00"/>
    <w:family w:val="roman"/>
    <w:notTrueType/>
    <w:pitch w:val="default"/>
  </w:font>
  <w:font w:name="CG Times">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9ADF" w14:textId="77777777" w:rsidR="001B10E2" w:rsidRDefault="001B10E2">
    <w:pPr>
      <w:pBdr>
        <w:top w:val="nil"/>
        <w:left w:val="nil"/>
        <w:bottom w:val="nil"/>
        <w:right w:val="nil"/>
        <w:between w:val="nil"/>
      </w:pBdr>
      <w:tabs>
        <w:tab w:val="right" w:pos="9504"/>
      </w:tabs>
      <w:spacing w:before="120"/>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B8D3" w14:textId="77777777" w:rsidR="00B504CB" w:rsidRDefault="00B504CB">
      <w:r>
        <w:separator/>
      </w:r>
    </w:p>
  </w:footnote>
  <w:footnote w:type="continuationSeparator" w:id="0">
    <w:p w14:paraId="7C40AD8C" w14:textId="77777777" w:rsidR="00B504CB" w:rsidRDefault="00B504CB">
      <w:r>
        <w:continuationSeparator/>
      </w:r>
    </w:p>
  </w:footnote>
  <w:footnote w:type="continuationNotice" w:id="1">
    <w:p w14:paraId="6086B9E0" w14:textId="77777777" w:rsidR="00B504CB" w:rsidRDefault="00B504CB"/>
  </w:footnote>
  <w:footnote w:id="2">
    <w:p w14:paraId="578F4736" w14:textId="6226895B" w:rsidR="00E919EB" w:rsidRDefault="00E919EB" w:rsidP="00B504CB">
      <w:pPr>
        <w:pStyle w:val="DipnotMetni"/>
      </w:pPr>
      <w:r>
        <w:rPr>
          <w:rStyle w:val="DipnotBavurusu"/>
        </w:rPr>
        <w:footnoteRef/>
      </w:r>
      <w:r w:rsidR="00777D49">
        <w:t xml:space="preserve"> </w:t>
      </w:r>
      <w:r>
        <w:t>ESCP</w:t>
      </w:r>
      <w:r w:rsidR="00777D49">
        <w:t xml:space="preserve"> Disclosed at:</w:t>
      </w:r>
      <w:r>
        <w:t xml:space="preserve"> </w:t>
      </w:r>
      <w:hyperlink r:id="rId1" w:history="1">
        <w:r w:rsidRPr="00AB0ED6">
          <w:rPr>
            <w:rStyle w:val="Kpr"/>
          </w:rPr>
          <w:t>https://webdosya.csb.gov.tr/db/kentseldirenclilik/icerikler/escp-moeucc-eng-20230518143336.pdf</w:t>
        </w:r>
      </w:hyperlink>
    </w:p>
  </w:footnote>
  <w:footnote w:id="3">
    <w:p w14:paraId="783A0947" w14:textId="249B8211" w:rsidR="00E919EB" w:rsidRDefault="00E919EB">
      <w:pPr>
        <w:pStyle w:val="DipnotMetni"/>
      </w:pPr>
      <w:r>
        <w:rPr>
          <w:rStyle w:val="DipnotBavurusu"/>
        </w:rPr>
        <w:footnoteRef/>
      </w:r>
      <w:r>
        <w:t xml:space="preserve"> ESMF</w:t>
      </w:r>
      <w:r w:rsidR="00777D49">
        <w:t xml:space="preserve"> Disclosed at:</w:t>
      </w:r>
      <w:r>
        <w:t xml:space="preserve"> </w:t>
      </w:r>
      <w:hyperlink r:id="rId2" w:history="1">
        <w:r w:rsidRPr="00AB0ED6">
          <w:rPr>
            <w:rStyle w:val="Kpr"/>
          </w:rPr>
          <w:t>https://kentseldirenclilik.csb.gov.tr/ingilizce-dokumanlar-i-108261</w:t>
        </w:r>
      </w:hyperlink>
    </w:p>
    <w:p w14:paraId="349E1278" w14:textId="77777777" w:rsidR="00E919EB" w:rsidRDefault="00E919EB">
      <w:pPr>
        <w:pStyle w:val="DipnotMetni"/>
      </w:pPr>
    </w:p>
  </w:footnote>
  <w:footnote w:id="4">
    <w:p w14:paraId="1E6947ED" w14:textId="757110A3" w:rsidR="00E919EB" w:rsidRDefault="00E919EB">
      <w:pPr>
        <w:pStyle w:val="DipnotMetni"/>
      </w:pPr>
      <w:r>
        <w:rPr>
          <w:rStyle w:val="DipnotBavurusu"/>
        </w:rPr>
        <w:footnoteRef/>
      </w:r>
      <w:r>
        <w:t xml:space="preserve"> SEP</w:t>
      </w:r>
      <w:r w:rsidR="00777D49">
        <w:t xml:space="preserve"> Disclosed at:</w:t>
      </w:r>
      <w:r>
        <w:t xml:space="preserve"> </w:t>
      </w:r>
      <w:hyperlink r:id="rId3" w:history="1">
        <w:r w:rsidRPr="00AB0ED6">
          <w:rPr>
            <w:rStyle w:val="Kpr"/>
          </w:rPr>
          <w:t>https://kentseldirenclilik.csb.gov.tr/ingilizce-dokumanlar-i-108261</w:t>
        </w:r>
      </w:hyperlink>
    </w:p>
    <w:p w14:paraId="2BD7D3B2" w14:textId="77777777" w:rsidR="00E919EB" w:rsidRDefault="00E919EB">
      <w:pPr>
        <w:pStyle w:val="DipnotMetni"/>
      </w:pPr>
    </w:p>
  </w:footnote>
  <w:footnote w:id="5">
    <w:p w14:paraId="2D7F5754" w14:textId="2951C92A" w:rsidR="00E919EB" w:rsidRDefault="00E919EB">
      <w:pPr>
        <w:pStyle w:val="DipnotMetni"/>
      </w:pPr>
      <w:r>
        <w:rPr>
          <w:rStyle w:val="DipnotBavurusu"/>
        </w:rPr>
        <w:footnoteRef/>
      </w:r>
      <w:r>
        <w:t xml:space="preserve"> LMP</w:t>
      </w:r>
      <w:r w:rsidR="00777D49">
        <w:t xml:space="preserve"> Disclosed at</w:t>
      </w:r>
      <w:r>
        <w:t xml:space="preserve">: </w:t>
      </w:r>
      <w:hyperlink r:id="rId4" w:history="1">
        <w:r w:rsidR="00777D49" w:rsidRPr="00AB0ED6">
          <w:rPr>
            <w:rStyle w:val="Kpr"/>
          </w:rPr>
          <w:t>https://kentseldirenclilik.csb.gov.tr/ingilizce-dokumanlar-i-108261</w:t>
        </w:r>
      </w:hyperlink>
    </w:p>
    <w:p w14:paraId="16270AA4" w14:textId="77777777" w:rsidR="00777D49" w:rsidRDefault="00777D49">
      <w:pPr>
        <w:pStyle w:val="DipnotMetni"/>
      </w:pPr>
    </w:p>
  </w:footnote>
  <w:footnote w:id="6">
    <w:p w14:paraId="52EC5225" w14:textId="183DA186" w:rsidR="00777D49" w:rsidRDefault="00777D49">
      <w:pPr>
        <w:pStyle w:val="DipnotMetni"/>
      </w:pPr>
      <w:r>
        <w:rPr>
          <w:rStyle w:val="DipnotBavurusu"/>
        </w:rPr>
        <w:footnoteRef/>
      </w:r>
      <w:r>
        <w:t xml:space="preserve"> RF Disclosed at: </w:t>
      </w:r>
      <w:hyperlink r:id="rId5" w:history="1">
        <w:r w:rsidRPr="00AB0ED6">
          <w:rPr>
            <w:rStyle w:val="Kpr"/>
          </w:rPr>
          <w:t>https://kentseldirenclilik.csb.gov.tr/ingilizce-dokumanlar-i-108261</w:t>
        </w:r>
      </w:hyperlink>
    </w:p>
    <w:p w14:paraId="289B3926" w14:textId="77777777" w:rsidR="00777D49" w:rsidRDefault="00777D49">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F177" w14:textId="77777777" w:rsidR="00F55649" w:rsidRPr="00AA0A90" w:rsidRDefault="00F55649" w:rsidP="00F55649">
    <w:pPr>
      <w:pStyle w:val="stBilgi"/>
      <w:jc w:val="right"/>
      <w:rPr>
        <w:rFonts w:ascii="Times New Roman" w:hAnsi="Times New Roman"/>
      </w:rPr>
    </w:pPr>
    <w:r w:rsidRPr="00AA0A90">
      <w:rPr>
        <w:rFonts w:ascii="Times New Roman" w:hAnsi="Times New Roman"/>
        <w:color w:val="000000"/>
        <w:lang w:val="tr-TR"/>
      </w:rPr>
      <w:t xml:space="preserve">Addendum No.1 </w:t>
    </w:r>
    <w:r w:rsidRPr="00AA0A90">
      <w:rPr>
        <w:rFonts w:ascii="Times New Roman" w:hAnsi="Times New Roman"/>
        <w:color w:val="000000"/>
        <w:lang w:val="tr-TR"/>
      </w:rPr>
      <w:tab/>
    </w:r>
    <w:r w:rsidRPr="00AA0A90">
      <w:rPr>
        <w:rFonts w:ascii="Times New Roman" w:hAnsi="Times New Roman"/>
        <w:color w:val="000000"/>
        <w:lang w:val="tr-TR"/>
      </w:rPr>
      <w:tab/>
    </w:r>
    <w:r w:rsidRPr="00AA0A90">
      <w:rPr>
        <w:rFonts w:ascii="Times New Roman" w:hAnsi="Times New Roman"/>
        <w:color w:val="000000"/>
        <w:lang w:val="tr-TR"/>
      </w:rPr>
      <w:tab/>
    </w:r>
    <w:r w:rsidRPr="00AA0A90">
      <w:rPr>
        <w:rFonts w:ascii="Times New Roman" w:hAnsi="Times New Roman"/>
        <w:color w:val="000000"/>
        <w:lang w:val="tr-TR"/>
      </w:rPr>
      <w:tab/>
    </w:r>
    <w:r w:rsidRPr="00AA0A90">
      <w:rPr>
        <w:rFonts w:ascii="Times New Roman" w:hAnsi="Times New Roman"/>
        <w:color w:val="000000"/>
        <w:lang w:val="tr-TR"/>
      </w:rPr>
      <w:tab/>
    </w:r>
    <w:r w:rsidRPr="00AA0A90">
      <w:rPr>
        <w:rFonts w:ascii="Times New Roman" w:hAnsi="Times New Roman"/>
        <w:color w:val="000000"/>
        <w:lang w:val="tr-TR"/>
      </w:rPr>
      <w:tab/>
    </w:r>
    <w:r w:rsidRPr="00AA0A90">
      <w:rPr>
        <w:rFonts w:ascii="Times New Roman" w:hAnsi="Times New Roman"/>
        <w:color w:val="000000"/>
        <w:lang w:val="tr-TR"/>
      </w:rPr>
      <w:tab/>
    </w:r>
    <w:r w:rsidRPr="00AA0A90">
      <w:rPr>
        <w:rFonts w:ascii="Times New Roman" w:hAnsi="Times New Roman"/>
        <w:color w:val="000000"/>
        <w:lang w:val="tr-TR"/>
      </w:rPr>
      <w:tab/>
    </w:r>
    <w:r w:rsidRPr="00AA0A90">
      <w:rPr>
        <w:rFonts w:ascii="Times New Roman" w:hAnsi="Times New Roman"/>
        <w:color w:val="000000"/>
        <w:lang w:val="tr-TR"/>
      </w:rPr>
      <w:tab/>
    </w:r>
    <w:r w:rsidRPr="00AA0A90">
      <w:rPr>
        <w:rFonts w:ascii="Times New Roman" w:hAnsi="Times New Roman"/>
        <w:color w:val="000000"/>
        <w:lang w:val="tr-TR"/>
      </w:rPr>
      <w:tab/>
    </w:r>
    <w:sdt>
      <w:sdtPr>
        <w:rPr>
          <w:rFonts w:ascii="Times New Roman" w:hAnsi="Times New Roman"/>
        </w:rPr>
        <w:id w:val="-1941523422"/>
        <w:docPartObj>
          <w:docPartGallery w:val="Page Numbers (Top of Page)"/>
          <w:docPartUnique/>
        </w:docPartObj>
      </w:sdtPr>
      <w:sdtEndPr/>
      <w:sdtContent>
        <w:r w:rsidRPr="00AA0A90">
          <w:rPr>
            <w:rFonts w:ascii="Times New Roman" w:hAnsi="Times New Roman"/>
          </w:rPr>
          <w:fldChar w:fldCharType="begin"/>
        </w:r>
        <w:r w:rsidRPr="00AA0A90">
          <w:rPr>
            <w:rFonts w:ascii="Times New Roman" w:hAnsi="Times New Roman"/>
          </w:rPr>
          <w:instrText>PAGE   \* MERGEFORMAT</w:instrText>
        </w:r>
        <w:r w:rsidRPr="00AA0A90">
          <w:rPr>
            <w:rFonts w:ascii="Times New Roman" w:hAnsi="Times New Roman"/>
          </w:rPr>
          <w:fldChar w:fldCharType="separate"/>
        </w:r>
        <w:r w:rsidR="00E44149" w:rsidRPr="00E44149">
          <w:rPr>
            <w:rFonts w:ascii="Times New Roman" w:hAnsi="Times New Roman"/>
            <w:noProof/>
            <w:lang w:val="tr-TR"/>
          </w:rPr>
          <w:t>3</w:t>
        </w:r>
        <w:r w:rsidRPr="00AA0A90">
          <w:rPr>
            <w:rFonts w:ascii="Times New Roman" w:hAnsi="Times New Roman"/>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BAF"/>
    <w:multiLevelType w:val="hybridMultilevel"/>
    <w:tmpl w:val="FD0AF548"/>
    <w:lvl w:ilvl="0" w:tplc="83F26C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F181578"/>
    <w:multiLevelType w:val="hybridMultilevel"/>
    <w:tmpl w:val="D860883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32192F0B"/>
    <w:multiLevelType w:val="multilevel"/>
    <w:tmpl w:val="E5E29E84"/>
    <w:lvl w:ilvl="0">
      <w:start w:val="1"/>
      <w:numFmt w:val="decimal"/>
      <w:pStyle w:val="Header1-Clauses"/>
      <w:lvlText w:val="%1."/>
      <w:lvlJc w:val="left"/>
      <w:pPr>
        <w:tabs>
          <w:tab w:val="num" w:pos="720"/>
        </w:tabs>
        <w:ind w:left="720" w:hanging="720"/>
      </w:pPr>
    </w:lvl>
    <w:lvl w:ilvl="1">
      <w:start w:val="1"/>
      <w:numFmt w:val="decimal"/>
      <w:pStyle w:val="2AutoList1"/>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0E2"/>
    <w:rsid w:val="000003FD"/>
    <w:rsid w:val="00035A08"/>
    <w:rsid w:val="000571B8"/>
    <w:rsid w:val="000760A1"/>
    <w:rsid w:val="000A65B9"/>
    <w:rsid w:val="000E045C"/>
    <w:rsid w:val="000F309E"/>
    <w:rsid w:val="000F4411"/>
    <w:rsid w:val="001133D3"/>
    <w:rsid w:val="00120361"/>
    <w:rsid w:val="0012786A"/>
    <w:rsid w:val="00141B15"/>
    <w:rsid w:val="00150FE5"/>
    <w:rsid w:val="0015287F"/>
    <w:rsid w:val="001673DD"/>
    <w:rsid w:val="00185462"/>
    <w:rsid w:val="001B10E2"/>
    <w:rsid w:val="001B42B2"/>
    <w:rsid w:val="001D4F89"/>
    <w:rsid w:val="001D6CBD"/>
    <w:rsid w:val="001F28C8"/>
    <w:rsid w:val="001F2CC9"/>
    <w:rsid w:val="00206751"/>
    <w:rsid w:val="00206823"/>
    <w:rsid w:val="0023656B"/>
    <w:rsid w:val="00242817"/>
    <w:rsid w:val="00291818"/>
    <w:rsid w:val="002978A9"/>
    <w:rsid w:val="002E1B4D"/>
    <w:rsid w:val="002E3BC3"/>
    <w:rsid w:val="00340C82"/>
    <w:rsid w:val="00372A78"/>
    <w:rsid w:val="00390C27"/>
    <w:rsid w:val="00393377"/>
    <w:rsid w:val="00395AB1"/>
    <w:rsid w:val="00395D23"/>
    <w:rsid w:val="003B2B7A"/>
    <w:rsid w:val="003C6DCE"/>
    <w:rsid w:val="00401186"/>
    <w:rsid w:val="0041223D"/>
    <w:rsid w:val="004342C9"/>
    <w:rsid w:val="00470013"/>
    <w:rsid w:val="00473616"/>
    <w:rsid w:val="004773FA"/>
    <w:rsid w:val="004B0F09"/>
    <w:rsid w:val="004C070B"/>
    <w:rsid w:val="005009EA"/>
    <w:rsid w:val="0050711E"/>
    <w:rsid w:val="00512659"/>
    <w:rsid w:val="00540B04"/>
    <w:rsid w:val="005A5AF2"/>
    <w:rsid w:val="005B337C"/>
    <w:rsid w:val="005B5FB2"/>
    <w:rsid w:val="005C2C08"/>
    <w:rsid w:val="005C2E0B"/>
    <w:rsid w:val="005C3C94"/>
    <w:rsid w:val="005D6FD2"/>
    <w:rsid w:val="006334B8"/>
    <w:rsid w:val="00695424"/>
    <w:rsid w:val="006A1F78"/>
    <w:rsid w:val="006A6F22"/>
    <w:rsid w:val="006B251C"/>
    <w:rsid w:val="006B52BC"/>
    <w:rsid w:val="006B5A02"/>
    <w:rsid w:val="006F4443"/>
    <w:rsid w:val="00715324"/>
    <w:rsid w:val="00722FFE"/>
    <w:rsid w:val="00724AC4"/>
    <w:rsid w:val="0075118E"/>
    <w:rsid w:val="007660B4"/>
    <w:rsid w:val="00774EB5"/>
    <w:rsid w:val="007778AD"/>
    <w:rsid w:val="00777D49"/>
    <w:rsid w:val="007B7495"/>
    <w:rsid w:val="008058EB"/>
    <w:rsid w:val="00832DF3"/>
    <w:rsid w:val="00856074"/>
    <w:rsid w:val="00874C17"/>
    <w:rsid w:val="00884519"/>
    <w:rsid w:val="008A3638"/>
    <w:rsid w:val="008B6D91"/>
    <w:rsid w:val="008C29CB"/>
    <w:rsid w:val="008D1180"/>
    <w:rsid w:val="008E373C"/>
    <w:rsid w:val="008E5AF7"/>
    <w:rsid w:val="0091657F"/>
    <w:rsid w:val="0092794C"/>
    <w:rsid w:val="0097417F"/>
    <w:rsid w:val="00980EE0"/>
    <w:rsid w:val="00981BDC"/>
    <w:rsid w:val="009A213F"/>
    <w:rsid w:val="009B7722"/>
    <w:rsid w:val="009C37D3"/>
    <w:rsid w:val="009C7ADA"/>
    <w:rsid w:val="009D0AD7"/>
    <w:rsid w:val="009D4A1F"/>
    <w:rsid w:val="009F21A4"/>
    <w:rsid w:val="00A1745A"/>
    <w:rsid w:val="00A62DE7"/>
    <w:rsid w:val="00A6339C"/>
    <w:rsid w:val="00AA0A90"/>
    <w:rsid w:val="00AB1976"/>
    <w:rsid w:val="00AE581D"/>
    <w:rsid w:val="00B1722B"/>
    <w:rsid w:val="00B209AB"/>
    <w:rsid w:val="00B27C0F"/>
    <w:rsid w:val="00B504CB"/>
    <w:rsid w:val="00B57ACB"/>
    <w:rsid w:val="00BA6BD9"/>
    <w:rsid w:val="00BD5E21"/>
    <w:rsid w:val="00C10EC6"/>
    <w:rsid w:val="00C14E2C"/>
    <w:rsid w:val="00C16268"/>
    <w:rsid w:val="00C22622"/>
    <w:rsid w:val="00C74796"/>
    <w:rsid w:val="00CD0993"/>
    <w:rsid w:val="00CD2368"/>
    <w:rsid w:val="00D2042F"/>
    <w:rsid w:val="00D204F5"/>
    <w:rsid w:val="00D21D18"/>
    <w:rsid w:val="00D6586D"/>
    <w:rsid w:val="00D807B3"/>
    <w:rsid w:val="00E03A5A"/>
    <w:rsid w:val="00E21395"/>
    <w:rsid w:val="00E44149"/>
    <w:rsid w:val="00E72B4E"/>
    <w:rsid w:val="00E737CC"/>
    <w:rsid w:val="00E919EB"/>
    <w:rsid w:val="00E96E6E"/>
    <w:rsid w:val="00EA3ECB"/>
    <w:rsid w:val="00EC485E"/>
    <w:rsid w:val="00F33266"/>
    <w:rsid w:val="00F351A6"/>
    <w:rsid w:val="00F55649"/>
    <w:rsid w:val="00F572C6"/>
    <w:rsid w:val="00F602A7"/>
    <w:rsid w:val="00F70F5B"/>
    <w:rsid w:val="00FA0267"/>
    <w:rsid w:val="00FD6C4E"/>
    <w:rsid w:val="00FE3BFC"/>
    <w:rsid w:val="024E80FE"/>
    <w:rsid w:val="054B0C30"/>
    <w:rsid w:val="11723371"/>
    <w:rsid w:val="13A3E9E4"/>
    <w:rsid w:val="14F2A285"/>
    <w:rsid w:val="15A1905A"/>
    <w:rsid w:val="17339060"/>
    <w:rsid w:val="17CC3455"/>
    <w:rsid w:val="2024C53F"/>
    <w:rsid w:val="20345A97"/>
    <w:rsid w:val="25A6237D"/>
    <w:rsid w:val="2A820A12"/>
    <w:rsid w:val="39C26F11"/>
    <w:rsid w:val="3B6BB048"/>
    <w:rsid w:val="40A0280B"/>
    <w:rsid w:val="4232BF96"/>
    <w:rsid w:val="4EE74764"/>
    <w:rsid w:val="4F8029F7"/>
    <w:rsid w:val="5253B373"/>
    <w:rsid w:val="589E28A7"/>
    <w:rsid w:val="68532B7E"/>
    <w:rsid w:val="704236F1"/>
    <w:rsid w:val="74808B8E"/>
    <w:rsid w:val="7BFA2CC7"/>
    <w:rsid w:val="7F4DE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7EE93B"/>
  <w15:docId w15:val="{A7684D05-B7D1-4BD4-808E-866D4EAF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6739F4"/>
    <w:rPr>
      <w:lang w:val="tr-TR"/>
    </w:rPr>
  </w:style>
  <w:style w:type="paragraph" w:styleId="Balk1">
    <w:name w:val="heading 1"/>
    <w:aliases w:val="Document Header1"/>
    <w:basedOn w:val="Normal"/>
    <w:next w:val="Normal"/>
    <w:qFormat/>
    <w:pPr>
      <w:keepNext/>
      <w:tabs>
        <w:tab w:val="left" w:pos="1422"/>
      </w:tabs>
      <w:ind w:left="518"/>
      <w:outlineLvl w:val="0"/>
    </w:pPr>
    <w:rPr>
      <w:rFonts w:ascii="Arial" w:hAnsi="Arial" w:cs="Arial"/>
      <w:b/>
      <w:sz w:val="20"/>
    </w:rPr>
  </w:style>
  <w:style w:type="paragraph" w:styleId="Balk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Balk3">
    <w:name w:val="heading 3"/>
    <w:aliases w:val="Section Header3,Sub-Clause Paragraph"/>
    <w:basedOn w:val="Normal"/>
    <w:next w:val="Normal"/>
    <w:qFormat/>
    <w:pPr>
      <w:keepNext/>
      <w:suppressAutoHyphens/>
      <w:spacing w:after="60"/>
      <w:jc w:val="center"/>
      <w:outlineLvl w:val="2"/>
    </w:pPr>
    <w:rPr>
      <w:rFonts w:cs="Arial"/>
      <w:b/>
      <w:bCs/>
      <w:spacing w:val="-2"/>
      <w:sz w:val="16"/>
    </w:rPr>
  </w:style>
  <w:style w:type="paragraph" w:styleId="Balk4">
    <w:name w:val="heading 4"/>
    <w:aliases w:val="Sub-Clause Sub-paragraph, Sub-Clause Sub-paragraph,ClauseSubSub_No&amp;Name"/>
    <w:basedOn w:val="Normal"/>
    <w:next w:val="Normal"/>
    <w:link w:val="Balk4Char"/>
    <w:uiPriority w:val="9"/>
    <w:qFormat/>
    <w:pPr>
      <w:spacing w:before="120" w:after="120"/>
      <w:jc w:val="both"/>
      <w:outlineLvl w:val="3"/>
    </w:pPr>
    <w:rPr>
      <w:rFonts w:ascii="Arial" w:hAnsi="Arial" w:cs="Arial"/>
      <w:sz w:val="20"/>
      <w:szCs w:val="20"/>
    </w:rPr>
  </w:style>
  <w:style w:type="paragraph" w:styleId="Balk5">
    <w:name w:val="heading 5"/>
    <w:basedOn w:val="Normal"/>
    <w:next w:val="Normal"/>
    <w:qFormat/>
    <w:pPr>
      <w:keepNext/>
      <w:suppressAutoHyphens/>
      <w:spacing w:before="60" w:after="120"/>
      <w:outlineLvl w:val="4"/>
    </w:pPr>
    <w:rPr>
      <w:rFonts w:cs="Arial"/>
      <w:b/>
      <w:bCs/>
      <w:iCs/>
      <w:spacing w:val="-2"/>
    </w:rPr>
  </w:style>
  <w:style w:type="paragraph" w:styleId="Balk6">
    <w:name w:val="heading 6"/>
    <w:basedOn w:val="Normal"/>
    <w:next w:val="Normal"/>
    <w:qFormat/>
    <w:pPr>
      <w:spacing w:before="240" w:after="60"/>
      <w:jc w:val="both"/>
      <w:outlineLvl w:val="5"/>
    </w:pPr>
    <w:rPr>
      <w:rFonts w:ascii="Arial" w:hAnsi="Arial"/>
      <w:i/>
      <w:sz w:val="22"/>
      <w:szCs w:val="20"/>
    </w:rPr>
  </w:style>
  <w:style w:type="paragraph" w:styleId="Balk7">
    <w:name w:val="heading 7"/>
    <w:basedOn w:val="Normal"/>
    <w:next w:val="Normal"/>
    <w:qFormat/>
    <w:pPr>
      <w:spacing w:before="240" w:after="60"/>
      <w:jc w:val="both"/>
      <w:outlineLvl w:val="6"/>
    </w:pPr>
    <w:rPr>
      <w:rFonts w:ascii="Arial" w:hAnsi="Arial"/>
      <w:sz w:val="20"/>
      <w:szCs w:val="20"/>
    </w:rPr>
  </w:style>
  <w:style w:type="paragraph" w:styleId="Balk8">
    <w:name w:val="heading 8"/>
    <w:basedOn w:val="Normal"/>
    <w:next w:val="Normal"/>
    <w:qFormat/>
    <w:pPr>
      <w:spacing w:before="240" w:after="60"/>
      <w:jc w:val="both"/>
      <w:outlineLvl w:val="7"/>
    </w:pPr>
    <w:rPr>
      <w:rFonts w:ascii="Arial" w:hAnsi="Arial"/>
      <w:i/>
      <w:sz w:val="20"/>
      <w:szCs w:val="20"/>
    </w:rPr>
  </w:style>
  <w:style w:type="paragraph" w:styleId="Balk9">
    <w:name w:val="heading 9"/>
    <w:basedOn w:val="Normal"/>
    <w:next w:val="Normal"/>
    <w:qFormat/>
    <w:pPr>
      <w:spacing w:before="240" w:after="60"/>
      <w:jc w:val="both"/>
      <w:outlineLvl w:val="8"/>
    </w:pPr>
    <w:rPr>
      <w:rFonts w:ascii="Arial" w:hAnsi="Arial"/>
      <w:b/>
      <w:i/>
      <w:sz w:val="1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link w:val="KonuBalChar"/>
    <w:uiPriority w:val="10"/>
    <w:qFormat/>
    <w:pPr>
      <w:jc w:val="center"/>
    </w:pPr>
    <w:rPr>
      <w:rFonts w:ascii="Arial" w:hAnsi="Arial"/>
      <w:b/>
      <w:sz w:val="48"/>
      <w:szCs w:val="20"/>
    </w:rPr>
  </w:style>
  <w:style w:type="paragraph" w:styleId="GvdeMetni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1"/>
      </w:numPr>
      <w:jc w:val="both"/>
    </w:pPr>
    <w:rPr>
      <w:rFonts w:ascii="Arial" w:hAnsi="Arial"/>
      <w:sz w:val="20"/>
      <w:szCs w:val="20"/>
    </w:rPr>
  </w:style>
  <w:style w:type="paragraph" w:customStyle="1" w:styleId="Header1-Clauses">
    <w:name w:val="Header 1 - Clauses"/>
    <w:basedOn w:val="Normal"/>
    <w:pPr>
      <w:numPr>
        <w:numId w:val="2"/>
      </w:numPr>
      <w:spacing w:before="120"/>
    </w:pPr>
    <w:rPr>
      <w:rFonts w:ascii="Arial" w:hAnsi="Arial"/>
      <w:b/>
      <w:sz w:val="20"/>
      <w:szCs w:val="20"/>
    </w:rPr>
  </w:style>
  <w:style w:type="paragraph" w:customStyle="1" w:styleId="Header2-SubClauses">
    <w:name w:val="Header 2 - SubClauses"/>
    <w:basedOn w:val="Normal"/>
    <w:pPr>
      <w:spacing w:after="200"/>
      <w:jc w:val="both"/>
    </w:pPr>
    <w:rPr>
      <w:rFonts w:cs="Arial"/>
    </w:rPr>
  </w:style>
  <w:style w:type="paragraph" w:customStyle="1" w:styleId="P3Header1-Clauses">
    <w:name w:val="P3 Header1-Clauses"/>
    <w:basedOn w:val="Header1-Clauses"/>
    <w:pPr>
      <w:spacing w:before="0" w:after="200"/>
      <w:jc w:val="both"/>
    </w:pPr>
    <w:rPr>
      <w:rFonts w:ascii="Times New Roman" w:hAnsi="Times New Roman"/>
      <w:b w:val="0"/>
      <w:sz w:val="24"/>
    </w:rPr>
  </w:style>
  <w:style w:type="paragraph" w:customStyle="1" w:styleId="Outline3">
    <w:name w:val="Outline3"/>
    <w:basedOn w:val="Normal"/>
    <w:pPr>
      <w:numPr>
        <w:ilvl w:val="2"/>
        <w:numId w:val="3"/>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tabs>
        <w:tab w:val="num" w:pos="720"/>
      </w:tabs>
      <w:spacing w:before="120"/>
      <w:ind w:left="720" w:hanging="720"/>
    </w:pPr>
    <w:rPr>
      <w:rFonts w:ascii="Arial" w:hAnsi="Arial"/>
      <w:sz w:val="20"/>
      <w:szCs w:val="20"/>
    </w:rPr>
  </w:style>
  <w:style w:type="paragraph" w:styleId="Altyaz">
    <w:name w:val="Subtitle"/>
    <w:basedOn w:val="Normal"/>
    <w:next w:val="Normal"/>
    <w:link w:val="AltyazChar"/>
    <w:pPr>
      <w:spacing w:before="120" w:after="240"/>
      <w:jc w:val="center"/>
    </w:pPr>
    <w:rPr>
      <w:b/>
      <w:sz w:val="36"/>
      <w:szCs w:val="36"/>
    </w:rPr>
  </w:style>
  <w:style w:type="paragraph" w:customStyle="1" w:styleId="Subtitle2">
    <w:name w:val="Subtitle 2"/>
    <w:basedOn w:val="AltBilgi"/>
    <w:autoRedefine/>
    <w:pPr>
      <w:tabs>
        <w:tab w:val="clear" w:pos="9504"/>
      </w:tabs>
      <w:spacing w:before="0"/>
      <w:ind w:left="281" w:right="288" w:hanging="281"/>
      <w:jc w:val="center"/>
      <w:outlineLvl w:val="1"/>
    </w:pPr>
    <w:rPr>
      <w:rFonts w:ascii="Times New Roman" w:hAnsi="Times New Roman"/>
      <w:b/>
      <w:sz w:val="28"/>
      <w:szCs w:val="28"/>
    </w:rPr>
  </w:style>
  <w:style w:type="paragraph" w:styleId="AltBilgi">
    <w:name w:val="footer"/>
    <w:basedOn w:val="Normal"/>
    <w:link w:val="AltBilgi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1">
    <w:name w:val="toc 1"/>
    <w:basedOn w:val="Normal"/>
    <w:next w:val="Normal"/>
    <w:uiPriority w:val="39"/>
    <w:pPr>
      <w:spacing w:before="240" w:after="240"/>
      <w:outlineLvl w:val="0"/>
    </w:pPr>
    <w:rPr>
      <w:b/>
      <w:szCs w:val="20"/>
    </w:rPr>
  </w:style>
  <w:style w:type="paragraph" w:styleId="T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stBilgi">
    <w:name w:val="header"/>
    <w:basedOn w:val="Normal"/>
    <w:link w:val="stBilgiChar"/>
    <w:uiPriority w:val="99"/>
    <w:pPr>
      <w:pBdr>
        <w:bottom w:val="single" w:sz="4" w:space="1" w:color="000000"/>
      </w:pBdr>
      <w:tabs>
        <w:tab w:val="right" w:pos="9000"/>
      </w:tabs>
      <w:jc w:val="both"/>
    </w:pPr>
    <w:rPr>
      <w:rFonts w:ascii="Arial" w:hAnsi="Arial"/>
      <w:sz w:val="20"/>
      <w:szCs w:val="20"/>
      <w:lang w:val="x-none" w:eastAsia="x-none"/>
    </w:rPr>
  </w:style>
  <w:style w:type="character" w:styleId="SayfaNumaras">
    <w:name w:val="page number"/>
    <w:rPr>
      <w:rFonts w:ascii="Times New Roman" w:hAnsi="Times New Roman"/>
      <w:sz w:val="20"/>
    </w:rPr>
  </w:style>
  <w:style w:type="paragraph" w:customStyle="1" w:styleId="TOCNumber1">
    <w:name w:val="TOC Number1"/>
    <w:basedOn w:val="Balk4"/>
    <w:autoRedefine/>
    <w:rsid w:val="00532B7A"/>
    <w:pPr>
      <w:tabs>
        <w:tab w:val="right" w:pos="9360"/>
      </w:tabs>
      <w:suppressAutoHyphens/>
      <w:spacing w:before="0"/>
      <w:ind w:left="187"/>
      <w:jc w:val="left"/>
      <w:outlineLvl w:val="9"/>
    </w:pPr>
    <w:rPr>
      <w:b/>
      <w:bCs/>
    </w:rPr>
  </w:style>
  <w:style w:type="paragraph" w:styleId="AklamaKonusu">
    <w:name w:val="annotation subject"/>
    <w:basedOn w:val="AklamaMetni"/>
    <w:next w:val="AklamaMetni"/>
    <w:semiHidden/>
    <w:pPr>
      <w:jc w:val="both"/>
    </w:pPr>
    <w:rPr>
      <w:b/>
      <w:bCs/>
      <w:lang w:val="es-ES_tradnl"/>
    </w:rPr>
  </w:style>
  <w:style w:type="paragraph" w:styleId="AklamaMetni">
    <w:name w:val="annotation text"/>
    <w:basedOn w:val="Normal"/>
    <w:link w:val="AklamaMetniChar"/>
    <w:rPr>
      <w:rFonts w:ascii="Arial" w:hAnsi="Arial"/>
      <w:sz w:val="20"/>
      <w:szCs w:val="20"/>
      <w:lang w:val="x-none" w:eastAsia="x-none"/>
    </w:rPr>
  </w:style>
  <w:style w:type="paragraph" w:styleId="ResimYazs">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Balk1"/>
    <w:autoRedefine/>
    <w:pPr>
      <w:keepNext w:val="0"/>
      <w:tabs>
        <w:tab w:val="clear" w:pos="1422"/>
        <w:tab w:val="right" w:pos="9000"/>
      </w:tabs>
      <w:spacing w:before="120" w:after="120"/>
      <w:ind w:left="0"/>
      <w:outlineLvl w:val="9"/>
    </w:pPr>
    <w:rPr>
      <w:bCs/>
      <w:szCs w:val="20"/>
    </w:rPr>
  </w:style>
  <w:style w:type="paragraph" w:styleId="GvdeMetni">
    <w:name w:val="Body Text"/>
    <w:basedOn w:val="Normal"/>
    <w:link w:val="GvdeMetniChar"/>
    <w:rPr>
      <w:rFonts w:ascii="Arial" w:hAnsi="Arial" w:cs="Arial"/>
      <w:sz w:val="20"/>
    </w:rPr>
  </w:style>
  <w:style w:type="paragraph" w:customStyle="1" w:styleId="Head2">
    <w:name w:val="Head 2"/>
    <w:basedOn w:val="Balk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Dizin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rPr>
  </w:style>
  <w:style w:type="character" w:customStyle="1" w:styleId="Table">
    <w:name w:val="Table"/>
    <w:rPr>
      <w:rFonts w:ascii="Arial" w:hAnsi="Arial"/>
      <w:sz w:val="20"/>
    </w:rPr>
  </w:style>
  <w:style w:type="paragraph" w:customStyle="1" w:styleId="Head12">
    <w:name w:val="Head 1.2"/>
    <w:basedOn w:val="Normal"/>
    <w:pPr>
      <w:tabs>
        <w:tab w:val="num" w:pos="1440"/>
      </w:tabs>
      <w:ind w:left="1440" w:hanging="720"/>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Balk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onMetni">
    <w:name w:val="Balloon Text"/>
    <w:basedOn w:val="Normal"/>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GvdeMetni3">
    <w:name w:val="Body Text 3"/>
    <w:basedOn w:val="Normal"/>
    <w:pPr>
      <w:jc w:val="both"/>
    </w:pPr>
    <w:rPr>
      <w:rFonts w:ascii="Arial" w:hAnsi="Arial"/>
      <w:i/>
      <w:sz w:val="20"/>
      <w:szCs w:val="20"/>
    </w:rPr>
  </w:style>
  <w:style w:type="paragraph" w:styleId="bekMetni">
    <w:name w:val="Block Text"/>
    <w:basedOn w:val="Normal"/>
    <w:pPr>
      <w:ind w:left="180" w:right="108"/>
      <w:jc w:val="both"/>
    </w:pPr>
    <w:rPr>
      <w:rFonts w:ascii="Comic Sans MS" w:hAnsi="Comic Sans MS" w:cs="Arial"/>
      <w:b/>
      <w:bCs/>
      <w:i/>
      <w:iCs/>
      <w:sz w:val="16"/>
    </w:rPr>
  </w:style>
  <w:style w:type="paragraph" w:styleId="GvdeMetniGirintisi">
    <w:name w:val="Body Text Indent"/>
    <w:basedOn w:val="Normal"/>
    <w:link w:val="GvdeMetniGirintisiChar"/>
    <w:pPr>
      <w:ind w:left="603"/>
    </w:pPr>
    <w:rPr>
      <w:rFonts w:ascii="Arial" w:hAnsi="Arial" w:cs="Arial"/>
      <w:sz w:val="20"/>
    </w:rPr>
  </w:style>
  <w:style w:type="paragraph" w:styleId="GvdeMetniGirintisi3">
    <w:name w:val="Body Text Indent 3"/>
    <w:basedOn w:val="Normal"/>
    <w:pPr>
      <w:ind w:left="2043" w:hanging="837"/>
    </w:pPr>
    <w:rPr>
      <w:rFonts w:ascii="Arial" w:hAnsi="Arial" w:cs="Arial"/>
      <w:sz w:val="20"/>
    </w:rPr>
  </w:style>
  <w:style w:type="paragraph" w:styleId="ListeMaddemi">
    <w:name w:val="List Bullet"/>
    <w:basedOn w:val="Normal"/>
    <w:autoRedefine/>
    <w:pPr>
      <w:tabs>
        <w:tab w:val="num" w:pos="720"/>
      </w:tabs>
      <w:ind w:left="720" w:hanging="720"/>
    </w:pPr>
    <w:rPr>
      <w:sz w:val="20"/>
      <w:szCs w:val="20"/>
    </w:rPr>
  </w:style>
  <w:style w:type="paragraph" w:styleId="ListeMaddemi2">
    <w:name w:val="List Bullet 2"/>
    <w:basedOn w:val="Normal"/>
    <w:autoRedefine/>
    <w:pPr>
      <w:tabs>
        <w:tab w:val="num" w:pos="720"/>
      </w:tabs>
      <w:ind w:left="720" w:hanging="720"/>
    </w:pPr>
    <w:rPr>
      <w:sz w:val="20"/>
      <w:szCs w:val="20"/>
    </w:rPr>
  </w:style>
  <w:style w:type="paragraph" w:styleId="ListeMaddemi3">
    <w:name w:val="List Bullet 3"/>
    <w:basedOn w:val="Normal"/>
    <w:autoRedefine/>
    <w:pPr>
      <w:tabs>
        <w:tab w:val="num" w:pos="720"/>
      </w:tabs>
      <w:ind w:left="720" w:hanging="720"/>
    </w:pPr>
    <w:rPr>
      <w:sz w:val="20"/>
      <w:szCs w:val="20"/>
    </w:rPr>
  </w:style>
  <w:style w:type="paragraph" w:styleId="ListeMaddemi4">
    <w:name w:val="List Bullet 4"/>
    <w:basedOn w:val="Normal"/>
    <w:autoRedefine/>
    <w:pPr>
      <w:tabs>
        <w:tab w:val="num" w:pos="1440"/>
      </w:tabs>
      <w:ind w:left="1440" w:hanging="360"/>
    </w:pPr>
    <w:rPr>
      <w:sz w:val="20"/>
      <w:szCs w:val="20"/>
    </w:rPr>
  </w:style>
  <w:style w:type="paragraph" w:styleId="ListeMaddemi5">
    <w:name w:val="List Bullet 5"/>
    <w:basedOn w:val="Normal"/>
    <w:autoRedefine/>
    <w:pPr>
      <w:tabs>
        <w:tab w:val="num" w:pos="720"/>
      </w:tabs>
      <w:ind w:left="720" w:hanging="720"/>
    </w:pPr>
    <w:rPr>
      <w:sz w:val="20"/>
      <w:szCs w:val="20"/>
    </w:rPr>
  </w:style>
  <w:style w:type="paragraph" w:styleId="ListeNumaras">
    <w:name w:val="List Number"/>
    <w:basedOn w:val="Normal"/>
    <w:pPr>
      <w:tabs>
        <w:tab w:val="num" w:pos="720"/>
      </w:tabs>
      <w:ind w:left="720" w:hanging="720"/>
    </w:pPr>
    <w:rPr>
      <w:sz w:val="20"/>
      <w:szCs w:val="20"/>
    </w:rPr>
  </w:style>
  <w:style w:type="paragraph" w:styleId="ListeNumaras2">
    <w:name w:val="List Number 2"/>
    <w:basedOn w:val="Normal"/>
    <w:pPr>
      <w:tabs>
        <w:tab w:val="num" w:pos="720"/>
      </w:tabs>
      <w:ind w:left="720" w:hanging="720"/>
    </w:pPr>
    <w:rPr>
      <w:sz w:val="20"/>
      <w:szCs w:val="20"/>
    </w:rPr>
  </w:style>
  <w:style w:type="paragraph" w:styleId="ListeNumaras3">
    <w:name w:val="List Number 3"/>
    <w:basedOn w:val="Normal"/>
    <w:pPr>
      <w:tabs>
        <w:tab w:val="num" w:pos="720"/>
      </w:tabs>
      <w:ind w:left="720" w:hanging="720"/>
    </w:pPr>
    <w:rPr>
      <w:sz w:val="20"/>
      <w:szCs w:val="20"/>
    </w:rPr>
  </w:style>
  <w:style w:type="paragraph" w:styleId="ListeNumaras4">
    <w:name w:val="List Number 4"/>
    <w:basedOn w:val="Normal"/>
    <w:pPr>
      <w:tabs>
        <w:tab w:val="num" w:pos="720"/>
      </w:tabs>
      <w:ind w:left="720" w:hanging="720"/>
    </w:pPr>
    <w:rPr>
      <w:sz w:val="20"/>
      <w:szCs w:val="20"/>
    </w:rPr>
  </w:style>
  <w:style w:type="paragraph" w:styleId="ListeNumaras5">
    <w:name w:val="List Number 5"/>
    <w:basedOn w:val="Normal"/>
    <w:pPr>
      <w:tabs>
        <w:tab w:val="num" w:pos="720"/>
      </w:tabs>
      <w:ind w:left="720" w:hanging="720"/>
    </w:pPr>
    <w:rPr>
      <w:sz w:val="20"/>
      <w:szCs w:val="20"/>
    </w:rPr>
  </w:style>
  <w:style w:type="paragraph" w:customStyle="1" w:styleId="SectionTitle">
    <w:name w:val="Section Title"/>
    <w:next w:val="Normal"/>
    <w:pPr>
      <w:spacing w:after="200"/>
      <w:jc w:val="center"/>
    </w:pPr>
    <w:rPr>
      <w:b/>
      <w:sz w:val="44"/>
      <w:lang w:val="en-GB"/>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e">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Kpr">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e2">
    <w:name w:val="List 2"/>
    <w:basedOn w:val="Normal"/>
    <w:pPr>
      <w:ind w:left="720" w:hanging="360"/>
    </w:pPr>
  </w:style>
  <w:style w:type="paragraph" w:styleId="Liste3">
    <w:name w:val="List 3"/>
    <w:basedOn w:val="Normal"/>
    <w:pPr>
      <w:ind w:left="1080" w:hanging="360"/>
    </w:p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eDevam2">
    <w:name w:val="List Continue 2"/>
    <w:basedOn w:val="Normal"/>
    <w:pPr>
      <w:spacing w:after="120"/>
      <w:ind w:left="720"/>
    </w:pPr>
  </w:style>
  <w:style w:type="paragraph" w:styleId="ListeDevam3">
    <w:name w:val="List Continue 3"/>
    <w:basedOn w:val="Normal"/>
    <w:pPr>
      <w:spacing w:after="120"/>
      <w:ind w:left="1080"/>
    </w:pPr>
  </w:style>
  <w:style w:type="paragraph" w:customStyle="1" w:styleId="Enclosure">
    <w:name w:val="Enclosure"/>
    <w:basedOn w:val="Normal"/>
  </w:style>
  <w:style w:type="paragraph" w:styleId="NormalGirinti">
    <w:name w:val="Normal Indent"/>
    <w:basedOn w:val="Normal"/>
    <w:pPr>
      <w:ind w:left="720"/>
    </w:pPr>
  </w:style>
  <w:style w:type="character" w:styleId="zlenenKpr">
    <w:name w:val="FollowedHyperlink"/>
    <w:rPr>
      <w:color w:val="800080"/>
      <w:u w:val="single"/>
    </w:rPr>
  </w:style>
  <w:style w:type="paragraph" w:styleId="GvdeMetniGirintisi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DizinBal">
    <w:name w:val="index heading"/>
    <w:basedOn w:val="Normal"/>
    <w:next w:val="Dizin1"/>
    <w:semiHidden/>
    <w:rPr>
      <w:sz w:val="20"/>
      <w:szCs w:val="20"/>
    </w:rPr>
  </w:style>
  <w:style w:type="character" w:styleId="DipnotBavurusu">
    <w:name w:val="footnote reference"/>
    <w:aliases w:val="16 Point,Superscript 6 Point,ftref,Footnote Reference Number,Footnote Reference_LVL6,Footnote Reference_LVL61,Footnote Reference_LVL62,Footnote Reference_LVL63,Footnote Reference_LVL64,Знак сноски-FN,SUPERS,(NECG) Footnote Reference"/>
    <w:link w:val="CarattereCarattereCharCharCharCharCharCharZchn"/>
    <w:uiPriority w:val="99"/>
    <w:qFormat/>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VarsaylanParagrafYazTipi"/>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VarsaylanParagrafYazTipi"/>
  </w:style>
  <w:style w:type="character" w:customStyle="1" w:styleId="Document6">
    <w:name w:val="Document 6"/>
    <w:basedOn w:val="VarsaylanParagrafYazTipi"/>
  </w:style>
  <w:style w:type="character" w:customStyle="1" w:styleId="Document7">
    <w:name w:val="Document 7"/>
    <w:basedOn w:val="VarsaylanParagrafYazTipi"/>
  </w:style>
  <w:style w:type="character" w:customStyle="1" w:styleId="Document8">
    <w:name w:val="Document 8"/>
    <w:basedOn w:val="VarsaylanParagrafYazTipi"/>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rPr>
  </w:style>
  <w:style w:type="character" w:customStyle="1" w:styleId="Bibliogrphy">
    <w:name w:val="Bibliogrphy"/>
    <w:basedOn w:val="VarsaylanParagrafYazTipi"/>
  </w:style>
  <w:style w:type="character" w:customStyle="1" w:styleId="BulletList">
    <w:name w:val="Bullet List"/>
    <w:basedOn w:val="VarsaylanParagrafYazTipi"/>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DipnotMetni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Bal">
    <w:name w:val="Note Heading"/>
    <w:basedOn w:val="Normal"/>
    <w:next w:val="Normal"/>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Balk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tabs>
        <w:tab w:val="num" w:pos="720"/>
      </w:tabs>
      <w:spacing w:before="240" w:after="240"/>
      <w:ind w:left="720" w:hanging="720"/>
      <w:jc w:val="center"/>
    </w:pPr>
    <w:rPr>
      <w:b/>
      <w:sz w:val="28"/>
    </w:rPr>
  </w:style>
  <w:style w:type="paragraph" w:customStyle="1" w:styleId="S1-Header2">
    <w:name w:val="S1-Header2"/>
    <w:basedOn w:val="Normal"/>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Altyaz"/>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3">
    <w:name w:val="toc 3"/>
    <w:basedOn w:val="Normal"/>
    <w:next w:val="Normal"/>
    <w:autoRedefine/>
    <w:uiPriority w:val="39"/>
    <w:pPr>
      <w:ind w:left="480"/>
    </w:pPr>
  </w:style>
  <w:style w:type="paragraph" w:styleId="T4">
    <w:name w:val="toc 4"/>
    <w:basedOn w:val="Normal"/>
    <w:next w:val="Normal"/>
    <w:autoRedefine/>
    <w:uiPriority w:val="39"/>
    <w:pPr>
      <w:ind w:left="720"/>
    </w:pPr>
  </w:style>
  <w:style w:type="paragraph" w:styleId="T5">
    <w:name w:val="toc 5"/>
    <w:basedOn w:val="Normal"/>
    <w:next w:val="Normal"/>
    <w:autoRedefine/>
    <w:uiPriority w:val="39"/>
    <w:pPr>
      <w:ind w:left="960"/>
    </w:pPr>
  </w:style>
  <w:style w:type="paragraph" w:styleId="T6">
    <w:name w:val="toc 6"/>
    <w:basedOn w:val="Normal"/>
    <w:next w:val="Normal"/>
    <w:autoRedefine/>
    <w:uiPriority w:val="39"/>
    <w:pPr>
      <w:ind w:left="1200"/>
    </w:pPr>
  </w:style>
  <w:style w:type="paragraph" w:styleId="T7">
    <w:name w:val="toc 7"/>
    <w:basedOn w:val="Normal"/>
    <w:next w:val="Normal"/>
    <w:autoRedefine/>
    <w:uiPriority w:val="39"/>
    <w:pPr>
      <w:ind w:left="1440"/>
    </w:pPr>
  </w:style>
  <w:style w:type="paragraph" w:styleId="T8">
    <w:name w:val="toc 8"/>
    <w:basedOn w:val="Normal"/>
    <w:next w:val="Normal"/>
    <w:autoRedefine/>
    <w:uiPriority w:val="39"/>
    <w:pPr>
      <w:ind w:left="1680"/>
    </w:pPr>
  </w:style>
  <w:style w:type="paragraph" w:styleId="T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AklamaBavurusu">
    <w:name w:val="annotation reference"/>
    <w:uiPriority w:val="99"/>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tabs>
        <w:tab w:val="clear" w:pos="720"/>
      </w:tabs>
      <w:ind w:left="0" w:firstLine="0"/>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tabs>
        <w:tab w:val="num" w:pos="720"/>
      </w:tabs>
      <w:ind w:left="720" w:hanging="720"/>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tabs>
        <w:tab w:val="num" w:pos="720"/>
      </w:tabs>
      <w:ind w:left="720" w:hanging="720"/>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KaynakaBal">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AklamaMetniChar">
    <w:name w:val="Açıklama Metni Char"/>
    <w:link w:val="AklamaMetni"/>
    <w:rsid w:val="005F0029"/>
    <w:rPr>
      <w:rFonts w:ascii="Arial" w:hAnsi="Arial"/>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ft Char"/>
    <w:basedOn w:val="VarsaylanParagrafYazTipi"/>
    <w:link w:val="DipnotMetni"/>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stBilgiChar">
    <w:name w:val="Üst Bilgi Char"/>
    <w:link w:val="stBilgi"/>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0"/>
      </w:numPr>
      <w:tabs>
        <w:tab w:val="num" w:pos="720"/>
        <w:tab w:val="left" w:pos="972"/>
        <w:tab w:val="left" w:pos="1008"/>
      </w:tabs>
      <w:spacing w:after="240"/>
      <w:ind w:left="1008" w:hanging="72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SonNotMetni">
    <w:name w:val="endnote text"/>
    <w:basedOn w:val="Normal"/>
    <w:link w:val="SonNotMetniChar"/>
    <w:rsid w:val="0026735A"/>
    <w:pPr>
      <w:tabs>
        <w:tab w:val="left" w:pos="-720"/>
      </w:tabs>
      <w:suppressAutoHyphens/>
    </w:pPr>
    <w:rPr>
      <w:sz w:val="20"/>
      <w:szCs w:val="20"/>
    </w:rPr>
  </w:style>
  <w:style w:type="character" w:customStyle="1" w:styleId="SonNotMetniChar">
    <w:name w:val="Son Not Metni Char"/>
    <w:basedOn w:val="VarsaylanParagrafYazTipi"/>
    <w:link w:val="SonNotMetni"/>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AltBilgiChar">
    <w:name w:val="Alt Bilgi Char"/>
    <w:link w:val="AltBilgi"/>
    <w:uiPriority w:val="99"/>
    <w:rsid w:val="00AF7561"/>
    <w:rPr>
      <w:rFonts w:ascii="Arial" w:hAnsi="Arial"/>
    </w:rPr>
  </w:style>
  <w:style w:type="character" w:customStyle="1" w:styleId="GvdeMetniChar">
    <w:name w:val="Gövde Metni Char"/>
    <w:link w:val="GvdeMetni"/>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style>
  <w:style w:type="paragraph" w:customStyle="1" w:styleId="ColorfulShading-Accent12">
    <w:name w:val="Colorful Shading - Accent 12"/>
    <w:hidden/>
    <w:uiPriority w:val="62"/>
    <w:rsid w:val="00401450"/>
  </w:style>
  <w:style w:type="paragraph" w:styleId="Dzeltme">
    <w:name w:val="Revision"/>
    <w:hidden/>
    <w:uiPriority w:val="99"/>
    <w:unhideWhenUsed/>
    <w:rsid w:val="00BA35DF"/>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tabs>
        <w:tab w:val="left" w:pos="1440"/>
        <w:tab w:val="left" w:pos="1710"/>
      </w:tabs>
      <w:spacing w:before="60" w:after="60"/>
      <w:ind w:left="1440" w:hanging="720"/>
    </w:pPr>
    <w:rPr>
      <w:b/>
      <w:bCs/>
      <w:color w:val="000000" w:themeColor="text1"/>
    </w:rPr>
  </w:style>
  <w:style w:type="paragraph" w:customStyle="1" w:styleId="HeaderEvaCriteria">
    <w:name w:val="Header Eva Criteria"/>
    <w:basedOn w:val="Normal"/>
    <w:link w:val="HeaderEvaCriteriaChar"/>
    <w:qFormat/>
    <w:rsid w:val="00B43602"/>
    <w:pPr>
      <w:tabs>
        <w:tab w:val="num" w:pos="720"/>
      </w:tabs>
      <w:ind w:left="720" w:hanging="720"/>
    </w:pPr>
    <w:rPr>
      <w:rFonts w:ascii="Times New Roman Bold" w:hAnsi="Times New Roman Bold"/>
      <w:b/>
      <w:sz w:val="32"/>
    </w:rPr>
  </w:style>
  <w:style w:type="paragraph" w:customStyle="1" w:styleId="SubheaderEvaCri">
    <w:name w:val="Subheader Eva Cri"/>
    <w:basedOn w:val="ListeParagraf"/>
    <w:link w:val="SubheaderEvaCriChar"/>
    <w:qFormat/>
    <w:rsid w:val="004B6471"/>
    <w:pPr>
      <w:tabs>
        <w:tab w:val="num" w:pos="720"/>
      </w:tabs>
      <w:ind w:hanging="720"/>
    </w:pPr>
    <w:rPr>
      <w:rFonts w:ascii="Times New Roman Bold" w:hAnsi="Times New Roman Bold"/>
      <w:b/>
      <w:sz w:val="28"/>
    </w:rPr>
  </w:style>
  <w:style w:type="character" w:customStyle="1" w:styleId="HeaderEvaCriteriaChar">
    <w:name w:val="Header Eva Criteria Char"/>
    <w:basedOn w:val="VarsaylanParagrafYazTipi"/>
    <w:link w:val="HeaderEvaCriteria"/>
    <w:rsid w:val="00B43602"/>
    <w:rPr>
      <w:rFonts w:ascii="Times New Roman Bold" w:hAnsi="Times New Roman Bold"/>
      <w:b/>
      <w:sz w:val="32"/>
      <w:lang w:val="tr-TR"/>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basedOn w:val="VarsaylanParagrafYazTipi"/>
    <w:link w:val="ListeParagraf"/>
    <w:uiPriority w:val="34"/>
    <w:qFormat/>
    <w:rsid w:val="004B6471"/>
    <w:rPr>
      <w:sz w:val="24"/>
      <w:szCs w:val="24"/>
    </w:rPr>
  </w:style>
  <w:style w:type="character" w:customStyle="1" w:styleId="SubheaderEvaCriChar">
    <w:name w:val="Subheader Eva Cri Char"/>
    <w:basedOn w:val="ListeParagrafChar"/>
    <w:link w:val="SubheaderEvaCri"/>
    <w:rsid w:val="004B6471"/>
    <w:rPr>
      <w:rFonts w:ascii="Times New Roman Bold" w:hAnsi="Times New Roman Bold"/>
      <w:b/>
      <w:sz w:val="28"/>
      <w:szCs w:val="24"/>
      <w:lang w:val="tr-TR"/>
    </w:rPr>
  </w:style>
  <w:style w:type="character" w:customStyle="1" w:styleId="SecondSubheaderQualificationsChar">
    <w:name w:val="Second Subheader Qualifications Char"/>
    <w:basedOn w:val="VarsaylanParagrafYazTipi"/>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VarsaylanParagrafYazTipi"/>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tabs>
        <w:tab w:val="num" w:pos="1440"/>
      </w:tabs>
      <w:spacing w:after="200"/>
      <w:ind w:left="1440" w:right="-14" w:hanging="720"/>
      <w:jc w:val="both"/>
    </w:pPr>
    <w:rPr>
      <w:szCs w:val="20"/>
    </w:rPr>
  </w:style>
  <w:style w:type="character" w:customStyle="1" w:styleId="S1-subparaChar">
    <w:name w:val="S1-sub para Char"/>
    <w:link w:val="S1-subpara"/>
    <w:rsid w:val="00D40646"/>
    <w:rPr>
      <w:szCs w:val="20"/>
      <w:lang w:val="tr-TR"/>
    </w:rPr>
  </w:style>
  <w:style w:type="paragraph" w:customStyle="1" w:styleId="Sec1-ClausesAfter10pt1">
    <w:name w:val="Sec1-Clauses + After:  10 pt1"/>
    <w:basedOn w:val="Sec1-Clauses"/>
    <w:rsid w:val="003751AA"/>
    <w:pPr>
      <w:tabs>
        <w:tab w:val="clear" w:pos="360"/>
        <w:tab w:val="num" w:pos="720"/>
      </w:tabs>
      <w:spacing w:before="0" w:after="200"/>
      <w:ind w:left="720" w:hanging="72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Balk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ListeParagraf"/>
    <w:autoRedefine/>
    <w:qFormat/>
    <w:rsid w:val="0063027C"/>
    <w:pPr>
      <w:tabs>
        <w:tab w:val="num" w:pos="720"/>
      </w:tabs>
      <w:spacing w:after="120" w:line="259" w:lineRule="auto"/>
      <w:ind w:left="360" w:hanging="720"/>
      <w:contextualSpacing w:val="0"/>
    </w:pPr>
    <w:rPr>
      <w:rFonts w:asciiTheme="minorHAnsi" w:eastAsiaTheme="minorHAnsi" w:hAnsiTheme="minorHAnsi" w:cstheme="minorBidi"/>
      <w:szCs w:val="22"/>
    </w:rPr>
  </w:style>
  <w:style w:type="paragraph" w:customStyle="1" w:styleId="Bulletroman">
    <w:name w:val="Bullet roman"/>
    <w:basedOn w:val="ListeParagraf"/>
    <w:autoRedefine/>
    <w:qFormat/>
    <w:rsid w:val="000C69FA"/>
    <w:pPr>
      <w:tabs>
        <w:tab w:val="num" w:pos="720"/>
      </w:tabs>
      <w:spacing w:after="120" w:line="259" w:lineRule="auto"/>
      <w:ind w:hanging="720"/>
      <w:contextualSpacing w:val="0"/>
    </w:pPr>
    <w:rPr>
      <w:rFonts w:asciiTheme="minorHAnsi" w:eastAsiaTheme="minorHAnsi" w:hAnsiTheme="minorHAnsi" w:cstheme="minorBidi"/>
      <w:szCs w:val="22"/>
    </w:rPr>
  </w:style>
  <w:style w:type="paragraph" w:customStyle="1" w:styleId="Bulletabc">
    <w:name w:val="Bullet abc"/>
    <w:basedOn w:val="ListeParagraf"/>
    <w:autoRedefine/>
    <w:qFormat/>
    <w:rsid w:val="0063027C"/>
    <w:pPr>
      <w:tabs>
        <w:tab w:val="num" w:pos="720"/>
      </w:tabs>
      <w:spacing w:after="120" w:line="259" w:lineRule="auto"/>
      <w:ind w:hanging="720"/>
      <w:contextualSpacing w:val="0"/>
    </w:pPr>
    <w:rPr>
      <w:rFonts w:asciiTheme="minorHAnsi" w:eastAsiaTheme="minorHAnsi" w:hAnsiTheme="minorHAnsi" w:cstheme="minorBidi"/>
      <w:szCs w:val="22"/>
    </w:rPr>
  </w:style>
  <w:style w:type="paragraph" w:customStyle="1" w:styleId="Bulletdash4thlevel">
    <w:name w:val="Bullet dash 4th level"/>
    <w:basedOn w:val="ListeParagraf"/>
    <w:qFormat/>
    <w:rsid w:val="0063027C"/>
    <w:pPr>
      <w:tabs>
        <w:tab w:val="left" w:pos="720"/>
      </w:tabs>
      <w:spacing w:line="259" w:lineRule="auto"/>
      <w:ind w:left="1440" w:hanging="72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VarsaylanParagrafYazTipi"/>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oKlavuzu">
    <w:name w:val="Table Grid"/>
    <w:basedOn w:val="NormalTablo"/>
    <w:uiPriority w:val="59"/>
    <w:rsid w:val="001266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Balk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VarsaylanParagrafYazTipi"/>
    <w:link w:val="AheaderTerciaryleve"/>
    <w:rsid w:val="00D07996"/>
    <w:rPr>
      <w:b/>
      <w:sz w:val="28"/>
      <w:szCs w:val="24"/>
    </w:rPr>
  </w:style>
  <w:style w:type="paragraph" w:customStyle="1" w:styleId="ESSpara">
    <w:name w:val="ESS para"/>
    <w:basedOn w:val="Normal"/>
    <w:link w:val="ESSparaChar"/>
    <w:qFormat/>
    <w:rsid w:val="00ED5291"/>
    <w:pPr>
      <w:tabs>
        <w:tab w:val="num" w:pos="720"/>
      </w:tabs>
      <w:spacing w:after="240"/>
      <w:ind w:left="720" w:hanging="720"/>
      <w:jc w:val="both"/>
    </w:pPr>
    <w:rPr>
      <w:rFonts w:asciiTheme="minorHAnsi" w:eastAsiaTheme="minorEastAsia" w:hAnsiTheme="minorHAnsi" w:cstheme="minorBidi"/>
      <w:sz w:val="22"/>
      <w:szCs w:val="22"/>
      <w:lang w:eastAsia="ja-JP"/>
    </w:rPr>
  </w:style>
  <w:style w:type="character" w:customStyle="1" w:styleId="ESSparaChar">
    <w:name w:val="ESS para Char"/>
    <w:basedOn w:val="VarsaylanParagrafYazTipi"/>
    <w:link w:val="ESSpara"/>
    <w:rsid w:val="00ED5291"/>
    <w:rPr>
      <w:rFonts w:asciiTheme="minorHAnsi" w:eastAsiaTheme="minorEastAsia" w:hAnsiTheme="minorHAnsi" w:cstheme="minorBidi"/>
      <w:sz w:val="22"/>
      <w:szCs w:val="22"/>
      <w:lang w:val="tr-TR" w:eastAsia="ja-JP"/>
    </w:rPr>
  </w:style>
  <w:style w:type="character" w:styleId="Gl">
    <w:name w:val="Strong"/>
    <w:basedOn w:val="VarsaylanParagrafYazTipi"/>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character" w:customStyle="1" w:styleId="AltyazChar">
    <w:name w:val="Altyazı Char"/>
    <w:basedOn w:val="VarsaylanParagrafYazTipi"/>
    <w:link w:val="Altyaz"/>
    <w:rsid w:val="00FE3CD3"/>
    <w:rPr>
      <w:b/>
      <w:sz w:val="36"/>
    </w:rPr>
  </w:style>
  <w:style w:type="character" w:customStyle="1" w:styleId="GvdeMetniGirintisiChar">
    <w:name w:val="Gövde Metni Girintisi Char"/>
    <w:basedOn w:val="VarsaylanParagrafYazTipi"/>
    <w:link w:val="GvdeMetniGirintisi"/>
    <w:rsid w:val="00C90D67"/>
    <w:rPr>
      <w:rFonts w:ascii="Arial" w:hAnsi="Arial" w:cs="Arial"/>
      <w:szCs w:val="24"/>
    </w:rPr>
  </w:style>
  <w:style w:type="character" w:customStyle="1" w:styleId="KonuBalChar">
    <w:name w:val="Konu Başlığı Char"/>
    <w:link w:val="KonuBal"/>
    <w:uiPriority w:val="10"/>
    <w:rsid w:val="00625C5B"/>
    <w:rPr>
      <w:rFonts w:ascii="Arial" w:hAnsi="Arial"/>
      <w:b/>
      <w:sz w:val="48"/>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DipnotBavurusu"/>
    <w:uiPriority w:val="99"/>
    <w:rsid w:val="00FD37EA"/>
    <w:pPr>
      <w:spacing w:after="160" w:line="240" w:lineRule="exact"/>
      <w:jc w:val="both"/>
    </w:pPr>
    <w:rPr>
      <w:sz w:val="20"/>
      <w:szCs w:val="20"/>
      <w:vertAlign w:val="superscript"/>
    </w:rPr>
  </w:style>
  <w:style w:type="character" w:customStyle="1" w:styleId="Balk4Char">
    <w:name w:val="Başlık 4 Char"/>
    <w:aliases w:val="Sub-Clause Sub-paragraph Char, Sub-Clause Sub-paragraph Char,ClauseSubSub_No&amp;Name Char"/>
    <w:link w:val="Balk4"/>
    <w:uiPriority w:val="9"/>
    <w:rsid w:val="006D2D19"/>
    <w:rPr>
      <w:rFonts w:ascii="Arial" w:hAnsi="Arial" w:cs="Arial"/>
    </w:rPr>
  </w:style>
  <w:style w:type="paragraph" w:styleId="TBal">
    <w:name w:val="TOC Heading"/>
    <w:basedOn w:val="Balk1"/>
    <w:next w:val="Normal"/>
    <w:uiPriority w:val="39"/>
    <w:unhideWhenUsed/>
    <w:qFormat/>
    <w:rsid w:val="00130C08"/>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TableParagraph">
    <w:name w:val="Table Paragraph"/>
    <w:basedOn w:val="Normal"/>
    <w:uiPriority w:val="1"/>
    <w:qFormat/>
    <w:rsid w:val="0035776F"/>
    <w:pPr>
      <w:widowControl w:val="0"/>
      <w:autoSpaceDE w:val="0"/>
      <w:autoSpaceDN w:val="0"/>
    </w:pPr>
    <w:rPr>
      <w:sz w:val="22"/>
      <w:szCs w:val="22"/>
      <w:lang w:bidi="tr-TR"/>
    </w:rPr>
  </w:style>
  <w:style w:type="table" w:customStyle="1" w:styleId="a">
    <w:basedOn w:val="NormalTablo"/>
    <w:tblPr>
      <w:tblStyleRowBandSize w:val="1"/>
      <w:tblStyleColBandSize w:val="1"/>
      <w:tblCellMar>
        <w:left w:w="40" w:type="dxa"/>
        <w:right w:w="40" w:type="dxa"/>
      </w:tblCellMar>
    </w:tblPr>
  </w:style>
  <w:style w:type="table" w:customStyle="1" w:styleId="a0">
    <w:basedOn w:val="NormalTablo"/>
    <w:pPr>
      <w:jc w:val="both"/>
    </w:pPr>
    <w:tblPr>
      <w:tblStyleRowBandSize w:val="1"/>
      <w:tblStyleColBandSize w:val="1"/>
    </w:tblPr>
  </w:style>
  <w:style w:type="character" w:styleId="Bahset">
    <w:name w:val="Mention"/>
    <w:basedOn w:val="VarsaylanParagrafYazTipi"/>
    <w:uiPriority w:val="99"/>
    <w:unhideWhenUsed/>
    <w:rsid w:val="008E373C"/>
    <w:rPr>
      <w:color w:val="2B579A"/>
      <w:shd w:val="clear" w:color="auto" w:fill="E1DFDD"/>
    </w:rPr>
  </w:style>
  <w:style w:type="character" w:styleId="zmlenmeyenBahsetme">
    <w:name w:val="Unresolved Mention"/>
    <w:basedOn w:val="VarsaylanParagrafYazTipi"/>
    <w:uiPriority w:val="99"/>
    <w:semiHidden/>
    <w:unhideWhenUsed/>
    <w:rsid w:val="006334B8"/>
    <w:rPr>
      <w:color w:val="605E5C"/>
      <w:shd w:val="clear" w:color="auto" w:fill="E1DFDD"/>
    </w:rPr>
  </w:style>
  <w:style w:type="character" w:customStyle="1" w:styleId="Bahset1">
    <w:name w:val="Bahset1"/>
    <w:basedOn w:val="VarsaylanParagrafYazTipi"/>
    <w:uiPriority w:val="99"/>
    <w:unhideWhenUsed/>
    <w:rsid w:val="00B504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5488">
      <w:bodyDiv w:val="1"/>
      <w:marLeft w:val="0"/>
      <w:marRight w:val="0"/>
      <w:marTop w:val="0"/>
      <w:marBottom w:val="0"/>
      <w:divBdr>
        <w:top w:val="none" w:sz="0" w:space="0" w:color="auto"/>
        <w:left w:val="none" w:sz="0" w:space="0" w:color="auto"/>
        <w:bottom w:val="none" w:sz="0" w:space="0" w:color="auto"/>
        <w:right w:val="none" w:sz="0" w:space="0" w:color="auto"/>
      </w:divBdr>
    </w:div>
    <w:div w:id="1055743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kentseldirenclilik.csb.gov.tr/ingilizce-dokumanlar-i-108261" TargetMode="External"/><Relationship Id="rId2" Type="http://schemas.openxmlformats.org/officeDocument/2006/relationships/hyperlink" Target="https://kentseldirenclilik.csb.gov.tr/ingilizce-dokumanlar-i-108261" TargetMode="External"/><Relationship Id="rId1" Type="http://schemas.openxmlformats.org/officeDocument/2006/relationships/hyperlink" Target="https://webdosya.csb.gov.tr/db/kentseldirenclilik/icerikler/escp-moeucc-eng-20230518143336.pdf" TargetMode="External"/><Relationship Id="rId5" Type="http://schemas.openxmlformats.org/officeDocument/2006/relationships/hyperlink" Target="https://kentseldirenclilik.csb.gov.tr/ingilizce-dokumanlar-i-108261" TargetMode="External"/><Relationship Id="rId4" Type="http://schemas.openxmlformats.org/officeDocument/2006/relationships/hyperlink" Target="https://kentseldirenclilik.csb.gov.tr/ingilizce-dokumanlar-i-108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5trbRJCiRANtTatmBGNqoSdxA==">AMUW2mWsetlf+DFULlWuFLionhg6FythiOGt2SlpSNWt3UNYSF42tCAh4kMte9LB1ogrJACTfPQiC7fb17d2aLw03wobkcCglCQOvYD+LTY9AvNbk9C0yUWSG9aKZLMdsuTmUW8hLqkpkkVsKKvsf+Cru4j793QNFw==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20128D-6E7A-49DB-8E96-9CA6630482FA}">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67BCC1FB-0EDE-4669-9E9D-B15590BBE496}">
  <ds:schemaRefs>
    <ds:schemaRef ds:uri="http://schemas.openxmlformats.org/officeDocument/2006/bibliography"/>
  </ds:schemaRefs>
</ds:datastoreItem>
</file>

<file path=customXml/itemProps4.xml><?xml version="1.0" encoding="utf-8"?>
<ds:datastoreItem xmlns:ds="http://schemas.openxmlformats.org/officeDocument/2006/customXml" ds:itemID="{E66178C5-1526-44EC-BADC-11BB04629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B0A2BA-62CA-4A36-8328-468D1927C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2132</Words>
  <Characters>12159</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ejimenez1@worldbank.org</dc:creator>
  <cp:lastModifiedBy>Muhammed Ufuk Kaya</cp:lastModifiedBy>
  <cp:revision>7</cp:revision>
  <cp:lastPrinted>2022-01-05T06:52:00Z</cp:lastPrinted>
  <dcterms:created xsi:type="dcterms:W3CDTF">2025-10-08T06:39:00Z</dcterms:created>
  <dcterms:modified xsi:type="dcterms:W3CDTF">2025-10-08T07:16:00Z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SIP_Label_48e3fdf0-05a2-4411-bba7-a0945bfb4a0a_Enabled">
    <vt:lpwstr>true</vt:lpwstr>
  </property>
  <property fmtid="{D5CDD505-2E9C-101B-9397-08002B2CF9AE}" pid="4" name="MSIP_Label_48e3fdf0-05a2-4411-bba7-a0945bfb4a0a_SetDate">
    <vt:lpwstr>2020-07-06T11:42:15Z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12f7a2af-9d54-4a56-8aae-0000c67e882e</vt:lpwstr>
  </property>
  <property fmtid="{D5CDD505-2E9C-101B-9397-08002B2CF9AE}" pid="9" name="MSIP_Label_48e3fdf0-05a2-4411-bba7-a0945bfb4a0a_ContentBits">
    <vt:lpwstr>2</vt:lpwstr>
  </property>
  <property fmtid="{D5CDD505-2E9C-101B-9397-08002B2CF9AE}" pid="10" name="MediaServiceImageTags">
    <vt:lpwstr/>
  </property>
</Properties>
</file>