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DA07" w14:textId="77777777" w:rsidR="006D0754" w:rsidRDefault="006D0754" w:rsidP="006A0F73">
      <w:pPr>
        <w:jc w:val="both"/>
      </w:pPr>
    </w:p>
    <w:p w14:paraId="29D2247E" w14:textId="0A404E05" w:rsidR="00E84D72" w:rsidRPr="00E84D72" w:rsidRDefault="00E84D72" w:rsidP="00E84D72">
      <w:pPr>
        <w:spacing w:after="345" w:line="300" w:lineRule="atLeast"/>
        <w:jc w:val="center"/>
        <w:rPr>
          <w:rFonts w:ascii="Times New Roman" w:eastAsia="Times New Roman" w:hAnsi="Times New Roman" w:cs="Times New Roman"/>
          <w:b/>
          <w:bCs/>
          <w:color w:val="1A1A1E"/>
          <w:sz w:val="28"/>
          <w:szCs w:val="28"/>
          <w:lang w:eastAsia="tr-TR"/>
        </w:rPr>
      </w:pPr>
      <w:r w:rsidRPr="00E84D72">
        <w:rPr>
          <w:rFonts w:ascii="Times New Roman" w:eastAsia="Times New Roman" w:hAnsi="Times New Roman" w:cs="Times New Roman"/>
          <w:b/>
          <w:bCs/>
          <w:color w:val="1A1A1E"/>
          <w:sz w:val="28"/>
          <w:szCs w:val="28"/>
          <w:lang w:eastAsia="tr-TR"/>
        </w:rPr>
        <w:t>KAYSERİ KENTSEL DÖNÜŞÜM MÜDÜRLÜĞÜ</w:t>
      </w:r>
    </w:p>
    <w:p w14:paraId="5F75463D" w14:textId="09A5E357" w:rsidR="006D0754" w:rsidRPr="00E84D72" w:rsidRDefault="00E84D72" w:rsidP="00E84D72">
      <w:pPr>
        <w:spacing w:after="0" w:line="240" w:lineRule="auto"/>
        <w:jc w:val="center"/>
        <w:outlineLvl w:val="0"/>
        <w:rPr>
          <w:rFonts w:ascii="Times New Roman" w:eastAsia="Times New Roman" w:hAnsi="Times New Roman" w:cs="Times New Roman"/>
          <w:b/>
          <w:bCs/>
          <w:color w:val="1A1A1E"/>
          <w:kern w:val="36"/>
          <w:sz w:val="28"/>
          <w:szCs w:val="28"/>
          <w:lang w:eastAsia="tr-TR"/>
        </w:rPr>
      </w:pPr>
      <w:r w:rsidRPr="00E84D72">
        <w:rPr>
          <w:rFonts w:ascii="Times New Roman" w:eastAsia="Times New Roman" w:hAnsi="Times New Roman" w:cs="Times New Roman"/>
          <w:b/>
          <w:bCs/>
          <w:color w:val="1A1A1E"/>
          <w:kern w:val="36"/>
          <w:sz w:val="28"/>
          <w:szCs w:val="28"/>
          <w:lang w:eastAsia="tr-TR"/>
        </w:rPr>
        <w:t>A</w:t>
      </w:r>
      <w:r w:rsidR="006D0754" w:rsidRPr="00E84D72">
        <w:rPr>
          <w:rFonts w:ascii="Times New Roman" w:eastAsia="Times New Roman" w:hAnsi="Times New Roman" w:cs="Times New Roman"/>
          <w:b/>
          <w:bCs/>
          <w:color w:val="1A1A1E"/>
          <w:kern w:val="36"/>
          <w:sz w:val="28"/>
          <w:szCs w:val="28"/>
          <w:lang w:eastAsia="tr-TR"/>
        </w:rPr>
        <w:t>ÇIK ARTIRMA USULÜ İLE PAY SATIŞI İLANI</w:t>
      </w:r>
    </w:p>
    <w:p w14:paraId="31146A34" w14:textId="77777777" w:rsidR="006D0754" w:rsidRPr="00E84D72" w:rsidRDefault="006D0754" w:rsidP="00E84D72">
      <w:pPr>
        <w:spacing w:after="0" w:line="240" w:lineRule="auto"/>
        <w:jc w:val="center"/>
        <w:outlineLvl w:val="0"/>
        <w:rPr>
          <w:rFonts w:ascii="Times New Roman" w:eastAsia="Times New Roman" w:hAnsi="Times New Roman" w:cs="Times New Roman"/>
          <w:b/>
          <w:bCs/>
          <w:color w:val="1A1A1E"/>
          <w:kern w:val="36"/>
          <w:sz w:val="28"/>
          <w:szCs w:val="28"/>
          <w:lang w:eastAsia="tr-TR"/>
        </w:rPr>
      </w:pPr>
    </w:p>
    <w:p w14:paraId="59441524" w14:textId="302DE5B4" w:rsidR="005068BA" w:rsidRPr="00E84D72" w:rsidRDefault="006D0754" w:rsidP="00E84D72">
      <w:pPr>
        <w:spacing w:after="345" w:line="300" w:lineRule="atLeast"/>
        <w:ind w:firstLine="708"/>
        <w:jc w:val="both"/>
        <w:rPr>
          <w:rFonts w:ascii="Times New Roman" w:eastAsia="Times New Roman" w:hAnsi="Times New Roman" w:cs="Times New Roman"/>
          <w:color w:val="1A1A1E"/>
          <w:sz w:val="24"/>
          <w:szCs w:val="24"/>
          <w:lang w:eastAsia="tr-TR"/>
        </w:rPr>
      </w:pPr>
      <w:r w:rsidRPr="00E84D72">
        <w:rPr>
          <w:rFonts w:ascii="Times New Roman" w:eastAsia="Times New Roman" w:hAnsi="Times New Roman" w:cs="Times New Roman"/>
          <w:color w:val="1A1A1E"/>
          <w:sz w:val="24"/>
          <w:szCs w:val="24"/>
          <w:lang w:eastAsia="tr-TR"/>
        </w:rPr>
        <w:t xml:space="preserve"> Kayseri ili, </w:t>
      </w:r>
      <w:r w:rsidRPr="00E84D72">
        <w:rPr>
          <w:rFonts w:ascii="Times New Roman" w:hAnsi="Times New Roman" w:cs="Times New Roman"/>
          <w:sz w:val="24"/>
          <w:szCs w:val="24"/>
        </w:rPr>
        <w:t>KOCASİNAN</w:t>
      </w:r>
      <w:r w:rsidRPr="00E84D72">
        <w:rPr>
          <w:rFonts w:ascii="Times New Roman" w:eastAsia="Times New Roman" w:hAnsi="Times New Roman" w:cs="Times New Roman"/>
          <w:color w:val="1A1A1E"/>
          <w:sz w:val="24"/>
          <w:szCs w:val="24"/>
          <w:lang w:eastAsia="tr-TR"/>
        </w:rPr>
        <w:t xml:space="preserve"> ilçesi, </w:t>
      </w:r>
      <w:proofErr w:type="spellStart"/>
      <w:r w:rsidRPr="00E84D72">
        <w:rPr>
          <w:rFonts w:ascii="Times New Roman" w:eastAsia="Times New Roman" w:hAnsi="Times New Roman" w:cs="Times New Roman"/>
          <w:color w:val="1A1A1E"/>
          <w:sz w:val="24"/>
          <w:szCs w:val="24"/>
          <w:lang w:eastAsia="tr-TR"/>
        </w:rPr>
        <w:t>Uğurevler</w:t>
      </w:r>
      <w:proofErr w:type="spellEnd"/>
      <w:r w:rsidRPr="00E84D72">
        <w:rPr>
          <w:rFonts w:ascii="Times New Roman" w:eastAsia="Times New Roman" w:hAnsi="Times New Roman" w:cs="Times New Roman"/>
          <w:color w:val="1A1A1E"/>
          <w:sz w:val="24"/>
          <w:szCs w:val="24"/>
          <w:lang w:eastAsia="tr-TR"/>
        </w:rPr>
        <w:t xml:space="preserve"> Mahallesi, 11759 ada 2 parselde </w:t>
      </w:r>
      <w:proofErr w:type="spellStart"/>
      <w:r w:rsidRPr="00E84D72">
        <w:rPr>
          <w:rFonts w:ascii="Times New Roman" w:eastAsia="Times New Roman" w:hAnsi="Times New Roman" w:cs="Times New Roman"/>
          <w:color w:val="1A1A1E"/>
          <w:sz w:val="24"/>
          <w:szCs w:val="24"/>
          <w:lang w:eastAsia="tr-TR"/>
        </w:rPr>
        <w:t>bulunantaşınmaza</w:t>
      </w:r>
      <w:proofErr w:type="spellEnd"/>
      <w:r w:rsidRPr="00E84D72">
        <w:rPr>
          <w:rFonts w:ascii="Times New Roman" w:eastAsia="Times New Roman" w:hAnsi="Times New Roman" w:cs="Times New Roman"/>
          <w:color w:val="1A1A1E"/>
          <w:sz w:val="24"/>
          <w:szCs w:val="24"/>
          <w:lang w:eastAsia="tr-TR"/>
        </w:rPr>
        <w:t xml:space="preserve"> ait 6306 sayılı Kanun’un 6. maddesinin 1. fıkrasına istinaden yeni yapılacak uygulamaya ilişkin hisseleri oranında maliklerin salt çoğunluğu ile alınan karara katılmayan ve aşağ</w:t>
      </w:r>
      <w:r w:rsidR="005068BA" w:rsidRPr="00E84D72">
        <w:rPr>
          <w:rFonts w:ascii="Times New Roman" w:eastAsia="Times New Roman" w:hAnsi="Times New Roman" w:cs="Times New Roman"/>
          <w:color w:val="1A1A1E"/>
          <w:sz w:val="24"/>
          <w:szCs w:val="24"/>
          <w:lang w:eastAsia="tr-TR"/>
        </w:rPr>
        <w:t xml:space="preserve">ıda bilgileri verilen </w:t>
      </w:r>
      <w:proofErr w:type="spellStart"/>
      <w:r w:rsidR="005068BA" w:rsidRPr="00E84D72">
        <w:rPr>
          <w:rFonts w:ascii="Times New Roman" w:eastAsia="Times New Roman" w:hAnsi="Times New Roman" w:cs="Times New Roman"/>
          <w:color w:val="1A1A1E"/>
          <w:sz w:val="24"/>
          <w:szCs w:val="24"/>
          <w:lang w:eastAsia="tr-TR"/>
        </w:rPr>
        <w:t>maliğin</w:t>
      </w:r>
      <w:proofErr w:type="spellEnd"/>
      <w:r w:rsidR="005068BA" w:rsidRPr="00E84D72">
        <w:rPr>
          <w:rFonts w:ascii="Times New Roman" w:eastAsia="Times New Roman" w:hAnsi="Times New Roman" w:cs="Times New Roman"/>
          <w:color w:val="1A1A1E"/>
          <w:sz w:val="24"/>
          <w:szCs w:val="24"/>
          <w:lang w:eastAsia="tr-TR"/>
        </w:rPr>
        <w:t> arsa payının</w:t>
      </w:r>
      <w:r w:rsidRPr="00E84D72">
        <w:rPr>
          <w:rFonts w:ascii="Times New Roman" w:eastAsia="Times New Roman" w:hAnsi="Times New Roman" w:cs="Times New Roman"/>
          <w:color w:val="1A1A1E"/>
          <w:sz w:val="24"/>
          <w:szCs w:val="24"/>
          <w:lang w:eastAsia="tr-TR"/>
        </w:rPr>
        <w:t> </w:t>
      </w:r>
      <w:r w:rsidR="005068BA" w:rsidRPr="00E84D72">
        <w:rPr>
          <w:rFonts w:ascii="Times New Roman" w:eastAsia="Times New Roman" w:hAnsi="Times New Roman" w:cs="Times New Roman"/>
          <w:b/>
          <w:color w:val="1A1A1E"/>
          <w:sz w:val="24"/>
          <w:szCs w:val="24"/>
          <w:lang w:eastAsia="tr-TR"/>
        </w:rPr>
        <w:t>11</w:t>
      </w:r>
      <w:r w:rsidR="005068BA" w:rsidRPr="00E84D72">
        <w:rPr>
          <w:rFonts w:ascii="Times New Roman" w:eastAsia="Times New Roman" w:hAnsi="Times New Roman" w:cs="Times New Roman"/>
          <w:b/>
          <w:bCs/>
          <w:color w:val="1A1A1E"/>
          <w:sz w:val="24"/>
          <w:szCs w:val="24"/>
          <w:lang w:eastAsia="tr-TR"/>
        </w:rPr>
        <w:t>.09</w:t>
      </w:r>
      <w:r w:rsidRPr="00E84D72">
        <w:rPr>
          <w:rFonts w:ascii="Times New Roman" w:eastAsia="Times New Roman" w:hAnsi="Times New Roman" w:cs="Times New Roman"/>
          <w:b/>
          <w:bCs/>
          <w:color w:val="1A1A1E"/>
          <w:sz w:val="24"/>
          <w:szCs w:val="24"/>
          <w:lang w:eastAsia="tr-TR"/>
        </w:rPr>
        <w:t>.2025 </w:t>
      </w:r>
      <w:r w:rsidRPr="00E84D72">
        <w:rPr>
          <w:rFonts w:ascii="Times New Roman" w:eastAsia="Times New Roman" w:hAnsi="Times New Roman" w:cs="Times New Roman"/>
          <w:color w:val="1A1A1E"/>
          <w:sz w:val="24"/>
          <w:szCs w:val="24"/>
          <w:lang w:eastAsia="tr-TR"/>
        </w:rPr>
        <w:t>tarihinde saat </w:t>
      </w:r>
      <w:r w:rsidRPr="00E84D72">
        <w:rPr>
          <w:rFonts w:ascii="Times New Roman" w:eastAsia="Times New Roman" w:hAnsi="Times New Roman" w:cs="Times New Roman"/>
          <w:b/>
          <w:bCs/>
          <w:color w:val="1A1A1E"/>
          <w:sz w:val="24"/>
          <w:szCs w:val="24"/>
          <w:lang w:eastAsia="tr-TR"/>
        </w:rPr>
        <w:t>1</w:t>
      </w:r>
      <w:r w:rsidR="005068BA" w:rsidRPr="00E84D72">
        <w:rPr>
          <w:rFonts w:ascii="Times New Roman" w:eastAsia="Times New Roman" w:hAnsi="Times New Roman" w:cs="Times New Roman"/>
          <w:b/>
          <w:bCs/>
          <w:color w:val="1A1A1E"/>
          <w:sz w:val="24"/>
          <w:szCs w:val="24"/>
          <w:lang w:eastAsia="tr-TR"/>
        </w:rPr>
        <w:t>4</w:t>
      </w:r>
      <w:r w:rsidRPr="00E84D72">
        <w:rPr>
          <w:rFonts w:ascii="Times New Roman" w:eastAsia="Times New Roman" w:hAnsi="Times New Roman" w:cs="Times New Roman"/>
          <w:b/>
          <w:bCs/>
          <w:color w:val="1A1A1E"/>
          <w:sz w:val="24"/>
          <w:szCs w:val="24"/>
          <w:lang w:eastAsia="tr-TR"/>
        </w:rPr>
        <w:t>.00</w:t>
      </w:r>
      <w:r w:rsidRPr="00E84D72">
        <w:rPr>
          <w:rFonts w:ascii="Times New Roman" w:eastAsia="Times New Roman" w:hAnsi="Times New Roman" w:cs="Times New Roman"/>
          <w:color w:val="1A1A1E"/>
          <w:sz w:val="24"/>
          <w:szCs w:val="24"/>
          <w:lang w:eastAsia="tr-TR"/>
        </w:rPr>
        <w:t>’da yapılan açık artırma usulü ile satış işleminde salt çoğunluğu sağlayan hissedarla</w:t>
      </w:r>
      <w:r w:rsidR="005068BA" w:rsidRPr="00E84D72">
        <w:rPr>
          <w:rFonts w:ascii="Times New Roman" w:eastAsia="Times New Roman" w:hAnsi="Times New Roman" w:cs="Times New Roman"/>
          <w:color w:val="1A1A1E"/>
          <w:sz w:val="24"/>
          <w:szCs w:val="24"/>
          <w:lang w:eastAsia="tr-TR"/>
        </w:rPr>
        <w:t xml:space="preserve">r tarafında pey sürülerek </w:t>
      </w:r>
      <w:r w:rsidRPr="00E84D72">
        <w:rPr>
          <w:rFonts w:ascii="Times New Roman" w:eastAsia="Times New Roman" w:hAnsi="Times New Roman" w:cs="Times New Roman"/>
          <w:color w:val="1A1A1E"/>
          <w:sz w:val="24"/>
          <w:szCs w:val="24"/>
          <w:lang w:eastAsia="tr-TR"/>
        </w:rPr>
        <w:t xml:space="preserve">satış işlemi </w:t>
      </w:r>
      <w:r w:rsidR="005068BA" w:rsidRPr="00E84D72">
        <w:rPr>
          <w:rFonts w:ascii="Times New Roman" w:eastAsia="Times New Roman" w:hAnsi="Times New Roman" w:cs="Times New Roman"/>
          <w:color w:val="1A1A1E"/>
          <w:sz w:val="24"/>
          <w:szCs w:val="24"/>
          <w:lang w:eastAsia="tr-TR"/>
        </w:rPr>
        <w:t>yapılmış ancak tebliğ tarihinden itibaren 7 gün içerisinde satış bedelinin yatırılmamasından dolayı satış işlemi gerçekleştirilememiştir.</w:t>
      </w:r>
      <w:r w:rsidRPr="00E84D72">
        <w:rPr>
          <w:rFonts w:ascii="Times New Roman" w:eastAsia="Times New Roman" w:hAnsi="Times New Roman" w:cs="Times New Roman"/>
          <w:color w:val="1A1A1E"/>
          <w:sz w:val="24"/>
          <w:szCs w:val="24"/>
          <w:lang w:eastAsia="tr-TR"/>
        </w:rPr>
        <w:t xml:space="preserve"> </w:t>
      </w:r>
    </w:p>
    <w:p w14:paraId="23EBE0BE" w14:textId="77777777" w:rsidR="006D0754" w:rsidRPr="00E84D72" w:rsidRDefault="006D0754" w:rsidP="00E84D72">
      <w:pPr>
        <w:spacing w:after="345" w:line="300" w:lineRule="atLeast"/>
        <w:ind w:firstLine="708"/>
        <w:jc w:val="both"/>
        <w:rPr>
          <w:rFonts w:ascii="Times New Roman" w:eastAsia="Times New Roman" w:hAnsi="Times New Roman" w:cs="Times New Roman"/>
          <w:color w:val="1A1A1E"/>
          <w:sz w:val="24"/>
          <w:szCs w:val="24"/>
          <w:lang w:eastAsia="tr-TR"/>
        </w:rPr>
      </w:pPr>
      <w:r w:rsidRPr="00E84D72">
        <w:rPr>
          <w:rFonts w:ascii="Times New Roman" w:eastAsia="Times New Roman" w:hAnsi="Times New Roman" w:cs="Times New Roman"/>
          <w:color w:val="1A1A1E"/>
          <w:sz w:val="24"/>
          <w:szCs w:val="24"/>
          <w:lang w:eastAsia="tr-TR"/>
        </w:rPr>
        <w:t>Bu nedenle, 6306 sayılı Kanun’un Uygulama Yö</w:t>
      </w:r>
      <w:r w:rsidR="005068BA" w:rsidRPr="00E84D72">
        <w:rPr>
          <w:rFonts w:ascii="Times New Roman" w:eastAsia="Times New Roman" w:hAnsi="Times New Roman" w:cs="Times New Roman"/>
          <w:color w:val="1A1A1E"/>
          <w:sz w:val="24"/>
          <w:szCs w:val="24"/>
          <w:lang w:eastAsia="tr-TR"/>
        </w:rPr>
        <w:t>netmeliği’nin 15/A maddesinin 13</w:t>
      </w:r>
      <w:r w:rsidRPr="00E84D72">
        <w:rPr>
          <w:rFonts w:ascii="Times New Roman" w:eastAsia="Times New Roman" w:hAnsi="Times New Roman" w:cs="Times New Roman"/>
          <w:color w:val="1A1A1E"/>
          <w:sz w:val="24"/>
          <w:szCs w:val="24"/>
          <w:lang w:eastAsia="tr-TR"/>
        </w:rPr>
        <w:t xml:space="preserve">. fıkrasındaki hükmü gereğince </w:t>
      </w:r>
      <w:r w:rsidR="005068BA" w:rsidRPr="00E84D72">
        <w:rPr>
          <w:rFonts w:ascii="Times New Roman" w:hAnsi="Times New Roman" w:cs="Times New Roman"/>
          <w:sz w:val="24"/>
          <w:szCs w:val="24"/>
        </w:rPr>
        <w:t>İlk satıştan sonra yapılacak diğer satışlara hisseleri oranında salt çoğunluk ile anlaşan paydaşlar ile birlikte üçüncü şahısların da katılabilmesi için, bunların satıştan önce salt çoğunluk ile alınan kararı kabul edeceklerini ve salt çoğunluk ile alınan karar doğrultusunda yapılan sözleşmeyi ve yapılacak uygulamanın gerektirdiği diğer belgeleri imzalayacaklarını yazılı olarak beyan etmeleri ve satışı yapılacak arsa payının üçüncü fıkra uyarınca belirlenen rayiç değerinin yüzde onu oranında nakit teminat vermeleri şarttır.</w:t>
      </w:r>
      <w:r w:rsidR="005068BA" w:rsidRPr="00E84D72">
        <w:rPr>
          <w:rFonts w:ascii="Times New Roman" w:eastAsia="Times New Roman" w:hAnsi="Times New Roman" w:cs="Times New Roman"/>
          <w:color w:val="1A1A1E"/>
          <w:sz w:val="24"/>
          <w:szCs w:val="24"/>
          <w:lang w:eastAsia="tr-TR"/>
        </w:rPr>
        <w:t xml:space="preserve"> A</w:t>
      </w:r>
      <w:r w:rsidRPr="00E84D72">
        <w:rPr>
          <w:rFonts w:ascii="Times New Roman" w:eastAsia="Times New Roman" w:hAnsi="Times New Roman" w:cs="Times New Roman"/>
          <w:color w:val="1A1A1E"/>
          <w:sz w:val="24"/>
          <w:szCs w:val="24"/>
          <w:lang w:eastAsia="tr-TR"/>
        </w:rPr>
        <w:t>ş</w:t>
      </w:r>
      <w:r w:rsidR="00201B9F" w:rsidRPr="00E84D72">
        <w:rPr>
          <w:rFonts w:ascii="Times New Roman" w:eastAsia="Times New Roman" w:hAnsi="Times New Roman" w:cs="Times New Roman"/>
          <w:color w:val="1A1A1E"/>
          <w:sz w:val="24"/>
          <w:szCs w:val="24"/>
          <w:lang w:eastAsia="tr-TR"/>
        </w:rPr>
        <w:t>ağıda bilgileri verilen payın</w:t>
      </w:r>
      <w:r w:rsidRPr="00E84D72">
        <w:rPr>
          <w:rFonts w:ascii="Times New Roman" w:eastAsia="Times New Roman" w:hAnsi="Times New Roman" w:cs="Times New Roman"/>
          <w:color w:val="1A1A1E"/>
          <w:sz w:val="24"/>
          <w:szCs w:val="24"/>
          <w:lang w:eastAsia="tr-TR"/>
        </w:rPr>
        <w:t xml:space="preserve"> bir sonraki satışının </w:t>
      </w:r>
      <w:r w:rsidR="005068BA" w:rsidRPr="00E84D72">
        <w:rPr>
          <w:rFonts w:ascii="Times New Roman" w:eastAsia="Times New Roman" w:hAnsi="Times New Roman" w:cs="Times New Roman"/>
          <w:b/>
          <w:bCs/>
          <w:color w:val="1A1A1E"/>
          <w:sz w:val="24"/>
          <w:szCs w:val="24"/>
          <w:lang w:eastAsia="tr-TR"/>
        </w:rPr>
        <w:t>29.1</w:t>
      </w:r>
      <w:r w:rsidRPr="00E84D72">
        <w:rPr>
          <w:rFonts w:ascii="Times New Roman" w:eastAsia="Times New Roman" w:hAnsi="Times New Roman" w:cs="Times New Roman"/>
          <w:b/>
          <w:bCs/>
          <w:color w:val="1A1A1E"/>
          <w:sz w:val="24"/>
          <w:szCs w:val="24"/>
          <w:lang w:eastAsia="tr-TR"/>
        </w:rPr>
        <w:t>2.202</w:t>
      </w:r>
      <w:r w:rsidR="005068BA" w:rsidRPr="00E84D72">
        <w:rPr>
          <w:rFonts w:ascii="Times New Roman" w:eastAsia="Times New Roman" w:hAnsi="Times New Roman" w:cs="Times New Roman"/>
          <w:b/>
          <w:bCs/>
          <w:color w:val="1A1A1E"/>
          <w:sz w:val="24"/>
          <w:szCs w:val="24"/>
          <w:lang w:eastAsia="tr-TR"/>
        </w:rPr>
        <w:t>5</w:t>
      </w:r>
      <w:r w:rsidRPr="00E84D72">
        <w:rPr>
          <w:rFonts w:ascii="Times New Roman" w:eastAsia="Times New Roman" w:hAnsi="Times New Roman" w:cs="Times New Roman"/>
          <w:b/>
          <w:bCs/>
          <w:color w:val="1A1A1E"/>
          <w:sz w:val="24"/>
          <w:szCs w:val="24"/>
          <w:lang w:eastAsia="tr-TR"/>
        </w:rPr>
        <w:t> </w:t>
      </w:r>
      <w:r w:rsidRPr="00E84D72">
        <w:rPr>
          <w:rFonts w:ascii="Times New Roman" w:eastAsia="Times New Roman" w:hAnsi="Times New Roman" w:cs="Times New Roman"/>
          <w:color w:val="1A1A1E"/>
          <w:sz w:val="24"/>
          <w:szCs w:val="24"/>
          <w:lang w:eastAsia="tr-TR"/>
        </w:rPr>
        <w:t>tarihinde saat</w:t>
      </w:r>
      <w:r w:rsidRPr="00E84D72">
        <w:rPr>
          <w:rFonts w:ascii="Times New Roman" w:eastAsia="Times New Roman" w:hAnsi="Times New Roman" w:cs="Times New Roman"/>
          <w:b/>
          <w:bCs/>
          <w:color w:val="1A1A1E"/>
          <w:sz w:val="24"/>
          <w:szCs w:val="24"/>
          <w:lang w:eastAsia="tr-TR"/>
        </w:rPr>
        <w:t> 1</w:t>
      </w:r>
      <w:r w:rsidR="005068BA" w:rsidRPr="00E84D72">
        <w:rPr>
          <w:rFonts w:ascii="Times New Roman" w:eastAsia="Times New Roman" w:hAnsi="Times New Roman" w:cs="Times New Roman"/>
          <w:b/>
          <w:bCs/>
          <w:color w:val="1A1A1E"/>
          <w:sz w:val="24"/>
          <w:szCs w:val="24"/>
          <w:lang w:eastAsia="tr-TR"/>
        </w:rPr>
        <w:t>0</w:t>
      </w:r>
      <w:r w:rsidRPr="00E84D72">
        <w:rPr>
          <w:rFonts w:ascii="Times New Roman" w:eastAsia="Times New Roman" w:hAnsi="Times New Roman" w:cs="Times New Roman"/>
          <w:b/>
          <w:bCs/>
          <w:color w:val="1A1A1E"/>
          <w:sz w:val="24"/>
          <w:szCs w:val="24"/>
          <w:lang w:eastAsia="tr-TR"/>
        </w:rPr>
        <w:t>.00’</w:t>
      </w:r>
      <w:r w:rsidR="005068BA" w:rsidRPr="00E84D72">
        <w:rPr>
          <w:rFonts w:ascii="Times New Roman" w:eastAsia="Times New Roman" w:hAnsi="Times New Roman" w:cs="Times New Roman"/>
          <w:color w:val="1A1A1E"/>
          <w:sz w:val="24"/>
          <w:szCs w:val="24"/>
          <w:lang w:eastAsia="tr-TR"/>
        </w:rPr>
        <w:t>da</w:t>
      </w:r>
      <w:r w:rsidRPr="00E84D72">
        <w:rPr>
          <w:rFonts w:ascii="Times New Roman" w:eastAsia="Times New Roman" w:hAnsi="Times New Roman" w:cs="Times New Roman"/>
          <w:b/>
          <w:bCs/>
          <w:color w:val="1A1A1E"/>
          <w:sz w:val="24"/>
          <w:szCs w:val="24"/>
          <w:lang w:eastAsia="tr-TR"/>
        </w:rPr>
        <w:t> </w:t>
      </w:r>
      <w:r w:rsidR="005068BA" w:rsidRPr="00E84D72">
        <w:rPr>
          <w:rFonts w:ascii="Times New Roman" w:eastAsia="Times New Roman" w:hAnsi="Times New Roman" w:cs="Times New Roman"/>
          <w:bCs/>
          <w:color w:val="1A1A1E"/>
          <w:sz w:val="24"/>
          <w:szCs w:val="24"/>
          <w:lang w:eastAsia="tr-TR"/>
        </w:rPr>
        <w:t>Kayseri</w:t>
      </w:r>
      <w:r w:rsidRPr="00E84D72">
        <w:rPr>
          <w:rFonts w:ascii="Times New Roman" w:eastAsia="Times New Roman" w:hAnsi="Times New Roman" w:cs="Times New Roman"/>
          <w:color w:val="1A1A1E"/>
          <w:sz w:val="24"/>
          <w:szCs w:val="24"/>
          <w:lang w:eastAsia="tr-TR"/>
        </w:rPr>
        <w:t xml:space="preserve"> Kentsel Dönüşüm Müdü</w:t>
      </w:r>
      <w:r w:rsidR="005068BA" w:rsidRPr="00E84D72">
        <w:rPr>
          <w:rFonts w:ascii="Times New Roman" w:eastAsia="Times New Roman" w:hAnsi="Times New Roman" w:cs="Times New Roman"/>
          <w:color w:val="1A1A1E"/>
          <w:sz w:val="24"/>
          <w:szCs w:val="24"/>
          <w:lang w:eastAsia="tr-TR"/>
        </w:rPr>
        <w:t>rlüğü 2. Kat toplantı salonunda yapılmasına karar verilmiştir.</w:t>
      </w:r>
    </w:p>
    <w:p w14:paraId="2B19AA9F" w14:textId="77777777" w:rsidR="005068BA" w:rsidRPr="006D0754" w:rsidRDefault="006D0754" w:rsidP="005068BA">
      <w:pPr>
        <w:spacing w:after="345" w:line="300" w:lineRule="atLeast"/>
        <w:jc w:val="both"/>
        <w:rPr>
          <w:rFonts w:ascii="Arial" w:eastAsia="Times New Roman" w:hAnsi="Arial" w:cs="Arial"/>
          <w:color w:val="1A1A1E"/>
          <w:sz w:val="21"/>
          <w:szCs w:val="21"/>
          <w:lang w:eastAsia="tr-TR"/>
        </w:rPr>
      </w:pPr>
      <w:r w:rsidRPr="006D0754">
        <w:rPr>
          <w:rFonts w:ascii="Arial" w:eastAsia="Times New Roman" w:hAnsi="Arial" w:cs="Arial"/>
          <w:color w:val="1A1A1E"/>
          <w:sz w:val="21"/>
          <w:szCs w:val="21"/>
          <w:lang w:eastAsia="tr-TR"/>
        </w:rPr>
        <w:t> </w:t>
      </w:r>
    </w:p>
    <w:tbl>
      <w:tblPr>
        <w:tblStyle w:val="TabloKlavuzu"/>
        <w:tblW w:w="11151" w:type="dxa"/>
        <w:jc w:val="center"/>
        <w:tblLayout w:type="fixed"/>
        <w:tblLook w:val="04A0" w:firstRow="1" w:lastRow="0" w:firstColumn="1" w:lastColumn="0" w:noHBand="0" w:noVBand="1"/>
      </w:tblPr>
      <w:tblGrid>
        <w:gridCol w:w="827"/>
        <w:gridCol w:w="691"/>
        <w:gridCol w:w="690"/>
        <w:gridCol w:w="827"/>
        <w:gridCol w:w="690"/>
        <w:gridCol w:w="827"/>
        <w:gridCol w:w="1380"/>
        <w:gridCol w:w="1104"/>
        <w:gridCol w:w="1242"/>
        <w:gridCol w:w="1518"/>
        <w:gridCol w:w="1355"/>
      </w:tblGrid>
      <w:tr w:rsidR="00903E88" w14:paraId="591D9033" w14:textId="77777777" w:rsidTr="00E84D72">
        <w:trPr>
          <w:trHeight w:val="636"/>
          <w:jc w:val="center"/>
        </w:trPr>
        <w:tc>
          <w:tcPr>
            <w:tcW w:w="827" w:type="dxa"/>
          </w:tcPr>
          <w:p w14:paraId="12B36830" w14:textId="77777777" w:rsidR="00903E88" w:rsidRPr="00903E88" w:rsidRDefault="00903E88" w:rsidP="00903E88">
            <w:pPr>
              <w:jc w:val="center"/>
              <w:rPr>
                <w:sz w:val="20"/>
                <w:szCs w:val="20"/>
              </w:rPr>
            </w:pPr>
            <w:r w:rsidRPr="00903E88">
              <w:rPr>
                <w:sz w:val="20"/>
                <w:szCs w:val="20"/>
              </w:rPr>
              <w:t>Malik Adı</w:t>
            </w:r>
          </w:p>
        </w:tc>
        <w:tc>
          <w:tcPr>
            <w:tcW w:w="691" w:type="dxa"/>
          </w:tcPr>
          <w:p w14:paraId="07B0A56D" w14:textId="77777777" w:rsidR="00903E88" w:rsidRPr="00903E88" w:rsidRDefault="00903E88" w:rsidP="00903E88">
            <w:pPr>
              <w:jc w:val="center"/>
              <w:rPr>
                <w:sz w:val="20"/>
                <w:szCs w:val="20"/>
              </w:rPr>
            </w:pPr>
            <w:r w:rsidRPr="00903E88">
              <w:rPr>
                <w:sz w:val="20"/>
                <w:szCs w:val="20"/>
              </w:rPr>
              <w:t>İlçesi</w:t>
            </w:r>
          </w:p>
        </w:tc>
        <w:tc>
          <w:tcPr>
            <w:tcW w:w="690" w:type="dxa"/>
          </w:tcPr>
          <w:p w14:paraId="1EC6EB9D" w14:textId="77777777" w:rsidR="00903E88" w:rsidRPr="00903E88" w:rsidRDefault="00903E88" w:rsidP="00903E88">
            <w:pPr>
              <w:jc w:val="center"/>
              <w:rPr>
                <w:sz w:val="20"/>
                <w:szCs w:val="20"/>
              </w:rPr>
            </w:pPr>
            <w:r w:rsidRPr="00903E88">
              <w:rPr>
                <w:sz w:val="20"/>
                <w:szCs w:val="20"/>
              </w:rPr>
              <w:t>Mahalle</w:t>
            </w:r>
          </w:p>
        </w:tc>
        <w:tc>
          <w:tcPr>
            <w:tcW w:w="827" w:type="dxa"/>
          </w:tcPr>
          <w:p w14:paraId="5049B589" w14:textId="77777777" w:rsidR="00903E88" w:rsidRPr="00903E88" w:rsidRDefault="00903E88" w:rsidP="00903E88">
            <w:pPr>
              <w:jc w:val="center"/>
              <w:rPr>
                <w:sz w:val="20"/>
                <w:szCs w:val="20"/>
              </w:rPr>
            </w:pPr>
            <w:r w:rsidRPr="00903E88">
              <w:rPr>
                <w:sz w:val="20"/>
                <w:szCs w:val="20"/>
              </w:rPr>
              <w:t>Ada</w:t>
            </w:r>
          </w:p>
        </w:tc>
        <w:tc>
          <w:tcPr>
            <w:tcW w:w="690" w:type="dxa"/>
          </w:tcPr>
          <w:p w14:paraId="36C617E5" w14:textId="77777777" w:rsidR="00903E88" w:rsidRPr="00903E88" w:rsidRDefault="00903E88" w:rsidP="00903E88">
            <w:pPr>
              <w:jc w:val="center"/>
              <w:rPr>
                <w:sz w:val="20"/>
                <w:szCs w:val="20"/>
              </w:rPr>
            </w:pPr>
            <w:r w:rsidRPr="00903E88">
              <w:rPr>
                <w:sz w:val="20"/>
                <w:szCs w:val="20"/>
              </w:rPr>
              <w:t>Parsel</w:t>
            </w:r>
          </w:p>
        </w:tc>
        <w:tc>
          <w:tcPr>
            <w:tcW w:w="827" w:type="dxa"/>
          </w:tcPr>
          <w:p w14:paraId="688F7ED6" w14:textId="77777777" w:rsidR="00903E88" w:rsidRPr="00903E88" w:rsidRDefault="00903E88" w:rsidP="00903E88">
            <w:pPr>
              <w:jc w:val="center"/>
              <w:rPr>
                <w:sz w:val="20"/>
                <w:szCs w:val="20"/>
              </w:rPr>
            </w:pPr>
            <w:r w:rsidRPr="00903E88">
              <w:rPr>
                <w:sz w:val="20"/>
                <w:szCs w:val="20"/>
              </w:rPr>
              <w:t>Yüzölçümü</w:t>
            </w:r>
          </w:p>
        </w:tc>
        <w:tc>
          <w:tcPr>
            <w:tcW w:w="1380" w:type="dxa"/>
          </w:tcPr>
          <w:p w14:paraId="6401BEFE" w14:textId="77777777" w:rsidR="00903E88" w:rsidRPr="00903E88" w:rsidRDefault="00903E88" w:rsidP="00903E88">
            <w:pPr>
              <w:jc w:val="center"/>
              <w:rPr>
                <w:sz w:val="20"/>
                <w:szCs w:val="20"/>
              </w:rPr>
            </w:pPr>
            <w:r w:rsidRPr="00903E88">
              <w:rPr>
                <w:sz w:val="20"/>
                <w:szCs w:val="20"/>
              </w:rPr>
              <w:t>Hisse Oranı</w:t>
            </w:r>
          </w:p>
        </w:tc>
        <w:tc>
          <w:tcPr>
            <w:tcW w:w="1104" w:type="dxa"/>
          </w:tcPr>
          <w:p w14:paraId="3208FBA7" w14:textId="77777777" w:rsidR="00903E88" w:rsidRPr="00903E88" w:rsidRDefault="00903E88" w:rsidP="00903E88">
            <w:pPr>
              <w:jc w:val="center"/>
              <w:rPr>
                <w:sz w:val="20"/>
                <w:szCs w:val="20"/>
              </w:rPr>
            </w:pPr>
            <w:r w:rsidRPr="00903E88">
              <w:rPr>
                <w:sz w:val="20"/>
                <w:szCs w:val="20"/>
              </w:rPr>
              <w:t>Satılacak Hisse Yüzölçümü</w:t>
            </w:r>
          </w:p>
        </w:tc>
        <w:tc>
          <w:tcPr>
            <w:tcW w:w="1242" w:type="dxa"/>
          </w:tcPr>
          <w:p w14:paraId="1DAB064B" w14:textId="77777777" w:rsidR="00903E88" w:rsidRPr="00903E88" w:rsidRDefault="00903E88" w:rsidP="00903E88">
            <w:pPr>
              <w:jc w:val="center"/>
              <w:rPr>
                <w:sz w:val="20"/>
                <w:szCs w:val="20"/>
              </w:rPr>
            </w:pPr>
            <w:r w:rsidRPr="00903E88">
              <w:rPr>
                <w:sz w:val="20"/>
                <w:szCs w:val="20"/>
              </w:rPr>
              <w:t>Birim Fiyatı TL/m2</w:t>
            </w:r>
          </w:p>
        </w:tc>
        <w:tc>
          <w:tcPr>
            <w:tcW w:w="1518" w:type="dxa"/>
          </w:tcPr>
          <w:p w14:paraId="451D2FCE" w14:textId="77777777" w:rsidR="00903E88" w:rsidRPr="00903E88" w:rsidRDefault="00903E88" w:rsidP="00903E88">
            <w:pPr>
              <w:jc w:val="center"/>
              <w:rPr>
                <w:sz w:val="20"/>
                <w:szCs w:val="20"/>
              </w:rPr>
            </w:pPr>
            <w:r w:rsidRPr="00903E88">
              <w:rPr>
                <w:sz w:val="20"/>
                <w:szCs w:val="20"/>
              </w:rPr>
              <w:t>Satılacak Hisse Muhammen bedel</w:t>
            </w:r>
          </w:p>
        </w:tc>
        <w:tc>
          <w:tcPr>
            <w:tcW w:w="1355" w:type="dxa"/>
          </w:tcPr>
          <w:p w14:paraId="0BBFD365" w14:textId="77777777" w:rsidR="00903E88" w:rsidRPr="00903E88" w:rsidRDefault="00903E88" w:rsidP="00903E88">
            <w:pPr>
              <w:jc w:val="center"/>
              <w:rPr>
                <w:sz w:val="20"/>
                <w:szCs w:val="20"/>
              </w:rPr>
            </w:pPr>
            <w:r w:rsidRPr="00903E88">
              <w:rPr>
                <w:sz w:val="20"/>
                <w:szCs w:val="20"/>
              </w:rPr>
              <w:t>Geçici Teminat Bedeli</w:t>
            </w:r>
          </w:p>
        </w:tc>
      </w:tr>
      <w:tr w:rsidR="00903E88" w14:paraId="7DB39D8F" w14:textId="77777777" w:rsidTr="00E84D72">
        <w:trPr>
          <w:trHeight w:val="783"/>
          <w:jc w:val="center"/>
        </w:trPr>
        <w:tc>
          <w:tcPr>
            <w:tcW w:w="827" w:type="dxa"/>
          </w:tcPr>
          <w:p w14:paraId="5E31CB71" w14:textId="77777777" w:rsidR="00903E88" w:rsidRPr="00903E88" w:rsidRDefault="00903E88" w:rsidP="00903E88">
            <w:pPr>
              <w:jc w:val="center"/>
              <w:rPr>
                <w:sz w:val="20"/>
                <w:szCs w:val="20"/>
              </w:rPr>
            </w:pPr>
            <w:proofErr w:type="spellStart"/>
            <w:r w:rsidRPr="00903E88">
              <w:rPr>
                <w:sz w:val="20"/>
                <w:szCs w:val="20"/>
              </w:rPr>
              <w:t>Şakird</w:t>
            </w:r>
            <w:proofErr w:type="spellEnd"/>
            <w:r w:rsidRPr="00903E88">
              <w:rPr>
                <w:sz w:val="20"/>
                <w:szCs w:val="20"/>
              </w:rPr>
              <w:t xml:space="preserve"> Hacı Ali Bin Ali Vakfı</w:t>
            </w:r>
          </w:p>
        </w:tc>
        <w:tc>
          <w:tcPr>
            <w:tcW w:w="691" w:type="dxa"/>
          </w:tcPr>
          <w:p w14:paraId="3756A2DD" w14:textId="77777777" w:rsidR="00903E88" w:rsidRPr="00903E88" w:rsidRDefault="00903E88" w:rsidP="00903E88">
            <w:pPr>
              <w:jc w:val="center"/>
              <w:rPr>
                <w:sz w:val="20"/>
                <w:szCs w:val="20"/>
              </w:rPr>
            </w:pPr>
            <w:r w:rsidRPr="00903E88">
              <w:rPr>
                <w:sz w:val="20"/>
                <w:szCs w:val="20"/>
              </w:rPr>
              <w:t>Kocasinan</w:t>
            </w:r>
          </w:p>
        </w:tc>
        <w:tc>
          <w:tcPr>
            <w:tcW w:w="690" w:type="dxa"/>
          </w:tcPr>
          <w:p w14:paraId="11B2D8F2" w14:textId="77777777" w:rsidR="00903E88" w:rsidRPr="00903E88" w:rsidRDefault="00903E88" w:rsidP="00903E88">
            <w:pPr>
              <w:jc w:val="center"/>
              <w:rPr>
                <w:sz w:val="20"/>
                <w:szCs w:val="20"/>
              </w:rPr>
            </w:pPr>
            <w:proofErr w:type="spellStart"/>
            <w:r w:rsidRPr="00903E88">
              <w:rPr>
                <w:sz w:val="20"/>
                <w:szCs w:val="20"/>
              </w:rPr>
              <w:t>Uğurevler</w:t>
            </w:r>
            <w:proofErr w:type="spellEnd"/>
          </w:p>
        </w:tc>
        <w:tc>
          <w:tcPr>
            <w:tcW w:w="827" w:type="dxa"/>
          </w:tcPr>
          <w:p w14:paraId="15397B88" w14:textId="77777777" w:rsidR="00903E88" w:rsidRPr="00903E88" w:rsidRDefault="00903E88" w:rsidP="00903E88">
            <w:pPr>
              <w:jc w:val="center"/>
              <w:rPr>
                <w:sz w:val="20"/>
                <w:szCs w:val="20"/>
              </w:rPr>
            </w:pPr>
            <w:r w:rsidRPr="00903E88">
              <w:rPr>
                <w:sz w:val="20"/>
                <w:szCs w:val="20"/>
              </w:rPr>
              <w:t>11759</w:t>
            </w:r>
          </w:p>
        </w:tc>
        <w:tc>
          <w:tcPr>
            <w:tcW w:w="690" w:type="dxa"/>
          </w:tcPr>
          <w:p w14:paraId="5944CC0C" w14:textId="77777777" w:rsidR="00903E88" w:rsidRPr="00903E88" w:rsidRDefault="00903E88" w:rsidP="00903E88">
            <w:pPr>
              <w:jc w:val="center"/>
              <w:rPr>
                <w:sz w:val="20"/>
                <w:szCs w:val="20"/>
              </w:rPr>
            </w:pPr>
            <w:r w:rsidRPr="00903E88">
              <w:rPr>
                <w:sz w:val="20"/>
                <w:szCs w:val="20"/>
              </w:rPr>
              <w:t>2</w:t>
            </w:r>
          </w:p>
        </w:tc>
        <w:tc>
          <w:tcPr>
            <w:tcW w:w="827" w:type="dxa"/>
          </w:tcPr>
          <w:p w14:paraId="3F54D8AD" w14:textId="77777777" w:rsidR="00903E88" w:rsidRPr="00903E88" w:rsidRDefault="00903E88" w:rsidP="00903E88">
            <w:pPr>
              <w:jc w:val="center"/>
              <w:rPr>
                <w:sz w:val="20"/>
                <w:szCs w:val="20"/>
              </w:rPr>
            </w:pPr>
            <w:r w:rsidRPr="00903E88">
              <w:rPr>
                <w:sz w:val="20"/>
                <w:szCs w:val="20"/>
              </w:rPr>
              <w:t>2.326,24m2</w:t>
            </w:r>
          </w:p>
        </w:tc>
        <w:tc>
          <w:tcPr>
            <w:tcW w:w="1380" w:type="dxa"/>
          </w:tcPr>
          <w:p w14:paraId="35094967" w14:textId="77777777" w:rsidR="00903E88" w:rsidRPr="00903E88" w:rsidRDefault="00903E88" w:rsidP="00903E88">
            <w:pPr>
              <w:jc w:val="center"/>
              <w:rPr>
                <w:sz w:val="20"/>
                <w:szCs w:val="20"/>
              </w:rPr>
            </w:pPr>
            <w:r w:rsidRPr="00903E88">
              <w:rPr>
                <w:sz w:val="20"/>
                <w:szCs w:val="20"/>
              </w:rPr>
              <w:t>40191/232624</w:t>
            </w:r>
          </w:p>
        </w:tc>
        <w:tc>
          <w:tcPr>
            <w:tcW w:w="1104" w:type="dxa"/>
          </w:tcPr>
          <w:p w14:paraId="4051C51E" w14:textId="77777777" w:rsidR="00903E88" w:rsidRPr="00903E88" w:rsidRDefault="00903E88" w:rsidP="00903E88">
            <w:pPr>
              <w:jc w:val="center"/>
              <w:rPr>
                <w:sz w:val="20"/>
                <w:szCs w:val="20"/>
              </w:rPr>
            </w:pPr>
            <w:r w:rsidRPr="00903E88">
              <w:rPr>
                <w:sz w:val="20"/>
                <w:szCs w:val="20"/>
              </w:rPr>
              <w:t>401,91m2</w:t>
            </w:r>
          </w:p>
        </w:tc>
        <w:tc>
          <w:tcPr>
            <w:tcW w:w="1242" w:type="dxa"/>
          </w:tcPr>
          <w:p w14:paraId="1C03DB6E" w14:textId="77777777" w:rsidR="00903E88" w:rsidRPr="00903E88" w:rsidRDefault="00903E88" w:rsidP="00903E88">
            <w:pPr>
              <w:jc w:val="center"/>
              <w:rPr>
                <w:sz w:val="20"/>
                <w:szCs w:val="20"/>
              </w:rPr>
            </w:pPr>
            <w:r w:rsidRPr="00903E88">
              <w:rPr>
                <w:sz w:val="20"/>
                <w:szCs w:val="20"/>
              </w:rPr>
              <w:t>14.300,00TL</w:t>
            </w:r>
          </w:p>
        </w:tc>
        <w:tc>
          <w:tcPr>
            <w:tcW w:w="1518" w:type="dxa"/>
          </w:tcPr>
          <w:p w14:paraId="5B05C208" w14:textId="77777777" w:rsidR="00903E88" w:rsidRPr="00903E88" w:rsidRDefault="00903E88" w:rsidP="00903E88">
            <w:pPr>
              <w:jc w:val="center"/>
              <w:rPr>
                <w:sz w:val="20"/>
                <w:szCs w:val="20"/>
              </w:rPr>
            </w:pPr>
            <w:r w:rsidRPr="00903E88">
              <w:rPr>
                <w:sz w:val="20"/>
                <w:szCs w:val="20"/>
              </w:rPr>
              <w:t>5.747.313,00TL</w:t>
            </w:r>
          </w:p>
        </w:tc>
        <w:tc>
          <w:tcPr>
            <w:tcW w:w="1355" w:type="dxa"/>
          </w:tcPr>
          <w:p w14:paraId="06F19A28" w14:textId="77777777" w:rsidR="00903E88" w:rsidRPr="00903E88" w:rsidRDefault="00903E88" w:rsidP="00903E88">
            <w:pPr>
              <w:jc w:val="center"/>
              <w:rPr>
                <w:sz w:val="20"/>
                <w:szCs w:val="20"/>
              </w:rPr>
            </w:pPr>
            <w:r w:rsidRPr="00903E88">
              <w:rPr>
                <w:sz w:val="20"/>
                <w:szCs w:val="20"/>
              </w:rPr>
              <w:t>574.731,30TL</w:t>
            </w:r>
          </w:p>
        </w:tc>
      </w:tr>
    </w:tbl>
    <w:p w14:paraId="6EB07D85" w14:textId="77777777" w:rsidR="006D0754" w:rsidRPr="006D0754" w:rsidRDefault="006D0754" w:rsidP="005068BA">
      <w:pPr>
        <w:spacing w:after="345" w:line="300" w:lineRule="atLeast"/>
        <w:jc w:val="both"/>
        <w:rPr>
          <w:rFonts w:ascii="Arial" w:eastAsia="Times New Roman" w:hAnsi="Arial" w:cs="Arial"/>
          <w:color w:val="1A1A1E"/>
          <w:sz w:val="21"/>
          <w:szCs w:val="21"/>
          <w:lang w:eastAsia="tr-TR"/>
        </w:rPr>
      </w:pPr>
    </w:p>
    <w:p w14:paraId="03CC39DA" w14:textId="77777777" w:rsidR="006D0754" w:rsidRPr="00E84D72" w:rsidRDefault="006D0754" w:rsidP="006D0754">
      <w:pPr>
        <w:spacing w:after="345" w:line="300" w:lineRule="atLeast"/>
        <w:rPr>
          <w:rFonts w:ascii="Arial" w:eastAsia="Times New Roman" w:hAnsi="Arial" w:cs="Arial"/>
          <w:color w:val="1A1A1E"/>
          <w:sz w:val="28"/>
          <w:szCs w:val="28"/>
          <w:lang w:eastAsia="tr-TR"/>
        </w:rPr>
      </w:pPr>
      <w:r w:rsidRPr="00E84D72">
        <w:rPr>
          <w:rFonts w:ascii="Arial" w:eastAsia="Times New Roman" w:hAnsi="Arial" w:cs="Arial"/>
          <w:color w:val="1A1A1E"/>
          <w:sz w:val="28"/>
          <w:szCs w:val="28"/>
          <w:lang w:eastAsia="tr-TR"/>
        </w:rPr>
        <w:t> İlan olunur.</w:t>
      </w:r>
    </w:p>
    <w:p w14:paraId="4CD40E47" w14:textId="77777777" w:rsidR="006D0754" w:rsidRDefault="006D0754" w:rsidP="006A0F73">
      <w:pPr>
        <w:jc w:val="both"/>
      </w:pPr>
    </w:p>
    <w:sectPr w:rsidR="006D07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7F8"/>
    <w:rsid w:val="00201B9F"/>
    <w:rsid w:val="003A1A1B"/>
    <w:rsid w:val="005068BA"/>
    <w:rsid w:val="006A0F73"/>
    <w:rsid w:val="006D0754"/>
    <w:rsid w:val="008047F8"/>
    <w:rsid w:val="00903E88"/>
    <w:rsid w:val="00B555F5"/>
    <w:rsid w:val="00C843E3"/>
    <w:rsid w:val="00E84D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32CB"/>
  <w15:chartTrackingRefBased/>
  <w15:docId w15:val="{5B78AC14-4F8C-426C-89AC-EA23D814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6D07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A0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D0754"/>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6D07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D0754"/>
    <w:rPr>
      <w:b/>
      <w:bCs/>
    </w:rPr>
  </w:style>
  <w:style w:type="character" w:styleId="Vurgu">
    <w:name w:val="Emphasis"/>
    <w:basedOn w:val="VarsaylanParagrafYazTipi"/>
    <w:uiPriority w:val="20"/>
    <w:qFormat/>
    <w:rsid w:val="006D0754"/>
    <w:rPr>
      <w:i/>
      <w:iCs/>
    </w:rPr>
  </w:style>
  <w:style w:type="paragraph" w:styleId="BalonMetni">
    <w:name w:val="Balloon Text"/>
    <w:basedOn w:val="Normal"/>
    <w:link w:val="BalonMetniChar"/>
    <w:uiPriority w:val="99"/>
    <w:semiHidden/>
    <w:unhideWhenUsed/>
    <w:rsid w:val="00C843E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843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932222">
      <w:bodyDiv w:val="1"/>
      <w:marLeft w:val="0"/>
      <w:marRight w:val="0"/>
      <w:marTop w:val="0"/>
      <w:marBottom w:val="0"/>
      <w:divBdr>
        <w:top w:val="none" w:sz="0" w:space="0" w:color="auto"/>
        <w:left w:val="none" w:sz="0" w:space="0" w:color="auto"/>
        <w:bottom w:val="none" w:sz="0" w:space="0" w:color="auto"/>
        <w:right w:val="none" w:sz="0" w:space="0" w:color="auto"/>
      </w:divBdr>
      <w:divsChild>
        <w:div w:id="1053042648">
          <w:marLeft w:val="0"/>
          <w:marRight w:val="0"/>
          <w:marTop w:val="0"/>
          <w:marBottom w:val="270"/>
          <w:divBdr>
            <w:top w:val="none" w:sz="0" w:space="0" w:color="auto"/>
            <w:left w:val="none" w:sz="0" w:space="0" w:color="auto"/>
            <w:bottom w:val="none" w:sz="0" w:space="0" w:color="auto"/>
            <w:right w:val="none" w:sz="0" w:space="0" w:color="auto"/>
          </w:divBdr>
        </w:div>
        <w:div w:id="686908696">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269</Words>
  <Characters>1536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Yildiz</dc:creator>
  <cp:keywords/>
  <dc:description/>
  <cp:lastModifiedBy>Tekin Sahan</cp:lastModifiedBy>
  <cp:revision>6</cp:revision>
  <cp:lastPrinted>2025-11-17T12:42:00Z</cp:lastPrinted>
  <dcterms:created xsi:type="dcterms:W3CDTF">2025-11-17T12:10:00Z</dcterms:created>
  <dcterms:modified xsi:type="dcterms:W3CDTF">2025-11-20T08:31:00Z</dcterms:modified>
</cp:coreProperties>
</file>