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BCC44" w14:textId="77777777" w:rsidR="00B92E52" w:rsidRPr="00C7024B" w:rsidRDefault="00B92E52">
      <w:pPr>
        <w:rPr>
          <w:rFonts w:ascii="Times New Roman" w:hAnsi="Times New Roman" w:cs="Times New Roman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056"/>
      </w:tblGrid>
      <w:tr w:rsidR="00B92E52" w:rsidRPr="00C7024B" w14:paraId="316DA47D" w14:textId="77777777" w:rsidTr="0031467D">
        <w:trPr>
          <w:trHeight w:hRule="exact" w:val="5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35FA" w14:textId="77777777" w:rsidR="00B92E52" w:rsidRPr="00C7024B" w:rsidRDefault="00B92E52" w:rsidP="00A64594">
            <w:pPr>
              <w:shd w:val="clear" w:color="auto" w:fill="FFFFFF"/>
              <w:ind w:left="191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PROJENİN ADI VE KREDİ NO: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B9986" w14:textId="77777777" w:rsidR="00B92E52" w:rsidRPr="00C7024B" w:rsidRDefault="00B92E52" w:rsidP="00B70810">
            <w:pPr>
              <w:shd w:val="clear" w:color="auto" w:fill="FFFFFF"/>
              <w:ind w:left="191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Kamu Binalarında Enerji Verimliliği (KABEV) Projesi (Kredi No: TF-B0782)</w:t>
            </w:r>
          </w:p>
        </w:tc>
      </w:tr>
      <w:tr w:rsidR="00B92E52" w:rsidRPr="00C7024B" w14:paraId="29D98E6B" w14:textId="77777777" w:rsidTr="0031467D">
        <w:trPr>
          <w:trHeight w:hRule="exact" w:val="7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C1E15" w14:textId="77777777" w:rsidR="00B92E52" w:rsidRPr="00C7024B" w:rsidRDefault="00B92E52" w:rsidP="00A64594">
            <w:pPr>
              <w:shd w:val="clear" w:color="auto" w:fill="FFFFFF"/>
              <w:ind w:left="191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SÖZLEŞMENİN ADI VE </w:t>
            </w: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TEKLİFE DAVET NO: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B0131" w14:textId="4B2E3C3D" w:rsidR="00B92E52" w:rsidRPr="00C7024B" w:rsidRDefault="00B92E52" w:rsidP="00172E67">
            <w:pPr>
              <w:shd w:val="clear" w:color="auto" w:fill="FFFFFF"/>
              <w:ind w:left="191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Bursa Anadolu Kız Lisesi Enerji Verimliliği Tadilatı İşi Enerji Performans Sözleşmesi </w:t>
            </w:r>
            <w:r w:rsidR="00893CB7" w:rsidRPr="00C702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</w:r>
            <w:r w:rsidRPr="00C702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(EPC-WORKS-01)</w:t>
            </w:r>
          </w:p>
        </w:tc>
      </w:tr>
      <w:tr w:rsidR="00B92E52" w:rsidRPr="00C7024B" w14:paraId="257D61F8" w14:textId="77777777" w:rsidTr="0031467D">
        <w:trPr>
          <w:trHeight w:hRule="exact" w:val="403"/>
        </w:trPr>
        <w:tc>
          <w:tcPr>
            <w:tcW w:w="1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95BA4" w14:textId="589F8F30" w:rsidR="00B92E52" w:rsidRPr="00C7024B" w:rsidRDefault="00CF179B" w:rsidP="00372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AÇIKLAMALAR</w:t>
            </w:r>
            <w:r w:rsidR="00B92E52"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NO: 01</w:t>
            </w:r>
          </w:p>
        </w:tc>
      </w:tr>
      <w:tr w:rsidR="00B92E52" w:rsidRPr="00C7024B" w14:paraId="7A25282B" w14:textId="77777777" w:rsidTr="003E6EC3">
        <w:trPr>
          <w:trHeight w:hRule="exact" w:val="984"/>
        </w:trPr>
        <w:tc>
          <w:tcPr>
            <w:tcW w:w="1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F0C94" w14:textId="77777777" w:rsidR="00CF179B" w:rsidRPr="00C7024B" w:rsidRDefault="00CF179B" w:rsidP="00CF179B">
            <w:pPr>
              <w:shd w:val="clear" w:color="auto" w:fill="FFFFFF"/>
              <w:spacing w:line="230" w:lineRule="exact"/>
              <w:ind w:left="241" w:right="51"/>
              <w:rPr>
                <w:rFonts w:ascii="Times New Roman" w:hAnsi="Times New Roman" w:cs="Times New Roman"/>
                <w:color w:val="000000"/>
                <w:spacing w:val="-1"/>
                <w:sz w:val="12"/>
                <w:szCs w:val="22"/>
              </w:rPr>
            </w:pPr>
          </w:p>
          <w:p w14:paraId="1ECAAA1E" w14:textId="61B931D5" w:rsidR="00CF179B" w:rsidRPr="00C7024B" w:rsidRDefault="00CF179B" w:rsidP="00CF179B">
            <w:pPr>
              <w:shd w:val="clear" w:color="auto" w:fill="FFFFFF"/>
              <w:spacing w:line="230" w:lineRule="exact"/>
              <w:ind w:left="241" w:right="51" w:firstLine="5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79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Bu doküman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, istekliliklerden gelen </w:t>
            </w:r>
            <w:r w:rsidRPr="00CF179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soru ve açıklama taleplerine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ilişkin </w:t>
            </w:r>
            <w:r w:rsidRPr="00CF179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İhale Dokümanındaki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hüküm ve şartları değiştirmeksizin verilen </w:t>
            </w:r>
            <w:r w:rsidRPr="00CF179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cevap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lardan </w:t>
            </w:r>
            <w:r w:rsidR="00930AED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oluşmakta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ve </w:t>
            </w:r>
            <w:hyperlink r:id="rId7" w:history="1">
              <w:r w:rsidR="000D01A3" w:rsidRPr="00C7024B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https://kamuenerji.csb.gov.tr</w:t>
              </w:r>
            </w:hyperlink>
            <w:r w:rsidR="000D01A3" w:rsidRPr="00C7024B">
              <w:rPr>
                <w:rStyle w:val="Kp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01A3"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adresinde</w:t>
            </w:r>
            <w:r w:rsidR="00930AED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yayınlanmaktadır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  <w:p w14:paraId="209E7618" w14:textId="243DBB0F" w:rsidR="00B92E52" w:rsidRPr="00C7024B" w:rsidRDefault="00B92E52" w:rsidP="00CF179B">
            <w:pPr>
              <w:shd w:val="clear" w:color="auto" w:fill="FFFFFF"/>
              <w:spacing w:line="230" w:lineRule="exact"/>
              <w:ind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82F553" w14:textId="77777777" w:rsidR="00B92E52" w:rsidRPr="00C7024B" w:rsidRDefault="00B92E52">
      <w:pPr>
        <w:rPr>
          <w:rFonts w:ascii="Times New Roman" w:hAnsi="Times New Roman" w:cs="Times New Roman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362"/>
        <w:gridCol w:w="992"/>
        <w:gridCol w:w="4253"/>
        <w:gridCol w:w="5386"/>
        <w:gridCol w:w="1607"/>
      </w:tblGrid>
      <w:tr w:rsidR="002B36E1" w:rsidRPr="00C7024B" w14:paraId="4DDAA37F" w14:textId="77777777" w:rsidTr="00EF1643">
        <w:trPr>
          <w:trHeight w:hRule="exact" w:val="10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1B015" w14:textId="77777777" w:rsidR="002B36E1" w:rsidRPr="00C7024B" w:rsidRDefault="002B36E1" w:rsidP="0040057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D0AE4" w14:textId="77777777" w:rsidR="002B36E1" w:rsidRPr="00C7024B" w:rsidRDefault="002B36E1" w:rsidP="002B36E1">
            <w:pPr>
              <w:shd w:val="clear" w:color="auto" w:fill="FFFFFF"/>
              <w:spacing w:line="226" w:lineRule="exac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İhale Dokümanı </w:t>
            </w:r>
            <w:r w:rsidRPr="00C7024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br/>
            </w: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Sayfa No veya Bölüm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7B0EF" w14:textId="77777777" w:rsidR="002B36E1" w:rsidRPr="00C7024B" w:rsidRDefault="002B36E1" w:rsidP="002B36E1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İlgili Madde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B8E13" w14:textId="77777777" w:rsidR="002B36E1" w:rsidRPr="00C7024B" w:rsidRDefault="002B36E1" w:rsidP="002B36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Teklif Sahibinin Sorusu/Talebi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5328" w14:textId="77777777" w:rsidR="002B36E1" w:rsidRPr="00C7024B" w:rsidRDefault="002B36E1" w:rsidP="002B36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Cevap ve Açıklama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100B8" w14:textId="6FBAE61E" w:rsidR="002B36E1" w:rsidRPr="00C7024B" w:rsidRDefault="002B36E1" w:rsidP="002B36E1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</w:rPr>
              <w:t>Zeyilname Gerekli</w:t>
            </w:r>
            <w:r w:rsidR="00EF16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mi?</w:t>
            </w:r>
          </w:p>
          <w:p w14:paraId="05E56EDC" w14:textId="77777777" w:rsidR="002B36E1" w:rsidRPr="00C7024B" w:rsidRDefault="002B36E1" w:rsidP="0040057C">
            <w:pPr>
              <w:shd w:val="clear" w:color="auto" w:fill="FFFFFF"/>
              <w:tabs>
                <w:tab w:val="left" w:pos="9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(EVET</w:t>
            </w:r>
            <w:r w:rsidRPr="00C7024B">
              <w:rPr>
                <w:rFonts w:ascii="Times New Roman" w:hAnsi="Times New Roman" w:cs="Times New Roman"/>
                <w:b/>
                <w:bCs/>
                <w:color w:val="000000"/>
              </w:rPr>
              <w:t>/HAYIR)</w:t>
            </w:r>
          </w:p>
        </w:tc>
      </w:tr>
      <w:tr w:rsidR="001867E2" w:rsidRPr="00C7024B" w14:paraId="587328E6" w14:textId="77777777" w:rsidTr="0040057C">
        <w:trPr>
          <w:trHeight w:hRule="exact" w:val="471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F141B" w14:textId="7832E5FF" w:rsidR="001867E2" w:rsidRPr="00C7024B" w:rsidRDefault="001867E2" w:rsidP="0040057C">
            <w:pPr>
              <w:shd w:val="clear" w:color="auto" w:fill="FFFFFF"/>
              <w:spacing w:line="408" w:lineRule="exact"/>
              <w:ind w:right="4683"/>
              <w:rPr>
                <w:rFonts w:ascii="Times New Roman" w:hAnsi="Times New Roman" w:cs="Times New Roman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KISIM 1 - İhale </w:t>
            </w:r>
            <w:r w:rsidR="00E02F2A"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Prosedürleri Bölüm</w:t>
            </w: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II - Teklif Bilgi Formu (TBF)</w:t>
            </w:r>
          </w:p>
        </w:tc>
      </w:tr>
      <w:tr w:rsidR="002B36E1" w:rsidRPr="00C7024B" w14:paraId="2B23B9E2" w14:textId="77777777" w:rsidTr="00ED38FB">
        <w:trPr>
          <w:trHeight w:hRule="exact" w:val="4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4D845" w14:textId="77777777" w:rsidR="002B36E1" w:rsidRPr="00C7024B" w:rsidRDefault="002B36E1" w:rsidP="004005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19AB4D" w14:textId="77777777" w:rsidR="002B36E1" w:rsidRPr="00C7024B" w:rsidRDefault="002B36E1" w:rsidP="004005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CD99D2" w14:textId="77777777" w:rsidR="002B36E1" w:rsidRPr="00C7024B" w:rsidRDefault="002B36E1" w:rsidP="00372377">
            <w:pPr>
              <w:shd w:val="clear" w:color="auto" w:fill="FFFFFF"/>
              <w:spacing w:line="226" w:lineRule="exact"/>
              <w:ind w:right="15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0B35D5" w14:textId="77777777" w:rsidR="002B36E1" w:rsidRDefault="00AE5292" w:rsidP="00372377">
            <w:pPr>
              <w:shd w:val="clear" w:color="auto" w:fill="FFFFFF"/>
              <w:spacing w:line="226" w:lineRule="exact"/>
              <w:ind w:right="15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52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Bölüm III – Değerlendirme ve Yeterlilik Kriterleri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192AF89" w14:textId="25CF8551" w:rsidR="00AE5292" w:rsidRPr="00C7024B" w:rsidRDefault="00AE5292" w:rsidP="00372377">
            <w:pPr>
              <w:shd w:val="clear" w:color="auto" w:fill="FFFFFF"/>
              <w:spacing w:line="226" w:lineRule="exact"/>
              <w:ind w:right="1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Sayfa #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64CE9E" w14:textId="77777777" w:rsidR="002B36E1" w:rsidRPr="00C7024B" w:rsidRDefault="002B36E1" w:rsidP="00215BE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5777E9" w14:textId="5F1FB18C" w:rsidR="002B36E1" w:rsidRPr="00C7024B" w:rsidRDefault="00130F60" w:rsidP="00130F6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A01C68" w14:textId="77777777" w:rsidR="00550EAB" w:rsidRPr="00C7024B" w:rsidRDefault="00550EAB" w:rsidP="00C7024B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5C6E97DF" w14:textId="7D970F5C" w:rsidR="002B36E1" w:rsidRPr="00C7024B" w:rsidRDefault="00CF179B" w:rsidP="00C7024B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CF179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Kilit personel listesinde yer alan yetkinliklerdeki personel ihtiyacı OG olmadan alt yüklenici firma ile sağlanabilir mi?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70C70" w14:textId="77777777" w:rsidR="002B36E1" w:rsidRDefault="002B36E1" w:rsidP="00FD3C4C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yellow"/>
              </w:rPr>
            </w:pPr>
          </w:p>
          <w:p w14:paraId="046641EC" w14:textId="7D28AED1" w:rsidR="006C3992" w:rsidRPr="006C3992" w:rsidRDefault="006C3992" w:rsidP="006C3992">
            <w:pPr>
              <w:pStyle w:val="Default"/>
              <w:ind w:left="95" w:right="99"/>
              <w:jc w:val="both"/>
              <w:rPr>
                <w:spacing w:val="-2"/>
                <w:sz w:val="22"/>
                <w:szCs w:val="22"/>
              </w:rPr>
            </w:pPr>
            <w:r w:rsidRPr="006C3992">
              <w:rPr>
                <w:spacing w:val="-2"/>
                <w:sz w:val="22"/>
                <w:szCs w:val="22"/>
              </w:rPr>
              <w:t xml:space="preserve">İhale Dokümanı </w:t>
            </w:r>
            <w:r w:rsidR="00130F60">
              <w:rPr>
                <w:spacing w:val="-2"/>
                <w:sz w:val="22"/>
                <w:szCs w:val="22"/>
              </w:rPr>
              <w:t xml:space="preserve">Bölüm II - </w:t>
            </w:r>
            <w:r w:rsidRPr="006C3992">
              <w:rPr>
                <w:spacing w:val="-2"/>
                <w:sz w:val="22"/>
                <w:szCs w:val="22"/>
              </w:rPr>
              <w:t xml:space="preserve">Teklif Bilgi Formu </w:t>
            </w:r>
            <w:r w:rsidRPr="006C3992">
              <w:rPr>
                <w:bCs/>
                <w:sz w:val="22"/>
                <w:szCs w:val="22"/>
              </w:rPr>
              <w:t xml:space="preserve">TST 34.2 maddesi çerçevesinde, </w:t>
            </w:r>
            <w:r>
              <w:rPr>
                <w:bCs/>
                <w:sz w:val="22"/>
                <w:szCs w:val="22"/>
              </w:rPr>
              <w:t>İ</w:t>
            </w:r>
            <w:r w:rsidRPr="006C3992">
              <w:rPr>
                <w:sz w:val="22"/>
                <w:szCs w:val="22"/>
              </w:rPr>
              <w:t xml:space="preserve">htisaslaşmış Alt Yüklenici </w:t>
            </w:r>
            <w:r>
              <w:rPr>
                <w:sz w:val="22"/>
                <w:szCs w:val="22"/>
              </w:rPr>
              <w:t xml:space="preserve">olarak </w:t>
            </w:r>
            <w:r w:rsidRPr="006C3992">
              <w:rPr>
                <w:sz w:val="22"/>
                <w:szCs w:val="22"/>
              </w:rPr>
              <w:t xml:space="preserve">önerilen </w:t>
            </w:r>
            <w:r>
              <w:rPr>
                <w:sz w:val="22"/>
                <w:szCs w:val="22"/>
              </w:rPr>
              <w:t xml:space="preserve">firmanın ilgili </w:t>
            </w:r>
            <w:r w:rsidRPr="006C3992">
              <w:rPr>
                <w:sz w:val="22"/>
                <w:szCs w:val="22"/>
              </w:rPr>
              <w:t xml:space="preserve">Yapım İşleri bölümleri </w:t>
            </w:r>
            <w:r>
              <w:rPr>
                <w:sz w:val="22"/>
                <w:szCs w:val="22"/>
              </w:rPr>
              <w:t>hakkında (</w:t>
            </w:r>
            <w:r w:rsidR="00ED38FB">
              <w:rPr>
                <w:sz w:val="22"/>
                <w:szCs w:val="22"/>
              </w:rPr>
              <w:t xml:space="preserve">ihtisas konusuna özel sunulan </w:t>
            </w:r>
            <w:r>
              <w:rPr>
                <w:sz w:val="22"/>
                <w:szCs w:val="22"/>
              </w:rPr>
              <w:t>personel</w:t>
            </w:r>
            <w:r w:rsidR="00ED38FB">
              <w:rPr>
                <w:sz w:val="22"/>
                <w:szCs w:val="22"/>
              </w:rPr>
              <w:t>ler</w:t>
            </w:r>
            <w:r w:rsidR="00130F6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ED38FB">
              <w:rPr>
                <w:sz w:val="22"/>
                <w:szCs w:val="22"/>
              </w:rPr>
              <w:t>dâhil</w:t>
            </w:r>
            <w:r>
              <w:rPr>
                <w:sz w:val="22"/>
                <w:szCs w:val="22"/>
              </w:rPr>
              <w:t xml:space="preserve">) </w:t>
            </w:r>
            <w:r w:rsidR="00ED38FB" w:rsidRPr="006C3992">
              <w:rPr>
                <w:sz w:val="22"/>
                <w:szCs w:val="22"/>
              </w:rPr>
              <w:t xml:space="preserve">yeterlilikleri </w:t>
            </w:r>
            <w:r w:rsidRPr="006C3992">
              <w:rPr>
                <w:sz w:val="22"/>
                <w:szCs w:val="22"/>
              </w:rPr>
              <w:t>değerlendirme</w:t>
            </w:r>
            <w:r w:rsidR="00ED38FB">
              <w:rPr>
                <w:sz w:val="22"/>
                <w:szCs w:val="22"/>
              </w:rPr>
              <w:t>ye alınacaktır.</w:t>
            </w:r>
            <w:r w:rsidRPr="006C3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Ancak, </w:t>
            </w:r>
            <w:r w:rsidRPr="006C3992">
              <w:rPr>
                <w:sz w:val="22"/>
                <w:szCs w:val="22"/>
              </w:rPr>
              <w:t xml:space="preserve">İhtisaslaşmış Alt </w:t>
            </w:r>
            <w:r>
              <w:rPr>
                <w:sz w:val="22"/>
                <w:szCs w:val="22"/>
              </w:rPr>
              <w:t>Y</w:t>
            </w:r>
            <w:r w:rsidRPr="006C3992">
              <w:rPr>
                <w:sz w:val="22"/>
                <w:szCs w:val="22"/>
              </w:rPr>
              <w:t xml:space="preserve">üklenicilerin ihtisas konusu dışındaki diğer hususları ve mali yeterliliği değerlendirme dışı </w:t>
            </w:r>
            <w:r w:rsidRPr="006C3992">
              <w:rPr>
                <w:spacing w:val="-2"/>
                <w:sz w:val="22"/>
                <w:szCs w:val="22"/>
              </w:rPr>
              <w:t xml:space="preserve">olacaktır. </w:t>
            </w:r>
          </w:p>
          <w:p w14:paraId="33BC0EBF" w14:textId="2129039C" w:rsidR="006C3992" w:rsidRPr="006C3992" w:rsidRDefault="006C3992" w:rsidP="006C3992">
            <w:pPr>
              <w:pStyle w:val="Default"/>
              <w:ind w:left="95"/>
              <w:jc w:val="both"/>
              <w:rPr>
                <w:spacing w:val="-2"/>
                <w:sz w:val="22"/>
                <w:szCs w:val="22"/>
              </w:rPr>
            </w:pPr>
          </w:p>
          <w:p w14:paraId="5C201083" w14:textId="2F2F7825" w:rsidR="00930AED" w:rsidRPr="006C3992" w:rsidRDefault="00130F60" w:rsidP="006C3992">
            <w:pPr>
              <w:pStyle w:val="Default"/>
              <w:ind w:left="95" w:right="99"/>
              <w:jc w:val="both"/>
              <w:rPr>
                <w:spacing w:val="-2"/>
                <w:sz w:val="22"/>
                <w:szCs w:val="22"/>
              </w:rPr>
            </w:pPr>
            <w:r w:rsidRPr="006C3992">
              <w:rPr>
                <w:spacing w:val="-2"/>
                <w:sz w:val="22"/>
                <w:szCs w:val="22"/>
              </w:rPr>
              <w:t xml:space="preserve">İhale Dokümanı </w:t>
            </w:r>
            <w:r>
              <w:rPr>
                <w:spacing w:val="-2"/>
                <w:sz w:val="22"/>
                <w:szCs w:val="22"/>
              </w:rPr>
              <w:t xml:space="preserve">Bölüm II - </w:t>
            </w:r>
            <w:r w:rsidR="006C3992" w:rsidRPr="006C3992">
              <w:rPr>
                <w:spacing w:val="-2"/>
                <w:sz w:val="22"/>
                <w:szCs w:val="22"/>
              </w:rPr>
              <w:t xml:space="preserve">Teklif Bilgi Formu TST 34.3 maddesi ile teklifte sunulan </w:t>
            </w:r>
            <w:r w:rsidR="00930AED" w:rsidRPr="006C3992">
              <w:rPr>
                <w:spacing w:val="-2"/>
                <w:sz w:val="22"/>
                <w:szCs w:val="22"/>
              </w:rPr>
              <w:t>Alt yüklenicilerin nitelikleri ve deneyimleri, TST Madde 34.2’de belirtilen İhtisaslaşmış Alt Yüklenici deneyimleri dışında, Teklif Sahibinin değerlendirilmesi için dikkate alınmayacaktı</w:t>
            </w:r>
            <w:r w:rsidR="006C3992" w:rsidRPr="006C3992">
              <w:rPr>
                <w:spacing w:val="-2"/>
                <w:sz w:val="22"/>
                <w:szCs w:val="22"/>
              </w:rPr>
              <w:t>r.</w:t>
            </w:r>
          </w:p>
          <w:p w14:paraId="19C53AE7" w14:textId="063E4449" w:rsidR="00930AED" w:rsidRPr="00BF3D83" w:rsidRDefault="00930AED" w:rsidP="00930AED">
            <w:pPr>
              <w:shd w:val="clear" w:color="auto" w:fill="FFFFFF"/>
              <w:spacing w:line="230" w:lineRule="exact"/>
              <w:ind w:right="103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71712E" w14:textId="77777777" w:rsidR="002B36E1" w:rsidRPr="00C7024B" w:rsidRDefault="002B36E1" w:rsidP="002B36E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14:paraId="210FD392" w14:textId="77777777" w:rsidR="002B36E1" w:rsidRPr="00C7024B" w:rsidRDefault="002B36E1" w:rsidP="002B36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HAYIR</w:t>
            </w:r>
          </w:p>
          <w:p w14:paraId="7734440E" w14:textId="77777777" w:rsidR="002B36E1" w:rsidRPr="00C7024B" w:rsidRDefault="002B36E1" w:rsidP="00372377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3E6EC3" w:rsidRPr="00C7024B" w14:paraId="25E8DF90" w14:textId="77777777" w:rsidTr="00172E67">
        <w:trPr>
          <w:trHeight w:hRule="exact" w:val="284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324A3" w14:textId="77777777" w:rsidR="003E6EC3" w:rsidRDefault="003E6EC3" w:rsidP="003E6E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C07842E" w14:textId="264CBD8B" w:rsidR="003E6EC3" w:rsidRPr="00C7024B" w:rsidRDefault="003E6EC3" w:rsidP="003E6E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A7028" w14:textId="77777777" w:rsidR="003E6EC3" w:rsidRPr="00C7024B" w:rsidRDefault="003E6EC3" w:rsidP="003E6EC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19DBC72" w14:textId="77777777" w:rsidR="003E6EC3" w:rsidRPr="00C7024B" w:rsidRDefault="003E6EC3" w:rsidP="003E6EC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Bölüm III – Değerlendirme ve Yeterlilik Kriterleri</w:t>
            </w:r>
          </w:p>
          <w:p w14:paraId="6766A283" w14:textId="0B533C75" w:rsidR="003E6EC3" w:rsidRPr="00C7024B" w:rsidRDefault="003E6EC3" w:rsidP="003E6EC3">
            <w:pPr>
              <w:shd w:val="clear" w:color="auto" w:fill="FFFFFF"/>
              <w:spacing w:line="226" w:lineRule="exact"/>
              <w:ind w:right="15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Sayfa #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2FC38" w14:textId="77777777" w:rsidR="003E6EC3" w:rsidRPr="00C7024B" w:rsidRDefault="003E6EC3" w:rsidP="003E6EC3">
            <w:pPr>
              <w:shd w:val="clear" w:color="auto" w:fill="FFFFFF"/>
              <w:spacing w:line="230" w:lineRule="exact"/>
              <w:ind w:right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7757891" w14:textId="0BD2AE2A" w:rsidR="003E6EC3" w:rsidRPr="00C7024B" w:rsidRDefault="003E6EC3" w:rsidP="003E6EC3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4.2 (a)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FAF8C" w14:textId="77777777" w:rsidR="003E6EC3" w:rsidRDefault="003E6EC3" w:rsidP="003E6EC3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209F51FB" w14:textId="78A3B553" w:rsidR="003E6EC3" w:rsidRPr="00C7024B" w:rsidRDefault="003E6EC3" w:rsidP="00FE16F1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AE529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Yeterlilik kriterlerinde OG yapıldığı takdirde %25 sorumlu tutulan ilgili 4.2 (a) maddesi gibi EVD şirketi olarak OG üyesi olabiliyor muyuz?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="00FE16F1" w:rsidRPr="00AE529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(mekanik, elektrik işleri </w:t>
            </w:r>
            <w:r w:rsidR="00092E54" w:rsidRPr="00AE529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dâhil</w:t>
            </w:r>
            <w:r w:rsidR="00FE16F1" w:rsidRPr="00AE529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edilebilir mi?)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D1401A" w14:textId="77777777" w:rsidR="003E6EC3" w:rsidRDefault="003E6EC3" w:rsidP="003E6EC3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yellow"/>
              </w:rPr>
            </w:pPr>
          </w:p>
          <w:p w14:paraId="0A5B8454" w14:textId="28B3FC6D" w:rsidR="003E6EC3" w:rsidRPr="00C7024B" w:rsidRDefault="003E6EC3" w:rsidP="003E6EC3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r</w:t>
            </w: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taklıkta yer alan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her </w:t>
            </w: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firma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n</w:t>
            </w: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ın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pilot olup olmamasına göre ilgili </w:t>
            </w: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şartı bel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irtilen asgari </w:t>
            </w: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ölçüde sağlama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ı gerek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mekted</w:t>
            </w: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ir. Toplamda ise %100 olarak şartın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tamamının </w:t>
            </w:r>
            <w:r w:rsidRPr="00C7024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yerine getirilmesi beklenir.</w:t>
            </w:r>
          </w:p>
          <w:p w14:paraId="73F041F6" w14:textId="77777777" w:rsidR="003E6EC3" w:rsidRPr="00C7024B" w:rsidRDefault="003E6EC3" w:rsidP="003E6EC3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1B18D4F7" w14:textId="63B3DB48" w:rsidR="003E6EC3" w:rsidRDefault="003E6EC3" w:rsidP="00172E67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Enerji Verimliliği Tadilatı çerçevesinde enerji verimliliğine yönelik </w:t>
            </w:r>
            <w:r w:rsidR="00ED38F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önlemler kapsamında </w:t>
            </w:r>
            <w:r w:rsidR="00172E67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belirtilen işlere benzer nitelikte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mekanik ve elektrik tesisatı işleri</w:t>
            </w:r>
            <w:r w:rsidR="00172E67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içeren yapım sözleşmeleri</w:t>
            </w:r>
            <w:r w:rsidR="00ED38F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ilgili bilgi ve belgelerin temin edilmesi durumun</w:t>
            </w:r>
            <w:r w:rsidR="00DC50EE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a kabul edilecektir.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11323" w14:textId="77777777" w:rsidR="003E6EC3" w:rsidRPr="00C7024B" w:rsidRDefault="003E6EC3" w:rsidP="003E6EC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14:paraId="0867F657" w14:textId="77777777" w:rsidR="003E6EC3" w:rsidRPr="00C7024B" w:rsidRDefault="003E6EC3" w:rsidP="003E6EC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HAYIR</w:t>
            </w:r>
          </w:p>
          <w:p w14:paraId="22AEC5D9" w14:textId="77777777" w:rsidR="003E6EC3" w:rsidRPr="00C7024B" w:rsidRDefault="003E6EC3" w:rsidP="003E6E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B16FD1" w:rsidRPr="00C7024B" w14:paraId="69AEA72E" w14:textId="77777777" w:rsidTr="00172E67">
        <w:trPr>
          <w:trHeight w:hRule="exact" w:val="18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B7658" w14:textId="77777777" w:rsidR="00B16FD1" w:rsidRPr="00C7024B" w:rsidRDefault="00B16FD1" w:rsidP="004005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67FDE9" w14:textId="3C9A6F40" w:rsidR="00B16FD1" w:rsidRPr="00C7024B" w:rsidRDefault="00EF1643" w:rsidP="004005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4BBB8" w14:textId="77777777" w:rsidR="00B16FD1" w:rsidRPr="00C7024B" w:rsidRDefault="00B16FD1" w:rsidP="00623E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82DA063" w14:textId="77777777" w:rsidR="00B16FD1" w:rsidRDefault="00E02F2A" w:rsidP="00B16F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2F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Bölüm II - Teklif Bilgi Formu (TBF)</w:t>
            </w:r>
          </w:p>
          <w:p w14:paraId="13DBE676" w14:textId="79DBAC23" w:rsidR="00E02F2A" w:rsidRPr="00C7024B" w:rsidRDefault="00E02F2A" w:rsidP="00B16F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Sayfa #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DAC0F" w14:textId="77777777" w:rsidR="00E02F2A" w:rsidRDefault="00E02F2A" w:rsidP="00EF16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09A919E8" w14:textId="14D20C3E" w:rsidR="00E02F2A" w:rsidRDefault="00E02F2A" w:rsidP="00EF16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TST</w:t>
            </w:r>
          </w:p>
          <w:p w14:paraId="25680AAB" w14:textId="592C6BFB" w:rsidR="00E02F2A" w:rsidRDefault="00E02F2A" w:rsidP="00EF16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11.1 (i)</w:t>
            </w:r>
          </w:p>
          <w:p w14:paraId="0552AD0C" w14:textId="5222BD3D" w:rsidR="00B16FD1" w:rsidRPr="00C7024B" w:rsidRDefault="00B16FD1" w:rsidP="00EF1643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99F29" w14:textId="77777777" w:rsidR="003E6EC3" w:rsidRDefault="003E6EC3" w:rsidP="00C7024B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4FC54919" w14:textId="27736941" w:rsidR="00B16FD1" w:rsidRPr="00C7024B" w:rsidRDefault="003E6EC3" w:rsidP="00C7024B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3E6EC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SMM Belgesi yerine ticaret sicil belgesi oluyor mu?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0386A7" w14:textId="77777777" w:rsidR="00E02F2A" w:rsidRDefault="00E02F2A" w:rsidP="00C7024B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4858987B" w14:textId="22282C75" w:rsidR="00E02F2A" w:rsidRPr="00AE6ED3" w:rsidRDefault="00ED7CCC" w:rsidP="00AE6ED3">
            <w:pPr>
              <w:pStyle w:val="Default"/>
              <w:ind w:left="103" w:right="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İhtisaslaşmış alt yüklenici olarak sunulan firmalar ve k</w:t>
            </w:r>
            <w:r w:rsidR="00E02F2A" w:rsidRPr="00AE6ED3">
              <w:rPr>
                <w:sz w:val="22"/>
                <w:szCs w:val="22"/>
              </w:rPr>
              <w:t xml:space="preserve">ilit </w:t>
            </w:r>
            <w:r>
              <w:rPr>
                <w:sz w:val="22"/>
                <w:szCs w:val="22"/>
              </w:rPr>
              <w:t>p</w:t>
            </w:r>
            <w:r w:rsidR="00E02F2A" w:rsidRPr="00AE6ED3">
              <w:rPr>
                <w:sz w:val="22"/>
                <w:szCs w:val="22"/>
              </w:rPr>
              <w:t xml:space="preserve">ersonel </w:t>
            </w:r>
            <w:r>
              <w:rPr>
                <w:sz w:val="22"/>
                <w:szCs w:val="22"/>
              </w:rPr>
              <w:t xml:space="preserve">için </w:t>
            </w:r>
            <w:r w:rsidR="00E02F2A" w:rsidRPr="00AE6ED3">
              <w:rPr>
                <w:sz w:val="22"/>
                <w:szCs w:val="22"/>
              </w:rPr>
              <w:t xml:space="preserve">onaylı meslek odası kayıt belgeleri (SMM Belgesi / SMM Büro Tescil Belgesi) teklif ekinde sunulmalıdır. </w:t>
            </w:r>
            <w:r w:rsidR="00172E67">
              <w:rPr>
                <w:sz w:val="22"/>
                <w:szCs w:val="22"/>
              </w:rPr>
              <w:t>Firmalara ilişkin g</w:t>
            </w:r>
            <w:r w:rsidR="00E02F2A" w:rsidRPr="00AE6ED3">
              <w:rPr>
                <w:sz w:val="22"/>
                <w:szCs w:val="22"/>
              </w:rPr>
              <w:t xml:space="preserve">üncel Ticaret ve / veya Sanayi Odası kayıt belgeleri </w:t>
            </w:r>
            <w:r w:rsidR="00130F60">
              <w:rPr>
                <w:sz w:val="22"/>
                <w:szCs w:val="22"/>
              </w:rPr>
              <w:t xml:space="preserve">ise </w:t>
            </w:r>
            <w:r w:rsidR="00E02F2A" w:rsidRPr="00AE6ED3">
              <w:rPr>
                <w:sz w:val="22"/>
                <w:szCs w:val="22"/>
              </w:rPr>
              <w:t>ayrıca talep edilmektedir.</w:t>
            </w:r>
          </w:p>
          <w:p w14:paraId="1E375D34" w14:textId="543E1A8C" w:rsidR="00B16FD1" w:rsidRPr="00E02F2A" w:rsidRDefault="00B16FD1" w:rsidP="00E02F2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F43EB" w14:textId="77777777" w:rsidR="003C5C68" w:rsidRPr="00C7024B" w:rsidRDefault="003C5C68" w:rsidP="003C5C68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14:paraId="77DD78C4" w14:textId="77777777" w:rsidR="003C5C68" w:rsidRPr="00C7024B" w:rsidRDefault="003C5C68" w:rsidP="003C5C6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HAYIR</w:t>
            </w:r>
          </w:p>
          <w:p w14:paraId="066EF4B6" w14:textId="77777777" w:rsidR="00B16FD1" w:rsidRPr="00C7024B" w:rsidRDefault="00B16FD1" w:rsidP="00623EE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E5037C" w:rsidRPr="00C7024B" w14:paraId="4C875B02" w14:textId="77777777" w:rsidTr="00172E67">
        <w:trPr>
          <w:trHeight w:hRule="exact" w:val="21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509156" w14:textId="77777777" w:rsidR="00E5037C" w:rsidRPr="00C7024B" w:rsidRDefault="00E5037C" w:rsidP="00E503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E47338" w14:textId="4425469E" w:rsidR="00E5037C" w:rsidRPr="00C7024B" w:rsidRDefault="00EF1643" w:rsidP="00E503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7F6548" w14:textId="77777777" w:rsidR="00E5037C" w:rsidRPr="00C7024B" w:rsidRDefault="00E5037C" w:rsidP="00E5037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05D4A5C" w14:textId="77777777" w:rsidR="00E5037C" w:rsidRPr="00C7024B" w:rsidRDefault="00E5037C" w:rsidP="00E5037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Bölüm III – Değerlendirme ve Yeterlilik Kriterleri</w:t>
            </w:r>
          </w:p>
          <w:p w14:paraId="467758A3" w14:textId="35FA5EAC" w:rsidR="00E5037C" w:rsidRPr="00C7024B" w:rsidRDefault="00E5037C" w:rsidP="00E5037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Sayfa # 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0500F" w14:textId="77777777" w:rsidR="00E5037C" w:rsidRPr="00C7024B" w:rsidRDefault="00E5037C" w:rsidP="00EF1643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A5C5067" w14:textId="32BC0FF5" w:rsidR="00E5037C" w:rsidRPr="00C7024B" w:rsidRDefault="00E5037C" w:rsidP="00EF1643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4.1</w:t>
            </w:r>
            <w:r w:rsidRPr="00C702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</w:t>
            </w:r>
            <w:r w:rsidRPr="00C702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B1B4F8" w14:textId="77777777" w:rsidR="00E5037C" w:rsidRDefault="00E5037C" w:rsidP="00E5037C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62854A1F" w14:textId="087BBAA6" w:rsidR="00E5037C" w:rsidRPr="00656276" w:rsidRDefault="00E5037C" w:rsidP="00EF1643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E5037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OG üyesi olarak EVD şirketi son 5 yılda 45 ay faal elektrik, mekanik işler şartları sağlıyor mu? (4.1.a)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085B" w14:textId="77777777" w:rsidR="00E5037C" w:rsidRDefault="00E5037C" w:rsidP="00E5037C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highlight w:val="yellow"/>
              </w:rPr>
            </w:pPr>
          </w:p>
          <w:p w14:paraId="021BCDC9" w14:textId="32C6B7A1" w:rsidR="00E5037C" w:rsidRPr="00C7024B" w:rsidRDefault="00E5037C" w:rsidP="00092E54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highlight w:val="yellow"/>
              </w:rPr>
            </w:pPr>
            <w:r w:rsidRPr="00ED7C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Ocak 2015 tarihinden itibaren ihale tarihine kadar her yılın 9 ayı süresince her üye</w:t>
            </w:r>
            <w:r w:rsidR="00092E54" w:rsidRPr="00ED7C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firma </w:t>
            </w:r>
            <w:r w:rsidRPr="00ED7C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faal inşaat sözleşmeleri kapsamında ana yüklenici, Ortak Girişim üyesi, alt yüklenici olarak deneyim sahibi olmalıdır.</w:t>
            </w:r>
            <w:r w:rsidR="00092E54" w:rsidRPr="00ED7C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İlgili inşaat sözleşmeleri için elektrik ve mekanik tesisat işleri içeren yapım sözleşmeleri ve sanayi tesislerinde yürütülen enerji verimliliği sözleşmeleri kabul edilecektir.</w:t>
            </w:r>
            <w:r w:rsidR="00092E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B240ED" w14:textId="77777777" w:rsidR="00E5037C" w:rsidRPr="00850445" w:rsidRDefault="00E5037C" w:rsidP="00E5037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14:paraId="7471CB0B" w14:textId="77777777" w:rsidR="00E5037C" w:rsidRPr="00850445" w:rsidRDefault="00E5037C" w:rsidP="00E5037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5044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HAYIR</w:t>
            </w:r>
          </w:p>
        </w:tc>
      </w:tr>
      <w:tr w:rsidR="00EF1643" w:rsidRPr="00C7024B" w14:paraId="58CCE35E" w14:textId="77777777" w:rsidTr="00172E67">
        <w:trPr>
          <w:trHeight w:hRule="exact" w:val="141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137F9" w14:textId="77777777" w:rsidR="00EF1643" w:rsidRPr="00C7024B" w:rsidRDefault="00EF1643" w:rsidP="00EF16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E0AF2B" w14:textId="0AC8E8F4" w:rsidR="00EF1643" w:rsidRPr="00C7024B" w:rsidRDefault="00EF1643" w:rsidP="00EF16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F503E" w14:textId="77777777" w:rsidR="00EF1643" w:rsidRPr="00C7024B" w:rsidRDefault="00EF1643" w:rsidP="00EF164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8617F6" w14:textId="77777777" w:rsidR="00EF1643" w:rsidRPr="00C7024B" w:rsidRDefault="00EF1643" w:rsidP="00EF164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2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Bölüm III – Değerlendirme ve Yeterlilik Kriterleri</w:t>
            </w:r>
          </w:p>
          <w:p w14:paraId="09ACBEFF" w14:textId="0552367A" w:rsidR="00EF1643" w:rsidRPr="00C7024B" w:rsidRDefault="00EF1643" w:rsidP="00EF164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Sayfa #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08E68" w14:textId="77777777" w:rsidR="00EF1643" w:rsidRPr="00C7024B" w:rsidRDefault="00EF1643" w:rsidP="00EF1643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327E85C" w14:textId="36640C71" w:rsidR="00EF1643" w:rsidRPr="00C7024B" w:rsidRDefault="00EF1643" w:rsidP="00EF1643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Pr="00C702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E0AAA" w14:textId="77777777" w:rsidR="00EF1643" w:rsidRDefault="00EF1643" w:rsidP="00EF1643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6D09D797" w14:textId="50360AE9" w:rsidR="00172E67" w:rsidRDefault="00EF1643" w:rsidP="00EF1643">
            <w:pPr>
              <w:shd w:val="clear" w:color="auto" w:fill="FFFFFF"/>
              <w:spacing w:line="230" w:lineRule="exact"/>
              <w:ind w:left="96" w:right="97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AE6ED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Banka referans mektubu, teminat mektubu gibi finansal ihale dokümanlarını her OG üyesi ayrı ayrı mı sunacaktır? Yoksa OG yeterli rakamları tek başına mı sağlayacaktır?</w:t>
            </w:r>
          </w:p>
          <w:p w14:paraId="22A52C17" w14:textId="77777777" w:rsidR="00172E67" w:rsidRPr="00172E67" w:rsidRDefault="00172E67" w:rsidP="00172E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B1449" w14:textId="77777777" w:rsidR="00172E67" w:rsidRPr="00172E67" w:rsidRDefault="00172E67" w:rsidP="00172E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33C7F8" w14:textId="77777777" w:rsidR="00172E67" w:rsidRPr="00172E67" w:rsidRDefault="00172E67" w:rsidP="00172E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303E1" w14:textId="77777777" w:rsidR="00172E67" w:rsidRPr="00172E67" w:rsidRDefault="00172E67" w:rsidP="00172E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1EC6D" w14:textId="77777777" w:rsidR="00172E67" w:rsidRPr="00172E67" w:rsidRDefault="00172E67" w:rsidP="00172E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68C7F" w14:textId="77777777" w:rsidR="00172E67" w:rsidRPr="00172E67" w:rsidRDefault="00172E67" w:rsidP="00172E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D5F6DA" w14:textId="77777777" w:rsidR="00172E67" w:rsidRPr="00172E67" w:rsidRDefault="00172E67" w:rsidP="00172E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3EE76F" w14:textId="77777777" w:rsidR="00172E67" w:rsidRPr="00172E67" w:rsidRDefault="00172E67" w:rsidP="00172E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D7C83" w14:textId="5D6BF265" w:rsidR="00EF1643" w:rsidRPr="00172E67" w:rsidRDefault="00EF1643" w:rsidP="00172E67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B31228" w14:textId="77777777" w:rsidR="00EF1643" w:rsidRPr="00EF1643" w:rsidRDefault="00EF1643" w:rsidP="00EF1643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2DA0AD00" w14:textId="0CCC6D17" w:rsidR="00EF1643" w:rsidRDefault="00EF1643" w:rsidP="00EF1643">
            <w:pPr>
              <w:shd w:val="clear" w:color="auto" w:fill="FFFFFF"/>
              <w:spacing w:line="230" w:lineRule="exact"/>
              <w:ind w:left="98" w:right="103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highlight w:val="yellow"/>
              </w:rPr>
            </w:pPr>
            <w:r w:rsidRPr="00EF164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Ortak girişim olarak teklif sunulması durumunda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bankalardan temin edilecek </w:t>
            </w:r>
            <w:r w:rsidRPr="00EF164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finansal dokümanları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n</w:t>
            </w:r>
            <w:r w:rsidRPr="00EF164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ortak girişim adına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olması gerekmektedir.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1B5B1" w14:textId="77777777" w:rsidR="00EF1643" w:rsidRPr="00850445" w:rsidRDefault="00EF1643" w:rsidP="00EF164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14:paraId="08199745" w14:textId="202412D5" w:rsidR="00EF1643" w:rsidRPr="00850445" w:rsidRDefault="00EF1643" w:rsidP="00EF16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5044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HAYIR</w:t>
            </w:r>
          </w:p>
        </w:tc>
      </w:tr>
    </w:tbl>
    <w:p w14:paraId="58F55523" w14:textId="77777777" w:rsidR="00372377" w:rsidRPr="00C7024B" w:rsidRDefault="00372377" w:rsidP="008A24DE">
      <w:pPr>
        <w:shd w:val="clear" w:color="auto" w:fill="FFFFFF"/>
        <w:spacing w:before="1066"/>
        <w:ind w:right="158"/>
        <w:jc w:val="center"/>
        <w:rPr>
          <w:rFonts w:ascii="Times New Roman" w:hAnsi="Times New Roman" w:cs="Times New Roman"/>
        </w:rPr>
      </w:pPr>
    </w:p>
    <w:sectPr w:rsidR="00372377" w:rsidRPr="00C7024B" w:rsidSect="00172E67">
      <w:footerReference w:type="default" r:id="rId8"/>
      <w:type w:val="continuous"/>
      <w:pgSz w:w="16834" w:h="11909" w:orient="landscape"/>
      <w:pgMar w:top="993" w:right="644" w:bottom="851" w:left="643" w:header="708" w:footer="82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03A1" w14:textId="77777777" w:rsidR="00513DAE" w:rsidRDefault="00513DAE" w:rsidP="001867E2">
      <w:r>
        <w:separator/>
      </w:r>
    </w:p>
  </w:endnote>
  <w:endnote w:type="continuationSeparator" w:id="0">
    <w:p w14:paraId="27A93290" w14:textId="77777777" w:rsidR="00513DAE" w:rsidRDefault="00513DAE" w:rsidP="0018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60801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C3EC96" w14:textId="572182A6" w:rsidR="0031467D" w:rsidRPr="001867E2" w:rsidRDefault="0031467D" w:rsidP="001867E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1867E2">
              <w:rPr>
                <w:rFonts w:ascii="Times New Roman" w:hAnsi="Times New Roman" w:cs="Times New Roman"/>
              </w:rPr>
              <w:t xml:space="preserve">Sayfa </w:t>
            </w:r>
            <w:r w:rsidRPr="001867E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867E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867E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C50E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867E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867E2">
              <w:rPr>
                <w:rFonts w:ascii="Times New Roman" w:hAnsi="Times New Roman" w:cs="Times New Roman"/>
              </w:rPr>
              <w:t xml:space="preserve"> / </w:t>
            </w:r>
            <w:r w:rsidRPr="001867E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867E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867E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C50E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867E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B580672" w14:textId="77777777" w:rsidR="0031467D" w:rsidRDefault="003146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E12F" w14:textId="77777777" w:rsidR="00513DAE" w:rsidRDefault="00513DAE" w:rsidP="001867E2">
      <w:r>
        <w:separator/>
      </w:r>
    </w:p>
  </w:footnote>
  <w:footnote w:type="continuationSeparator" w:id="0">
    <w:p w14:paraId="47F42EE3" w14:textId="77777777" w:rsidR="00513DAE" w:rsidRDefault="00513DAE" w:rsidP="0018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E4E"/>
    <w:multiLevelType w:val="hybridMultilevel"/>
    <w:tmpl w:val="607275F0"/>
    <w:lvl w:ilvl="0" w:tplc="EB18934C">
      <w:start w:val="3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22B65F4E"/>
    <w:multiLevelType w:val="hybridMultilevel"/>
    <w:tmpl w:val="FCB2D9F4"/>
    <w:lvl w:ilvl="0" w:tplc="041F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371630A"/>
    <w:multiLevelType w:val="hybridMultilevel"/>
    <w:tmpl w:val="79EE0CAA"/>
    <w:lvl w:ilvl="0" w:tplc="041F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3B76DB9"/>
    <w:multiLevelType w:val="hybridMultilevel"/>
    <w:tmpl w:val="2676BEDA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24D774BD"/>
    <w:multiLevelType w:val="hybridMultilevel"/>
    <w:tmpl w:val="167258A6"/>
    <w:lvl w:ilvl="0" w:tplc="D004D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A11"/>
    <w:multiLevelType w:val="hybridMultilevel"/>
    <w:tmpl w:val="343A0FAC"/>
    <w:lvl w:ilvl="0" w:tplc="8D267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9FE"/>
    <w:multiLevelType w:val="hybridMultilevel"/>
    <w:tmpl w:val="1C1E0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842B5"/>
    <w:multiLevelType w:val="hybridMultilevel"/>
    <w:tmpl w:val="C69E3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229E8"/>
    <w:multiLevelType w:val="hybridMultilevel"/>
    <w:tmpl w:val="06DA5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C4BF5"/>
    <w:multiLevelType w:val="hybridMultilevel"/>
    <w:tmpl w:val="06DA5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47"/>
    <w:rsid w:val="00020ECA"/>
    <w:rsid w:val="00092E54"/>
    <w:rsid w:val="000D01A3"/>
    <w:rsid w:val="00111D47"/>
    <w:rsid w:val="001214A0"/>
    <w:rsid w:val="00130F60"/>
    <w:rsid w:val="00172E67"/>
    <w:rsid w:val="00176EF8"/>
    <w:rsid w:val="001867E2"/>
    <w:rsid w:val="00215BE5"/>
    <w:rsid w:val="00220A04"/>
    <w:rsid w:val="0023396F"/>
    <w:rsid w:val="002B36E1"/>
    <w:rsid w:val="0031467D"/>
    <w:rsid w:val="00345995"/>
    <w:rsid w:val="00372377"/>
    <w:rsid w:val="00385CFE"/>
    <w:rsid w:val="003C5C68"/>
    <w:rsid w:val="003E6EC3"/>
    <w:rsid w:val="0040057C"/>
    <w:rsid w:val="0046255D"/>
    <w:rsid w:val="00513DAE"/>
    <w:rsid w:val="00550EAB"/>
    <w:rsid w:val="0055409F"/>
    <w:rsid w:val="00576DB1"/>
    <w:rsid w:val="00582289"/>
    <w:rsid w:val="00592689"/>
    <w:rsid w:val="005927BC"/>
    <w:rsid w:val="00595D59"/>
    <w:rsid w:val="00623EEA"/>
    <w:rsid w:val="00656276"/>
    <w:rsid w:val="00681B46"/>
    <w:rsid w:val="00684435"/>
    <w:rsid w:val="006A0005"/>
    <w:rsid w:val="006A3E75"/>
    <w:rsid w:val="006C3992"/>
    <w:rsid w:val="00704282"/>
    <w:rsid w:val="00714CF6"/>
    <w:rsid w:val="00775D68"/>
    <w:rsid w:val="0079603D"/>
    <w:rsid w:val="007C3475"/>
    <w:rsid w:val="007E54AD"/>
    <w:rsid w:val="007F3467"/>
    <w:rsid w:val="0080701E"/>
    <w:rsid w:val="00817042"/>
    <w:rsid w:val="00835C6F"/>
    <w:rsid w:val="00850445"/>
    <w:rsid w:val="008679EA"/>
    <w:rsid w:val="00893CB7"/>
    <w:rsid w:val="008A24DE"/>
    <w:rsid w:val="008C69B1"/>
    <w:rsid w:val="00930AED"/>
    <w:rsid w:val="0094331A"/>
    <w:rsid w:val="009D3F4B"/>
    <w:rsid w:val="009E7FB8"/>
    <w:rsid w:val="00A11EA5"/>
    <w:rsid w:val="00A64594"/>
    <w:rsid w:val="00AE5292"/>
    <w:rsid w:val="00AE6ED3"/>
    <w:rsid w:val="00AF5295"/>
    <w:rsid w:val="00B053D0"/>
    <w:rsid w:val="00B16FD1"/>
    <w:rsid w:val="00B26F93"/>
    <w:rsid w:val="00B36866"/>
    <w:rsid w:val="00B70810"/>
    <w:rsid w:val="00B70E1E"/>
    <w:rsid w:val="00B76231"/>
    <w:rsid w:val="00B92E52"/>
    <w:rsid w:val="00B949C5"/>
    <w:rsid w:val="00BA3D06"/>
    <w:rsid w:val="00BF3D83"/>
    <w:rsid w:val="00C40D5B"/>
    <w:rsid w:val="00C47DCD"/>
    <w:rsid w:val="00C61CF6"/>
    <w:rsid w:val="00C7024B"/>
    <w:rsid w:val="00CD7EF2"/>
    <w:rsid w:val="00CF179B"/>
    <w:rsid w:val="00D17334"/>
    <w:rsid w:val="00D37B56"/>
    <w:rsid w:val="00D6576D"/>
    <w:rsid w:val="00DA07F4"/>
    <w:rsid w:val="00DA30E2"/>
    <w:rsid w:val="00DC50EE"/>
    <w:rsid w:val="00E02F2A"/>
    <w:rsid w:val="00E073A3"/>
    <w:rsid w:val="00E25D50"/>
    <w:rsid w:val="00E37078"/>
    <w:rsid w:val="00E5037C"/>
    <w:rsid w:val="00E9698F"/>
    <w:rsid w:val="00ED38FB"/>
    <w:rsid w:val="00ED7CCC"/>
    <w:rsid w:val="00EE700A"/>
    <w:rsid w:val="00EF0A23"/>
    <w:rsid w:val="00EF1643"/>
    <w:rsid w:val="00F123C6"/>
    <w:rsid w:val="00FD3C4C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CCA63"/>
  <w14:defaultImageDpi w14:val="0"/>
  <w15:docId w15:val="{E3AC735B-BAF0-45D0-96BC-1529383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C40D5B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C40D5B"/>
    <w:rPr>
      <w:rFonts w:eastAsia="Times New Roman" w:hAnsi="Times New Roman" w:cs="Times New Roman"/>
      <w:sz w:val="24"/>
      <w:szCs w:val="24"/>
      <w:lang w:eastAsia="en-US"/>
    </w:rPr>
  </w:style>
  <w:style w:type="character" w:styleId="Kpr">
    <w:name w:val="Hyperlink"/>
    <w:uiPriority w:val="99"/>
    <w:rsid w:val="000D01A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67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67E2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867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67E2"/>
    <w:rPr>
      <w:rFonts w:ascii="Arial" w:hAnsi="Arial" w:cs="Arial"/>
      <w:sz w:val="20"/>
      <w:szCs w:val="20"/>
    </w:rPr>
  </w:style>
  <w:style w:type="character" w:styleId="SayfaNumaras">
    <w:name w:val="page number"/>
    <w:rsid w:val="00B16FD1"/>
    <w:rPr>
      <w:rFonts w:ascii="Times New Roman" w:hAnsi="Times New Roman"/>
      <w:sz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5927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27B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27BC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27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27BC"/>
    <w:rPr>
      <w:rFonts w:ascii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7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7BC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Citation List,본문(내용),List Paragraph (numbered (a)),Normal 2,Main numbered paragraph,1.1.1_List Paragraph,List_Paragraph,Multilevel para_II,List Paragraph1,List Paragraph 1.1.1,Bullet Points,Heading 2_sj,Dot pt"/>
    <w:basedOn w:val="Normal"/>
    <w:link w:val="ListeParagrafChar"/>
    <w:uiPriority w:val="34"/>
    <w:qFormat/>
    <w:rsid w:val="00595D59"/>
    <w:pPr>
      <w:widowControl/>
      <w:autoSpaceDE/>
      <w:autoSpaceDN/>
      <w:adjustRightInd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eParagrafChar">
    <w:name w:val="Liste Paragraf Char"/>
    <w:aliases w:val="Citation List Char,본문(내용) Char,List Paragraph (numbered (a)) Char,Normal 2 Char,Main numbered paragraph Char,1.1.1_List Paragraph Char,List_Paragraph Char,Multilevel para_II Char,List Paragraph1 Char,List Paragraph 1.1.1 Char"/>
    <w:basedOn w:val="VarsaylanParagrafYazTipi"/>
    <w:link w:val="ListeParagraf"/>
    <w:uiPriority w:val="34"/>
    <w:qFormat/>
    <w:rsid w:val="00595D59"/>
    <w:rPr>
      <w:rFonts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E02F2A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muenerji.c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SADİ</dc:creator>
  <cp:keywords/>
  <dc:description/>
  <cp:lastModifiedBy>Nur DURMAZ</cp:lastModifiedBy>
  <cp:revision>2</cp:revision>
  <dcterms:created xsi:type="dcterms:W3CDTF">2020-12-07T10:02:00Z</dcterms:created>
  <dcterms:modified xsi:type="dcterms:W3CDTF">2020-12-07T10:02:00Z</dcterms:modified>
</cp:coreProperties>
</file>