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00" w:rsidRPr="001103C8" w:rsidRDefault="00784600" w:rsidP="001103C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  <w:r w:rsidRPr="001103C8">
        <w:rPr>
          <w:rFonts w:cs="Arial,Bold"/>
          <w:b/>
          <w:bCs/>
          <w:u w:val="single"/>
        </w:rPr>
        <w:t>Acuerdo voluntario de reducción de emisiones con el sector cerámico en la Región de Valencia</w:t>
      </w:r>
      <w:r w:rsidRPr="001103C8">
        <w:rPr>
          <w:rFonts w:cs="Arial,Bold"/>
          <w:b/>
          <w:bCs/>
        </w:rPr>
        <w:t>.</w:t>
      </w:r>
    </w:p>
    <w:p w:rsidR="00784600" w:rsidRPr="001103C8" w:rsidRDefault="00784600" w:rsidP="001103C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84600" w:rsidRPr="001103C8" w:rsidRDefault="00784600" w:rsidP="001103C8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</w:rPr>
      </w:pPr>
      <w:r w:rsidRPr="001103C8">
        <w:rPr>
          <w:rFonts w:cs="Arial"/>
        </w:rPr>
        <w:t xml:space="preserve">En el año 2003 se firma un Acuerdo voluntario con el nombre de </w:t>
      </w:r>
      <w:r w:rsidRPr="001103C8">
        <w:rPr>
          <w:rFonts w:cs="Arial,Bold"/>
          <w:b/>
          <w:bCs/>
        </w:rPr>
        <w:t>“Convenio de</w:t>
      </w:r>
      <w:r w:rsidR="001103C8">
        <w:rPr>
          <w:rFonts w:cs="Arial,Bold"/>
          <w:b/>
          <w:bCs/>
        </w:rPr>
        <w:t xml:space="preserve"> </w:t>
      </w:r>
      <w:r w:rsidRPr="001103C8">
        <w:rPr>
          <w:rFonts w:cs="Arial,Bold"/>
          <w:b/>
          <w:bCs/>
        </w:rPr>
        <w:t>Colaboración entre la Conselleria de Territorio y Vivienda y la Asociación</w:t>
      </w:r>
      <w:r w:rsidR="001103C8">
        <w:rPr>
          <w:rFonts w:cs="Arial,Bold"/>
          <w:b/>
          <w:bCs/>
        </w:rPr>
        <w:t xml:space="preserve"> </w:t>
      </w:r>
      <w:r w:rsidRPr="001103C8">
        <w:rPr>
          <w:rFonts w:cs="Arial,Bold"/>
          <w:b/>
          <w:bCs/>
        </w:rPr>
        <w:t>Nacional de Fabricantes de Fritas, Esmaltes y Colores Cerámicos (ANFFECC)</w:t>
      </w:r>
      <w:r w:rsidR="001103C8">
        <w:rPr>
          <w:rFonts w:cs="Arial,Bold"/>
          <w:b/>
          <w:bCs/>
        </w:rPr>
        <w:t xml:space="preserve"> </w:t>
      </w:r>
      <w:r w:rsidRPr="001103C8">
        <w:rPr>
          <w:rFonts w:cs="Arial,Bold"/>
          <w:b/>
          <w:bCs/>
        </w:rPr>
        <w:t>para la Prevención y el Co</w:t>
      </w:r>
      <w:r w:rsidR="001103C8">
        <w:rPr>
          <w:rFonts w:cs="Arial,Bold"/>
          <w:b/>
          <w:bCs/>
        </w:rPr>
        <w:t xml:space="preserve">ntrol de la Contaminación de la </w:t>
      </w:r>
      <w:r w:rsidRPr="001103C8">
        <w:rPr>
          <w:rFonts w:cs="Arial,Bold"/>
          <w:b/>
          <w:bCs/>
        </w:rPr>
        <w:t>Industria de</w:t>
      </w:r>
      <w:r w:rsidR="001103C8">
        <w:rPr>
          <w:rFonts w:cs="Arial,Bold"/>
          <w:b/>
          <w:bCs/>
        </w:rPr>
        <w:t xml:space="preserve"> </w:t>
      </w:r>
      <w:r w:rsidRPr="001103C8">
        <w:rPr>
          <w:rFonts w:cs="Arial,Bold"/>
          <w:b/>
          <w:bCs/>
        </w:rPr>
        <w:t>Fabricación de Fritas”.</w:t>
      </w:r>
    </w:p>
    <w:p w:rsidR="00784600" w:rsidRPr="001103C8" w:rsidRDefault="00784600" w:rsidP="001103C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84600" w:rsidRPr="001103C8" w:rsidRDefault="00784600" w:rsidP="001103C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103C8">
        <w:rPr>
          <w:rFonts w:cs="Arial"/>
        </w:rPr>
        <w:t>En dicho acuerdo, al margen de la legislación, se fijan unos límites de emisión</w:t>
      </w:r>
      <w:r w:rsidR="001103C8">
        <w:rPr>
          <w:rFonts w:cs="Arial"/>
        </w:rPr>
        <w:t xml:space="preserve"> </w:t>
      </w:r>
      <w:r w:rsidRPr="001103C8">
        <w:rPr>
          <w:rFonts w:cs="Arial"/>
        </w:rPr>
        <w:t>para distintos contaminantes para las instalaciones de fabricación de fritas. Dichos</w:t>
      </w:r>
      <w:r w:rsidR="001103C8">
        <w:rPr>
          <w:rFonts w:cs="Arial"/>
        </w:rPr>
        <w:t xml:space="preserve"> </w:t>
      </w:r>
      <w:r w:rsidRPr="001103C8">
        <w:rPr>
          <w:rFonts w:cs="Arial"/>
        </w:rPr>
        <w:t>límites son de inmediata aplicación en el caso de instalaciones nuevas, mientras que</w:t>
      </w:r>
      <w:r w:rsidR="001103C8">
        <w:rPr>
          <w:rFonts w:cs="Arial"/>
        </w:rPr>
        <w:t xml:space="preserve"> </w:t>
      </w:r>
      <w:r w:rsidRPr="001103C8">
        <w:rPr>
          <w:rFonts w:cs="Arial"/>
        </w:rPr>
        <w:t>para instalaciones existentes se fija un ritmo de adaptación. Asimismo se fijan valores</w:t>
      </w:r>
      <w:r w:rsidR="001103C8">
        <w:rPr>
          <w:rFonts w:cs="Arial"/>
        </w:rPr>
        <w:t xml:space="preserve"> </w:t>
      </w:r>
      <w:r w:rsidRPr="001103C8">
        <w:rPr>
          <w:rFonts w:cs="Arial"/>
        </w:rPr>
        <w:t>objetivo a alcanzar a más largo plazo para algunos contaminantes (Tabla 5.13 a Tabla</w:t>
      </w:r>
      <w:r w:rsidR="001103C8">
        <w:rPr>
          <w:rFonts w:cs="Arial"/>
        </w:rPr>
        <w:t xml:space="preserve"> </w:t>
      </w:r>
      <w:r w:rsidRPr="001103C8">
        <w:rPr>
          <w:rFonts w:cs="Arial"/>
        </w:rPr>
        <w:t>5.15). En el caso de partículas sólidas, se distingue entre los focos procedentes de</w:t>
      </w:r>
      <w:r w:rsidR="001103C8">
        <w:rPr>
          <w:rFonts w:cs="Arial"/>
        </w:rPr>
        <w:t xml:space="preserve"> </w:t>
      </w:r>
      <w:r w:rsidRPr="001103C8">
        <w:rPr>
          <w:rFonts w:cs="Arial"/>
        </w:rPr>
        <w:t>hornos de fusión y el resto de focos, mientras que el resto de contaminantes se refiere</w:t>
      </w:r>
      <w:r w:rsidR="001103C8">
        <w:rPr>
          <w:rFonts w:cs="Arial"/>
        </w:rPr>
        <w:t xml:space="preserve"> </w:t>
      </w:r>
      <w:r w:rsidRPr="001103C8">
        <w:rPr>
          <w:rFonts w:cs="Arial"/>
        </w:rPr>
        <w:t>a las emisiones de hornos de fusión exclusivamente.</w:t>
      </w:r>
    </w:p>
    <w:p w:rsidR="00784600" w:rsidRPr="001103C8" w:rsidRDefault="00784600" w:rsidP="007846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84600" w:rsidRPr="001103C8" w:rsidRDefault="00784600" w:rsidP="001103C8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sz w:val="18"/>
          <w:szCs w:val="18"/>
        </w:rPr>
      </w:pPr>
      <w:r w:rsidRPr="001103C8">
        <w:rPr>
          <w:rFonts w:cs="Arial,Bold"/>
          <w:b/>
          <w:bCs/>
          <w:sz w:val="18"/>
          <w:szCs w:val="18"/>
        </w:rPr>
        <w:t>Tabla 5.13. Límites de emisión de partículas sólidas totales (PST) en instalaciones de fabricación</w:t>
      </w:r>
      <w:r w:rsidR="001103C8">
        <w:rPr>
          <w:rFonts w:cs="Arial,Bold"/>
          <w:b/>
          <w:bCs/>
          <w:sz w:val="18"/>
          <w:szCs w:val="18"/>
        </w:rPr>
        <w:t xml:space="preserve"> </w:t>
      </w:r>
      <w:r w:rsidRPr="001103C8">
        <w:rPr>
          <w:rFonts w:cs="Arial,Bold"/>
          <w:b/>
          <w:bCs/>
          <w:sz w:val="18"/>
          <w:szCs w:val="18"/>
        </w:rPr>
        <w:t>de fritas según el acuerdo voluntario ANFFECC-Conselleria de Territorio y Vivienda de la</w:t>
      </w:r>
      <w:r w:rsidR="001103C8">
        <w:rPr>
          <w:rFonts w:cs="Arial,Bold"/>
          <w:b/>
          <w:bCs/>
          <w:sz w:val="18"/>
          <w:szCs w:val="18"/>
        </w:rPr>
        <w:t xml:space="preserve"> </w:t>
      </w:r>
      <w:r w:rsidRPr="001103C8">
        <w:rPr>
          <w:rFonts w:cs="Arial,Bold"/>
          <w:b/>
          <w:bCs/>
          <w:sz w:val="18"/>
          <w:szCs w:val="18"/>
        </w:rPr>
        <w:t>Generalitat Valenciana. Todos los límites están expresados a un 15% de O</w:t>
      </w:r>
      <w:r w:rsidRPr="001103C8">
        <w:rPr>
          <w:rFonts w:cs="Arial,Bold"/>
          <w:b/>
          <w:bCs/>
          <w:sz w:val="12"/>
          <w:szCs w:val="12"/>
        </w:rPr>
        <w:t xml:space="preserve">2 </w:t>
      </w:r>
      <w:r w:rsidRPr="001103C8">
        <w:rPr>
          <w:rFonts w:cs="Arial,Bold"/>
          <w:b/>
          <w:bCs/>
          <w:sz w:val="18"/>
          <w:szCs w:val="18"/>
        </w:rPr>
        <w:t>de referencia.</w:t>
      </w:r>
    </w:p>
    <w:p w:rsidR="00784600" w:rsidRPr="001103C8" w:rsidRDefault="00784600" w:rsidP="00784600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784600" w:rsidRPr="001103C8" w:rsidTr="00784600">
        <w:tc>
          <w:tcPr>
            <w:tcW w:w="2992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20"/>
                <w:szCs w:val="20"/>
              </w:rPr>
            </w:pPr>
            <w:r w:rsidRPr="001103C8">
              <w:rPr>
                <w:rFonts w:cs="Arial,Bold"/>
                <w:b/>
                <w:bCs/>
                <w:sz w:val="20"/>
                <w:szCs w:val="20"/>
              </w:rPr>
              <w:t>Foco</w:t>
            </w:r>
          </w:p>
        </w:tc>
        <w:tc>
          <w:tcPr>
            <w:tcW w:w="2993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20"/>
                <w:szCs w:val="20"/>
              </w:rPr>
            </w:pPr>
            <w:r w:rsidRPr="001103C8">
              <w:rPr>
                <w:rFonts w:cs="Arial,Bold"/>
                <w:b/>
                <w:bCs/>
                <w:sz w:val="20"/>
                <w:szCs w:val="20"/>
              </w:rPr>
              <w:t>Valor límite (mgPST/Nm</w:t>
            </w:r>
            <w:r w:rsidRPr="001103C8">
              <w:rPr>
                <w:rFonts w:cs="Arial,Bold"/>
                <w:b/>
                <w:bCs/>
                <w:sz w:val="13"/>
                <w:szCs w:val="13"/>
              </w:rPr>
              <w:t>3</w:t>
            </w:r>
            <w:r w:rsidRPr="001103C8">
              <w:rPr>
                <w:rFonts w:cs="Arial,Bold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93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20"/>
                <w:szCs w:val="20"/>
              </w:rPr>
            </w:pPr>
            <w:r w:rsidRPr="001103C8">
              <w:rPr>
                <w:rFonts w:cs="Arial,Bold"/>
                <w:b/>
                <w:bCs/>
                <w:sz w:val="20"/>
                <w:szCs w:val="20"/>
              </w:rPr>
              <w:t>Valor objetivo (mgPST/Nm</w:t>
            </w:r>
            <w:r w:rsidRPr="001103C8">
              <w:rPr>
                <w:rFonts w:cs="Arial,Bold"/>
                <w:b/>
                <w:bCs/>
                <w:sz w:val="13"/>
                <w:szCs w:val="13"/>
              </w:rPr>
              <w:t>3</w:t>
            </w:r>
            <w:r w:rsidRPr="001103C8">
              <w:rPr>
                <w:rFonts w:cs="Arial,Bold"/>
                <w:b/>
                <w:bCs/>
                <w:sz w:val="20"/>
                <w:szCs w:val="20"/>
              </w:rPr>
              <w:t>)</w:t>
            </w:r>
          </w:p>
        </w:tc>
      </w:tr>
      <w:tr w:rsidR="00784600" w:rsidRPr="001103C8" w:rsidTr="00784600">
        <w:tc>
          <w:tcPr>
            <w:tcW w:w="2992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20"/>
                <w:szCs w:val="20"/>
              </w:rPr>
            </w:pPr>
            <w:r w:rsidRPr="001103C8">
              <w:rPr>
                <w:rFonts w:cs="Arial,Bold"/>
                <w:b/>
                <w:bCs/>
                <w:sz w:val="20"/>
                <w:szCs w:val="20"/>
              </w:rPr>
              <w:t>Hornos de fusión</w:t>
            </w:r>
          </w:p>
        </w:tc>
        <w:tc>
          <w:tcPr>
            <w:tcW w:w="2993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20"/>
                <w:szCs w:val="20"/>
              </w:rPr>
            </w:pPr>
            <w:r w:rsidRPr="001103C8">
              <w:rPr>
                <w:rFonts w:cs="Arial"/>
                <w:sz w:val="18"/>
                <w:szCs w:val="18"/>
              </w:rPr>
              <w:t>40*</w:t>
            </w:r>
          </w:p>
        </w:tc>
        <w:tc>
          <w:tcPr>
            <w:tcW w:w="2993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20"/>
                <w:szCs w:val="20"/>
              </w:rPr>
            </w:pPr>
            <w:r w:rsidRPr="001103C8">
              <w:rPr>
                <w:rFonts w:cs="Arial,Bold"/>
                <w:b/>
                <w:bCs/>
                <w:sz w:val="20"/>
                <w:szCs w:val="20"/>
              </w:rPr>
              <w:t>30</w:t>
            </w:r>
          </w:p>
        </w:tc>
      </w:tr>
      <w:tr w:rsidR="00784600" w:rsidRPr="001103C8" w:rsidTr="00784600">
        <w:tc>
          <w:tcPr>
            <w:tcW w:w="2992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20"/>
                <w:szCs w:val="20"/>
              </w:rPr>
            </w:pPr>
            <w:r w:rsidRPr="001103C8">
              <w:rPr>
                <w:rFonts w:cs="Arial,Bold"/>
                <w:b/>
                <w:bCs/>
                <w:sz w:val="20"/>
                <w:szCs w:val="20"/>
              </w:rPr>
              <w:t>Otros focos</w:t>
            </w:r>
          </w:p>
        </w:tc>
        <w:tc>
          <w:tcPr>
            <w:tcW w:w="2993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103C8">
              <w:rPr>
                <w:rFonts w:cs="Arial"/>
                <w:sz w:val="18"/>
                <w:szCs w:val="18"/>
              </w:rPr>
              <w:t>40 (instalaciones existentes)</w:t>
            </w:r>
          </w:p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20"/>
                <w:szCs w:val="20"/>
              </w:rPr>
            </w:pPr>
            <w:r w:rsidRPr="001103C8">
              <w:rPr>
                <w:rFonts w:cs="Arial"/>
                <w:sz w:val="18"/>
                <w:szCs w:val="18"/>
              </w:rPr>
              <w:t>30 (instalaciones nuevas)</w:t>
            </w:r>
          </w:p>
        </w:tc>
        <w:tc>
          <w:tcPr>
            <w:tcW w:w="2993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20"/>
                <w:szCs w:val="20"/>
              </w:rPr>
            </w:pPr>
            <w:r w:rsidRPr="001103C8">
              <w:rPr>
                <w:rFonts w:cs="Arial"/>
                <w:sz w:val="18"/>
                <w:szCs w:val="18"/>
              </w:rPr>
              <w:t>15</w:t>
            </w:r>
          </w:p>
        </w:tc>
      </w:tr>
    </w:tbl>
    <w:p w:rsidR="00784600" w:rsidRPr="001103C8" w:rsidRDefault="00784600" w:rsidP="00784600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0"/>
          <w:szCs w:val="20"/>
        </w:rPr>
      </w:pPr>
    </w:p>
    <w:p w:rsidR="00784600" w:rsidRPr="001103C8" w:rsidRDefault="00784600" w:rsidP="00784600">
      <w:pPr>
        <w:autoSpaceDE w:val="0"/>
        <w:autoSpaceDN w:val="0"/>
        <w:adjustRightInd w:val="0"/>
        <w:spacing w:after="0" w:line="240" w:lineRule="auto"/>
        <w:rPr>
          <w:rFonts w:cs="Arial,Bold"/>
          <w:sz w:val="20"/>
          <w:szCs w:val="20"/>
        </w:rPr>
      </w:pPr>
      <w:r w:rsidRPr="001103C8">
        <w:rPr>
          <w:rFonts w:cs="Arial"/>
          <w:sz w:val="20"/>
          <w:szCs w:val="20"/>
        </w:rPr>
        <w:t>*para instalaciones existentes se fija un ritmo de adaptación al valor límite (Tabla 5.15).</w:t>
      </w:r>
    </w:p>
    <w:p w:rsidR="00000000" w:rsidRPr="001103C8" w:rsidRDefault="001103C8"/>
    <w:p w:rsidR="00784600" w:rsidRPr="001103C8" w:rsidRDefault="00784600" w:rsidP="001103C8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sz w:val="18"/>
          <w:szCs w:val="18"/>
        </w:rPr>
      </w:pPr>
      <w:r w:rsidRPr="001103C8">
        <w:rPr>
          <w:rFonts w:cs="Arial,Bold"/>
          <w:b/>
          <w:bCs/>
          <w:sz w:val="18"/>
          <w:szCs w:val="18"/>
        </w:rPr>
        <w:t>Tabla 5.14. Límites de emisión de distintos contaminantes en horn</w:t>
      </w:r>
      <w:r w:rsidR="001103C8">
        <w:rPr>
          <w:rFonts w:cs="Arial,Bold"/>
          <w:b/>
          <w:bCs/>
          <w:sz w:val="18"/>
          <w:szCs w:val="18"/>
        </w:rPr>
        <w:t xml:space="preserve">os de fusión de fritas según el </w:t>
      </w:r>
      <w:r w:rsidRPr="001103C8">
        <w:rPr>
          <w:rFonts w:cs="Arial,Bold"/>
          <w:b/>
          <w:bCs/>
          <w:sz w:val="18"/>
          <w:szCs w:val="18"/>
        </w:rPr>
        <w:t>acuerdo voluntario ANFFECC-Conselleria de Territorio y Vivienda de la Generalitat Valenciana.</w:t>
      </w:r>
      <w:r w:rsidR="001103C8">
        <w:rPr>
          <w:rFonts w:cs="Arial,Bold"/>
          <w:b/>
          <w:bCs/>
          <w:sz w:val="18"/>
          <w:szCs w:val="18"/>
        </w:rPr>
        <w:t xml:space="preserve"> </w:t>
      </w:r>
      <w:r w:rsidRPr="001103C8">
        <w:rPr>
          <w:rFonts w:cs="Arial,Bold"/>
          <w:b/>
          <w:bCs/>
          <w:sz w:val="18"/>
          <w:szCs w:val="18"/>
        </w:rPr>
        <w:t>Todos los límites están expresados a un 15% de O</w:t>
      </w:r>
      <w:r w:rsidRPr="001103C8">
        <w:rPr>
          <w:rFonts w:cs="Arial,Bold"/>
          <w:b/>
          <w:bCs/>
          <w:sz w:val="12"/>
          <w:szCs w:val="12"/>
        </w:rPr>
        <w:t xml:space="preserve">2 </w:t>
      </w:r>
      <w:r w:rsidRPr="001103C8">
        <w:rPr>
          <w:rFonts w:cs="Arial,Bold"/>
          <w:b/>
          <w:bCs/>
          <w:sz w:val="18"/>
          <w:szCs w:val="18"/>
        </w:rPr>
        <w:t>de referencia.</w:t>
      </w:r>
    </w:p>
    <w:p w:rsidR="00784600" w:rsidRPr="001103C8" w:rsidRDefault="00784600" w:rsidP="00784600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784600" w:rsidRPr="001103C8" w:rsidTr="00784600">
        <w:tc>
          <w:tcPr>
            <w:tcW w:w="2992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18"/>
                <w:szCs w:val="18"/>
              </w:rPr>
            </w:pPr>
            <w:r w:rsidRPr="001103C8">
              <w:rPr>
                <w:rFonts w:cs="Arial,Bold"/>
                <w:b/>
                <w:bCs/>
                <w:sz w:val="20"/>
                <w:szCs w:val="20"/>
              </w:rPr>
              <w:t>Contaminante</w:t>
            </w:r>
          </w:p>
        </w:tc>
        <w:tc>
          <w:tcPr>
            <w:tcW w:w="2993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18"/>
                <w:szCs w:val="18"/>
              </w:rPr>
            </w:pPr>
            <w:r w:rsidRPr="001103C8">
              <w:rPr>
                <w:rFonts w:cs="Arial,Bold"/>
                <w:b/>
                <w:bCs/>
                <w:sz w:val="20"/>
                <w:szCs w:val="20"/>
              </w:rPr>
              <w:t>Valor límite (mg/Nm</w:t>
            </w:r>
            <w:r w:rsidRPr="001103C8">
              <w:rPr>
                <w:rFonts w:cs="Arial,Bold"/>
                <w:b/>
                <w:bCs/>
                <w:sz w:val="13"/>
                <w:szCs w:val="13"/>
              </w:rPr>
              <w:t>3</w:t>
            </w:r>
            <w:r w:rsidRPr="001103C8">
              <w:rPr>
                <w:rFonts w:cs="Arial,Bold"/>
                <w:b/>
                <w:bCs/>
                <w:sz w:val="20"/>
                <w:szCs w:val="20"/>
              </w:rPr>
              <w:t>)*</w:t>
            </w:r>
          </w:p>
        </w:tc>
        <w:tc>
          <w:tcPr>
            <w:tcW w:w="2993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18"/>
                <w:szCs w:val="18"/>
              </w:rPr>
            </w:pPr>
            <w:r w:rsidRPr="001103C8">
              <w:rPr>
                <w:rFonts w:cs="Arial,Bold"/>
                <w:b/>
                <w:bCs/>
                <w:sz w:val="20"/>
                <w:szCs w:val="20"/>
              </w:rPr>
              <w:t>Valor objetivo (mg/Nm</w:t>
            </w:r>
            <w:r w:rsidRPr="001103C8">
              <w:rPr>
                <w:rFonts w:cs="Arial,Bold"/>
                <w:b/>
                <w:bCs/>
                <w:sz w:val="13"/>
                <w:szCs w:val="13"/>
              </w:rPr>
              <w:t>3</w:t>
            </w:r>
            <w:r w:rsidRPr="001103C8">
              <w:rPr>
                <w:rFonts w:cs="Arial,Bold"/>
                <w:b/>
                <w:bCs/>
                <w:sz w:val="20"/>
                <w:szCs w:val="20"/>
              </w:rPr>
              <w:t>)</w:t>
            </w:r>
          </w:p>
        </w:tc>
      </w:tr>
      <w:tr w:rsidR="00784600" w:rsidRPr="001103C8" w:rsidTr="00784600">
        <w:tc>
          <w:tcPr>
            <w:tcW w:w="2992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18"/>
                <w:szCs w:val="18"/>
              </w:rPr>
            </w:pPr>
            <w:r w:rsidRPr="001103C8">
              <w:rPr>
                <w:rFonts w:cs="Arial,Bold"/>
                <w:b/>
                <w:bCs/>
                <w:sz w:val="18"/>
                <w:szCs w:val="18"/>
              </w:rPr>
              <w:t>NOx</w:t>
            </w:r>
          </w:p>
        </w:tc>
        <w:tc>
          <w:tcPr>
            <w:tcW w:w="2993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Cs/>
                <w:sz w:val="18"/>
                <w:szCs w:val="18"/>
              </w:rPr>
            </w:pPr>
            <w:r w:rsidRPr="001103C8">
              <w:rPr>
                <w:rFonts w:cs="Arial,Bold"/>
                <w:bCs/>
                <w:sz w:val="18"/>
                <w:szCs w:val="18"/>
              </w:rPr>
              <w:t>1600</w:t>
            </w:r>
          </w:p>
        </w:tc>
        <w:tc>
          <w:tcPr>
            <w:tcW w:w="2993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Cs/>
                <w:sz w:val="18"/>
                <w:szCs w:val="18"/>
              </w:rPr>
            </w:pPr>
            <w:r w:rsidRPr="001103C8">
              <w:rPr>
                <w:rFonts w:cs="Arial,Bold"/>
                <w:bCs/>
                <w:sz w:val="18"/>
                <w:szCs w:val="18"/>
              </w:rPr>
              <w:t>1000</w:t>
            </w:r>
          </w:p>
        </w:tc>
      </w:tr>
      <w:tr w:rsidR="00784600" w:rsidRPr="001103C8" w:rsidTr="00784600">
        <w:tc>
          <w:tcPr>
            <w:tcW w:w="2992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18"/>
                <w:szCs w:val="18"/>
              </w:rPr>
            </w:pPr>
            <w:r w:rsidRPr="001103C8">
              <w:rPr>
                <w:rFonts w:cs="Arial,Bold"/>
                <w:b/>
                <w:bCs/>
                <w:sz w:val="18"/>
                <w:szCs w:val="18"/>
              </w:rPr>
              <w:t>SO2</w:t>
            </w:r>
          </w:p>
        </w:tc>
        <w:tc>
          <w:tcPr>
            <w:tcW w:w="2993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103C8">
              <w:rPr>
                <w:rFonts w:cs="Arial"/>
                <w:sz w:val="18"/>
                <w:szCs w:val="18"/>
              </w:rPr>
              <w:t>25 (combustibles gaseosos)</w:t>
            </w:r>
          </w:p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Cs/>
                <w:sz w:val="18"/>
                <w:szCs w:val="18"/>
              </w:rPr>
            </w:pPr>
            <w:r w:rsidRPr="001103C8">
              <w:rPr>
                <w:rFonts w:cs="Arial"/>
                <w:sz w:val="18"/>
                <w:szCs w:val="18"/>
              </w:rPr>
              <w:t>500 (combustibles líquidos)</w:t>
            </w:r>
          </w:p>
        </w:tc>
        <w:tc>
          <w:tcPr>
            <w:tcW w:w="2993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Cs/>
                <w:sz w:val="18"/>
                <w:szCs w:val="18"/>
              </w:rPr>
            </w:pPr>
            <w:r w:rsidRPr="001103C8">
              <w:rPr>
                <w:rFonts w:cs="Arial,Bold"/>
                <w:bCs/>
                <w:sz w:val="18"/>
                <w:szCs w:val="18"/>
              </w:rPr>
              <w:t>-</w:t>
            </w:r>
          </w:p>
        </w:tc>
      </w:tr>
      <w:tr w:rsidR="00784600" w:rsidRPr="001103C8" w:rsidTr="00784600">
        <w:tc>
          <w:tcPr>
            <w:tcW w:w="2992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18"/>
                <w:szCs w:val="18"/>
              </w:rPr>
            </w:pPr>
            <w:r w:rsidRPr="001103C8">
              <w:rPr>
                <w:rFonts w:cs="Arial,Bold"/>
                <w:b/>
                <w:bCs/>
                <w:sz w:val="20"/>
                <w:szCs w:val="20"/>
              </w:rPr>
              <w:t>Cloruros (HCl)</w:t>
            </w:r>
          </w:p>
        </w:tc>
        <w:tc>
          <w:tcPr>
            <w:tcW w:w="2993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Cs/>
                <w:sz w:val="18"/>
                <w:szCs w:val="18"/>
              </w:rPr>
            </w:pPr>
            <w:r w:rsidRPr="001103C8">
              <w:rPr>
                <w:rFonts w:cs="Arial,Bold"/>
                <w:bCs/>
                <w:sz w:val="18"/>
                <w:szCs w:val="18"/>
              </w:rPr>
              <w:t>10</w:t>
            </w:r>
          </w:p>
        </w:tc>
        <w:tc>
          <w:tcPr>
            <w:tcW w:w="2993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Cs/>
                <w:sz w:val="18"/>
                <w:szCs w:val="18"/>
              </w:rPr>
            </w:pPr>
            <w:r w:rsidRPr="001103C8">
              <w:rPr>
                <w:rFonts w:cs="Arial,Bold"/>
                <w:bCs/>
                <w:sz w:val="18"/>
                <w:szCs w:val="18"/>
              </w:rPr>
              <w:t>-</w:t>
            </w:r>
          </w:p>
        </w:tc>
      </w:tr>
      <w:tr w:rsidR="00784600" w:rsidRPr="001103C8" w:rsidTr="00784600">
        <w:tc>
          <w:tcPr>
            <w:tcW w:w="2992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18"/>
                <w:szCs w:val="18"/>
              </w:rPr>
            </w:pPr>
            <w:r w:rsidRPr="001103C8">
              <w:rPr>
                <w:rFonts w:cs="Arial,Bold"/>
                <w:b/>
                <w:bCs/>
                <w:sz w:val="20"/>
                <w:szCs w:val="20"/>
              </w:rPr>
              <w:t>Fluoruros (HF)</w:t>
            </w:r>
          </w:p>
        </w:tc>
        <w:tc>
          <w:tcPr>
            <w:tcW w:w="2993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Cs/>
                <w:sz w:val="18"/>
                <w:szCs w:val="18"/>
              </w:rPr>
            </w:pPr>
            <w:r w:rsidRPr="001103C8">
              <w:rPr>
                <w:rFonts w:cs="Arial,Bold"/>
                <w:bCs/>
                <w:sz w:val="18"/>
                <w:szCs w:val="18"/>
              </w:rPr>
              <w:t>5</w:t>
            </w:r>
          </w:p>
        </w:tc>
        <w:tc>
          <w:tcPr>
            <w:tcW w:w="2993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Cs/>
                <w:sz w:val="18"/>
                <w:szCs w:val="18"/>
              </w:rPr>
            </w:pPr>
            <w:r w:rsidRPr="001103C8">
              <w:rPr>
                <w:rFonts w:cs="Arial,Bold"/>
                <w:bCs/>
                <w:sz w:val="18"/>
                <w:szCs w:val="18"/>
              </w:rPr>
              <w:t>-</w:t>
            </w:r>
          </w:p>
        </w:tc>
      </w:tr>
      <w:tr w:rsidR="00784600" w:rsidRPr="001103C8" w:rsidTr="00784600">
        <w:tc>
          <w:tcPr>
            <w:tcW w:w="2992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18"/>
                <w:szCs w:val="18"/>
              </w:rPr>
            </w:pPr>
            <w:r w:rsidRPr="001103C8">
              <w:rPr>
                <w:rFonts w:cs="Arial,Bold"/>
                <w:b/>
                <w:bCs/>
                <w:sz w:val="20"/>
                <w:szCs w:val="20"/>
              </w:rPr>
              <w:t>Metales (Clase 1+2)</w:t>
            </w:r>
          </w:p>
        </w:tc>
        <w:tc>
          <w:tcPr>
            <w:tcW w:w="2993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Cs/>
                <w:sz w:val="18"/>
                <w:szCs w:val="18"/>
              </w:rPr>
            </w:pPr>
            <w:r w:rsidRPr="001103C8">
              <w:rPr>
                <w:rFonts w:cs="Arial,Bold"/>
                <w:bCs/>
                <w:sz w:val="18"/>
                <w:szCs w:val="18"/>
              </w:rPr>
              <w:t>5</w:t>
            </w:r>
          </w:p>
        </w:tc>
        <w:tc>
          <w:tcPr>
            <w:tcW w:w="2993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Cs/>
                <w:sz w:val="18"/>
                <w:szCs w:val="18"/>
              </w:rPr>
            </w:pPr>
            <w:r w:rsidRPr="001103C8">
              <w:rPr>
                <w:rFonts w:cs="Arial,Bold"/>
                <w:bCs/>
                <w:sz w:val="18"/>
                <w:szCs w:val="18"/>
              </w:rPr>
              <w:t>-</w:t>
            </w:r>
          </w:p>
        </w:tc>
      </w:tr>
      <w:tr w:rsidR="00784600" w:rsidRPr="001103C8" w:rsidTr="00784600">
        <w:tc>
          <w:tcPr>
            <w:tcW w:w="2992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18"/>
                <w:szCs w:val="18"/>
              </w:rPr>
            </w:pPr>
            <w:r w:rsidRPr="001103C8">
              <w:rPr>
                <w:rFonts w:cs="Arial,Bold"/>
                <w:b/>
                <w:bCs/>
                <w:sz w:val="20"/>
                <w:szCs w:val="20"/>
              </w:rPr>
              <w:t>Metales (Clase 1)</w:t>
            </w:r>
          </w:p>
        </w:tc>
        <w:tc>
          <w:tcPr>
            <w:tcW w:w="2993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Cs/>
                <w:sz w:val="18"/>
                <w:szCs w:val="18"/>
              </w:rPr>
            </w:pPr>
            <w:r w:rsidRPr="001103C8">
              <w:rPr>
                <w:rFonts w:cs="Arial,Bold"/>
                <w:bCs/>
                <w:sz w:val="18"/>
                <w:szCs w:val="18"/>
              </w:rPr>
              <w:t>1</w:t>
            </w:r>
          </w:p>
        </w:tc>
        <w:tc>
          <w:tcPr>
            <w:tcW w:w="2993" w:type="dxa"/>
          </w:tcPr>
          <w:p w:rsidR="00784600" w:rsidRPr="001103C8" w:rsidRDefault="00784600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Cs/>
                <w:sz w:val="18"/>
                <w:szCs w:val="18"/>
              </w:rPr>
            </w:pPr>
            <w:r w:rsidRPr="001103C8">
              <w:rPr>
                <w:rFonts w:cs="Arial,Bold"/>
                <w:bCs/>
                <w:sz w:val="18"/>
                <w:szCs w:val="18"/>
              </w:rPr>
              <w:t>-</w:t>
            </w:r>
          </w:p>
        </w:tc>
      </w:tr>
    </w:tbl>
    <w:p w:rsidR="00784600" w:rsidRPr="001103C8" w:rsidRDefault="00784600" w:rsidP="00784600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18"/>
          <w:szCs w:val="18"/>
        </w:rPr>
      </w:pPr>
    </w:p>
    <w:p w:rsidR="00784600" w:rsidRPr="001103C8" w:rsidRDefault="00784600" w:rsidP="0078460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103C8">
        <w:rPr>
          <w:rFonts w:cs="Arial"/>
          <w:sz w:val="20"/>
          <w:szCs w:val="20"/>
        </w:rPr>
        <w:t>*para instalaciones existentes se fija un ritmo de adaptación al valor límite (Tabla 5.15).</w:t>
      </w:r>
    </w:p>
    <w:p w:rsidR="00784600" w:rsidRPr="001103C8" w:rsidRDefault="00784600" w:rsidP="00784600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18"/>
          <w:szCs w:val="18"/>
        </w:rPr>
      </w:pPr>
    </w:p>
    <w:p w:rsidR="00784600" w:rsidRDefault="00784600" w:rsidP="001103C8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sz w:val="18"/>
          <w:szCs w:val="18"/>
        </w:rPr>
      </w:pPr>
      <w:r w:rsidRPr="001103C8">
        <w:rPr>
          <w:rFonts w:cs="Arial,Bold"/>
          <w:b/>
          <w:bCs/>
          <w:sz w:val="18"/>
          <w:szCs w:val="18"/>
        </w:rPr>
        <w:t>Tabla 5.15. Ritmo de adaptación de las instalaciones existentes (hornos de fusión de fritas) a los</w:t>
      </w:r>
      <w:r w:rsidR="001103C8">
        <w:rPr>
          <w:rFonts w:cs="Arial,Bold"/>
          <w:b/>
          <w:bCs/>
          <w:sz w:val="18"/>
          <w:szCs w:val="18"/>
        </w:rPr>
        <w:t xml:space="preserve"> </w:t>
      </w:r>
      <w:r w:rsidRPr="001103C8">
        <w:rPr>
          <w:rFonts w:cs="Arial,Bold"/>
          <w:b/>
          <w:bCs/>
          <w:sz w:val="18"/>
          <w:szCs w:val="18"/>
        </w:rPr>
        <w:t>valores límite fijados por el acuerdo voluntario ANFFECC-Conselleria de Territorio y Vivienda de la</w:t>
      </w:r>
      <w:r w:rsidR="001103C8">
        <w:rPr>
          <w:rFonts w:cs="Arial,Bold"/>
          <w:b/>
          <w:bCs/>
          <w:sz w:val="18"/>
          <w:szCs w:val="18"/>
        </w:rPr>
        <w:t xml:space="preserve"> </w:t>
      </w:r>
      <w:r w:rsidRPr="001103C8">
        <w:rPr>
          <w:rFonts w:cs="Arial,Bold"/>
          <w:b/>
          <w:bCs/>
          <w:sz w:val="18"/>
          <w:szCs w:val="18"/>
        </w:rPr>
        <w:t>Generalitat Valenciana.</w:t>
      </w:r>
    </w:p>
    <w:p w:rsidR="001103C8" w:rsidRPr="001103C8" w:rsidRDefault="001103C8" w:rsidP="00784600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5529"/>
      </w:tblGrid>
      <w:tr w:rsidR="001103C8" w:rsidRPr="001103C8" w:rsidTr="001103C8">
        <w:tc>
          <w:tcPr>
            <w:tcW w:w="3510" w:type="dxa"/>
          </w:tcPr>
          <w:p w:rsidR="001103C8" w:rsidRPr="001103C8" w:rsidRDefault="001103C8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18"/>
                <w:szCs w:val="18"/>
              </w:rPr>
            </w:pPr>
            <w:r w:rsidRPr="001103C8">
              <w:rPr>
                <w:rFonts w:cs="Arial,Bold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5529" w:type="dxa"/>
          </w:tcPr>
          <w:p w:rsidR="001103C8" w:rsidRPr="001103C8" w:rsidRDefault="001103C8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20"/>
                <w:szCs w:val="20"/>
              </w:rPr>
            </w:pPr>
            <w:r w:rsidRPr="001103C8">
              <w:rPr>
                <w:rFonts w:cs="Arial,Bold"/>
                <w:b/>
                <w:bCs/>
                <w:sz w:val="20"/>
                <w:szCs w:val="20"/>
              </w:rPr>
              <w:t>Porcentaje de hornos cuyas emisiones cumplirán el límite</w:t>
            </w:r>
          </w:p>
        </w:tc>
      </w:tr>
      <w:tr w:rsidR="001103C8" w:rsidRPr="001103C8" w:rsidTr="001103C8">
        <w:tc>
          <w:tcPr>
            <w:tcW w:w="3510" w:type="dxa"/>
          </w:tcPr>
          <w:p w:rsidR="001103C8" w:rsidRPr="001103C8" w:rsidRDefault="001103C8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18"/>
                <w:szCs w:val="18"/>
              </w:rPr>
            </w:pPr>
            <w:r w:rsidRPr="001103C8">
              <w:rPr>
                <w:rFonts w:cs="Arial,Bold"/>
                <w:b/>
                <w:bCs/>
                <w:sz w:val="20"/>
                <w:szCs w:val="20"/>
              </w:rPr>
              <w:t>1 de enero de 2005</w:t>
            </w:r>
          </w:p>
        </w:tc>
        <w:tc>
          <w:tcPr>
            <w:tcW w:w="5529" w:type="dxa"/>
          </w:tcPr>
          <w:p w:rsidR="001103C8" w:rsidRPr="001103C8" w:rsidRDefault="001103C8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18"/>
                <w:szCs w:val="18"/>
              </w:rPr>
            </w:pPr>
            <w:r w:rsidRPr="001103C8">
              <w:rPr>
                <w:rFonts w:cs="Arial,Bold"/>
                <w:b/>
                <w:bCs/>
                <w:sz w:val="18"/>
                <w:szCs w:val="18"/>
              </w:rPr>
              <w:t>35%</w:t>
            </w:r>
          </w:p>
        </w:tc>
      </w:tr>
      <w:tr w:rsidR="001103C8" w:rsidRPr="001103C8" w:rsidTr="001103C8">
        <w:tc>
          <w:tcPr>
            <w:tcW w:w="3510" w:type="dxa"/>
          </w:tcPr>
          <w:p w:rsidR="001103C8" w:rsidRPr="001103C8" w:rsidRDefault="001103C8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18"/>
                <w:szCs w:val="18"/>
              </w:rPr>
            </w:pPr>
            <w:r w:rsidRPr="001103C8">
              <w:rPr>
                <w:rFonts w:cs="Arial,Bold"/>
                <w:b/>
                <w:bCs/>
                <w:sz w:val="20"/>
                <w:szCs w:val="20"/>
              </w:rPr>
              <w:t>1 de enero de 2006</w:t>
            </w:r>
          </w:p>
        </w:tc>
        <w:tc>
          <w:tcPr>
            <w:tcW w:w="5529" w:type="dxa"/>
          </w:tcPr>
          <w:p w:rsidR="001103C8" w:rsidRPr="001103C8" w:rsidRDefault="001103C8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18"/>
                <w:szCs w:val="18"/>
              </w:rPr>
            </w:pPr>
            <w:r w:rsidRPr="001103C8">
              <w:rPr>
                <w:rFonts w:cs="Arial,Bold"/>
                <w:b/>
                <w:bCs/>
                <w:sz w:val="18"/>
                <w:szCs w:val="18"/>
              </w:rPr>
              <w:t>65%</w:t>
            </w:r>
          </w:p>
        </w:tc>
      </w:tr>
      <w:tr w:rsidR="001103C8" w:rsidRPr="001103C8" w:rsidTr="001103C8">
        <w:tc>
          <w:tcPr>
            <w:tcW w:w="3510" w:type="dxa"/>
          </w:tcPr>
          <w:p w:rsidR="001103C8" w:rsidRPr="001103C8" w:rsidRDefault="001103C8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18"/>
                <w:szCs w:val="18"/>
              </w:rPr>
            </w:pPr>
            <w:r w:rsidRPr="001103C8">
              <w:rPr>
                <w:rFonts w:cs="Arial,Bold"/>
                <w:b/>
                <w:bCs/>
                <w:sz w:val="20"/>
                <w:szCs w:val="20"/>
              </w:rPr>
              <w:t>1 de enero de 2007</w:t>
            </w:r>
          </w:p>
        </w:tc>
        <w:tc>
          <w:tcPr>
            <w:tcW w:w="5529" w:type="dxa"/>
          </w:tcPr>
          <w:p w:rsidR="001103C8" w:rsidRPr="001103C8" w:rsidRDefault="001103C8" w:rsidP="001103C8">
            <w:pPr>
              <w:autoSpaceDE w:val="0"/>
              <w:autoSpaceDN w:val="0"/>
              <w:adjustRightInd w:val="0"/>
              <w:jc w:val="center"/>
              <w:rPr>
                <w:rFonts w:cs="Arial,Bold"/>
                <w:b/>
                <w:bCs/>
                <w:sz w:val="18"/>
                <w:szCs w:val="18"/>
              </w:rPr>
            </w:pPr>
            <w:r w:rsidRPr="001103C8">
              <w:rPr>
                <w:rFonts w:cs="Arial,Bold"/>
                <w:b/>
                <w:bCs/>
                <w:sz w:val="18"/>
                <w:szCs w:val="18"/>
              </w:rPr>
              <w:t>100%</w:t>
            </w:r>
          </w:p>
        </w:tc>
      </w:tr>
    </w:tbl>
    <w:p w:rsidR="00784600" w:rsidRPr="001103C8" w:rsidRDefault="00784600" w:rsidP="00784600"/>
    <w:sectPr w:rsidR="00784600" w:rsidRPr="001103C8" w:rsidSect="008642B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>
    <w:useFELayout/>
  </w:compat>
  <w:rsids>
    <w:rsidRoot w:val="00784600"/>
    <w:rsid w:val="001103C8"/>
    <w:rsid w:val="0078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4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389</Words>
  <Characters>2143</Characters>
  <Application>Microsoft Office Word</Application>
  <DocSecurity>0</DocSecurity>
  <Lines>17</Lines>
  <Paragraphs>5</Paragraphs>
  <ScaleCrop>false</ScaleCrop>
  <Company>MARM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</dc:creator>
  <cp:keywords/>
  <dc:description/>
  <cp:lastModifiedBy>Cesar</cp:lastModifiedBy>
  <cp:revision>3</cp:revision>
  <dcterms:created xsi:type="dcterms:W3CDTF">2011-07-12T14:24:00Z</dcterms:created>
  <dcterms:modified xsi:type="dcterms:W3CDTF">2011-07-12T14:37:00Z</dcterms:modified>
</cp:coreProperties>
</file>