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F" w:rsidRPr="00431023" w:rsidRDefault="00FF6E59" w:rsidP="001175CB">
      <w:pPr>
        <w:rPr>
          <w:sz w:val="12"/>
        </w:rPr>
      </w:pPr>
      <w:r w:rsidRPr="00431023">
        <w:rPr>
          <w:noProof/>
          <w:sz w:val="12"/>
          <w:lang w:val="en-US" w:eastAsia="en-US"/>
        </w:rPr>
        <w:drawing>
          <wp:anchor distT="0" distB="0" distL="114300" distR="114300" simplePos="0" relativeHeight="251658239" behindDoc="0" locked="0" layoutInCell="1" allowOverlap="1" wp14:anchorId="7F478908" wp14:editId="7660F748">
            <wp:simplePos x="0" y="0"/>
            <wp:positionH relativeFrom="column">
              <wp:posOffset>5715</wp:posOffset>
            </wp:positionH>
            <wp:positionV relativeFrom="paragraph">
              <wp:posOffset>-118745</wp:posOffset>
            </wp:positionV>
            <wp:extent cx="7104380" cy="36207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Header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2F55DB" wp14:editId="52FD735F">
                <wp:simplePos x="0" y="0"/>
                <wp:positionH relativeFrom="column">
                  <wp:posOffset>215900</wp:posOffset>
                </wp:positionH>
                <wp:positionV relativeFrom="page">
                  <wp:posOffset>3216910</wp:posOffset>
                </wp:positionV>
                <wp:extent cx="6878320" cy="4070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407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0009F4" w:rsidRDefault="00A35737" w:rsidP="000E0CCD">
                            <w:pP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Çimento endüstrisinde enerji verimliliğinin iyileştirilmesi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pt;margin-top:253.3pt;width:541.6pt;height:3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" filled="f" stroked="f" strokeweight=".5pt">
                <v:textbox>
                  <w:txbxContent>
                    <w:p w:rsidR="00A35737" w:rsidRPr="000009F4" w:rsidRDefault="00A35737" w:rsidP="000E0CCD">
                      <w:pPr>
                        <w:rPr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6"/>
                        </w:rPr>
                        <w:t>Çimento endüstrisinde enerji verimliliğinin iyileştirilmesi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EB7FABB" wp14:editId="431A8CAF">
                <wp:simplePos x="0" y="0"/>
                <wp:positionH relativeFrom="column">
                  <wp:posOffset>333375</wp:posOffset>
                </wp:positionH>
                <wp:positionV relativeFrom="page">
                  <wp:posOffset>2692400</wp:posOffset>
                </wp:positionV>
                <wp:extent cx="748030" cy="411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6C1BF8" w:rsidRDefault="00A35737" w:rsidP="002B1B10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lang w:val="en-US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.25pt;margin-top:212pt;width:58.9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" filled="f" stroked="f" strokeweight=".5pt">
                <v:textbox>
                  <w:txbxContent>
                    <w:p w:rsidR="00A35737" w:rsidRPr="006C1BF8" w:rsidRDefault="00A35737" w:rsidP="002B1B10">
                      <w:pPr>
                        <w:rPr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lang w:val="en-US"/>
                        </w:rPr>
                        <w:t>138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16B6B71" wp14:editId="110571F2">
                <wp:simplePos x="0" y="0"/>
                <wp:positionH relativeFrom="column">
                  <wp:posOffset>5831840</wp:posOffset>
                </wp:positionH>
                <wp:positionV relativeFrom="page">
                  <wp:posOffset>5080</wp:posOffset>
                </wp:positionV>
                <wp:extent cx="1270635" cy="4114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0009F4" w:rsidRDefault="00A35737" w:rsidP="005147A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MALTA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9.2pt;margin-top:.4pt;width:100.0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6jgAIAAGk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" filled="f" stroked="f" strokeweight=".5pt">
                <v:textbox>
                  <w:txbxContent>
                    <w:p w:rsidR="00A35737" w:rsidRPr="000009F4" w:rsidRDefault="00A35737" w:rsidP="005147AB">
                      <w:pP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MALTA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5D9E06B" wp14:editId="62832D81">
                <wp:simplePos x="0" y="0"/>
                <wp:positionH relativeFrom="column">
                  <wp:posOffset>1042035</wp:posOffset>
                </wp:positionH>
                <wp:positionV relativeFrom="page">
                  <wp:posOffset>2737485</wp:posOffset>
                </wp:positionV>
                <wp:extent cx="5769610" cy="411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0009F4" w:rsidRDefault="00A35737" w:rsidP="004706E2">
                            <w:pPr>
                              <w:ind w:left="720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0009F4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</w:rPr>
                              <w:t>Kirliliğin önlenmesine ilişkin örnek çalışmalar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2.05pt;margin-top:215.55pt;width:454.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" filled="f" stroked="f" strokeweight=".5pt">
                <v:textbox>
                  <w:txbxContent>
                    <w:p w:rsidR="00A35737" w:rsidRPr="000009F4" w:rsidRDefault="00A35737" w:rsidP="004706E2">
                      <w:pPr>
                        <w:ind w:left="720"/>
                        <w:rPr>
                          <w:b/>
                          <w:i/>
                          <w:color w:val="FFFFFF" w:themeColor="background1"/>
                          <w:sz w:val="32"/>
                        </w:rPr>
                      </w:pPr>
                      <w:r w:rsidRPr="000009F4">
                        <w:rPr>
                          <w:b/>
                          <w:i/>
                          <w:color w:val="FFFFFF" w:themeColor="background1"/>
                          <w:sz w:val="32"/>
                        </w:rPr>
                        <w:t>Kirliliğin önlenmesine ilişkin örnek çalışmalar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848" w:type="dxa"/>
        <w:tblInd w:w="234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430"/>
        <w:gridCol w:w="8418"/>
      </w:tblGrid>
      <w:tr w:rsidR="005502F2" w:rsidRPr="00CC73A7" w:rsidTr="005341CC">
        <w:trPr>
          <w:trHeight w:val="197"/>
        </w:trPr>
        <w:tc>
          <w:tcPr>
            <w:tcW w:w="24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Şirket bilgileri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B52FA" w:rsidRPr="006530AC" w:rsidRDefault="000009F4" w:rsidP="00BB52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30AC">
              <w:rPr>
                <w:rFonts w:ascii="Times New Roman" w:hAnsi="Times New Roman" w:cs="Times New Roman"/>
              </w:rPr>
              <w:t>Ciments Art</w:t>
            </w:r>
            <w:r w:rsidRPr="006530AC">
              <w:rPr>
                <w:rFonts w:ascii="Times New Roman" w:hAnsi="Times New Roman" w:cs="Times New Roman"/>
                <w:lang w:val="en-US"/>
              </w:rPr>
              <w:t>ificiels Tunisiens (CAT).</w:t>
            </w:r>
          </w:p>
        </w:tc>
      </w:tr>
      <w:tr w:rsidR="005502F2" w:rsidRPr="00CC73A7" w:rsidTr="005341CC">
        <w:trPr>
          <w:trHeight w:val="71"/>
        </w:trPr>
        <w:tc>
          <w:tcPr>
            <w:tcW w:w="24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Endüstri</w:t>
            </w:r>
            <w:r w:rsidR="005F14DF">
              <w:rPr>
                <w:rFonts w:ascii="Times New Roman" w:hAnsi="Times New Roman" w:cs="Times New Roman"/>
                <w:b/>
                <w:color w:val="00B050"/>
              </w:rPr>
              <w:t>yel sektör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502F2" w:rsidRPr="006530AC" w:rsidRDefault="00A05D58" w:rsidP="002A4F91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Çimento, kireç ve alçı üretimi.</w:t>
            </w:r>
          </w:p>
          <w:p w:rsidR="00A05D58" w:rsidRPr="006530AC" w:rsidRDefault="00A05D58" w:rsidP="002A4F91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ISIC Rev 4 n</w:t>
            </w:r>
            <w:r w:rsidR="00091A59">
              <w:rPr>
                <w:rFonts w:ascii="Times New Roman" w:hAnsi="Times New Roman" w:cs="Times New Roman"/>
              </w:rPr>
              <w:t>o</w:t>
            </w:r>
            <w:r w:rsidRPr="006530AC">
              <w:rPr>
                <w:rFonts w:ascii="Times New Roman" w:hAnsi="Times New Roman" w:cs="Times New Roman"/>
              </w:rPr>
              <w:t>. 2394 (Tüm Ekonomik Faaliyetlerin Uluslararası Standart Sanayi Sınıflaması)</w:t>
            </w:r>
          </w:p>
        </w:tc>
      </w:tr>
      <w:tr w:rsidR="005502F2" w:rsidRPr="00CC73A7" w:rsidTr="005341CC">
        <w:trPr>
          <w:trHeight w:val="314"/>
        </w:trPr>
        <w:tc>
          <w:tcPr>
            <w:tcW w:w="24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Çevresel bakımdan dikkate alınacak konular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F3571E" w:rsidRPr="006530AC" w:rsidRDefault="000009F4" w:rsidP="000B32A8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 xml:space="preserve">Çimento üretim prosesi </w:t>
            </w:r>
            <w:r w:rsidR="002D1811">
              <w:rPr>
                <w:rFonts w:ascii="Times New Roman" w:hAnsi="Times New Roman" w:cs="Times New Roman"/>
              </w:rPr>
              <w:t>konusunda yürütülen</w:t>
            </w:r>
            <w:r w:rsidRPr="006530AC">
              <w:rPr>
                <w:rFonts w:ascii="Times New Roman" w:hAnsi="Times New Roman" w:cs="Times New Roman"/>
              </w:rPr>
              <w:t xml:space="preserve"> bir denetimi takiben</w:t>
            </w:r>
            <w:r w:rsidR="002D1811">
              <w:rPr>
                <w:rFonts w:ascii="Times New Roman" w:hAnsi="Times New Roman" w:cs="Times New Roman"/>
              </w:rPr>
              <w:t>,</w:t>
            </w:r>
            <w:r w:rsidRPr="006530AC">
              <w:rPr>
                <w:rFonts w:ascii="Times New Roman" w:hAnsi="Times New Roman" w:cs="Times New Roman"/>
              </w:rPr>
              <w:t xml:space="preserve"> </w:t>
            </w:r>
            <w:r w:rsidR="002D1811">
              <w:rPr>
                <w:rFonts w:ascii="Times New Roman" w:hAnsi="Times New Roman" w:cs="Times New Roman"/>
              </w:rPr>
              <w:t xml:space="preserve">bu </w:t>
            </w:r>
            <w:r w:rsidRPr="006530AC">
              <w:rPr>
                <w:rFonts w:ascii="Times New Roman" w:hAnsi="Times New Roman" w:cs="Times New Roman"/>
              </w:rPr>
              <w:t>prosesin enerji verimliliğinin iyileştirilmesi doğrultusunda üç nokta saptanmıştır.  Bu</w:t>
            </w:r>
            <w:r w:rsidR="002D1811">
              <w:rPr>
                <w:rFonts w:ascii="Times New Roman" w:hAnsi="Times New Roman" w:cs="Times New Roman"/>
              </w:rPr>
              <w:t xml:space="preserve"> saptamalar</w:t>
            </w:r>
            <w:r w:rsidRPr="006530AC">
              <w:rPr>
                <w:rFonts w:ascii="Times New Roman" w:hAnsi="Times New Roman" w:cs="Times New Roman"/>
              </w:rPr>
              <w:t xml:space="preserve"> soğutma kulesini, basınçlı hava üretimini ve</w:t>
            </w:r>
            <w:r w:rsidR="002D1811">
              <w:rPr>
                <w:rFonts w:ascii="Times New Roman" w:hAnsi="Times New Roman" w:cs="Times New Roman"/>
              </w:rPr>
              <w:t>,</w:t>
            </w:r>
            <w:r w:rsidRPr="006530AC">
              <w:rPr>
                <w:rFonts w:ascii="Times New Roman" w:hAnsi="Times New Roman" w:cs="Times New Roman"/>
              </w:rPr>
              <w:t xml:space="preserve"> fırına giren maddelerde</w:t>
            </w:r>
            <w:r w:rsidR="002D1811">
              <w:rPr>
                <w:rFonts w:ascii="Times New Roman" w:hAnsi="Times New Roman" w:cs="Times New Roman"/>
              </w:rPr>
              <w:t>,</w:t>
            </w:r>
            <w:r w:rsidRPr="006530AC">
              <w:rPr>
                <w:rFonts w:ascii="Times New Roman" w:hAnsi="Times New Roman" w:cs="Times New Roman"/>
              </w:rPr>
              <w:t xml:space="preserve"> karbon giderimini içermektedir.</w:t>
            </w:r>
          </w:p>
          <w:p w:rsidR="000009F4" w:rsidRPr="006530AC" w:rsidRDefault="000009F4" w:rsidP="000B32A8">
            <w:pPr>
              <w:jc w:val="both"/>
              <w:rPr>
                <w:rFonts w:ascii="Times New Roman" w:hAnsi="Times New Roman" w:cs="Times New Roman"/>
              </w:rPr>
            </w:pPr>
          </w:p>
          <w:p w:rsidR="000009F4" w:rsidRPr="006530AC" w:rsidRDefault="000009F4" w:rsidP="000B32A8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Soğutma kulesi yetersiz yapısı ve dolgusundaki soğutma havası/klinker arayüzünün kusurlu su geçirmezliği nedenlerinden dolayı son derece verimsizdi</w:t>
            </w:r>
            <w:r w:rsidR="002D1811">
              <w:rPr>
                <w:rFonts w:ascii="Times New Roman" w:hAnsi="Times New Roman" w:cs="Times New Roman"/>
              </w:rPr>
              <w:t>r.</w:t>
            </w:r>
          </w:p>
          <w:p w:rsidR="000009F4" w:rsidRPr="006530AC" w:rsidRDefault="000009F4" w:rsidP="000B32A8">
            <w:pPr>
              <w:jc w:val="both"/>
              <w:rPr>
                <w:rFonts w:ascii="Times New Roman" w:hAnsi="Times New Roman" w:cs="Times New Roman"/>
              </w:rPr>
            </w:pPr>
          </w:p>
          <w:p w:rsidR="000009F4" w:rsidRPr="006530AC" w:rsidRDefault="000009F4" w:rsidP="000009F4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Basınçlı hava üretimine gelince, hava dolaşımı mekanik olarak düzenlenmektedir ve çalışması sağlıksızdır (2007 yılında ateşleme atölyesinde altı defa üretim kesintisi yaşanmıştır).</w:t>
            </w:r>
          </w:p>
          <w:p w:rsidR="00C66BA7" w:rsidRPr="006530AC" w:rsidRDefault="00C66BA7" w:rsidP="000009F4">
            <w:pPr>
              <w:jc w:val="both"/>
              <w:rPr>
                <w:rFonts w:ascii="Times New Roman" w:hAnsi="Times New Roman" w:cs="Times New Roman"/>
              </w:rPr>
            </w:pPr>
          </w:p>
          <w:p w:rsidR="00C66BA7" w:rsidRPr="006530AC" w:rsidRDefault="00C66BA7" w:rsidP="000009F4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Karbon giderme, doğru ateşleme için kritik önemdedir. Bu işlem beş adet siklonik ayırıcı ve bir adet önkalsinasyon cihazı tarafından gerçekleştirilir.  Denetim</w:t>
            </w:r>
            <w:r w:rsidR="002D1811">
              <w:rPr>
                <w:rFonts w:ascii="Times New Roman" w:hAnsi="Times New Roman" w:cs="Times New Roman"/>
              </w:rPr>
              <w:t>de</w:t>
            </w:r>
            <w:r w:rsidRPr="006530AC">
              <w:rPr>
                <w:rFonts w:ascii="Times New Roman" w:hAnsi="Times New Roman" w:cs="Times New Roman"/>
              </w:rPr>
              <w:t>, 5 numaralı siklonik ayırıcı için %88’lik karbon giderim oranı sapta</w:t>
            </w:r>
            <w:r w:rsidR="002D1811">
              <w:rPr>
                <w:rFonts w:ascii="Times New Roman" w:hAnsi="Times New Roman" w:cs="Times New Roman"/>
              </w:rPr>
              <w:t>n</w:t>
            </w:r>
            <w:r w:rsidRPr="006530AC">
              <w:rPr>
                <w:rFonts w:ascii="Times New Roman" w:hAnsi="Times New Roman" w:cs="Times New Roman"/>
              </w:rPr>
              <w:t>dı ki bu çok düşük bir değerdir (</w:t>
            </w:r>
            <w:r w:rsidR="002D1811">
              <w:rPr>
                <w:rFonts w:ascii="Times New Roman" w:hAnsi="Times New Roman" w:cs="Times New Roman"/>
              </w:rPr>
              <w:t xml:space="preserve">kabul edilebilir </w:t>
            </w:r>
            <w:r w:rsidRPr="006530AC">
              <w:rPr>
                <w:rFonts w:ascii="Times New Roman" w:hAnsi="Times New Roman" w:cs="Times New Roman"/>
              </w:rPr>
              <w:t>en düşük oran %93’dür).</w:t>
            </w:r>
          </w:p>
          <w:p w:rsidR="00C66BA7" w:rsidRPr="006530AC" w:rsidRDefault="00C66BA7" w:rsidP="000009F4">
            <w:pPr>
              <w:jc w:val="both"/>
              <w:rPr>
                <w:rFonts w:ascii="Times New Roman" w:hAnsi="Times New Roman" w:cs="Times New Roman"/>
              </w:rPr>
            </w:pPr>
          </w:p>
          <w:p w:rsidR="00C66BA7" w:rsidRPr="006530AC" w:rsidRDefault="00C66BA7" w:rsidP="00C66BA7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Bu üç konuda gerçekleştirilecek iyileştirmeler</w:t>
            </w:r>
            <w:r w:rsidR="002D1811">
              <w:rPr>
                <w:rFonts w:ascii="Times New Roman" w:hAnsi="Times New Roman" w:cs="Times New Roman"/>
              </w:rPr>
              <w:t>,</w:t>
            </w:r>
            <w:r w:rsidRPr="006530AC">
              <w:rPr>
                <w:rFonts w:ascii="Times New Roman" w:hAnsi="Times New Roman" w:cs="Times New Roman"/>
              </w:rPr>
              <w:t xml:space="preserve"> prosesin bu üç aşamasında yer alan enerji tüketimini azaltmış olacaktır.</w:t>
            </w:r>
          </w:p>
        </w:tc>
      </w:tr>
      <w:tr w:rsidR="004E65A1" w:rsidRPr="00CC73A7" w:rsidTr="005341CC">
        <w:trPr>
          <w:trHeight w:val="258"/>
        </w:trPr>
        <w:tc>
          <w:tcPr>
            <w:tcW w:w="24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4E65A1" w:rsidRPr="00CC73A7" w:rsidRDefault="004E65A1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Gerekli bilgiler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D07D76" w:rsidRPr="006530AC" w:rsidRDefault="007A06E4" w:rsidP="00D07D76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Ciments Art</w:t>
            </w:r>
            <w:r w:rsidRPr="006530AC">
              <w:rPr>
                <w:rFonts w:ascii="Times New Roman" w:hAnsi="Times New Roman" w:cs="Times New Roman"/>
                <w:lang w:val="en-US"/>
              </w:rPr>
              <w:t>ificiels Tunisiens (CAT) şirketi 1932 yılından beri hidrolik bağlayıcı maddelerin üretim ve satışı ile uğraşmaktadır.</w:t>
            </w:r>
          </w:p>
        </w:tc>
      </w:tr>
      <w:tr w:rsidR="002A57D5" w:rsidRPr="00CC73A7" w:rsidTr="005341CC">
        <w:trPr>
          <w:trHeight w:val="278"/>
        </w:trPr>
        <w:tc>
          <w:tcPr>
            <w:tcW w:w="243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2A57D5" w:rsidRDefault="005F14DF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Faaliyet</w:t>
            </w:r>
            <w:r w:rsidR="00BC235D">
              <w:rPr>
                <w:rFonts w:ascii="Times New Roman" w:hAnsi="Times New Roman" w:cs="Times New Roman"/>
                <w:b/>
                <w:color w:val="00B050"/>
              </w:rPr>
              <w:t>ler</w:t>
            </w:r>
            <w:r>
              <w:rPr>
                <w:rFonts w:ascii="Times New Roman" w:hAnsi="Times New Roman" w:cs="Times New Roman"/>
                <w:b/>
                <w:color w:val="00B050"/>
              </w:rPr>
              <w:t>in</w:t>
            </w:r>
            <w:r w:rsidR="002A57D5">
              <w:rPr>
                <w:rFonts w:ascii="Times New Roman" w:hAnsi="Times New Roman" w:cs="Times New Roman"/>
                <w:b/>
                <w:color w:val="00B050"/>
              </w:rPr>
              <w:t xml:space="preserve"> özeti</w:t>
            </w:r>
          </w:p>
        </w:tc>
        <w:tc>
          <w:tcPr>
            <w:tcW w:w="841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1B382C" w:rsidRPr="006530AC" w:rsidRDefault="00C04BD8" w:rsidP="005955BA">
            <w:pPr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Çalışmalar</w:t>
            </w:r>
            <w:r w:rsidR="002D1811">
              <w:rPr>
                <w:rFonts w:ascii="Times New Roman" w:hAnsi="Times New Roman" w:cs="Times New Roman"/>
              </w:rPr>
              <w:t>da</w:t>
            </w:r>
            <w:r w:rsidRPr="006530AC">
              <w:rPr>
                <w:rFonts w:ascii="Times New Roman" w:hAnsi="Times New Roman" w:cs="Times New Roman"/>
              </w:rPr>
              <w:t xml:space="preserve"> denetçiler tarafından saptanan üç konu ele al</w:t>
            </w:r>
            <w:r w:rsidR="002D1811">
              <w:rPr>
                <w:rFonts w:ascii="Times New Roman" w:hAnsi="Times New Roman" w:cs="Times New Roman"/>
              </w:rPr>
              <w:t>ın</w:t>
            </w:r>
            <w:r w:rsidRPr="006530AC">
              <w:rPr>
                <w:rFonts w:ascii="Times New Roman" w:hAnsi="Times New Roman" w:cs="Times New Roman"/>
              </w:rPr>
              <w:t>mıştır:</w:t>
            </w:r>
          </w:p>
          <w:p w:rsidR="00C04BD8" w:rsidRPr="006530AC" w:rsidRDefault="00C04BD8" w:rsidP="005955BA">
            <w:pPr>
              <w:jc w:val="both"/>
              <w:rPr>
                <w:rFonts w:ascii="Times New Roman" w:hAnsi="Times New Roman" w:cs="Times New Roman"/>
              </w:rPr>
            </w:pPr>
          </w:p>
          <w:p w:rsidR="00C04BD8" w:rsidRPr="006530AC" w:rsidRDefault="00C04BD8" w:rsidP="00C04BD8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Soğu</w:t>
            </w:r>
            <w:r w:rsidR="002D1811">
              <w:rPr>
                <w:rFonts w:ascii="Times New Roman" w:hAnsi="Times New Roman" w:cs="Times New Roman"/>
              </w:rPr>
              <w:t>tma kulesi dolgusunun düzen</w:t>
            </w:r>
            <w:r w:rsidRPr="006530AC">
              <w:rPr>
                <w:rFonts w:ascii="Times New Roman" w:hAnsi="Times New Roman" w:cs="Times New Roman"/>
              </w:rPr>
              <w:t>i, su geçirmezliği ve akış düzeninin optimizasyonu, ve soğutma kulesine bir sıcaklık kontrol sistemi kurularak soğutma verimliliğinin iyileştirilmesi.</w:t>
            </w:r>
          </w:p>
          <w:p w:rsidR="00C04BD8" w:rsidRPr="006530AC" w:rsidRDefault="00C04BD8" w:rsidP="006135C3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 xml:space="preserve">5 </w:t>
            </w:r>
            <w:r w:rsidR="006135C3" w:rsidRPr="006530AC">
              <w:rPr>
                <w:rFonts w:ascii="Times New Roman" w:hAnsi="Times New Roman" w:cs="Times New Roman"/>
              </w:rPr>
              <w:t>numaralı siklonik ayırıcıdaki bölümünün (fırına giriş noktasında) büyütülmesi, hızlı</w:t>
            </w:r>
            <w:r w:rsidR="002D1811">
              <w:rPr>
                <w:rFonts w:ascii="Times New Roman" w:hAnsi="Times New Roman" w:cs="Times New Roman"/>
              </w:rPr>
              <w:noBreakHyphen/>
            </w:r>
            <w:r w:rsidR="006135C3" w:rsidRPr="006530AC">
              <w:rPr>
                <w:rFonts w:ascii="Times New Roman" w:hAnsi="Times New Roman" w:cs="Times New Roman"/>
              </w:rPr>
              <w:t>klinker</w:t>
            </w:r>
            <w:r w:rsidR="005A3259">
              <w:rPr>
                <w:rFonts w:ascii="Times New Roman" w:hAnsi="Times New Roman" w:cs="Times New Roman"/>
              </w:rPr>
              <w:t xml:space="preserve"> (raw meal)</w:t>
            </w:r>
            <w:r w:rsidR="006135C3" w:rsidRPr="006530AC">
              <w:rPr>
                <w:rFonts w:ascii="Times New Roman" w:hAnsi="Times New Roman" w:cs="Times New Roman"/>
              </w:rPr>
              <w:t xml:space="preserve"> geçiş süresini uzatmak ve karbon giderme işlemini iyileştirmek için</w:t>
            </w:r>
            <w:r w:rsidR="002D1811">
              <w:rPr>
                <w:rFonts w:ascii="Times New Roman" w:hAnsi="Times New Roman" w:cs="Times New Roman"/>
              </w:rPr>
              <w:t>,</w:t>
            </w:r>
            <w:r w:rsidR="006135C3" w:rsidRPr="006530AC">
              <w:rPr>
                <w:rFonts w:ascii="Times New Roman" w:hAnsi="Times New Roman" w:cs="Times New Roman"/>
              </w:rPr>
              <w:t xml:space="preserve"> önkalsinasyon cihazına ek hat takılması.</w:t>
            </w:r>
          </w:p>
          <w:p w:rsidR="006135C3" w:rsidRPr="006530AC" w:rsidRDefault="006135C3" w:rsidP="006135C3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6530AC">
              <w:rPr>
                <w:rFonts w:ascii="Times New Roman" w:hAnsi="Times New Roman" w:cs="Times New Roman"/>
              </w:rPr>
              <w:t>Üretim atölyelerinin kesintisiz çalışmasını garantiye almak için hava kompresörlerinde hız düzenleyicilerin ve tampon saklama depolarının kullanımına geçilmesi.</w:t>
            </w:r>
          </w:p>
        </w:tc>
      </w:tr>
    </w:tbl>
    <w:p w:rsidR="00E1406A" w:rsidRDefault="00E1406A">
      <w:r>
        <w:br w:type="page"/>
      </w:r>
    </w:p>
    <w:tbl>
      <w:tblPr>
        <w:tblStyle w:val="TableGrid"/>
        <w:tblW w:w="10848" w:type="dxa"/>
        <w:tblInd w:w="234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132"/>
        <w:gridCol w:w="9798"/>
      </w:tblGrid>
      <w:tr w:rsidR="005955BA" w:rsidTr="00386071">
        <w:trPr>
          <w:trHeight w:val="22"/>
        </w:trPr>
        <w:tc>
          <w:tcPr>
            <w:tcW w:w="135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nil"/>
            </w:tcBorders>
          </w:tcPr>
          <w:p w:rsidR="005955BA" w:rsidRPr="00386071" w:rsidRDefault="005955BA" w:rsidP="00386071">
            <w:pPr>
              <w:jc w:val="left"/>
              <w:rPr>
                <w:rFonts w:ascii="Times New Roman" w:hAnsi="Times New Roman" w:cs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lastRenderedPageBreak/>
              <w:t>Şemalar</w:t>
            </w:r>
          </w:p>
        </w:tc>
        <w:tc>
          <w:tcPr>
            <w:tcW w:w="9492" w:type="dxa"/>
            <w:tcBorders>
              <w:top w:val="single" w:sz="12" w:space="0" w:color="00B050"/>
              <w:left w:val="nil"/>
              <w:bottom w:val="single" w:sz="12" w:space="0" w:color="00B050"/>
              <w:right w:val="single" w:sz="12" w:space="0" w:color="00B050"/>
            </w:tcBorders>
          </w:tcPr>
          <w:p w:rsidR="005955BA" w:rsidRPr="00386071" w:rsidRDefault="006530AC" w:rsidP="00386071">
            <w:pPr>
              <w:tabs>
                <w:tab w:val="left" w:pos="5397"/>
              </w:tabs>
              <w:jc w:val="lef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036757" cy="5670596"/>
                  <wp:effectExtent l="0" t="0" r="254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8_Şem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374" cy="567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5BA" w:rsidTr="00A35737">
        <w:trPr>
          <w:trHeight w:val="1313"/>
        </w:trPr>
        <w:tc>
          <w:tcPr>
            <w:tcW w:w="1356" w:type="dxa"/>
            <w:tcBorders>
              <w:top w:val="single" w:sz="12" w:space="0" w:color="00B050"/>
              <w:left w:val="single" w:sz="12" w:space="0" w:color="00B050"/>
              <w:bottom w:val="single" w:sz="8" w:space="0" w:color="auto"/>
              <w:right w:val="nil"/>
            </w:tcBorders>
          </w:tcPr>
          <w:p w:rsidR="005955BA" w:rsidRDefault="00386071" w:rsidP="00386071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B050"/>
                <w:sz w:val="20"/>
              </w:rPr>
              <w:t>akiyeler</w:t>
            </w:r>
          </w:p>
        </w:tc>
        <w:tc>
          <w:tcPr>
            <w:tcW w:w="9492" w:type="dxa"/>
            <w:tcBorders>
              <w:top w:val="single" w:sz="12" w:space="0" w:color="00B050"/>
              <w:left w:val="nil"/>
              <w:bottom w:val="single" w:sz="8" w:space="0" w:color="auto"/>
              <w:right w:val="single" w:sz="12" w:space="0" w:color="00B050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7"/>
              <w:gridCol w:w="2297"/>
              <w:gridCol w:w="2297"/>
              <w:gridCol w:w="2298"/>
            </w:tblGrid>
            <w:tr w:rsidR="00A35737" w:rsidTr="00A35737">
              <w:trPr>
                <w:trHeight w:val="325"/>
              </w:trPr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C67B9E"/>
                  <w:vAlign w:val="center"/>
                </w:tcPr>
                <w:p w:rsidR="00A35737" w:rsidRPr="00A35737" w:rsidRDefault="00A35737" w:rsidP="00A35737">
                  <w:pPr>
                    <w:jc w:val="lef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b/>
                      <w:sz w:val="20"/>
                    </w:rPr>
                    <w:t>Bakiyeler</w:t>
                  </w: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ED1A26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b/>
                      <w:sz w:val="20"/>
                    </w:rPr>
                    <w:t>Yatırım (€)</w:t>
                  </w: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C67B9E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b/>
                      <w:sz w:val="20"/>
                    </w:rPr>
                    <w:t>Tasarruf (€/yıl)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ED1A26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b/>
                      <w:sz w:val="20"/>
                    </w:rPr>
                    <w:t>Yatırım getirisi (yıl)</w:t>
                  </w:r>
                </w:p>
              </w:tc>
            </w:tr>
            <w:tr w:rsidR="00A35737" w:rsidTr="00A35737">
              <w:trPr>
                <w:trHeight w:val="352"/>
              </w:trPr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35737" w:rsidRPr="00A35737" w:rsidRDefault="00A35737" w:rsidP="00A35737">
                  <w:pPr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Soğutma</w:t>
                  </w: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8893BA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202.000</w:t>
                  </w: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156.960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shd w:val="clear" w:color="auto" w:fill="8893BA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1,3</w:t>
                  </w:r>
                </w:p>
              </w:tc>
            </w:tr>
            <w:tr w:rsidR="00A35737" w:rsidTr="00A35737">
              <w:trPr>
                <w:trHeight w:val="352"/>
              </w:trPr>
              <w:tc>
                <w:tcPr>
                  <w:tcW w:w="2297" w:type="dxa"/>
                  <w:shd w:val="clear" w:color="auto" w:fill="FFE097"/>
                  <w:vAlign w:val="center"/>
                </w:tcPr>
                <w:p w:rsidR="00A35737" w:rsidRPr="00A35737" w:rsidRDefault="00A35737" w:rsidP="00A35737">
                  <w:pPr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Basınçlı hava</w:t>
                  </w:r>
                </w:p>
              </w:tc>
              <w:tc>
                <w:tcPr>
                  <w:tcW w:w="2297" w:type="dxa"/>
                  <w:shd w:val="clear" w:color="auto" w:fill="FED006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32.000</w:t>
                  </w:r>
                </w:p>
              </w:tc>
              <w:tc>
                <w:tcPr>
                  <w:tcW w:w="2297" w:type="dxa"/>
                  <w:shd w:val="clear" w:color="auto" w:fill="FFE097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9.942</w:t>
                  </w:r>
                </w:p>
              </w:tc>
              <w:tc>
                <w:tcPr>
                  <w:tcW w:w="2298" w:type="dxa"/>
                  <w:shd w:val="clear" w:color="auto" w:fill="FED006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3,2</w:t>
                  </w:r>
                </w:p>
              </w:tc>
            </w:tr>
            <w:tr w:rsidR="00A35737" w:rsidTr="00A35737">
              <w:trPr>
                <w:trHeight w:val="352"/>
              </w:trPr>
              <w:tc>
                <w:tcPr>
                  <w:tcW w:w="2297" w:type="dxa"/>
                  <w:shd w:val="clear" w:color="auto" w:fill="BFBFBF" w:themeFill="background1" w:themeFillShade="BF"/>
                  <w:vAlign w:val="center"/>
                </w:tcPr>
                <w:p w:rsidR="00A35737" w:rsidRPr="00A35737" w:rsidRDefault="00A35737" w:rsidP="00A35737">
                  <w:pPr>
                    <w:jc w:val="left"/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Karbon giderme</w:t>
                  </w:r>
                </w:p>
              </w:tc>
              <w:tc>
                <w:tcPr>
                  <w:tcW w:w="2297" w:type="dxa"/>
                  <w:shd w:val="clear" w:color="auto" w:fill="8893BA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140.000</w:t>
                  </w:r>
                </w:p>
              </w:tc>
              <w:tc>
                <w:tcPr>
                  <w:tcW w:w="2297" w:type="dxa"/>
                  <w:shd w:val="clear" w:color="auto" w:fill="BFBFBF" w:themeFill="background1" w:themeFillShade="BF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111.260</w:t>
                  </w:r>
                </w:p>
              </w:tc>
              <w:tc>
                <w:tcPr>
                  <w:tcW w:w="2298" w:type="dxa"/>
                  <w:shd w:val="clear" w:color="auto" w:fill="8893BA"/>
                  <w:vAlign w:val="center"/>
                </w:tcPr>
                <w:p w:rsidR="00A35737" w:rsidRPr="00A35737" w:rsidRDefault="00A35737" w:rsidP="00A3573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A35737">
                    <w:rPr>
                      <w:rFonts w:ascii="Times New Roman" w:hAnsi="Times New Roman" w:cs="Times New Roman"/>
                      <w:sz w:val="20"/>
                    </w:rPr>
                    <w:t>1,3</w:t>
                  </w:r>
                </w:p>
              </w:tc>
            </w:tr>
          </w:tbl>
          <w:p w:rsidR="005955BA" w:rsidRDefault="005955BA" w:rsidP="005955BA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CF447C" w:rsidTr="004E6C33">
        <w:trPr>
          <w:trHeight w:val="258"/>
        </w:trPr>
        <w:tc>
          <w:tcPr>
            <w:tcW w:w="135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CF447C" w:rsidRDefault="009C077A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Sonuçlar</w:t>
            </w:r>
          </w:p>
        </w:tc>
        <w:tc>
          <w:tcPr>
            <w:tcW w:w="949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00137" w:rsidRPr="0072782A" w:rsidRDefault="0072782A" w:rsidP="007278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projenin 2008-2009 yıllarında uygulanması ile yaklaşık olarak 3.200 ton CO</w:t>
            </w:r>
            <w:r w:rsidRPr="0072782A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emisyonunun önüne geçilmiştir ki bu çevre bakımından önemli bir avantajdır.  Proje kabul edilebilir bir yatırım getirisi üretmiştir; bu da üretimde yapılan değişikliklerin hem tasarruf hem de şirket imajı bakımından olumlu olmuş olduğunu göstermektedir.</w:t>
            </w:r>
          </w:p>
        </w:tc>
      </w:tr>
    </w:tbl>
    <w:p w:rsidR="00A5791D" w:rsidRDefault="001A7FA7" w:rsidP="0019720F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78BCDE2" wp14:editId="29662FE5">
                <wp:simplePos x="0" y="0"/>
                <wp:positionH relativeFrom="column">
                  <wp:posOffset>661035</wp:posOffset>
                </wp:positionH>
                <wp:positionV relativeFrom="page">
                  <wp:posOffset>10285095</wp:posOffset>
                </wp:positionV>
                <wp:extent cx="6546850" cy="5448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973604" w:rsidRDefault="00A35737" w:rsidP="000E0CCD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009F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36"/>
                              </w:rPr>
                              <w:t>Çimento endüstrisinde enerji verimliliğinin iyileştirilmesi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2.05pt;margin-top:809.85pt;width:515.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" filled="f" stroked="f" strokeweight=".5pt">
                <v:textbox>
                  <w:txbxContent>
                    <w:p w:rsidR="00A35737" w:rsidRPr="00973604" w:rsidRDefault="00A35737" w:rsidP="000E0CCD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</w:pPr>
                      <w:r w:rsidRPr="000009F4">
                        <w:rPr>
                          <w:b/>
                          <w:i/>
                          <w:color w:val="FFFFFF" w:themeColor="background1"/>
                          <w:sz w:val="28"/>
                          <w:szCs w:val="36"/>
                        </w:rPr>
                        <w:t>Çimento endüstrisinde enerji verimliliğinin iyileştirilmesi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0482108" wp14:editId="7A281CA0">
                <wp:simplePos x="0" y="0"/>
                <wp:positionH relativeFrom="column">
                  <wp:posOffset>123190</wp:posOffset>
                </wp:positionH>
                <wp:positionV relativeFrom="page">
                  <wp:posOffset>10297795</wp:posOffset>
                </wp:positionV>
                <wp:extent cx="606425" cy="411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973604" w:rsidRDefault="00A35737" w:rsidP="00973604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lang w:val="en-US"/>
                              </w:rPr>
                            </w:pPr>
                            <w:r w:rsidRPr="00973604"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lang w:val="en-US"/>
                              </w:rPr>
                              <w:t>38</w:t>
                            </w:r>
                          </w:p>
                          <w:p w:rsidR="00A35737" w:rsidRPr="006C1BF8" w:rsidRDefault="00A35737" w:rsidP="002B1B1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9.7pt;margin-top:810.85pt;width:47.75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" filled="f" stroked="f" strokeweight=".5pt">
                <v:textbox>
                  <w:txbxContent>
                    <w:p w:rsidR="00A35737" w:rsidRPr="00973604" w:rsidRDefault="00A35737" w:rsidP="00973604">
                      <w:pPr>
                        <w:rPr>
                          <w:b/>
                          <w:color w:val="FFFFFF" w:themeColor="background1"/>
                          <w:sz w:val="44"/>
                          <w:lang w:val="en-US"/>
                        </w:rPr>
                      </w:pPr>
                      <w:r w:rsidRPr="00973604"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lang w:val="en-US"/>
                        </w:rPr>
                        <w:t>38</w:t>
                      </w:r>
                    </w:p>
                    <w:p w:rsidR="00A35737" w:rsidRPr="006C1BF8" w:rsidRDefault="00A35737" w:rsidP="002B1B10">
                      <w:pPr>
                        <w:rPr>
                          <w:b/>
                          <w:color w:val="FFFFFF" w:themeColor="background1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FDF1577" wp14:editId="5C47736F">
                <wp:simplePos x="0" y="0"/>
                <wp:positionH relativeFrom="column">
                  <wp:posOffset>-19050</wp:posOffset>
                </wp:positionH>
                <wp:positionV relativeFrom="page">
                  <wp:posOffset>8787130</wp:posOffset>
                </wp:positionV>
                <wp:extent cx="6986016" cy="2377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37" w:rsidRPr="008F0D74" w:rsidRDefault="00A35737" w:rsidP="008F0D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</w:pP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NOT: Bu araştırma kirlili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 xml:space="preserve">ği önleme ile ilgili örnek bir çalışmayı </w:t>
                            </w: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açıklamak amacındadır ve genel tavsiye niteliğinde kabul edilmemelidir.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.5pt;margin-top:691.9pt;width:550.1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" filled="f" stroked="f" strokeweight=".5pt">
                <v:textbox>
                  <w:txbxContent>
                    <w:p w:rsidR="005955BA" w:rsidRPr="008F0D74" w:rsidRDefault="005955BA" w:rsidP="008F0D7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</w:pP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NOT: Bu araştırma kirlili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 xml:space="preserve">ği önleme ile ilgili örnek bir çalışmayı </w:t>
                      </w: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açıklamak amacındadır ve genel tavsiye niteliğinde kabul edilmemelidir.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791D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3C24573F" wp14:editId="5933D145">
            <wp:simplePos x="0" y="0"/>
            <wp:positionH relativeFrom="column">
              <wp:posOffset>0</wp:posOffset>
            </wp:positionH>
            <wp:positionV relativeFrom="paragraph">
              <wp:posOffset>8409305</wp:posOffset>
            </wp:positionV>
            <wp:extent cx="7086600" cy="1883664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Footer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791D" w:rsidSect="00A5791D">
      <w:pgSz w:w="11909" w:h="16834" w:code="9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77"/>
    <w:multiLevelType w:val="hybridMultilevel"/>
    <w:tmpl w:val="58564C26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348"/>
    <w:multiLevelType w:val="hybridMultilevel"/>
    <w:tmpl w:val="027C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BC4"/>
    <w:multiLevelType w:val="hybridMultilevel"/>
    <w:tmpl w:val="54106194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3E81"/>
    <w:multiLevelType w:val="hybridMultilevel"/>
    <w:tmpl w:val="F8A202F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E486A"/>
    <w:multiLevelType w:val="hybridMultilevel"/>
    <w:tmpl w:val="99C0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27BB5"/>
    <w:multiLevelType w:val="hybridMultilevel"/>
    <w:tmpl w:val="256C208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A30C8"/>
    <w:multiLevelType w:val="hybridMultilevel"/>
    <w:tmpl w:val="407A0FE2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94D4E"/>
    <w:multiLevelType w:val="hybridMultilevel"/>
    <w:tmpl w:val="EE84EE5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E02B1"/>
    <w:multiLevelType w:val="hybridMultilevel"/>
    <w:tmpl w:val="EA568F4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D0CBC"/>
    <w:multiLevelType w:val="hybridMultilevel"/>
    <w:tmpl w:val="8262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3117A0"/>
    <w:multiLevelType w:val="hybridMultilevel"/>
    <w:tmpl w:val="8B28F0F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B6E78"/>
    <w:multiLevelType w:val="hybridMultilevel"/>
    <w:tmpl w:val="F86CD010"/>
    <w:lvl w:ilvl="0" w:tplc="B8A2BD2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2522B4"/>
    <w:multiLevelType w:val="hybridMultilevel"/>
    <w:tmpl w:val="6EA06DF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4E46"/>
    <w:multiLevelType w:val="hybridMultilevel"/>
    <w:tmpl w:val="4E662D60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F72A0"/>
    <w:multiLevelType w:val="hybridMultilevel"/>
    <w:tmpl w:val="8EC8000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44227"/>
    <w:multiLevelType w:val="hybridMultilevel"/>
    <w:tmpl w:val="132CBFD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C16D0"/>
    <w:multiLevelType w:val="hybridMultilevel"/>
    <w:tmpl w:val="9F0AB47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8E715F"/>
    <w:multiLevelType w:val="hybridMultilevel"/>
    <w:tmpl w:val="4A2A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4ABC"/>
    <w:multiLevelType w:val="hybridMultilevel"/>
    <w:tmpl w:val="9B84A810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A541BA"/>
    <w:multiLevelType w:val="hybridMultilevel"/>
    <w:tmpl w:val="81E4A0B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8610F"/>
    <w:multiLevelType w:val="hybridMultilevel"/>
    <w:tmpl w:val="6F546F40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47639"/>
    <w:multiLevelType w:val="hybridMultilevel"/>
    <w:tmpl w:val="50CE6BC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182EB4"/>
    <w:multiLevelType w:val="hybridMultilevel"/>
    <w:tmpl w:val="B9C8E0C6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2512A"/>
    <w:multiLevelType w:val="hybridMultilevel"/>
    <w:tmpl w:val="73146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7E375C"/>
    <w:multiLevelType w:val="hybridMultilevel"/>
    <w:tmpl w:val="4FDAE57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476A5"/>
    <w:multiLevelType w:val="hybridMultilevel"/>
    <w:tmpl w:val="D56E81C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11"/>
  </w:num>
  <w:num w:numId="5">
    <w:abstractNumId w:val="10"/>
  </w:num>
  <w:num w:numId="6">
    <w:abstractNumId w:val="8"/>
  </w:num>
  <w:num w:numId="7">
    <w:abstractNumId w:val="17"/>
  </w:num>
  <w:num w:numId="8">
    <w:abstractNumId w:val="18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2"/>
  </w:num>
  <w:num w:numId="14">
    <w:abstractNumId w:val="24"/>
  </w:num>
  <w:num w:numId="15">
    <w:abstractNumId w:val="5"/>
  </w:num>
  <w:num w:numId="16">
    <w:abstractNumId w:val="1"/>
  </w:num>
  <w:num w:numId="17">
    <w:abstractNumId w:val="21"/>
  </w:num>
  <w:num w:numId="18">
    <w:abstractNumId w:val="16"/>
  </w:num>
  <w:num w:numId="19">
    <w:abstractNumId w:val="25"/>
  </w:num>
  <w:num w:numId="20">
    <w:abstractNumId w:val="6"/>
  </w:num>
  <w:num w:numId="21">
    <w:abstractNumId w:val="20"/>
  </w:num>
  <w:num w:numId="22">
    <w:abstractNumId w:val="15"/>
  </w:num>
  <w:num w:numId="23">
    <w:abstractNumId w:val="3"/>
  </w:num>
  <w:num w:numId="24">
    <w:abstractNumId w:val="1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3"/>
    <w:rsid w:val="000009F4"/>
    <w:rsid w:val="00012344"/>
    <w:rsid w:val="000210EC"/>
    <w:rsid w:val="000260C1"/>
    <w:rsid w:val="0003328E"/>
    <w:rsid w:val="00036F44"/>
    <w:rsid w:val="00077643"/>
    <w:rsid w:val="00091A59"/>
    <w:rsid w:val="00091F9F"/>
    <w:rsid w:val="000932FB"/>
    <w:rsid w:val="00094205"/>
    <w:rsid w:val="000A6DDB"/>
    <w:rsid w:val="000B2527"/>
    <w:rsid w:val="000B32A8"/>
    <w:rsid w:val="000C41BC"/>
    <w:rsid w:val="000D2D1D"/>
    <w:rsid w:val="000D6F41"/>
    <w:rsid w:val="000E0CCD"/>
    <w:rsid w:val="000E5DAC"/>
    <w:rsid w:val="000F7596"/>
    <w:rsid w:val="001175CB"/>
    <w:rsid w:val="00126012"/>
    <w:rsid w:val="0013176D"/>
    <w:rsid w:val="001337C0"/>
    <w:rsid w:val="00137767"/>
    <w:rsid w:val="001449FA"/>
    <w:rsid w:val="0015466A"/>
    <w:rsid w:val="001602BD"/>
    <w:rsid w:val="00165749"/>
    <w:rsid w:val="00172D80"/>
    <w:rsid w:val="001762CF"/>
    <w:rsid w:val="00184F0D"/>
    <w:rsid w:val="0019720F"/>
    <w:rsid w:val="001973AC"/>
    <w:rsid w:val="001A7FA7"/>
    <w:rsid w:val="001B1B9E"/>
    <w:rsid w:val="001B382C"/>
    <w:rsid w:val="001E64D0"/>
    <w:rsid w:val="002131B9"/>
    <w:rsid w:val="00235BFD"/>
    <w:rsid w:val="00245953"/>
    <w:rsid w:val="002505F3"/>
    <w:rsid w:val="00253D28"/>
    <w:rsid w:val="00262AFE"/>
    <w:rsid w:val="002703A2"/>
    <w:rsid w:val="00273B09"/>
    <w:rsid w:val="00275186"/>
    <w:rsid w:val="002A1BE1"/>
    <w:rsid w:val="002A4F91"/>
    <w:rsid w:val="002A57D5"/>
    <w:rsid w:val="002B1B10"/>
    <w:rsid w:val="002C6D81"/>
    <w:rsid w:val="002D1811"/>
    <w:rsid w:val="002D449F"/>
    <w:rsid w:val="00300137"/>
    <w:rsid w:val="00303DE2"/>
    <w:rsid w:val="00312885"/>
    <w:rsid w:val="00325D73"/>
    <w:rsid w:val="00334306"/>
    <w:rsid w:val="003571AD"/>
    <w:rsid w:val="003614FB"/>
    <w:rsid w:val="003834F4"/>
    <w:rsid w:val="00386071"/>
    <w:rsid w:val="003943F1"/>
    <w:rsid w:val="003B6264"/>
    <w:rsid w:val="003C0FB4"/>
    <w:rsid w:val="003E0C58"/>
    <w:rsid w:val="003E5B30"/>
    <w:rsid w:val="00403E45"/>
    <w:rsid w:val="0042305C"/>
    <w:rsid w:val="004269A9"/>
    <w:rsid w:val="00431023"/>
    <w:rsid w:val="00431150"/>
    <w:rsid w:val="00435793"/>
    <w:rsid w:val="004376AC"/>
    <w:rsid w:val="00460748"/>
    <w:rsid w:val="004706E2"/>
    <w:rsid w:val="00473C7F"/>
    <w:rsid w:val="00474D94"/>
    <w:rsid w:val="00475709"/>
    <w:rsid w:val="00480555"/>
    <w:rsid w:val="0049139B"/>
    <w:rsid w:val="00497FAE"/>
    <w:rsid w:val="004A67AF"/>
    <w:rsid w:val="004A71F0"/>
    <w:rsid w:val="004B13D5"/>
    <w:rsid w:val="004C5587"/>
    <w:rsid w:val="004C77D7"/>
    <w:rsid w:val="004D3926"/>
    <w:rsid w:val="004E65A1"/>
    <w:rsid w:val="004E6C33"/>
    <w:rsid w:val="004F2C1C"/>
    <w:rsid w:val="004F4CCD"/>
    <w:rsid w:val="00503E24"/>
    <w:rsid w:val="005147AB"/>
    <w:rsid w:val="00514EE8"/>
    <w:rsid w:val="0051602D"/>
    <w:rsid w:val="00520C9E"/>
    <w:rsid w:val="005341CC"/>
    <w:rsid w:val="00544B18"/>
    <w:rsid w:val="005502F2"/>
    <w:rsid w:val="00556C3E"/>
    <w:rsid w:val="00561EC0"/>
    <w:rsid w:val="005622D9"/>
    <w:rsid w:val="00562424"/>
    <w:rsid w:val="00567294"/>
    <w:rsid w:val="00576756"/>
    <w:rsid w:val="005955BA"/>
    <w:rsid w:val="00596110"/>
    <w:rsid w:val="005A3259"/>
    <w:rsid w:val="005B7098"/>
    <w:rsid w:val="005E4DFB"/>
    <w:rsid w:val="005F14DF"/>
    <w:rsid w:val="005F4767"/>
    <w:rsid w:val="00602050"/>
    <w:rsid w:val="0060715F"/>
    <w:rsid w:val="00611323"/>
    <w:rsid w:val="00613271"/>
    <w:rsid w:val="006135C3"/>
    <w:rsid w:val="00621405"/>
    <w:rsid w:val="00630D39"/>
    <w:rsid w:val="006319C9"/>
    <w:rsid w:val="0063236F"/>
    <w:rsid w:val="006530AC"/>
    <w:rsid w:val="0067083E"/>
    <w:rsid w:val="00682C4D"/>
    <w:rsid w:val="00690302"/>
    <w:rsid w:val="00693B29"/>
    <w:rsid w:val="006A0ED3"/>
    <w:rsid w:val="006A1581"/>
    <w:rsid w:val="006A1B8F"/>
    <w:rsid w:val="006C1BF8"/>
    <w:rsid w:val="006C4E21"/>
    <w:rsid w:val="006E156B"/>
    <w:rsid w:val="00722E96"/>
    <w:rsid w:val="00726563"/>
    <w:rsid w:val="0072782A"/>
    <w:rsid w:val="00732671"/>
    <w:rsid w:val="00735ECF"/>
    <w:rsid w:val="00755F93"/>
    <w:rsid w:val="00755FCC"/>
    <w:rsid w:val="007839E6"/>
    <w:rsid w:val="00786D88"/>
    <w:rsid w:val="007A06E4"/>
    <w:rsid w:val="007A06F6"/>
    <w:rsid w:val="007A6248"/>
    <w:rsid w:val="007C2066"/>
    <w:rsid w:val="00816EBC"/>
    <w:rsid w:val="00833A5C"/>
    <w:rsid w:val="00841300"/>
    <w:rsid w:val="00853DBB"/>
    <w:rsid w:val="00856789"/>
    <w:rsid w:val="00860736"/>
    <w:rsid w:val="00866569"/>
    <w:rsid w:val="00874CDE"/>
    <w:rsid w:val="00895CBF"/>
    <w:rsid w:val="008A5CED"/>
    <w:rsid w:val="008A6BAF"/>
    <w:rsid w:val="008B2D03"/>
    <w:rsid w:val="008B3DC6"/>
    <w:rsid w:val="008B6321"/>
    <w:rsid w:val="008D1C26"/>
    <w:rsid w:val="008F0D74"/>
    <w:rsid w:val="00911D38"/>
    <w:rsid w:val="00942651"/>
    <w:rsid w:val="00942826"/>
    <w:rsid w:val="00942913"/>
    <w:rsid w:val="009448F1"/>
    <w:rsid w:val="00950DBB"/>
    <w:rsid w:val="00954B16"/>
    <w:rsid w:val="00973604"/>
    <w:rsid w:val="00976CC8"/>
    <w:rsid w:val="0098321C"/>
    <w:rsid w:val="009A1D77"/>
    <w:rsid w:val="009C077A"/>
    <w:rsid w:val="009C16F6"/>
    <w:rsid w:val="009C722A"/>
    <w:rsid w:val="00A05D58"/>
    <w:rsid w:val="00A06C16"/>
    <w:rsid w:val="00A15034"/>
    <w:rsid w:val="00A35737"/>
    <w:rsid w:val="00A5791D"/>
    <w:rsid w:val="00A72BE6"/>
    <w:rsid w:val="00A77DB0"/>
    <w:rsid w:val="00A841E9"/>
    <w:rsid w:val="00A87F18"/>
    <w:rsid w:val="00A90275"/>
    <w:rsid w:val="00A92D86"/>
    <w:rsid w:val="00AA78BA"/>
    <w:rsid w:val="00AB1264"/>
    <w:rsid w:val="00AB3AD0"/>
    <w:rsid w:val="00AE41DE"/>
    <w:rsid w:val="00AE5518"/>
    <w:rsid w:val="00AF1D69"/>
    <w:rsid w:val="00AF5A94"/>
    <w:rsid w:val="00AF5BD4"/>
    <w:rsid w:val="00B036C9"/>
    <w:rsid w:val="00B141E2"/>
    <w:rsid w:val="00B25640"/>
    <w:rsid w:val="00B438EC"/>
    <w:rsid w:val="00B43B1B"/>
    <w:rsid w:val="00B5156D"/>
    <w:rsid w:val="00B51A67"/>
    <w:rsid w:val="00B51F2F"/>
    <w:rsid w:val="00B57B3C"/>
    <w:rsid w:val="00B640C0"/>
    <w:rsid w:val="00B87134"/>
    <w:rsid w:val="00BB453F"/>
    <w:rsid w:val="00BB52FA"/>
    <w:rsid w:val="00BC235D"/>
    <w:rsid w:val="00BD2B11"/>
    <w:rsid w:val="00BD484B"/>
    <w:rsid w:val="00BF34F2"/>
    <w:rsid w:val="00BF5ABA"/>
    <w:rsid w:val="00C04BD8"/>
    <w:rsid w:val="00C40E34"/>
    <w:rsid w:val="00C55037"/>
    <w:rsid w:val="00C570E9"/>
    <w:rsid w:val="00C57FB2"/>
    <w:rsid w:val="00C66BA7"/>
    <w:rsid w:val="00C671E9"/>
    <w:rsid w:val="00C87347"/>
    <w:rsid w:val="00C927F8"/>
    <w:rsid w:val="00CA1211"/>
    <w:rsid w:val="00CA1FC2"/>
    <w:rsid w:val="00CB5EB9"/>
    <w:rsid w:val="00CC73A7"/>
    <w:rsid w:val="00CC7419"/>
    <w:rsid w:val="00CD2946"/>
    <w:rsid w:val="00CE36ED"/>
    <w:rsid w:val="00CF05E5"/>
    <w:rsid w:val="00CF098A"/>
    <w:rsid w:val="00CF447C"/>
    <w:rsid w:val="00CF59CC"/>
    <w:rsid w:val="00D07D76"/>
    <w:rsid w:val="00D17450"/>
    <w:rsid w:val="00D2655D"/>
    <w:rsid w:val="00D31A21"/>
    <w:rsid w:val="00D46E77"/>
    <w:rsid w:val="00D52E8A"/>
    <w:rsid w:val="00D62465"/>
    <w:rsid w:val="00D7755F"/>
    <w:rsid w:val="00D779F6"/>
    <w:rsid w:val="00D82F70"/>
    <w:rsid w:val="00DA535F"/>
    <w:rsid w:val="00DA60EA"/>
    <w:rsid w:val="00DB4567"/>
    <w:rsid w:val="00DC628F"/>
    <w:rsid w:val="00DD619C"/>
    <w:rsid w:val="00E1406A"/>
    <w:rsid w:val="00E14980"/>
    <w:rsid w:val="00E1650D"/>
    <w:rsid w:val="00E3376F"/>
    <w:rsid w:val="00E424AC"/>
    <w:rsid w:val="00E516B4"/>
    <w:rsid w:val="00E7129E"/>
    <w:rsid w:val="00E73A5A"/>
    <w:rsid w:val="00E819DC"/>
    <w:rsid w:val="00E8215E"/>
    <w:rsid w:val="00E82285"/>
    <w:rsid w:val="00E90F9A"/>
    <w:rsid w:val="00EC2780"/>
    <w:rsid w:val="00EC715F"/>
    <w:rsid w:val="00ED140C"/>
    <w:rsid w:val="00ED7C3C"/>
    <w:rsid w:val="00EE7690"/>
    <w:rsid w:val="00EF559B"/>
    <w:rsid w:val="00F27AF0"/>
    <w:rsid w:val="00F31B5C"/>
    <w:rsid w:val="00F3571E"/>
    <w:rsid w:val="00F443AE"/>
    <w:rsid w:val="00F5077A"/>
    <w:rsid w:val="00F5173C"/>
    <w:rsid w:val="00F56C65"/>
    <w:rsid w:val="00F651EC"/>
    <w:rsid w:val="00F72538"/>
    <w:rsid w:val="00F82D00"/>
    <w:rsid w:val="00F96ABA"/>
    <w:rsid w:val="00FB6263"/>
    <w:rsid w:val="00FC6621"/>
    <w:rsid w:val="00FC7A6D"/>
    <w:rsid w:val="00FD4AEE"/>
    <w:rsid w:val="00FE089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6B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66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75888-6D82-450C-99ED-5BE4DC49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AMS</cp:lastModifiedBy>
  <cp:revision>193</cp:revision>
  <cp:lastPrinted>2012-10-15T09:29:00Z</cp:lastPrinted>
  <dcterms:created xsi:type="dcterms:W3CDTF">2012-10-08T14:25:00Z</dcterms:created>
  <dcterms:modified xsi:type="dcterms:W3CDTF">2012-10-16T10:20:00Z</dcterms:modified>
</cp:coreProperties>
</file>