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7D0BC4"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 </w:t>
            </w:r>
            <w:r w:rsidR="006F42A0">
              <w:rPr>
                <w:rFonts w:ascii="Calibri" w:hAnsi="Calibri" w:cs="Calibri"/>
                <w:b/>
                <w:bCs/>
                <w:color w:val="000000" w:themeColor="text1"/>
                <w:sz w:val="22"/>
                <w:szCs w:val="22"/>
                <w:lang w:eastAsia="tr-TR"/>
              </w:rPr>
              <w:t>(</w:t>
            </w:r>
            <w:proofErr w:type="gramStart"/>
            <w:r w:rsidR="006F42A0">
              <w:rPr>
                <w:rFonts w:ascii="Calibri" w:hAnsi="Calibri" w:cs="Calibri"/>
                <w:b/>
                <w:bCs/>
                <w:color w:val="000000" w:themeColor="text1"/>
                <w:sz w:val="22"/>
                <w:szCs w:val="22"/>
                <w:lang w:eastAsia="tr-TR"/>
              </w:rPr>
              <w:t>Değişik:RG</w:t>
            </w:r>
            <w:proofErr w:type="gramEnd"/>
            <w:r w:rsidR="006F42A0">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BF06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A653"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5700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710D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969B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3E4B5"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1359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B0C6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3606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49A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A4A9"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929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7D0BC4">
          <w:footnotePr>
            <w:numRestart w:val="eachPage"/>
          </w:footnotePr>
          <w:pgSz w:w="11906" w:h="16838"/>
          <w:pgMar w:top="567"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759"/>
        <w:gridCol w:w="3910"/>
        <w:gridCol w:w="4106"/>
      </w:tblGrid>
      <w:tr w:rsidR="006F42A0" w:rsidRPr="008508DA" w:rsidTr="007D0BC4">
        <w:trPr>
          <w:cantSplit/>
          <w:trHeight w:val="466"/>
        </w:trPr>
        <w:tc>
          <w:tcPr>
            <w:tcW w:w="1759"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8016"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7D0BC4">
        <w:trPr>
          <w:cantSplit/>
          <w:trHeight w:val="466"/>
        </w:trPr>
        <w:tc>
          <w:tcPr>
            <w:tcW w:w="1759"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8016"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7D0BC4">
        <w:trPr>
          <w:cantSplit/>
          <w:trHeight w:val="466"/>
        </w:trPr>
        <w:tc>
          <w:tcPr>
            <w:tcW w:w="1759"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91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4106"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7D0BC4">
        <w:trPr>
          <w:trHeight w:val="541"/>
        </w:trPr>
        <w:tc>
          <w:tcPr>
            <w:tcW w:w="1759" w:type="dxa"/>
            <w:tcBorders>
              <w:top w:val="nil"/>
              <w:left w:val="single" w:sz="6" w:space="0" w:color="auto"/>
              <w:bottom w:val="single" w:sz="6" w:space="0" w:color="auto"/>
              <w:right w:val="single" w:sz="6" w:space="0" w:color="auto"/>
            </w:tcBorders>
          </w:tcPr>
          <w:p w:rsidR="006F42A0" w:rsidRPr="00772C02" w:rsidRDefault="006F42A0" w:rsidP="0087117E"/>
        </w:tc>
        <w:tc>
          <w:tcPr>
            <w:tcW w:w="3910" w:type="dxa"/>
            <w:tcBorders>
              <w:top w:val="nil"/>
              <w:left w:val="nil"/>
              <w:bottom w:val="single" w:sz="6" w:space="0" w:color="auto"/>
              <w:right w:val="single" w:sz="6" w:space="0" w:color="auto"/>
            </w:tcBorders>
          </w:tcPr>
          <w:p w:rsidR="006F42A0" w:rsidRPr="00772C02" w:rsidRDefault="006F42A0" w:rsidP="0087117E"/>
        </w:tc>
        <w:tc>
          <w:tcPr>
            <w:tcW w:w="4106" w:type="dxa"/>
            <w:tcBorders>
              <w:top w:val="nil"/>
              <w:left w:val="nil"/>
              <w:bottom w:val="single" w:sz="6" w:space="0" w:color="auto"/>
              <w:right w:val="single" w:sz="6" w:space="0" w:color="auto"/>
            </w:tcBorders>
          </w:tcPr>
          <w:p w:rsidR="006F42A0" w:rsidRPr="00772C02" w:rsidRDefault="006F42A0" w:rsidP="0087117E"/>
        </w:tc>
      </w:tr>
      <w:tr w:rsidR="006F42A0" w:rsidRPr="00772C02" w:rsidTr="007D0BC4">
        <w:trPr>
          <w:trHeight w:val="541"/>
        </w:trPr>
        <w:tc>
          <w:tcPr>
            <w:tcW w:w="1759" w:type="dxa"/>
            <w:tcBorders>
              <w:top w:val="nil"/>
              <w:left w:val="single" w:sz="6" w:space="0" w:color="auto"/>
              <w:bottom w:val="single" w:sz="6" w:space="0" w:color="auto"/>
              <w:right w:val="single" w:sz="6" w:space="0" w:color="auto"/>
            </w:tcBorders>
          </w:tcPr>
          <w:p w:rsidR="006F42A0" w:rsidRPr="00772C02" w:rsidRDefault="006F42A0" w:rsidP="0087117E"/>
        </w:tc>
        <w:tc>
          <w:tcPr>
            <w:tcW w:w="3910" w:type="dxa"/>
            <w:tcBorders>
              <w:top w:val="nil"/>
              <w:left w:val="nil"/>
              <w:bottom w:val="single" w:sz="6" w:space="0" w:color="auto"/>
              <w:right w:val="single" w:sz="6" w:space="0" w:color="auto"/>
            </w:tcBorders>
          </w:tcPr>
          <w:p w:rsidR="006F42A0" w:rsidRPr="00772C02" w:rsidRDefault="006F42A0" w:rsidP="0087117E"/>
        </w:tc>
        <w:tc>
          <w:tcPr>
            <w:tcW w:w="4106" w:type="dxa"/>
            <w:tcBorders>
              <w:top w:val="nil"/>
              <w:left w:val="nil"/>
              <w:bottom w:val="single" w:sz="6" w:space="0" w:color="auto"/>
              <w:right w:val="single" w:sz="6" w:space="0" w:color="auto"/>
            </w:tcBorders>
          </w:tcPr>
          <w:p w:rsidR="006F42A0" w:rsidRPr="00772C02" w:rsidRDefault="006F42A0" w:rsidP="0087117E"/>
        </w:tc>
      </w:tr>
      <w:tr w:rsidR="006F42A0" w:rsidRPr="00772C02" w:rsidTr="007D0BC4">
        <w:trPr>
          <w:trHeight w:val="541"/>
        </w:trPr>
        <w:tc>
          <w:tcPr>
            <w:tcW w:w="1759" w:type="dxa"/>
            <w:tcBorders>
              <w:top w:val="nil"/>
              <w:left w:val="single" w:sz="6" w:space="0" w:color="auto"/>
              <w:bottom w:val="single" w:sz="6" w:space="0" w:color="auto"/>
              <w:right w:val="single" w:sz="6" w:space="0" w:color="auto"/>
            </w:tcBorders>
          </w:tcPr>
          <w:p w:rsidR="006F42A0" w:rsidRPr="00772C02" w:rsidRDefault="006F42A0" w:rsidP="0087117E"/>
        </w:tc>
        <w:tc>
          <w:tcPr>
            <w:tcW w:w="3910" w:type="dxa"/>
            <w:tcBorders>
              <w:top w:val="nil"/>
              <w:left w:val="nil"/>
              <w:bottom w:val="single" w:sz="6" w:space="0" w:color="auto"/>
              <w:right w:val="single" w:sz="6" w:space="0" w:color="auto"/>
            </w:tcBorders>
          </w:tcPr>
          <w:p w:rsidR="006F42A0" w:rsidRPr="00772C02" w:rsidRDefault="006F42A0" w:rsidP="0087117E"/>
        </w:tc>
        <w:tc>
          <w:tcPr>
            <w:tcW w:w="4106" w:type="dxa"/>
            <w:tcBorders>
              <w:top w:val="nil"/>
              <w:left w:val="nil"/>
              <w:bottom w:val="single" w:sz="6" w:space="0" w:color="auto"/>
              <w:right w:val="single" w:sz="6" w:space="0" w:color="auto"/>
            </w:tcBorders>
          </w:tcPr>
          <w:p w:rsidR="006F42A0" w:rsidRPr="00772C02" w:rsidRDefault="006F42A0" w:rsidP="0087117E"/>
        </w:tc>
      </w:tr>
      <w:tr w:rsidR="006F42A0" w:rsidRPr="00772C02" w:rsidTr="007D0BC4">
        <w:trPr>
          <w:trHeight w:val="541"/>
        </w:trPr>
        <w:tc>
          <w:tcPr>
            <w:tcW w:w="1759" w:type="dxa"/>
            <w:tcBorders>
              <w:top w:val="nil"/>
              <w:left w:val="single" w:sz="6" w:space="0" w:color="auto"/>
              <w:bottom w:val="single" w:sz="6" w:space="0" w:color="auto"/>
              <w:right w:val="single" w:sz="6" w:space="0" w:color="auto"/>
            </w:tcBorders>
          </w:tcPr>
          <w:p w:rsidR="006F42A0" w:rsidRPr="00772C02" w:rsidRDefault="006F42A0" w:rsidP="0087117E"/>
        </w:tc>
        <w:tc>
          <w:tcPr>
            <w:tcW w:w="3910" w:type="dxa"/>
            <w:tcBorders>
              <w:top w:val="nil"/>
              <w:left w:val="nil"/>
              <w:bottom w:val="single" w:sz="6" w:space="0" w:color="auto"/>
              <w:right w:val="single" w:sz="6" w:space="0" w:color="auto"/>
            </w:tcBorders>
          </w:tcPr>
          <w:p w:rsidR="006F42A0" w:rsidRPr="00772C02" w:rsidRDefault="006F42A0" w:rsidP="0087117E"/>
        </w:tc>
        <w:tc>
          <w:tcPr>
            <w:tcW w:w="4106" w:type="dxa"/>
            <w:tcBorders>
              <w:top w:val="nil"/>
              <w:left w:val="nil"/>
              <w:bottom w:val="single" w:sz="6" w:space="0" w:color="auto"/>
              <w:right w:val="single" w:sz="6" w:space="0" w:color="auto"/>
            </w:tcBorders>
          </w:tcPr>
          <w:p w:rsidR="006F42A0" w:rsidRPr="00772C02" w:rsidRDefault="006F42A0" w:rsidP="0087117E"/>
        </w:tc>
      </w:tr>
      <w:tr w:rsidR="006F42A0" w:rsidRPr="00772C02" w:rsidTr="007D0BC4">
        <w:trPr>
          <w:trHeight w:val="541"/>
        </w:trPr>
        <w:tc>
          <w:tcPr>
            <w:tcW w:w="1759" w:type="dxa"/>
            <w:tcBorders>
              <w:top w:val="nil"/>
              <w:left w:val="single" w:sz="6" w:space="0" w:color="auto"/>
              <w:bottom w:val="single" w:sz="6" w:space="0" w:color="auto"/>
              <w:right w:val="single" w:sz="6" w:space="0" w:color="auto"/>
            </w:tcBorders>
          </w:tcPr>
          <w:p w:rsidR="006F42A0" w:rsidRPr="00772C02" w:rsidRDefault="006F42A0" w:rsidP="0087117E"/>
        </w:tc>
        <w:tc>
          <w:tcPr>
            <w:tcW w:w="3910" w:type="dxa"/>
            <w:tcBorders>
              <w:top w:val="nil"/>
              <w:left w:val="nil"/>
              <w:bottom w:val="single" w:sz="6" w:space="0" w:color="auto"/>
              <w:right w:val="single" w:sz="6" w:space="0" w:color="auto"/>
            </w:tcBorders>
          </w:tcPr>
          <w:p w:rsidR="006F42A0" w:rsidRPr="00772C02" w:rsidRDefault="006F42A0" w:rsidP="0087117E"/>
        </w:tc>
        <w:tc>
          <w:tcPr>
            <w:tcW w:w="4106" w:type="dxa"/>
            <w:tcBorders>
              <w:top w:val="nil"/>
              <w:left w:val="nil"/>
              <w:bottom w:val="single" w:sz="6" w:space="0" w:color="auto"/>
              <w:right w:val="single" w:sz="6" w:space="0" w:color="auto"/>
            </w:tcBorders>
          </w:tcPr>
          <w:p w:rsidR="006F42A0" w:rsidRPr="00772C02" w:rsidRDefault="006F42A0" w:rsidP="0087117E"/>
        </w:tc>
      </w:tr>
      <w:tr w:rsidR="006F42A0" w:rsidRPr="00772C02" w:rsidTr="007D0BC4">
        <w:trPr>
          <w:trHeight w:val="541"/>
        </w:trPr>
        <w:tc>
          <w:tcPr>
            <w:tcW w:w="1759" w:type="dxa"/>
            <w:tcBorders>
              <w:top w:val="nil"/>
              <w:left w:val="single" w:sz="6" w:space="0" w:color="auto"/>
              <w:bottom w:val="single" w:sz="6" w:space="0" w:color="auto"/>
              <w:right w:val="single" w:sz="6" w:space="0" w:color="auto"/>
            </w:tcBorders>
          </w:tcPr>
          <w:p w:rsidR="006F42A0" w:rsidRPr="00772C02" w:rsidRDefault="006F42A0" w:rsidP="0087117E"/>
        </w:tc>
        <w:tc>
          <w:tcPr>
            <w:tcW w:w="3910" w:type="dxa"/>
            <w:tcBorders>
              <w:top w:val="nil"/>
              <w:left w:val="nil"/>
              <w:bottom w:val="single" w:sz="6" w:space="0" w:color="auto"/>
              <w:right w:val="single" w:sz="6" w:space="0" w:color="auto"/>
            </w:tcBorders>
          </w:tcPr>
          <w:p w:rsidR="006F42A0" w:rsidRPr="00772C02" w:rsidRDefault="006F42A0" w:rsidP="0087117E"/>
        </w:tc>
        <w:tc>
          <w:tcPr>
            <w:tcW w:w="4106" w:type="dxa"/>
            <w:tcBorders>
              <w:top w:val="nil"/>
              <w:left w:val="nil"/>
              <w:bottom w:val="single" w:sz="6" w:space="0" w:color="auto"/>
              <w:right w:val="single" w:sz="6" w:space="0" w:color="auto"/>
            </w:tcBorders>
          </w:tcPr>
          <w:p w:rsidR="006F42A0" w:rsidRPr="00772C02" w:rsidRDefault="006F42A0" w:rsidP="0087117E"/>
        </w:tc>
      </w:tr>
      <w:tr w:rsidR="006F42A0" w:rsidRPr="00772C02" w:rsidTr="007D0BC4">
        <w:trPr>
          <w:trHeight w:val="541"/>
        </w:trPr>
        <w:tc>
          <w:tcPr>
            <w:tcW w:w="1759" w:type="dxa"/>
            <w:tcBorders>
              <w:top w:val="nil"/>
              <w:left w:val="single" w:sz="6" w:space="0" w:color="auto"/>
              <w:bottom w:val="single" w:sz="6" w:space="0" w:color="auto"/>
              <w:right w:val="single" w:sz="6" w:space="0" w:color="auto"/>
            </w:tcBorders>
          </w:tcPr>
          <w:p w:rsidR="006F42A0" w:rsidRPr="00772C02" w:rsidRDefault="006F42A0" w:rsidP="0087117E"/>
        </w:tc>
        <w:tc>
          <w:tcPr>
            <w:tcW w:w="3910" w:type="dxa"/>
            <w:tcBorders>
              <w:top w:val="nil"/>
              <w:left w:val="nil"/>
              <w:bottom w:val="single" w:sz="6" w:space="0" w:color="auto"/>
              <w:right w:val="single" w:sz="6" w:space="0" w:color="auto"/>
            </w:tcBorders>
          </w:tcPr>
          <w:p w:rsidR="006F42A0" w:rsidRPr="00772C02" w:rsidRDefault="006F42A0" w:rsidP="0087117E"/>
        </w:tc>
        <w:tc>
          <w:tcPr>
            <w:tcW w:w="4106" w:type="dxa"/>
            <w:tcBorders>
              <w:top w:val="nil"/>
              <w:left w:val="nil"/>
              <w:bottom w:val="single" w:sz="6" w:space="0" w:color="auto"/>
              <w:right w:val="single" w:sz="6" w:space="0" w:color="auto"/>
            </w:tcBorders>
          </w:tcPr>
          <w:p w:rsidR="006F42A0" w:rsidRPr="00772C02" w:rsidRDefault="006F42A0" w:rsidP="0087117E"/>
        </w:tc>
      </w:tr>
      <w:tr w:rsidR="006F42A0" w:rsidRPr="00772C02" w:rsidTr="007D0BC4">
        <w:trPr>
          <w:trHeight w:val="541"/>
        </w:trPr>
        <w:tc>
          <w:tcPr>
            <w:tcW w:w="1759" w:type="dxa"/>
            <w:tcBorders>
              <w:top w:val="nil"/>
              <w:left w:val="single" w:sz="6" w:space="0" w:color="auto"/>
              <w:bottom w:val="single" w:sz="6" w:space="0" w:color="auto"/>
              <w:right w:val="single" w:sz="6" w:space="0" w:color="auto"/>
            </w:tcBorders>
          </w:tcPr>
          <w:p w:rsidR="006F42A0" w:rsidRPr="00772C02" w:rsidRDefault="006F42A0" w:rsidP="0087117E"/>
        </w:tc>
        <w:tc>
          <w:tcPr>
            <w:tcW w:w="3910" w:type="dxa"/>
            <w:tcBorders>
              <w:top w:val="nil"/>
              <w:left w:val="nil"/>
              <w:bottom w:val="single" w:sz="6" w:space="0" w:color="auto"/>
              <w:right w:val="single" w:sz="6" w:space="0" w:color="auto"/>
            </w:tcBorders>
          </w:tcPr>
          <w:p w:rsidR="006F42A0" w:rsidRPr="00772C02" w:rsidRDefault="006F42A0" w:rsidP="0087117E"/>
        </w:tc>
        <w:tc>
          <w:tcPr>
            <w:tcW w:w="4106" w:type="dxa"/>
            <w:tcBorders>
              <w:top w:val="nil"/>
              <w:left w:val="nil"/>
              <w:bottom w:val="single" w:sz="6" w:space="0" w:color="auto"/>
              <w:right w:val="single" w:sz="6" w:space="0" w:color="auto"/>
            </w:tcBorders>
          </w:tcPr>
          <w:p w:rsidR="006F42A0" w:rsidRPr="00772C02" w:rsidRDefault="006F42A0" w:rsidP="0087117E"/>
        </w:tc>
      </w:tr>
      <w:tr w:rsidR="006F42A0" w:rsidRPr="00772C02" w:rsidTr="007D0BC4">
        <w:trPr>
          <w:trHeight w:val="541"/>
        </w:trPr>
        <w:tc>
          <w:tcPr>
            <w:tcW w:w="1759" w:type="dxa"/>
            <w:tcBorders>
              <w:top w:val="nil"/>
              <w:left w:val="single" w:sz="6" w:space="0" w:color="auto"/>
              <w:bottom w:val="single" w:sz="6" w:space="0" w:color="auto"/>
              <w:right w:val="single" w:sz="6" w:space="0" w:color="auto"/>
            </w:tcBorders>
          </w:tcPr>
          <w:p w:rsidR="006F42A0" w:rsidRPr="00772C02" w:rsidRDefault="006F42A0" w:rsidP="0087117E"/>
        </w:tc>
        <w:tc>
          <w:tcPr>
            <w:tcW w:w="3910" w:type="dxa"/>
            <w:tcBorders>
              <w:top w:val="nil"/>
              <w:left w:val="nil"/>
              <w:bottom w:val="single" w:sz="6" w:space="0" w:color="auto"/>
              <w:right w:val="single" w:sz="6" w:space="0" w:color="auto"/>
            </w:tcBorders>
          </w:tcPr>
          <w:p w:rsidR="006F42A0" w:rsidRPr="00772C02" w:rsidRDefault="006F42A0" w:rsidP="0087117E"/>
        </w:tc>
        <w:tc>
          <w:tcPr>
            <w:tcW w:w="4106"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7D0BC4" w:rsidP="006F42A0">
      <w:pPr>
        <w:jc w:val="center"/>
        <w:rPr>
          <w:sz w:val="16"/>
          <w:szCs w:val="16"/>
        </w:rPr>
      </w:pPr>
      <w:r>
        <w:rPr>
          <w:sz w:val="16"/>
          <w:szCs w:val="16"/>
        </w:rPr>
        <w:t>ELAZIĞ</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7D0BC4" w:rsidP="006F42A0">
      <w:pPr>
        <w:jc w:val="center"/>
        <w:rPr>
          <w:sz w:val="16"/>
          <w:szCs w:val="16"/>
        </w:rPr>
      </w:pPr>
      <w:r>
        <w:rPr>
          <w:sz w:val="16"/>
          <w:szCs w:val="16"/>
        </w:rPr>
        <w:t xml:space="preserve">ELAZIĞ </w:t>
      </w:r>
      <w:bookmarkStart w:id="0" w:name="_GoBack"/>
      <w:bookmarkEnd w:id="0"/>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3E" w:rsidRDefault="002D173E" w:rsidP="000A6C94">
      <w:r>
        <w:separator/>
      </w:r>
    </w:p>
  </w:endnote>
  <w:endnote w:type="continuationSeparator" w:id="0">
    <w:p w:rsidR="002D173E" w:rsidRDefault="002D173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3E" w:rsidRDefault="002D173E" w:rsidP="000A6C94">
      <w:r>
        <w:separator/>
      </w:r>
    </w:p>
  </w:footnote>
  <w:footnote w:type="continuationSeparator" w:id="0">
    <w:p w:rsidR="002D173E" w:rsidRDefault="002D173E"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D173E"/>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0BC4"/>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E554"/>
  <w15:docId w15:val="{25E89464-52A7-4758-9E93-4CE07FE6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E47E-179E-499A-974C-F1617ABC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2020</Words>
  <Characters>11519</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Ali Melik ERSOY</cp:lastModifiedBy>
  <cp:revision>2</cp:revision>
  <cp:lastPrinted>2019-01-30T07:58:00Z</cp:lastPrinted>
  <dcterms:created xsi:type="dcterms:W3CDTF">2019-11-22T11:52:00Z</dcterms:created>
  <dcterms:modified xsi:type="dcterms:W3CDTF">2019-11-22T11:52:00Z</dcterms:modified>
</cp:coreProperties>
</file>