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9F5E79"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G1, </w:t>
      </w:r>
      <w:r w:rsidR="001171F6">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sidR="001171F6">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002A0CC2">
        <w:rPr>
          <w:bCs/>
          <w:szCs w:val="24"/>
        </w:rPr>
        <w:t xml:space="preserve"> adresi üzerinden </w:t>
      </w:r>
      <w:r w:rsidR="00907DF5">
        <w:rPr>
          <w:bCs/>
          <w:szCs w:val="24"/>
        </w:rPr>
        <w:t xml:space="preserve">veya </w:t>
      </w:r>
      <w:r w:rsidR="002A0CC2">
        <w:rPr>
          <w:bCs/>
          <w:szCs w:val="24"/>
        </w:rPr>
        <w:t xml:space="preserve">Müdürlüğümüz </w:t>
      </w:r>
      <w:r w:rsidR="00907DF5" w:rsidRPr="00907DF5">
        <w:rPr>
          <w:bCs/>
          <w:color w:val="FF0000"/>
          <w:szCs w:val="24"/>
        </w:rPr>
        <w:t>Döner Sermaye birimin</w:t>
      </w:r>
      <w:r w:rsidR="002A0CC2">
        <w:rPr>
          <w:bCs/>
          <w:color w:val="FF0000"/>
          <w:szCs w:val="24"/>
        </w:rPr>
        <w:t>den</w:t>
      </w:r>
      <w:r w:rsidR="00907DF5" w:rsidRPr="00907DF5">
        <w:rPr>
          <w:bCs/>
          <w:color w:val="FF0000"/>
          <w:szCs w:val="24"/>
        </w:rPr>
        <w:t xml:space="preserve"> </w:t>
      </w:r>
      <w:r w:rsidR="002A0CC2">
        <w:rPr>
          <w:bCs/>
          <w:color w:val="FF0000"/>
          <w:szCs w:val="24"/>
        </w:rPr>
        <w:t xml:space="preserve">alınacaktır.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C64AEB">
        <w:rPr>
          <w:bCs/>
          <w:szCs w:val="24"/>
        </w:rPr>
        <w:br/>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w:t>
      </w:r>
      <w:r w:rsidR="001964CB" w:rsidRPr="00C64AEB">
        <w:rPr>
          <w:b/>
          <w:bCs/>
          <w:szCs w:val="24"/>
        </w:rPr>
        <w:t>i</w:t>
      </w:r>
      <w:r w:rsidRPr="00C64AEB">
        <w:rPr>
          <w:b/>
          <w:bCs/>
          <w:szCs w:val="24"/>
        </w:rPr>
        <w:t xml:space="preserve"> </w:t>
      </w:r>
      <w:r w:rsidR="004148CE" w:rsidRPr="00C64AEB">
        <w:rPr>
          <w:b/>
          <w:bCs/>
          <w:szCs w:val="24"/>
        </w:rPr>
        <w:t>Ücreti</w:t>
      </w:r>
      <w:r w:rsidRPr="00C64AEB">
        <w:rPr>
          <w:b/>
          <w:bCs/>
          <w:szCs w:val="24"/>
        </w:rPr>
        <w:t>”</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r w:rsidRPr="00493E2F">
        <w:rPr>
          <w:szCs w:val="24"/>
        </w:rPr>
        <w:t xml:space="preserve"> </w:t>
      </w:r>
    </w:p>
    <w:p w:rsidR="006D1665" w:rsidRPr="002A0CC2"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 xml:space="preserve">belirtilen yeterlik </w:t>
      </w:r>
      <w:proofErr w:type="gramStart"/>
      <w:r w:rsidRPr="00F774A4">
        <w:rPr>
          <w:b/>
          <w:color w:val="000000"/>
        </w:rPr>
        <w:t>kriterlerinin</w:t>
      </w:r>
      <w:proofErr w:type="gramEnd"/>
      <w:r w:rsidRPr="00F774A4">
        <w:rPr>
          <w:b/>
          <w:color w:val="000000"/>
        </w:rPr>
        <w:t xml:space="preserve"> birlikte sağlanması gerekir</w:t>
      </w:r>
      <w:r w:rsidR="00E048EB">
        <w:rPr>
          <w:b/>
          <w:color w:val="000000"/>
        </w:rPr>
        <w:t>.</w:t>
      </w:r>
    </w:p>
    <w:p w:rsidR="002A0CC2" w:rsidRDefault="002A0CC2" w:rsidP="002A0CC2">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2A0CC2" w:rsidRDefault="002A0CC2" w:rsidP="002A0CC2">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2A0CC2" w:rsidRPr="00E048EB" w:rsidRDefault="002A0CC2" w:rsidP="002A0CC2">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w:t>
      </w:r>
      <w:proofErr w:type="spellStart"/>
      <w:r w:rsidRPr="00B645C1">
        <w:rPr>
          <w:color w:val="FF0000"/>
        </w:rPr>
        <w:t>hakedişler</w:t>
      </w:r>
      <w:proofErr w:type="spellEnd"/>
      <w:r w:rsidRPr="00B645C1">
        <w:rPr>
          <w:color w:val="FF0000"/>
        </w:rPr>
        <w:t xml:space="preserve">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üzerinden </w:t>
      </w:r>
      <w:proofErr w:type="spellStart"/>
      <w:r>
        <w:t>kıst</w:t>
      </w:r>
      <w:proofErr w:type="spellEnd"/>
      <w:r>
        <w:t xml:space="preserve"> hesabı yapılır. Mezuniyet belgelerinde dikkate alınacak yıllık tutar </w:t>
      </w:r>
      <w:r w:rsidR="00923CBB" w:rsidRPr="00923CBB">
        <w:rPr>
          <w:b/>
        </w:rPr>
        <w:t xml:space="preserve">1.168.500 TL </w:t>
      </w:r>
      <w:proofErr w:type="spellStart"/>
      <w:r w:rsidR="00923CBB" w:rsidRPr="00923CBB">
        <w:rPr>
          <w:b/>
        </w:rPr>
        <w:t>dir</w:t>
      </w:r>
      <w:proofErr w:type="spellEnd"/>
      <w:r w:rsidR="00923CBB" w:rsidRPr="00923CBB">
        <w:rPr>
          <w:b/>
        </w:rPr>
        <w:t>.</w:t>
      </w:r>
    </w:p>
    <w:p w:rsidR="00397ABC" w:rsidRDefault="00397ABC" w:rsidP="00E86752">
      <w:pPr>
        <w:pStyle w:val="ListeParagraf"/>
        <w:numPr>
          <w:ilvl w:val="2"/>
          <w:numId w:val="22"/>
        </w:numPr>
        <w:adjustRightInd/>
        <w:spacing w:line="288" w:lineRule="auto"/>
        <w:jc w:val="both"/>
        <w:textAlignment w:val="auto"/>
      </w:pPr>
      <w:r>
        <w:t xml:space="preserve">Mezuniyet belgelerinin iş deneyimini tevsik için sunulması durumunda; mezuniyetten sonra geçen sürenin </w:t>
      </w:r>
      <w:proofErr w:type="spellStart"/>
      <w:r>
        <w:t>onbeş</w:t>
      </w:r>
      <w:proofErr w:type="spellEnd"/>
      <w:r>
        <w:t xml:space="preserve">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 xml:space="preserve">Yapı sahibinin aynı zamanda yapı </w:t>
      </w:r>
      <w:proofErr w:type="gramStart"/>
      <w:r w:rsidRPr="004C4A9B">
        <w:rPr>
          <w:b/>
        </w:rPr>
        <w:t>müteahhitliğini</w:t>
      </w:r>
      <w:proofErr w:type="gramEnd"/>
      <w:r w:rsidRPr="004C4A9B">
        <w:rPr>
          <w:b/>
        </w:rPr>
        <w:t xml:space="preserve">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31/12/2022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proofErr w:type="gramStart"/>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proofErr w:type="gramEnd"/>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2A0CC2"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w:t>
      </w:r>
      <w:proofErr w:type="gramStart"/>
      <w:r w:rsidR="00E264FD">
        <w:t>ile,</w:t>
      </w:r>
      <w:proofErr w:type="gramEnd"/>
      <w:r w:rsidR="00E264FD">
        <w:t xml:space="preserve"> </w:t>
      </w:r>
      <w:r w:rsidR="00E264FD">
        <w:rPr>
          <w:szCs w:val="24"/>
        </w:rPr>
        <w:t>başvuru sahibinin b</w:t>
      </w:r>
      <w:r w:rsidR="00E264FD" w:rsidRPr="00856549">
        <w:rPr>
          <w:szCs w:val="24"/>
        </w:rPr>
        <w:t xml:space="preserve">ankalar nezdindeki </w:t>
      </w:r>
      <w:r w:rsidR="00E264FD" w:rsidRPr="00856549">
        <w:rPr>
          <w:szCs w:val="24"/>
        </w:rPr>
        <w:lastRenderedPageBreak/>
        <w:t xml:space="preserve">kullanılmamış nakdi veya </w:t>
      </w:r>
      <w:proofErr w:type="spellStart"/>
      <w:r w:rsidR="00E264FD" w:rsidRPr="00856549">
        <w:rPr>
          <w:szCs w:val="24"/>
        </w:rPr>
        <w:t>gayrinakdi</w:t>
      </w:r>
      <w:proofErr w:type="spellEnd"/>
      <w:r w:rsidR="00E264FD" w:rsidRPr="00856549">
        <w:rPr>
          <w:szCs w:val="24"/>
        </w:rPr>
        <w:t xml:space="preserve">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2A0CC2" w:rsidRDefault="002A0CC2" w:rsidP="002A0CC2">
      <w:pPr>
        <w:widowControl w:val="0"/>
        <w:shd w:val="clear" w:color="auto" w:fill="FFFFFF"/>
        <w:tabs>
          <w:tab w:val="left" w:pos="426"/>
        </w:tabs>
        <w:overflowPunct/>
        <w:spacing w:line="288" w:lineRule="auto"/>
        <w:jc w:val="both"/>
        <w:textAlignment w:val="auto"/>
        <w:rPr>
          <w:szCs w:val="24"/>
        </w:rPr>
      </w:pPr>
    </w:p>
    <w:p w:rsidR="002A0CC2" w:rsidRDefault="002A0CC2" w:rsidP="002A0CC2">
      <w:pPr>
        <w:widowControl w:val="0"/>
        <w:shd w:val="clear" w:color="auto" w:fill="FFFFFF"/>
        <w:tabs>
          <w:tab w:val="left" w:pos="426"/>
        </w:tabs>
        <w:overflowPunct/>
        <w:spacing w:line="288" w:lineRule="auto"/>
        <w:jc w:val="both"/>
        <w:textAlignment w:val="auto"/>
        <w:rPr>
          <w:szCs w:val="24"/>
        </w:rPr>
      </w:pPr>
    </w:p>
    <w:p w:rsidR="002A0CC2" w:rsidRPr="0032246A" w:rsidRDefault="002A0CC2" w:rsidP="002A0CC2">
      <w:pPr>
        <w:widowControl w:val="0"/>
        <w:shd w:val="clear" w:color="auto" w:fill="FFFFFF"/>
        <w:tabs>
          <w:tab w:val="left" w:pos="426"/>
        </w:tabs>
        <w:overflowPunct/>
        <w:spacing w:line="288" w:lineRule="auto"/>
        <w:jc w:val="both"/>
        <w:textAlignment w:val="auto"/>
        <w:rPr>
          <w:b/>
          <w:bCs/>
          <w:szCs w:val="24"/>
        </w:rPr>
      </w:pP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t>Ekonomik ve Mali Yeterlik Bildirim Formu (Ek-2)</w:t>
      </w:r>
      <w:r>
        <w:t xml:space="preserve"> </w:t>
      </w:r>
      <w:proofErr w:type="gramStart"/>
      <w:r>
        <w:t>ile,</w:t>
      </w:r>
      <w:proofErr w:type="gramEnd"/>
      <w:r>
        <w:t xml:space="preserv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proofErr w:type="gramStart"/>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w:t>
      </w:r>
      <w:proofErr w:type="spellStart"/>
      <w:r>
        <w:t>hakediş</w:t>
      </w:r>
      <w:proofErr w:type="spellEnd"/>
      <w:r>
        <w:t xml:space="preserve"> gelirleri ise kısa vadeli borçlardan düşülecektir),</w:t>
      </w:r>
      <w:proofErr w:type="gramEnd"/>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proofErr w:type="gramStart"/>
      <w:r>
        <w:t>ve</w:t>
      </w:r>
      <w:proofErr w:type="gramEnd"/>
      <w:r>
        <w:t xml:space="preserve"> belirtilen üç kriterin birlikte sağlanması zorunludur.</w:t>
      </w:r>
      <w:r w:rsidRPr="00697370">
        <w:t xml:space="preserve"> </w:t>
      </w:r>
      <w:r w:rsidRPr="000B1452">
        <w:t>31/12/2022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 xml:space="preserve">Yukarıda belirtilen </w:t>
      </w:r>
      <w:proofErr w:type="gramStart"/>
      <w:r w:rsidRPr="00B72113">
        <w:rPr>
          <w:color w:val="000000"/>
        </w:rPr>
        <w:t>kriterleri</w:t>
      </w:r>
      <w:proofErr w:type="gramEnd"/>
      <w:r w:rsidRPr="00B72113">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72113">
        <w:rPr>
          <w:color w:val="000000"/>
        </w:rPr>
        <w:t>kriterini</w:t>
      </w:r>
      <w:proofErr w:type="gramEnd"/>
      <w:r w:rsidRPr="00B72113">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proofErr w:type="gramStart"/>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w:t>
      </w:r>
      <w:proofErr w:type="spellStart"/>
      <w:r w:rsidRPr="0032246A">
        <w:rPr>
          <w:b/>
        </w:rPr>
        <w:t>bknz</w:t>
      </w:r>
      <w:proofErr w:type="spellEnd"/>
      <w:r w:rsidRPr="0032246A">
        <w:rPr>
          <w:b/>
        </w:rPr>
        <w:t xml:space="preserve">. </w:t>
      </w:r>
      <w:proofErr w:type="gramEnd"/>
      <w:r w:rsidRPr="0032246A">
        <w:rPr>
          <w:b/>
        </w:rPr>
        <w:t>Tablo 1)</w:t>
      </w:r>
      <w:r>
        <w:t xml:space="preserve">. </w:t>
      </w:r>
      <w:r w:rsidRPr="000F1AFD">
        <w:rPr>
          <w:b/>
        </w:rPr>
        <w:t>F, F1, G ve G1 grupları için ciro şartı aranmaz.</w:t>
      </w:r>
      <w:r>
        <w:t xml:space="preserve"> Bu </w:t>
      </w:r>
      <w:proofErr w:type="gramStart"/>
      <w:r>
        <w:t>kriteri</w:t>
      </w:r>
      <w:proofErr w:type="gramEnd"/>
      <w: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B2C22">
        <w:rPr>
          <w:color w:val="FF0000"/>
        </w:rPr>
        <w:t xml:space="preserve">ONAYLI </w:t>
      </w:r>
      <w:r w:rsidRPr="00B43CE5">
        <w:rPr>
          <w:color w:val="FF0000"/>
        </w:rPr>
        <w:t xml:space="preserve">KURUMLAR VERGİSİ BEYANNAMELERİNİNİN </w:t>
      </w:r>
      <w:r w:rsidR="003B2C22">
        <w:rPr>
          <w:color w:val="FF0000"/>
        </w:rPr>
        <w:t xml:space="preserve">VEYA İNTERNET VERGİ DAİRESİNDEN ALINACAK İŞLEM NUMARALI DOĞRULAMA KODLU AYRINTILI BİLANÇO GELİR-GİDER HESAP ÖZETİ </w:t>
      </w:r>
      <w:r w:rsidRPr="00B43CE5">
        <w:rPr>
          <w:color w:val="FF0000"/>
        </w:rPr>
        <w:t>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2"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3" w:name="_Hlk60826871"/>
      <w:bookmarkEnd w:id="2"/>
    </w:p>
    <w:bookmarkEnd w:id="0"/>
    <w:bookmarkEnd w:id="3"/>
    <w:p w:rsidR="00356689" w:rsidRDefault="00356689" w:rsidP="00907DF5">
      <w:pPr>
        <w:keepNext/>
        <w:overflowPunct/>
        <w:autoSpaceDE/>
        <w:autoSpaceDN/>
        <w:adjustRightInd/>
        <w:spacing w:after="160" w:line="259" w:lineRule="auto"/>
        <w:textAlignment w:val="auto"/>
      </w:pPr>
    </w:p>
    <w:p w:rsidR="00EE405C" w:rsidRDefault="00356689" w:rsidP="00EE405C">
      <w:pPr>
        <w:keepNext/>
        <w:overflowPunct/>
        <w:autoSpaceDE/>
        <w:autoSpaceDN/>
        <w:adjustRightInd/>
        <w:spacing w:after="160" w:line="259" w:lineRule="auto"/>
        <w:jc w:val="center"/>
        <w:textAlignment w:val="auto"/>
      </w:pPr>
      <w:r w:rsidRPr="00356689">
        <w:rPr>
          <w:noProof/>
          <w:lang w:eastAsia="tr-TR"/>
        </w:rPr>
        <w:drawing>
          <wp:inline distT="0" distB="0" distL="0" distR="0">
            <wp:extent cx="5319423" cy="678899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571" cy="6795561"/>
                    </a:xfrm>
                    <a:prstGeom prst="rect">
                      <a:avLst/>
                    </a:prstGeom>
                    <a:noFill/>
                    <a:ln>
                      <a:noFill/>
                    </a:ln>
                  </pic:spPr>
                </pic:pic>
              </a:graphicData>
            </a:graphic>
          </wp:inline>
        </w:drawing>
      </w:r>
    </w:p>
    <w:p w:rsidR="00356689" w:rsidRDefault="00EE405C" w:rsidP="00EE405C">
      <w:pPr>
        <w:overflowPunct/>
        <w:autoSpaceDE/>
        <w:autoSpaceDN/>
        <w:adjustRightInd/>
        <w:spacing w:after="160" w:line="276" w:lineRule="auto"/>
        <w:jc w:val="center"/>
        <w:textAlignment w:val="auto"/>
        <w:rPr>
          <w:b/>
          <w:sz w:val="26"/>
          <w:szCs w:val="26"/>
        </w:rPr>
      </w:pPr>
      <w:r w:rsidRPr="00B153A8">
        <w:rPr>
          <w:b/>
          <w:sz w:val="26"/>
          <w:szCs w:val="26"/>
        </w:rPr>
        <w:t xml:space="preserve">Tablo </w:t>
      </w:r>
      <w:r w:rsidR="005F4310">
        <w:rPr>
          <w:b/>
          <w:sz w:val="26"/>
          <w:szCs w:val="26"/>
        </w:rPr>
        <w:t>1</w:t>
      </w:r>
      <w:r w:rsidRPr="00B153A8">
        <w:rPr>
          <w:b/>
          <w:sz w:val="26"/>
          <w:szCs w:val="26"/>
        </w:rPr>
        <w:t xml:space="preserve"> – Müteahhitlik Yetki Belgesi İşlem Ücretleri</w:t>
      </w:r>
    </w:p>
    <w:p w:rsidR="00356689" w:rsidRDefault="00356689">
      <w:pPr>
        <w:overflowPunct/>
        <w:autoSpaceDE/>
        <w:autoSpaceDN/>
        <w:adjustRightInd/>
        <w:spacing w:after="160" w:line="259" w:lineRule="auto"/>
        <w:textAlignment w:val="auto"/>
        <w:rPr>
          <w:b/>
          <w:sz w:val="26"/>
          <w:szCs w:val="26"/>
        </w:rPr>
      </w:pPr>
      <w:r>
        <w:rPr>
          <w:b/>
          <w:sz w:val="26"/>
          <w:szCs w:val="26"/>
        </w:rPr>
        <w:br w:type="page"/>
      </w:r>
    </w:p>
    <w:p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bookmarkStart w:id="4" w:name="_GoBack"/>
      <w:bookmarkEnd w:id="4"/>
    </w:p>
    <w:p w:rsidR="00041B16" w:rsidRDefault="00041B16"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2A0CC2" w:rsidP="00041B16">
      <w:pPr>
        <w:jc w:val="center"/>
      </w:pPr>
      <w:r>
        <w:t xml:space="preserve">DÜZCE </w:t>
      </w:r>
      <w:r w:rsidR="00041B16">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BC2AD7"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45381A" w:rsidRPr="00772C02" w:rsidRDefault="0045381A" w:rsidP="0045381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bl>
    <w:p w:rsidR="0045381A" w:rsidRPr="00772C02" w:rsidRDefault="0045381A" w:rsidP="0045381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Default="0045381A" w:rsidP="0045381A">
      <w:pPr>
        <w:widowControl w:val="0"/>
        <w:overflowPunct/>
        <w:autoSpaceDE/>
        <w:autoSpaceDN/>
        <w:adjustRightInd/>
        <w:jc w:val="both"/>
        <w:textAlignment w:val="auto"/>
        <w:rPr>
          <w:b/>
          <w:bCs/>
          <w:color w:val="000000"/>
          <w:szCs w:val="24"/>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457E3B" w:rsidRDefault="0045381A" w:rsidP="0045381A">
      <w:pPr>
        <w:pStyle w:val="Tabloyazs0"/>
        <w:shd w:val="clear" w:color="auto" w:fill="auto"/>
        <w:spacing w:line="240" w:lineRule="auto"/>
        <w:rPr>
          <w:caps/>
          <w:color w:val="000000"/>
          <w:sz w:val="24"/>
          <w:szCs w:val="24"/>
          <w:shd w:val="clear" w:color="auto" w:fill="FFFFFF"/>
        </w:rPr>
      </w:pPr>
    </w:p>
    <w:p w:rsidR="0045381A"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45381A" w:rsidRPr="00772C02"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45381A" w:rsidRPr="00772C02" w:rsidRDefault="0045381A" w:rsidP="0045381A">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45381A" w:rsidRPr="00772C02" w:rsidRDefault="0045381A" w:rsidP="0045381A">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45381A"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0C4652" w:rsidRPr="00772C02" w:rsidRDefault="000C4652" w:rsidP="0045381A">
      <w:pPr>
        <w:widowControl w:val="0"/>
        <w:overflowPunct/>
        <w:autoSpaceDE/>
        <w:autoSpaceDN/>
        <w:adjustRightInd/>
        <w:ind w:left="7513"/>
        <w:jc w:val="center"/>
        <w:textAlignment w:val="auto"/>
        <w:rPr>
          <w:color w:val="000000"/>
          <w:sz w:val="22"/>
          <w:szCs w:val="22"/>
        </w:rPr>
      </w:pPr>
    </w:p>
    <w:p w:rsidR="0045381A" w:rsidRPr="00772C02" w:rsidRDefault="0045381A" w:rsidP="0045381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45381A" w:rsidRPr="00772C02" w:rsidRDefault="0045381A" w:rsidP="0045381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45381A" w:rsidRPr="00772C02" w:rsidRDefault="0045381A" w:rsidP="0045381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45381A" w:rsidRPr="00772C02" w:rsidRDefault="0045381A" w:rsidP="0045381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0E" w:rsidRDefault="0010590E" w:rsidP="000A6C94">
      <w:r>
        <w:separator/>
      </w:r>
    </w:p>
  </w:endnote>
  <w:endnote w:type="continuationSeparator" w:id="0">
    <w:p w:rsidR="0010590E" w:rsidRDefault="0010590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0E" w:rsidRDefault="0010590E" w:rsidP="000A6C94">
      <w:r>
        <w:separator/>
      </w:r>
    </w:p>
  </w:footnote>
  <w:footnote w:type="continuationSeparator" w:id="0">
    <w:p w:rsidR="0010590E" w:rsidRDefault="0010590E" w:rsidP="000A6C94">
      <w:r>
        <w:continuationSeparator/>
      </w:r>
    </w:p>
  </w:footnote>
  <w:footnote w:id="1">
    <w:p w:rsidR="00916907" w:rsidRDefault="00916907" w:rsidP="00041B16">
      <w:pPr>
        <w:pStyle w:val="DipnotMetni"/>
      </w:pPr>
      <w:r>
        <w:rPr>
          <w:rStyle w:val="DipnotBavurusu"/>
        </w:rPr>
        <w:footnoteRef/>
      </w:r>
      <w:r>
        <w:t xml:space="preserve"> Talep edilen belge grubunun belirtilmediği dilekçeler işleme alınmaz.</w:t>
      </w:r>
    </w:p>
  </w:footnote>
  <w:footnote w:id="2">
    <w:p w:rsidR="00916907" w:rsidRDefault="0091690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AFD"/>
    <w:rsid w:val="0010590E"/>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CC2"/>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7C56"/>
    <w:rsid w:val="007016A1"/>
    <w:rsid w:val="00720C57"/>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5E79"/>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5F82"/>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32EC-76C4-4999-8FAD-37EE6E09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3295</Words>
  <Characters>18782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Yavuz Kaynak</cp:lastModifiedBy>
  <cp:revision>3</cp:revision>
  <cp:lastPrinted>2022-01-26T10:55:00Z</cp:lastPrinted>
  <dcterms:created xsi:type="dcterms:W3CDTF">2022-09-23T12:17:00Z</dcterms:created>
  <dcterms:modified xsi:type="dcterms:W3CDTF">2022-10-06T07:35:00Z</dcterms:modified>
</cp:coreProperties>
</file>