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7F" w:rsidRPr="000B6E42" w:rsidRDefault="0031677F">
      <w:pPr>
        <w:rPr>
          <w:b/>
          <w:sz w:val="32"/>
        </w:rPr>
      </w:pPr>
      <w:r w:rsidRPr="000B6E42">
        <w:rPr>
          <w:b/>
          <w:sz w:val="32"/>
        </w:rPr>
        <w:t>TEHLİKESİZ ATIK TOPLAMA AYIRMA TESİSLERİNİN DİKKATİNE!</w:t>
      </w:r>
    </w:p>
    <w:p w:rsidR="000B6E42" w:rsidRPr="000B6E42" w:rsidRDefault="0031677F" w:rsidP="0031677F">
      <w:pPr>
        <w:rPr>
          <w:rFonts w:ascii="Times New Roman" w:hAnsi="Times New Roman" w:cs="Times New Roman"/>
          <w:sz w:val="24"/>
          <w:szCs w:val="24"/>
        </w:rPr>
      </w:pPr>
      <w:r w:rsidRPr="000B6E42">
        <w:rPr>
          <w:rFonts w:ascii="Times New Roman" w:hAnsi="Times New Roman" w:cs="Times New Roman"/>
          <w:sz w:val="24"/>
          <w:szCs w:val="24"/>
        </w:rPr>
        <w:t>BAZI TEHLİKESİZ ATIKLARIN GERİ KAZANIMI TEBLİĞİ KALDIRILDI.</w:t>
      </w:r>
    </w:p>
    <w:p w:rsidR="0031677F" w:rsidRPr="000B6E42" w:rsidRDefault="000B6E42" w:rsidP="00966B7C">
      <w:pPr>
        <w:jc w:val="both"/>
        <w:rPr>
          <w:rFonts w:ascii="Times New Roman" w:hAnsi="Times New Roman" w:cs="Times New Roman"/>
          <w:sz w:val="24"/>
          <w:szCs w:val="24"/>
        </w:rPr>
      </w:pPr>
      <w:r w:rsidRPr="000B6E42">
        <w:rPr>
          <w:rFonts w:ascii="Times New Roman" w:hAnsi="Times New Roman" w:cs="Times New Roman"/>
          <w:sz w:val="24"/>
          <w:szCs w:val="24"/>
        </w:rPr>
        <w:tab/>
        <w:t xml:space="preserve">09.10.2021 Tarih </w:t>
      </w:r>
      <w:r w:rsidR="00F96608">
        <w:rPr>
          <w:rFonts w:ascii="Times New Roman" w:hAnsi="Times New Roman" w:cs="Times New Roman"/>
          <w:sz w:val="24"/>
          <w:szCs w:val="24"/>
        </w:rPr>
        <w:t>v</w:t>
      </w:r>
      <w:r w:rsidRPr="000B6E42">
        <w:rPr>
          <w:rFonts w:ascii="Times New Roman" w:hAnsi="Times New Roman" w:cs="Times New Roman"/>
          <w:sz w:val="24"/>
          <w:szCs w:val="24"/>
        </w:rPr>
        <w:t xml:space="preserve">e 31623 Sayılı Resmi Gazetede Yayımlanarak Yürürlüğe Giren </w:t>
      </w:r>
      <w:r w:rsidR="00F96608">
        <w:rPr>
          <w:rFonts w:ascii="Times New Roman" w:hAnsi="Times New Roman" w:cs="Times New Roman"/>
          <w:sz w:val="24"/>
          <w:szCs w:val="24"/>
        </w:rPr>
        <w:t>“</w:t>
      </w:r>
      <w:r w:rsidRPr="000B6E42">
        <w:rPr>
          <w:rFonts w:ascii="Times New Roman" w:hAnsi="Times New Roman" w:cs="Times New Roman"/>
          <w:sz w:val="24"/>
          <w:szCs w:val="24"/>
        </w:rPr>
        <w:t>Atık Ön İşlem Ve Geri Kazanım Tesislerinin Genel Esaslarına İlişkin Yönetmelik</w:t>
      </w:r>
      <w:r w:rsidR="00F96608">
        <w:rPr>
          <w:rFonts w:ascii="Times New Roman" w:hAnsi="Times New Roman" w:cs="Times New Roman"/>
          <w:sz w:val="24"/>
          <w:szCs w:val="24"/>
        </w:rPr>
        <w:t>”</w:t>
      </w:r>
      <w:r w:rsidRPr="000B6E42">
        <w:rPr>
          <w:rFonts w:ascii="Times New Roman" w:hAnsi="Times New Roman" w:cs="Times New Roman"/>
          <w:sz w:val="24"/>
          <w:szCs w:val="24"/>
        </w:rPr>
        <w:t xml:space="preserve"> </w:t>
      </w:r>
      <w:r w:rsidR="00F96608">
        <w:rPr>
          <w:rFonts w:ascii="Times New Roman" w:hAnsi="Times New Roman" w:cs="Times New Roman"/>
          <w:sz w:val="24"/>
          <w:szCs w:val="24"/>
        </w:rPr>
        <w:t>i</w:t>
      </w:r>
      <w:r w:rsidRPr="000B6E42">
        <w:rPr>
          <w:rFonts w:ascii="Times New Roman" w:hAnsi="Times New Roman" w:cs="Times New Roman"/>
          <w:sz w:val="24"/>
          <w:szCs w:val="24"/>
        </w:rPr>
        <w:t xml:space="preserve">le </w:t>
      </w:r>
      <w:r w:rsidRPr="006D0033">
        <w:rPr>
          <w:rFonts w:ascii="Times New Roman" w:hAnsi="Times New Roman" w:cs="Times New Roman"/>
          <w:b/>
          <w:sz w:val="24"/>
          <w:szCs w:val="24"/>
        </w:rPr>
        <w:t>Toplama Ayırma Tesislerine Çevre Lisansı alma zorunluluğu getirildi.</w:t>
      </w:r>
    </w:p>
    <w:p w:rsidR="0031677F" w:rsidRPr="000B6E42" w:rsidRDefault="00966B7C" w:rsidP="0031677F">
      <w:pPr>
        <w:pStyle w:val="metin"/>
        <w:spacing w:before="0" w:beforeAutospacing="0" w:after="0" w:afterAutospacing="0" w:line="305" w:lineRule="atLeast"/>
        <w:ind w:firstLine="567"/>
        <w:jc w:val="both"/>
        <w:rPr>
          <w:color w:val="000000"/>
        </w:rPr>
      </w:pPr>
      <w:r>
        <w:rPr>
          <w:color w:val="000000"/>
        </w:rPr>
        <w:tab/>
      </w:r>
      <w:r w:rsidR="0031677F" w:rsidRPr="000B6E42">
        <w:rPr>
          <w:color w:val="000000"/>
        </w:rPr>
        <w:t>Bu Yönetmeliğin y</w:t>
      </w:r>
      <w:r w:rsidR="00602FBC">
        <w:rPr>
          <w:color w:val="000000"/>
        </w:rPr>
        <w:t>ürürlüğe girdiği tarihten önce İ</w:t>
      </w:r>
      <w:r w:rsidR="0031677F" w:rsidRPr="000B6E42">
        <w:rPr>
          <w:color w:val="000000"/>
        </w:rPr>
        <w:t xml:space="preserve">l </w:t>
      </w:r>
      <w:r w:rsidR="00602FBC">
        <w:rPr>
          <w:color w:val="000000"/>
        </w:rPr>
        <w:t>Müdürlüğümüz</w:t>
      </w:r>
      <w:r w:rsidR="0031677F" w:rsidRPr="000B6E42">
        <w:rPr>
          <w:color w:val="000000"/>
        </w:rPr>
        <w:t>den izin belgesi alarak faaliyetlerini gerçekleştirmekte olan tehlikesiz atık toplama ayırma tesisleri, mevcut izin sürelerinin sonuna kadar faaliyetlerine devam edebilirler.</w:t>
      </w:r>
    </w:p>
    <w:p w:rsidR="0031677F" w:rsidRPr="000B6E42" w:rsidRDefault="00966B7C" w:rsidP="0031677F">
      <w:pPr>
        <w:pStyle w:val="metin"/>
        <w:spacing w:before="0" w:beforeAutospacing="0" w:after="0" w:afterAutospacing="0" w:line="305" w:lineRule="atLeast"/>
        <w:ind w:firstLine="567"/>
        <w:jc w:val="both"/>
        <w:rPr>
          <w:color w:val="000000"/>
        </w:rPr>
      </w:pPr>
      <w:r>
        <w:rPr>
          <w:color w:val="000000"/>
        </w:rPr>
        <w:tab/>
      </w:r>
      <w:r w:rsidR="0031677F" w:rsidRPr="000B6E42">
        <w:rPr>
          <w:color w:val="000000"/>
        </w:rPr>
        <w:t>Mevcut izinli tehlikesiz atık toplama ayırma tesisleri;</w:t>
      </w:r>
    </w:p>
    <w:p w:rsidR="0031677F" w:rsidRPr="000B6E42" w:rsidRDefault="00A32194" w:rsidP="0031677F">
      <w:pPr>
        <w:pStyle w:val="metin"/>
        <w:spacing w:before="0" w:beforeAutospacing="0" w:after="0" w:afterAutospacing="0" w:line="305" w:lineRule="atLeast"/>
        <w:ind w:firstLine="567"/>
        <w:jc w:val="both"/>
        <w:rPr>
          <w:color w:val="000000"/>
        </w:rPr>
      </w:pPr>
      <w:r w:rsidRPr="000B6E42">
        <w:rPr>
          <w:color w:val="000000"/>
        </w:rPr>
        <w:t>-</w:t>
      </w:r>
      <w:r w:rsidR="0031677F" w:rsidRPr="000B6E42">
        <w:rPr>
          <w:color w:val="000000"/>
        </w:rPr>
        <w:t xml:space="preserve"> Tesislerine, 1/1/2022 tarihinden itibaren EK-1’de yer alan atık kodları dışında atık kabul etmemekle,</w:t>
      </w:r>
    </w:p>
    <w:p w:rsidR="0031677F" w:rsidRPr="000B6E42" w:rsidRDefault="00A32194" w:rsidP="0031677F">
      <w:pPr>
        <w:pStyle w:val="metin"/>
        <w:spacing w:before="0" w:beforeAutospacing="0" w:after="0" w:afterAutospacing="0" w:line="305" w:lineRule="atLeast"/>
        <w:ind w:firstLine="567"/>
        <w:jc w:val="both"/>
        <w:rPr>
          <w:color w:val="000000"/>
        </w:rPr>
      </w:pPr>
      <w:r w:rsidRPr="000B6E42">
        <w:rPr>
          <w:color w:val="000000"/>
        </w:rPr>
        <w:t>-</w:t>
      </w:r>
      <w:r w:rsidR="0031677F" w:rsidRPr="000B6E42">
        <w:rPr>
          <w:color w:val="000000"/>
        </w:rPr>
        <w:t xml:space="preserve"> Tesislerinde EK-1’de yer alan atık kodlarından farklı kodda atıkların bulunması halinde, mevcut izin süresini aşmamak koşuluyla bu Yönetmeliğin yürürlüğe girdiği tarihten itibaren en geç bir yıl içerisinde söz konusu atıkların tamamını çevre lisanslı atık işleme tesislerine göndermekle</w:t>
      </w:r>
      <w:r w:rsidRPr="000B6E42">
        <w:rPr>
          <w:color w:val="000000"/>
        </w:rPr>
        <w:t xml:space="preserve"> </w:t>
      </w:r>
      <w:r w:rsidR="0031677F" w:rsidRPr="000B6E42">
        <w:rPr>
          <w:color w:val="000000"/>
        </w:rPr>
        <w:t>yükümlüdür.</w:t>
      </w:r>
    </w:p>
    <w:p w:rsidR="003D1423" w:rsidRDefault="00966B7C" w:rsidP="006D0033">
      <w:pPr>
        <w:pStyle w:val="metin"/>
        <w:spacing w:before="0" w:beforeAutospacing="0" w:after="0" w:afterAutospacing="0" w:line="305" w:lineRule="atLeast"/>
        <w:ind w:firstLine="567"/>
        <w:jc w:val="both"/>
        <w:rPr>
          <w:color w:val="000000"/>
        </w:rPr>
      </w:pPr>
      <w:r>
        <w:rPr>
          <w:color w:val="000000"/>
        </w:rPr>
        <w:tab/>
      </w:r>
      <w:r w:rsidR="0031677F" w:rsidRPr="000B6E42">
        <w:rPr>
          <w:color w:val="000000"/>
        </w:rPr>
        <w:t xml:space="preserve">Bu Yönetmelik ile belirlenen koşullara, bu maddede verilen süreler içerisinde uyum sağlayamayan mevcut izinli tehlikesiz atık toplama ayırma tesisleri için 12 </w:t>
      </w:r>
      <w:proofErr w:type="spellStart"/>
      <w:r w:rsidR="0031677F" w:rsidRPr="000B6E42">
        <w:rPr>
          <w:color w:val="000000"/>
        </w:rPr>
        <w:t>nci</w:t>
      </w:r>
      <w:proofErr w:type="spellEnd"/>
      <w:r w:rsidR="0031677F" w:rsidRPr="000B6E42">
        <w:rPr>
          <w:color w:val="000000"/>
        </w:rPr>
        <w:t xml:space="preserve"> madde çerçevesinde kapatma planı sunularak iş ve işlemler yürütülür ve izin belgesi iptal edilir.</w:t>
      </w:r>
    </w:p>
    <w:p w:rsidR="002D1429" w:rsidRDefault="002D1429" w:rsidP="006D0033">
      <w:pPr>
        <w:pStyle w:val="metin"/>
        <w:spacing w:before="0" w:beforeAutospacing="0" w:after="0" w:afterAutospacing="0" w:line="305" w:lineRule="atLeast"/>
        <w:ind w:firstLine="567"/>
      </w:pPr>
      <w:r>
        <w:tab/>
      </w:r>
    </w:p>
    <w:p w:rsidR="006D0033" w:rsidRPr="006D0033" w:rsidRDefault="006D0033" w:rsidP="006D0033">
      <w:pPr>
        <w:pStyle w:val="metin"/>
        <w:spacing w:before="0" w:beforeAutospacing="0" w:after="0" w:afterAutospacing="0" w:line="305" w:lineRule="atLeast"/>
        <w:ind w:firstLine="567"/>
        <w:rPr>
          <w:color w:val="000000"/>
        </w:rPr>
      </w:pPr>
      <w:bookmarkStart w:id="0" w:name="_GoBack"/>
      <w:bookmarkEnd w:id="0"/>
      <w:r>
        <w:t>Ayrıntılı bilgi için;</w:t>
      </w:r>
      <w:r>
        <w:rPr>
          <w:color w:val="000000"/>
        </w:rPr>
        <w:t xml:space="preserve"> </w:t>
      </w:r>
      <w:hyperlink r:id="rId4" w:history="1">
        <w:r w:rsidRPr="008E1551">
          <w:rPr>
            <w:rStyle w:val="Kpr"/>
          </w:rPr>
          <w:t>https://www.mevzuat.gov.tr/mevzuat?MevzuatNo=38990&amp;MevzuatTur=7&amp;MevzuatTertip=5</w:t>
        </w:r>
      </w:hyperlink>
      <w:r>
        <w:rPr>
          <w:color w:val="000000"/>
        </w:rPr>
        <w:t xml:space="preserve"> </w:t>
      </w:r>
    </w:p>
    <w:sectPr w:rsidR="006D0033" w:rsidRPr="006D0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4C"/>
    <w:rsid w:val="00055065"/>
    <w:rsid w:val="000B6E42"/>
    <w:rsid w:val="002D1429"/>
    <w:rsid w:val="0031677F"/>
    <w:rsid w:val="003D1423"/>
    <w:rsid w:val="00602FBC"/>
    <w:rsid w:val="006D0033"/>
    <w:rsid w:val="007529E9"/>
    <w:rsid w:val="00966B7C"/>
    <w:rsid w:val="00A32194"/>
    <w:rsid w:val="00C2564C"/>
    <w:rsid w:val="00F96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EAE9"/>
  <w15:chartTrackingRefBased/>
  <w15:docId w15:val="{F3D756C5-4C69-4909-AC63-B34E544A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3167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167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D0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44874">
      <w:bodyDiv w:val="1"/>
      <w:marLeft w:val="0"/>
      <w:marRight w:val="0"/>
      <w:marTop w:val="0"/>
      <w:marBottom w:val="0"/>
      <w:divBdr>
        <w:top w:val="none" w:sz="0" w:space="0" w:color="auto"/>
        <w:left w:val="none" w:sz="0" w:space="0" w:color="auto"/>
        <w:bottom w:val="none" w:sz="0" w:space="0" w:color="auto"/>
        <w:right w:val="none" w:sz="0" w:space="0" w:color="auto"/>
      </w:divBdr>
    </w:div>
    <w:div w:id="149241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vzuatNo=38990&amp;MevzuatTur=7&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225</Words>
  <Characters>1286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ÜNAL</dc:creator>
  <cp:keywords/>
  <dc:description/>
  <cp:lastModifiedBy>Sema ÜNAL</cp:lastModifiedBy>
  <cp:revision>11</cp:revision>
  <dcterms:created xsi:type="dcterms:W3CDTF">2021-10-19T13:41:00Z</dcterms:created>
  <dcterms:modified xsi:type="dcterms:W3CDTF">2021-10-19T13:55:00Z</dcterms:modified>
</cp:coreProperties>
</file>