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D2D" w:rsidRPr="00C66034" w:rsidRDefault="009B6D2D" w:rsidP="009B6D2D">
      <w:pPr>
        <w:ind w:right="-1"/>
        <w:jc w:val="center"/>
        <w:rPr>
          <w:b/>
          <w:sz w:val="18"/>
          <w:szCs w:val="18"/>
        </w:rPr>
      </w:pPr>
      <w:r w:rsidRPr="00C66034">
        <w:rPr>
          <w:b/>
          <w:sz w:val="18"/>
          <w:szCs w:val="18"/>
        </w:rPr>
        <w:t>T.C.</w:t>
      </w:r>
    </w:p>
    <w:p w:rsidR="009B6D2D" w:rsidRPr="00C66034" w:rsidRDefault="00EB0696" w:rsidP="009B6D2D">
      <w:pPr>
        <w:ind w:right="-1"/>
        <w:jc w:val="center"/>
        <w:rPr>
          <w:b/>
          <w:sz w:val="18"/>
          <w:szCs w:val="18"/>
        </w:rPr>
      </w:pPr>
      <w:r w:rsidRPr="00C66034">
        <w:rPr>
          <w:b/>
          <w:sz w:val="18"/>
          <w:szCs w:val="18"/>
        </w:rPr>
        <w:t>KALE KAYMAKAMLIĞI</w:t>
      </w:r>
      <w:r w:rsidR="009B6D2D" w:rsidRPr="00C66034">
        <w:rPr>
          <w:b/>
          <w:sz w:val="18"/>
          <w:szCs w:val="18"/>
        </w:rPr>
        <w:t>ND</w:t>
      </w:r>
      <w:r w:rsidRPr="00C66034">
        <w:rPr>
          <w:b/>
          <w:sz w:val="18"/>
          <w:szCs w:val="18"/>
        </w:rPr>
        <w:t>A</w:t>
      </w:r>
      <w:r w:rsidR="009B6D2D" w:rsidRPr="00C66034">
        <w:rPr>
          <w:b/>
          <w:sz w:val="18"/>
          <w:szCs w:val="18"/>
        </w:rPr>
        <w:t>N</w:t>
      </w:r>
    </w:p>
    <w:p w:rsidR="009B6D2D" w:rsidRPr="00C66034" w:rsidRDefault="009B6D2D" w:rsidP="009B6D2D">
      <w:pPr>
        <w:ind w:right="-1"/>
        <w:jc w:val="center"/>
        <w:rPr>
          <w:b/>
          <w:sz w:val="18"/>
          <w:szCs w:val="18"/>
        </w:rPr>
      </w:pPr>
      <w:r w:rsidRPr="00C66034">
        <w:rPr>
          <w:b/>
          <w:sz w:val="18"/>
          <w:szCs w:val="18"/>
        </w:rPr>
        <w:t>(</w:t>
      </w:r>
      <w:r w:rsidR="00EB0696" w:rsidRPr="00C66034">
        <w:rPr>
          <w:b/>
          <w:sz w:val="18"/>
          <w:szCs w:val="18"/>
        </w:rPr>
        <w:t>Milli Emlak Şefliği</w:t>
      </w:r>
      <w:r w:rsidRPr="00C66034">
        <w:rPr>
          <w:b/>
          <w:sz w:val="18"/>
          <w:szCs w:val="18"/>
        </w:rPr>
        <w:t>)</w:t>
      </w:r>
    </w:p>
    <w:p w:rsidR="009B6D2D" w:rsidRPr="00C66034" w:rsidRDefault="009B6D2D" w:rsidP="009B6D2D">
      <w:pPr>
        <w:ind w:right="-1"/>
        <w:jc w:val="center"/>
        <w:rPr>
          <w:b/>
          <w:sz w:val="18"/>
          <w:szCs w:val="18"/>
        </w:rPr>
      </w:pPr>
      <w:r w:rsidRPr="00C66034">
        <w:rPr>
          <w:b/>
          <w:sz w:val="18"/>
          <w:szCs w:val="18"/>
        </w:rPr>
        <w:t>İLAN</w:t>
      </w:r>
    </w:p>
    <w:p w:rsidR="001220DB" w:rsidRDefault="001220DB" w:rsidP="009B6D2D">
      <w:pPr>
        <w:ind w:right="-1"/>
        <w:jc w:val="center"/>
        <w:rPr>
          <w:b/>
          <w:sz w:val="18"/>
          <w:szCs w:val="18"/>
        </w:rPr>
      </w:pPr>
    </w:p>
    <w:p w:rsidR="001220DB" w:rsidRPr="00C66034" w:rsidRDefault="001220DB" w:rsidP="00026B29">
      <w:pPr>
        <w:ind w:left="-567"/>
        <w:rPr>
          <w:b/>
          <w:sz w:val="18"/>
          <w:szCs w:val="18"/>
        </w:rPr>
      </w:pPr>
      <w:r>
        <w:rPr>
          <w:b/>
          <w:sz w:val="18"/>
          <w:szCs w:val="18"/>
        </w:rPr>
        <w:t>İRTİFAK HAKKI TESİSİNE KONU TAŞINMAZ</w:t>
      </w:r>
    </w:p>
    <w:tbl>
      <w:tblPr>
        <w:tblpPr w:leftFromText="141" w:rightFromText="141" w:vertAnchor="text" w:horzAnchor="margin" w:tblpXSpec="center" w:tblpY="118"/>
        <w:tblW w:w="15824" w:type="dxa"/>
        <w:tblLook w:val="04A0" w:firstRow="1" w:lastRow="0" w:firstColumn="1" w:lastColumn="0" w:noHBand="0" w:noVBand="1"/>
      </w:tblPr>
      <w:tblGrid>
        <w:gridCol w:w="432"/>
        <w:gridCol w:w="706"/>
        <w:gridCol w:w="515"/>
        <w:gridCol w:w="838"/>
        <w:gridCol w:w="572"/>
        <w:gridCol w:w="415"/>
        <w:gridCol w:w="562"/>
        <w:gridCol w:w="937"/>
        <w:gridCol w:w="743"/>
        <w:gridCol w:w="1538"/>
        <w:gridCol w:w="717"/>
        <w:gridCol w:w="3455"/>
        <w:gridCol w:w="717"/>
        <w:gridCol w:w="992"/>
        <w:gridCol w:w="851"/>
        <w:gridCol w:w="850"/>
        <w:gridCol w:w="984"/>
      </w:tblGrid>
      <w:tr w:rsidR="00A21447" w:rsidRPr="00C66034" w:rsidTr="001D608D">
        <w:trPr>
          <w:trHeight w:val="578"/>
        </w:trPr>
        <w:tc>
          <w:tcPr>
            <w:tcW w:w="433" w:type="dxa"/>
            <w:tcBorders>
              <w:top w:val="thinThickSmallGap" w:sz="24" w:space="0" w:color="auto"/>
              <w:left w:val="thinThickSmallGap" w:sz="24" w:space="0" w:color="auto"/>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jc w:val="center"/>
              <w:rPr>
                <w:b/>
                <w:bCs/>
                <w:color w:val="000000"/>
                <w:sz w:val="18"/>
                <w:szCs w:val="18"/>
              </w:rPr>
            </w:pPr>
            <w:r w:rsidRPr="00C66034">
              <w:rPr>
                <w:b/>
                <w:bCs/>
                <w:color w:val="000000"/>
                <w:sz w:val="18"/>
                <w:szCs w:val="18"/>
              </w:rPr>
              <w:t>S</w:t>
            </w:r>
            <w:r>
              <w:rPr>
                <w:b/>
                <w:bCs/>
                <w:color w:val="000000"/>
                <w:sz w:val="18"/>
                <w:szCs w:val="18"/>
              </w:rPr>
              <w:t>ıra No</w:t>
            </w:r>
          </w:p>
        </w:tc>
        <w:tc>
          <w:tcPr>
            <w:tcW w:w="707" w:type="dxa"/>
            <w:tcBorders>
              <w:top w:val="thinThickSmallGap" w:sz="24" w:space="0" w:color="auto"/>
              <w:left w:val="single" w:sz="8" w:space="0" w:color="auto"/>
              <w:bottom w:val="double" w:sz="4" w:space="0" w:color="auto"/>
              <w:right w:val="single" w:sz="8" w:space="0" w:color="auto"/>
            </w:tcBorders>
            <w:vAlign w:val="center"/>
          </w:tcPr>
          <w:p w:rsidR="001220DB" w:rsidRPr="00C66034" w:rsidRDefault="001220DB" w:rsidP="001220DB">
            <w:pPr>
              <w:jc w:val="center"/>
              <w:rPr>
                <w:b/>
                <w:bCs/>
                <w:color w:val="000000"/>
                <w:sz w:val="18"/>
                <w:szCs w:val="18"/>
              </w:rPr>
            </w:pPr>
            <w:r>
              <w:rPr>
                <w:b/>
                <w:bCs/>
                <w:color w:val="000000"/>
                <w:sz w:val="18"/>
                <w:szCs w:val="18"/>
              </w:rPr>
              <w:t>İli</w:t>
            </w:r>
          </w:p>
        </w:tc>
        <w:tc>
          <w:tcPr>
            <w:tcW w:w="515"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1220DB" w:rsidRPr="00C66034" w:rsidRDefault="001220DB" w:rsidP="001220DB">
            <w:pPr>
              <w:rPr>
                <w:b/>
                <w:bCs/>
                <w:color w:val="000000"/>
                <w:sz w:val="18"/>
                <w:szCs w:val="18"/>
              </w:rPr>
            </w:pPr>
            <w:r w:rsidRPr="00C66034">
              <w:rPr>
                <w:b/>
                <w:bCs/>
                <w:color w:val="000000"/>
                <w:sz w:val="18"/>
                <w:szCs w:val="18"/>
              </w:rPr>
              <w:t>İ</w:t>
            </w:r>
            <w:r>
              <w:rPr>
                <w:b/>
                <w:bCs/>
                <w:color w:val="000000"/>
                <w:sz w:val="18"/>
                <w:szCs w:val="18"/>
              </w:rPr>
              <w:t>lçesi</w:t>
            </w:r>
          </w:p>
        </w:tc>
        <w:tc>
          <w:tcPr>
            <w:tcW w:w="838" w:type="dxa"/>
            <w:tcBorders>
              <w:top w:val="thinThickSmallGap" w:sz="24" w:space="0" w:color="auto"/>
              <w:left w:val="single" w:sz="8" w:space="0" w:color="auto"/>
              <w:bottom w:val="double" w:sz="4" w:space="0" w:color="auto"/>
              <w:right w:val="single" w:sz="8" w:space="0" w:color="auto"/>
            </w:tcBorders>
            <w:noWrap/>
            <w:tcMar>
              <w:top w:w="0" w:type="dxa"/>
              <w:left w:w="28" w:type="dxa"/>
              <w:bottom w:w="0" w:type="dxa"/>
              <w:right w:w="28" w:type="dxa"/>
            </w:tcMar>
            <w:vAlign w:val="center"/>
            <w:hideMark/>
          </w:tcPr>
          <w:p w:rsidR="001220DB" w:rsidRPr="00C66034" w:rsidRDefault="001220DB" w:rsidP="001220DB">
            <w:pPr>
              <w:jc w:val="center"/>
              <w:rPr>
                <w:b/>
                <w:bCs/>
                <w:color w:val="000000"/>
                <w:sz w:val="18"/>
                <w:szCs w:val="18"/>
              </w:rPr>
            </w:pPr>
            <w:r w:rsidRPr="00C66034">
              <w:rPr>
                <w:b/>
                <w:bCs/>
                <w:color w:val="000000"/>
                <w:sz w:val="18"/>
                <w:szCs w:val="18"/>
              </w:rPr>
              <w:t>M</w:t>
            </w:r>
            <w:r>
              <w:rPr>
                <w:b/>
                <w:bCs/>
                <w:color w:val="000000"/>
                <w:sz w:val="18"/>
                <w:szCs w:val="18"/>
              </w:rPr>
              <w:t>ahallesi</w:t>
            </w:r>
          </w:p>
        </w:tc>
        <w:tc>
          <w:tcPr>
            <w:tcW w:w="572"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rPr>
                <w:b/>
                <w:bCs/>
                <w:color w:val="000000"/>
                <w:sz w:val="18"/>
                <w:szCs w:val="18"/>
              </w:rPr>
            </w:pPr>
            <w:r w:rsidRPr="00C66034">
              <w:rPr>
                <w:b/>
                <w:bCs/>
                <w:color w:val="000000"/>
                <w:sz w:val="18"/>
                <w:szCs w:val="18"/>
              </w:rPr>
              <w:t>C</w:t>
            </w:r>
            <w:r>
              <w:rPr>
                <w:b/>
                <w:bCs/>
                <w:color w:val="000000"/>
                <w:sz w:val="18"/>
                <w:szCs w:val="18"/>
              </w:rPr>
              <w:t>insi</w:t>
            </w:r>
          </w:p>
        </w:tc>
        <w:tc>
          <w:tcPr>
            <w:tcW w:w="415"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jc w:val="center"/>
              <w:rPr>
                <w:b/>
                <w:bCs/>
                <w:color w:val="000000"/>
                <w:sz w:val="18"/>
                <w:szCs w:val="18"/>
              </w:rPr>
            </w:pPr>
            <w:r w:rsidRPr="00C66034">
              <w:rPr>
                <w:b/>
                <w:bCs/>
                <w:color w:val="000000"/>
                <w:sz w:val="18"/>
                <w:szCs w:val="18"/>
              </w:rPr>
              <w:t>A</w:t>
            </w:r>
            <w:r>
              <w:rPr>
                <w:b/>
                <w:bCs/>
                <w:color w:val="000000"/>
                <w:sz w:val="18"/>
                <w:szCs w:val="18"/>
              </w:rPr>
              <w:t>da No</w:t>
            </w:r>
          </w:p>
        </w:tc>
        <w:tc>
          <w:tcPr>
            <w:tcW w:w="562"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jc w:val="center"/>
              <w:rPr>
                <w:b/>
                <w:bCs/>
                <w:color w:val="000000"/>
                <w:sz w:val="18"/>
                <w:szCs w:val="18"/>
              </w:rPr>
            </w:pPr>
            <w:r w:rsidRPr="00C66034">
              <w:rPr>
                <w:b/>
                <w:bCs/>
                <w:color w:val="000000"/>
                <w:sz w:val="18"/>
                <w:szCs w:val="18"/>
              </w:rPr>
              <w:t>P</w:t>
            </w:r>
            <w:r>
              <w:rPr>
                <w:b/>
                <w:bCs/>
                <w:color w:val="000000"/>
                <w:sz w:val="18"/>
                <w:szCs w:val="18"/>
              </w:rPr>
              <w:t>arsel No</w:t>
            </w:r>
          </w:p>
        </w:tc>
        <w:tc>
          <w:tcPr>
            <w:tcW w:w="937"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jc w:val="center"/>
              <w:rPr>
                <w:b/>
                <w:bCs/>
                <w:color w:val="000000"/>
                <w:sz w:val="18"/>
                <w:szCs w:val="18"/>
              </w:rPr>
            </w:pPr>
            <w:r w:rsidRPr="00C66034">
              <w:rPr>
                <w:b/>
                <w:bCs/>
                <w:color w:val="000000"/>
                <w:sz w:val="18"/>
                <w:szCs w:val="18"/>
              </w:rPr>
              <w:t>Y</w:t>
            </w:r>
            <w:r>
              <w:rPr>
                <w:b/>
                <w:bCs/>
                <w:color w:val="000000"/>
                <w:sz w:val="18"/>
                <w:szCs w:val="18"/>
              </w:rPr>
              <w:t>üzölçümü</w:t>
            </w:r>
          </w:p>
          <w:p w:rsidR="001220DB" w:rsidRPr="00C66034" w:rsidRDefault="001220DB" w:rsidP="001220DB">
            <w:pPr>
              <w:jc w:val="center"/>
              <w:rPr>
                <w:b/>
                <w:bCs/>
                <w:color w:val="000000"/>
                <w:sz w:val="18"/>
                <w:szCs w:val="18"/>
              </w:rPr>
            </w:pPr>
            <w:r w:rsidRPr="00C66034">
              <w:rPr>
                <w:b/>
                <w:bCs/>
                <w:color w:val="000000"/>
                <w:sz w:val="18"/>
                <w:szCs w:val="18"/>
              </w:rPr>
              <w:t>(m²)</w:t>
            </w:r>
          </w:p>
        </w:tc>
        <w:tc>
          <w:tcPr>
            <w:tcW w:w="743"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jc w:val="center"/>
              <w:rPr>
                <w:b/>
                <w:bCs/>
                <w:color w:val="000000"/>
                <w:sz w:val="18"/>
                <w:szCs w:val="18"/>
              </w:rPr>
            </w:pPr>
            <w:r w:rsidRPr="00C66034">
              <w:rPr>
                <w:b/>
                <w:bCs/>
                <w:color w:val="000000"/>
                <w:sz w:val="18"/>
                <w:szCs w:val="18"/>
              </w:rPr>
              <w:t>H</w:t>
            </w:r>
            <w:r>
              <w:rPr>
                <w:b/>
                <w:bCs/>
                <w:color w:val="000000"/>
                <w:sz w:val="18"/>
                <w:szCs w:val="18"/>
              </w:rPr>
              <w:t>azine Payı</w:t>
            </w:r>
          </w:p>
        </w:tc>
        <w:tc>
          <w:tcPr>
            <w:tcW w:w="1539" w:type="dxa"/>
            <w:tcBorders>
              <w:top w:val="thinThickSmallGap" w:sz="24" w:space="0" w:color="auto"/>
              <w:left w:val="single" w:sz="8" w:space="0" w:color="auto"/>
              <w:bottom w:val="double" w:sz="4" w:space="0" w:color="auto"/>
              <w:right w:val="single" w:sz="8" w:space="0" w:color="auto"/>
            </w:tcBorders>
            <w:vAlign w:val="center"/>
          </w:tcPr>
          <w:p w:rsidR="001220DB" w:rsidRPr="00C66034" w:rsidRDefault="001220DB" w:rsidP="00AA2E65">
            <w:pPr>
              <w:jc w:val="center"/>
              <w:rPr>
                <w:b/>
                <w:bCs/>
                <w:color w:val="000000"/>
                <w:sz w:val="18"/>
                <w:szCs w:val="18"/>
              </w:rPr>
            </w:pPr>
            <w:r>
              <w:rPr>
                <w:b/>
                <w:bCs/>
                <w:color w:val="000000"/>
                <w:sz w:val="18"/>
                <w:szCs w:val="18"/>
              </w:rPr>
              <w:t>İrtifak Hakkı Tesis Edilecek Yüzölçüm (m²)</w:t>
            </w:r>
          </w:p>
        </w:tc>
        <w:tc>
          <w:tcPr>
            <w:tcW w:w="717"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rPr>
                <w:b/>
                <w:bCs/>
                <w:color w:val="000000"/>
                <w:sz w:val="18"/>
                <w:szCs w:val="18"/>
              </w:rPr>
            </w:pPr>
            <w:r w:rsidRPr="00C66034">
              <w:rPr>
                <w:b/>
                <w:bCs/>
                <w:color w:val="000000"/>
                <w:sz w:val="18"/>
                <w:szCs w:val="18"/>
              </w:rPr>
              <w:t>İ</w:t>
            </w:r>
            <w:r>
              <w:rPr>
                <w:b/>
                <w:bCs/>
                <w:color w:val="000000"/>
                <w:sz w:val="18"/>
                <w:szCs w:val="18"/>
              </w:rPr>
              <w:t>mar Durumu</w:t>
            </w:r>
          </w:p>
        </w:tc>
        <w:tc>
          <w:tcPr>
            <w:tcW w:w="3459" w:type="dxa"/>
            <w:tcBorders>
              <w:top w:val="thinThickSmallGap" w:sz="24" w:space="0" w:color="auto"/>
              <w:left w:val="single" w:sz="8" w:space="0" w:color="auto"/>
              <w:bottom w:val="double" w:sz="4" w:space="0" w:color="auto"/>
              <w:right w:val="single" w:sz="8" w:space="0" w:color="auto"/>
            </w:tcBorders>
            <w:vAlign w:val="center"/>
          </w:tcPr>
          <w:p w:rsidR="001220DB" w:rsidRPr="00C66034" w:rsidRDefault="001220DB" w:rsidP="00AA2E65">
            <w:pPr>
              <w:jc w:val="center"/>
              <w:rPr>
                <w:b/>
                <w:bCs/>
                <w:color w:val="000000"/>
                <w:sz w:val="18"/>
                <w:szCs w:val="18"/>
              </w:rPr>
            </w:pPr>
            <w:r>
              <w:rPr>
                <w:b/>
                <w:bCs/>
                <w:color w:val="000000"/>
                <w:sz w:val="18"/>
                <w:szCs w:val="18"/>
              </w:rPr>
              <w:t>İrtifak Hakkı Amacı ve Süresi</w:t>
            </w:r>
          </w:p>
        </w:tc>
        <w:tc>
          <w:tcPr>
            <w:tcW w:w="709"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1220DB">
            <w:pPr>
              <w:rPr>
                <w:b/>
                <w:bCs/>
                <w:color w:val="000000"/>
                <w:sz w:val="18"/>
                <w:szCs w:val="18"/>
              </w:rPr>
            </w:pPr>
            <w:r w:rsidRPr="00C66034">
              <w:rPr>
                <w:b/>
                <w:bCs/>
                <w:color w:val="000000"/>
                <w:sz w:val="18"/>
                <w:szCs w:val="18"/>
              </w:rPr>
              <w:t>F</w:t>
            </w:r>
            <w:r>
              <w:rPr>
                <w:b/>
                <w:bCs/>
                <w:color w:val="000000"/>
                <w:sz w:val="18"/>
                <w:szCs w:val="18"/>
              </w:rPr>
              <w:t>iili Durumu</w:t>
            </w:r>
          </w:p>
        </w:tc>
        <w:tc>
          <w:tcPr>
            <w:tcW w:w="992"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1220DB" w:rsidRPr="00C66034" w:rsidRDefault="00225523" w:rsidP="001220DB">
            <w:pPr>
              <w:jc w:val="center"/>
              <w:rPr>
                <w:b/>
                <w:bCs/>
                <w:color w:val="000000"/>
                <w:sz w:val="18"/>
                <w:szCs w:val="18"/>
              </w:rPr>
            </w:pPr>
            <w:r>
              <w:rPr>
                <w:b/>
                <w:bCs/>
                <w:color w:val="000000"/>
                <w:sz w:val="18"/>
                <w:szCs w:val="18"/>
              </w:rPr>
              <w:t>Tahmini İlk Yıl İrtifak Hakkı Bedeli</w:t>
            </w:r>
            <w:r w:rsidR="001220DB" w:rsidRPr="00C66034">
              <w:rPr>
                <w:b/>
                <w:bCs/>
                <w:color w:val="000000"/>
                <w:sz w:val="18"/>
                <w:szCs w:val="18"/>
              </w:rPr>
              <w:t xml:space="preserve"> </w:t>
            </w:r>
          </w:p>
          <w:p w:rsidR="001220DB" w:rsidRPr="00C66034" w:rsidRDefault="001220DB" w:rsidP="001220DB">
            <w:pPr>
              <w:jc w:val="center"/>
              <w:rPr>
                <w:b/>
                <w:bCs/>
                <w:color w:val="000000"/>
                <w:sz w:val="18"/>
                <w:szCs w:val="18"/>
              </w:rPr>
            </w:pPr>
            <w:r w:rsidRPr="00C66034">
              <w:rPr>
                <w:b/>
                <w:bCs/>
                <w:color w:val="000000"/>
                <w:sz w:val="18"/>
                <w:szCs w:val="18"/>
              </w:rPr>
              <w:t>(TL)</w:t>
            </w:r>
          </w:p>
        </w:tc>
        <w:tc>
          <w:tcPr>
            <w:tcW w:w="851" w:type="dxa"/>
            <w:tcBorders>
              <w:top w:val="thinThickSmallGap" w:sz="24" w:space="0" w:color="auto"/>
              <w:left w:val="single" w:sz="8" w:space="0" w:color="auto"/>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225523">
            <w:pPr>
              <w:jc w:val="center"/>
              <w:rPr>
                <w:b/>
                <w:bCs/>
                <w:color w:val="000000"/>
                <w:sz w:val="18"/>
                <w:szCs w:val="18"/>
              </w:rPr>
            </w:pPr>
            <w:r w:rsidRPr="00C66034">
              <w:rPr>
                <w:b/>
                <w:bCs/>
                <w:color w:val="000000"/>
                <w:sz w:val="18"/>
                <w:szCs w:val="18"/>
              </w:rPr>
              <w:t>G</w:t>
            </w:r>
            <w:r w:rsidR="00225523">
              <w:rPr>
                <w:b/>
                <w:bCs/>
                <w:color w:val="000000"/>
                <w:sz w:val="18"/>
                <w:szCs w:val="18"/>
              </w:rPr>
              <w:t>eçici Teminat Bedeli</w:t>
            </w:r>
            <w:r w:rsidRPr="00C66034">
              <w:rPr>
                <w:b/>
                <w:bCs/>
                <w:color w:val="000000"/>
                <w:sz w:val="18"/>
                <w:szCs w:val="18"/>
              </w:rPr>
              <w:t xml:space="preserve"> (TL)</w:t>
            </w:r>
          </w:p>
        </w:tc>
        <w:tc>
          <w:tcPr>
            <w:tcW w:w="850" w:type="dxa"/>
            <w:tcBorders>
              <w:top w:val="thinThickSmallGap" w:sz="24" w:space="0" w:color="auto"/>
              <w:left w:val="nil"/>
              <w:bottom w:val="double" w:sz="4" w:space="0" w:color="auto"/>
              <w:right w:val="single" w:sz="8" w:space="0" w:color="auto"/>
            </w:tcBorders>
            <w:tcMar>
              <w:top w:w="0" w:type="dxa"/>
              <w:left w:w="28" w:type="dxa"/>
              <w:bottom w:w="0" w:type="dxa"/>
              <w:right w:w="28" w:type="dxa"/>
            </w:tcMar>
            <w:vAlign w:val="center"/>
            <w:hideMark/>
          </w:tcPr>
          <w:p w:rsidR="001220DB" w:rsidRPr="00C66034" w:rsidRDefault="001220DB" w:rsidP="00225523">
            <w:pPr>
              <w:jc w:val="center"/>
              <w:rPr>
                <w:b/>
                <w:bCs/>
                <w:color w:val="000000"/>
                <w:sz w:val="18"/>
                <w:szCs w:val="18"/>
              </w:rPr>
            </w:pPr>
            <w:r w:rsidRPr="00C66034">
              <w:rPr>
                <w:b/>
                <w:bCs/>
                <w:color w:val="000000"/>
                <w:sz w:val="18"/>
                <w:szCs w:val="18"/>
              </w:rPr>
              <w:t>İ</w:t>
            </w:r>
            <w:r w:rsidR="00225523">
              <w:rPr>
                <w:b/>
                <w:bCs/>
                <w:color w:val="000000"/>
                <w:sz w:val="18"/>
                <w:szCs w:val="18"/>
              </w:rPr>
              <w:t>hale Tarihi</w:t>
            </w:r>
          </w:p>
        </w:tc>
        <w:tc>
          <w:tcPr>
            <w:tcW w:w="985" w:type="dxa"/>
            <w:tcBorders>
              <w:top w:val="thinThickSmallGap" w:sz="24" w:space="0" w:color="auto"/>
              <w:left w:val="nil"/>
              <w:bottom w:val="double" w:sz="4" w:space="0" w:color="auto"/>
              <w:right w:val="thickThinSmallGap" w:sz="24" w:space="0" w:color="auto"/>
            </w:tcBorders>
            <w:tcMar>
              <w:top w:w="0" w:type="dxa"/>
              <w:left w:w="28" w:type="dxa"/>
              <w:bottom w:w="0" w:type="dxa"/>
              <w:right w:w="28" w:type="dxa"/>
            </w:tcMar>
            <w:vAlign w:val="center"/>
            <w:hideMark/>
          </w:tcPr>
          <w:p w:rsidR="001220DB" w:rsidRPr="00C66034" w:rsidRDefault="001220DB" w:rsidP="00225523">
            <w:pPr>
              <w:jc w:val="center"/>
              <w:rPr>
                <w:b/>
                <w:bCs/>
                <w:color w:val="000000"/>
                <w:sz w:val="18"/>
                <w:szCs w:val="18"/>
              </w:rPr>
            </w:pPr>
            <w:r w:rsidRPr="00C66034">
              <w:rPr>
                <w:b/>
                <w:bCs/>
                <w:color w:val="000000"/>
                <w:sz w:val="18"/>
                <w:szCs w:val="18"/>
              </w:rPr>
              <w:t>İ</w:t>
            </w:r>
            <w:r w:rsidR="00225523">
              <w:rPr>
                <w:b/>
                <w:bCs/>
                <w:color w:val="000000"/>
                <w:sz w:val="18"/>
                <w:szCs w:val="18"/>
              </w:rPr>
              <w:t>hale Saati</w:t>
            </w:r>
          </w:p>
        </w:tc>
      </w:tr>
      <w:tr w:rsidR="00A21447" w:rsidRPr="00C66034" w:rsidTr="001D608D">
        <w:trPr>
          <w:trHeight w:val="1039"/>
        </w:trPr>
        <w:tc>
          <w:tcPr>
            <w:tcW w:w="433" w:type="dxa"/>
            <w:tcBorders>
              <w:top w:val="double" w:sz="4" w:space="0" w:color="auto"/>
              <w:left w:val="thinThickSmallGap" w:sz="24" w:space="0" w:color="auto"/>
              <w:bottom w:val="thickThinSmallGap" w:sz="24" w:space="0" w:color="auto"/>
              <w:right w:val="single" w:sz="4" w:space="0" w:color="auto"/>
            </w:tcBorders>
            <w:tcMar>
              <w:top w:w="0" w:type="dxa"/>
              <w:left w:w="28" w:type="dxa"/>
              <w:bottom w:w="0" w:type="dxa"/>
              <w:right w:w="28" w:type="dxa"/>
            </w:tcMar>
            <w:vAlign w:val="center"/>
          </w:tcPr>
          <w:p w:rsidR="001220DB" w:rsidRPr="00AA2E65" w:rsidRDefault="001220DB" w:rsidP="001220DB">
            <w:pPr>
              <w:jc w:val="center"/>
              <w:rPr>
                <w:b/>
                <w:bCs/>
                <w:color w:val="000000"/>
                <w:sz w:val="16"/>
                <w:szCs w:val="16"/>
              </w:rPr>
            </w:pPr>
            <w:r w:rsidRPr="00AA2E65">
              <w:rPr>
                <w:b/>
                <w:bCs/>
                <w:color w:val="000000"/>
                <w:sz w:val="16"/>
                <w:szCs w:val="16"/>
              </w:rPr>
              <w:t>1</w:t>
            </w:r>
          </w:p>
        </w:tc>
        <w:tc>
          <w:tcPr>
            <w:tcW w:w="707" w:type="dxa"/>
            <w:tcBorders>
              <w:top w:val="double" w:sz="4" w:space="0" w:color="auto"/>
              <w:left w:val="nil"/>
              <w:bottom w:val="thickThinSmallGap" w:sz="24" w:space="0" w:color="auto"/>
              <w:right w:val="single" w:sz="4" w:space="0" w:color="auto"/>
            </w:tcBorders>
            <w:vAlign w:val="center"/>
          </w:tcPr>
          <w:p w:rsidR="001220DB" w:rsidRPr="001D608D" w:rsidRDefault="001220DB" w:rsidP="001220DB">
            <w:pPr>
              <w:jc w:val="center"/>
              <w:rPr>
                <w:bCs/>
                <w:color w:val="000000"/>
                <w:sz w:val="16"/>
                <w:szCs w:val="16"/>
              </w:rPr>
            </w:pPr>
            <w:r w:rsidRPr="001D608D">
              <w:rPr>
                <w:bCs/>
                <w:color w:val="000000"/>
                <w:sz w:val="16"/>
                <w:szCs w:val="16"/>
              </w:rPr>
              <w:t>Denizli</w:t>
            </w:r>
          </w:p>
        </w:tc>
        <w:tc>
          <w:tcPr>
            <w:tcW w:w="515" w:type="dxa"/>
            <w:tcBorders>
              <w:top w:val="double" w:sz="4" w:space="0" w:color="auto"/>
              <w:left w:val="single" w:sz="4" w:space="0" w:color="auto"/>
              <w:bottom w:val="thickThinSmallGap" w:sz="24" w:space="0" w:color="auto"/>
              <w:right w:val="single" w:sz="4" w:space="0" w:color="auto"/>
            </w:tcBorders>
            <w:tcMar>
              <w:top w:w="0" w:type="dxa"/>
              <w:left w:w="28" w:type="dxa"/>
              <w:bottom w:w="0" w:type="dxa"/>
              <w:right w:w="28" w:type="dxa"/>
            </w:tcMar>
            <w:vAlign w:val="center"/>
          </w:tcPr>
          <w:p w:rsidR="001220DB" w:rsidRPr="001D608D" w:rsidRDefault="001220DB" w:rsidP="001220DB">
            <w:pPr>
              <w:rPr>
                <w:sz w:val="16"/>
                <w:szCs w:val="16"/>
              </w:rPr>
            </w:pPr>
            <w:r w:rsidRPr="001D608D">
              <w:rPr>
                <w:bCs/>
                <w:color w:val="000000"/>
                <w:sz w:val="16"/>
                <w:szCs w:val="16"/>
              </w:rPr>
              <w:t>Kale</w:t>
            </w:r>
          </w:p>
        </w:tc>
        <w:tc>
          <w:tcPr>
            <w:tcW w:w="838" w:type="dxa"/>
            <w:tcBorders>
              <w:top w:val="double" w:sz="4" w:space="0" w:color="auto"/>
              <w:left w:val="nil"/>
              <w:bottom w:val="thickThinSmallGap" w:sz="24" w:space="0" w:color="auto"/>
              <w:right w:val="single" w:sz="4" w:space="0" w:color="auto"/>
            </w:tcBorders>
            <w:noWrap/>
            <w:tcMar>
              <w:top w:w="0" w:type="dxa"/>
              <w:left w:w="28" w:type="dxa"/>
              <w:bottom w:w="0" w:type="dxa"/>
              <w:right w:w="28" w:type="dxa"/>
            </w:tcMar>
            <w:vAlign w:val="center"/>
          </w:tcPr>
          <w:p w:rsidR="001220DB" w:rsidRPr="001D608D" w:rsidRDefault="00AA2E65" w:rsidP="001220DB">
            <w:pPr>
              <w:rPr>
                <w:bCs/>
                <w:color w:val="000000"/>
                <w:sz w:val="16"/>
                <w:szCs w:val="16"/>
              </w:rPr>
            </w:pPr>
            <w:r w:rsidRPr="001D608D">
              <w:rPr>
                <w:bCs/>
                <w:color w:val="000000"/>
                <w:sz w:val="16"/>
                <w:szCs w:val="16"/>
              </w:rPr>
              <w:t>Karagöl (Gölbaşı)</w:t>
            </w:r>
          </w:p>
        </w:tc>
        <w:tc>
          <w:tcPr>
            <w:tcW w:w="572"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1D608D" w:rsidRDefault="00AA2E65" w:rsidP="001220DB">
            <w:pPr>
              <w:rPr>
                <w:color w:val="000000"/>
                <w:sz w:val="16"/>
                <w:szCs w:val="16"/>
              </w:rPr>
            </w:pPr>
            <w:r w:rsidRPr="001D608D">
              <w:rPr>
                <w:color w:val="000000"/>
                <w:sz w:val="16"/>
                <w:szCs w:val="16"/>
              </w:rPr>
              <w:t>Ham Toprak</w:t>
            </w:r>
          </w:p>
        </w:tc>
        <w:tc>
          <w:tcPr>
            <w:tcW w:w="415"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1D608D" w:rsidRDefault="00AA2E65" w:rsidP="001220DB">
            <w:pPr>
              <w:jc w:val="center"/>
              <w:rPr>
                <w:color w:val="000000"/>
                <w:sz w:val="16"/>
                <w:szCs w:val="16"/>
              </w:rPr>
            </w:pPr>
            <w:r w:rsidRPr="001D608D">
              <w:rPr>
                <w:color w:val="000000"/>
                <w:sz w:val="16"/>
                <w:szCs w:val="16"/>
              </w:rPr>
              <w:t>215</w:t>
            </w:r>
          </w:p>
        </w:tc>
        <w:tc>
          <w:tcPr>
            <w:tcW w:w="562"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1D608D" w:rsidRDefault="00AA2E65" w:rsidP="001220DB">
            <w:pPr>
              <w:jc w:val="center"/>
              <w:rPr>
                <w:color w:val="000000"/>
                <w:sz w:val="16"/>
                <w:szCs w:val="16"/>
              </w:rPr>
            </w:pPr>
            <w:r w:rsidRPr="001D608D">
              <w:rPr>
                <w:color w:val="000000"/>
                <w:sz w:val="16"/>
                <w:szCs w:val="16"/>
              </w:rPr>
              <w:t>124</w:t>
            </w:r>
          </w:p>
        </w:tc>
        <w:tc>
          <w:tcPr>
            <w:tcW w:w="937"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1D608D" w:rsidRDefault="00AA2E65" w:rsidP="00AA2E65">
            <w:pPr>
              <w:jc w:val="center"/>
              <w:rPr>
                <w:color w:val="000000"/>
                <w:sz w:val="16"/>
                <w:szCs w:val="16"/>
              </w:rPr>
            </w:pPr>
            <w:r w:rsidRPr="001D608D">
              <w:rPr>
                <w:color w:val="000000"/>
                <w:sz w:val="16"/>
                <w:szCs w:val="16"/>
              </w:rPr>
              <w:t>10.305,73</w:t>
            </w:r>
          </w:p>
        </w:tc>
        <w:tc>
          <w:tcPr>
            <w:tcW w:w="743"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1D608D" w:rsidRDefault="001220DB" w:rsidP="001220DB">
            <w:pPr>
              <w:jc w:val="center"/>
              <w:rPr>
                <w:color w:val="000000"/>
                <w:sz w:val="16"/>
                <w:szCs w:val="16"/>
              </w:rPr>
            </w:pPr>
            <w:r w:rsidRPr="001D608D">
              <w:rPr>
                <w:color w:val="000000"/>
                <w:sz w:val="16"/>
                <w:szCs w:val="16"/>
              </w:rPr>
              <w:t>Tam</w:t>
            </w:r>
          </w:p>
        </w:tc>
        <w:tc>
          <w:tcPr>
            <w:tcW w:w="1539" w:type="dxa"/>
            <w:tcBorders>
              <w:top w:val="double" w:sz="4" w:space="0" w:color="auto"/>
              <w:left w:val="nil"/>
              <w:bottom w:val="thickThinSmallGap" w:sz="24" w:space="0" w:color="auto"/>
              <w:right w:val="single" w:sz="4" w:space="0" w:color="auto"/>
            </w:tcBorders>
            <w:vAlign w:val="center"/>
          </w:tcPr>
          <w:p w:rsidR="001220DB" w:rsidRPr="001D608D" w:rsidRDefault="00AA2E65" w:rsidP="00AA2E65">
            <w:pPr>
              <w:jc w:val="center"/>
              <w:rPr>
                <w:color w:val="000000"/>
                <w:sz w:val="16"/>
                <w:szCs w:val="16"/>
              </w:rPr>
            </w:pPr>
            <w:r w:rsidRPr="001D608D">
              <w:rPr>
                <w:color w:val="000000"/>
                <w:sz w:val="16"/>
                <w:szCs w:val="16"/>
              </w:rPr>
              <w:t>10.305,73</w:t>
            </w:r>
          </w:p>
        </w:tc>
        <w:tc>
          <w:tcPr>
            <w:tcW w:w="717" w:type="dxa"/>
            <w:tcBorders>
              <w:top w:val="double" w:sz="4" w:space="0" w:color="auto"/>
              <w:left w:val="single" w:sz="4" w:space="0" w:color="auto"/>
              <w:bottom w:val="thickThinSmallGap" w:sz="24" w:space="0" w:color="auto"/>
              <w:right w:val="single" w:sz="4" w:space="0" w:color="auto"/>
            </w:tcBorders>
            <w:tcMar>
              <w:top w:w="0" w:type="dxa"/>
              <w:left w:w="28" w:type="dxa"/>
              <w:bottom w:w="0" w:type="dxa"/>
              <w:right w:w="28" w:type="dxa"/>
            </w:tcMar>
            <w:vAlign w:val="center"/>
          </w:tcPr>
          <w:p w:rsidR="001220DB" w:rsidRPr="001D608D" w:rsidRDefault="000F06DB" w:rsidP="001220DB">
            <w:pPr>
              <w:rPr>
                <w:color w:val="000000"/>
                <w:sz w:val="16"/>
                <w:szCs w:val="16"/>
              </w:rPr>
            </w:pPr>
            <w:r w:rsidRPr="001D608D">
              <w:rPr>
                <w:color w:val="000000"/>
                <w:sz w:val="16"/>
                <w:szCs w:val="16"/>
              </w:rPr>
              <w:t>1/25.000 Nazım İmar Planı Tarım Alanı</w:t>
            </w:r>
          </w:p>
        </w:tc>
        <w:tc>
          <w:tcPr>
            <w:tcW w:w="3459" w:type="dxa"/>
            <w:tcBorders>
              <w:top w:val="double" w:sz="4" w:space="0" w:color="auto"/>
              <w:left w:val="nil"/>
              <w:bottom w:val="thickThinSmallGap" w:sz="24" w:space="0" w:color="auto"/>
              <w:right w:val="single" w:sz="4" w:space="0" w:color="auto"/>
            </w:tcBorders>
          </w:tcPr>
          <w:p w:rsidR="001220DB" w:rsidRPr="00BE6B42" w:rsidRDefault="00AA2E65" w:rsidP="001D608D">
            <w:pPr>
              <w:pStyle w:val="AralkYok"/>
              <w:jc w:val="both"/>
              <w:rPr>
                <w:color w:val="000000"/>
                <w:sz w:val="18"/>
                <w:szCs w:val="18"/>
              </w:rPr>
            </w:pPr>
            <w:r w:rsidRPr="00BE6B42">
              <w:rPr>
                <w:sz w:val="18"/>
                <w:szCs w:val="18"/>
              </w:rPr>
              <w:t xml:space="preserve">İmar planıyla getirilecek/getirilen kullanım kararlarına uygun olarak, konut, enerji, ve konaklama amaçlı turizm </w:t>
            </w:r>
            <w:r w:rsidRPr="00BE6B42">
              <w:rPr>
                <w:sz w:val="18"/>
                <w:szCs w:val="18"/>
                <w:u w:val="single"/>
              </w:rPr>
              <w:t>hariç olmak üzere</w:t>
            </w:r>
            <w:r w:rsidRPr="00BE6B42">
              <w:rPr>
                <w:sz w:val="18"/>
                <w:szCs w:val="18"/>
              </w:rPr>
              <w:t xml:space="preserve"> eğitim, sağlık, spor, sanayi, organik tarım, organize hayvancılık, sosyal kültürel vb. sabit ve kalıcı tesisler yapılması ve kullanılması amacıyla 30 (otuz yıl)</w:t>
            </w:r>
          </w:p>
        </w:tc>
        <w:tc>
          <w:tcPr>
            <w:tcW w:w="709" w:type="dxa"/>
            <w:tcBorders>
              <w:top w:val="double" w:sz="4" w:space="0" w:color="auto"/>
              <w:left w:val="single" w:sz="4" w:space="0" w:color="auto"/>
              <w:bottom w:val="thickThinSmallGap" w:sz="24" w:space="0" w:color="auto"/>
              <w:right w:val="single" w:sz="4" w:space="0" w:color="auto"/>
            </w:tcBorders>
            <w:tcMar>
              <w:top w:w="0" w:type="dxa"/>
              <w:left w:w="28" w:type="dxa"/>
              <w:bottom w:w="0" w:type="dxa"/>
              <w:right w:w="28" w:type="dxa"/>
            </w:tcMar>
            <w:vAlign w:val="center"/>
          </w:tcPr>
          <w:p w:rsidR="001220DB" w:rsidRPr="001D608D" w:rsidRDefault="001220DB" w:rsidP="001220DB">
            <w:pPr>
              <w:jc w:val="both"/>
              <w:rPr>
                <w:color w:val="000000"/>
                <w:sz w:val="16"/>
                <w:szCs w:val="16"/>
              </w:rPr>
            </w:pPr>
            <w:r w:rsidRPr="001D608D">
              <w:rPr>
                <w:color w:val="000000"/>
                <w:sz w:val="16"/>
                <w:szCs w:val="16"/>
              </w:rPr>
              <w:t>Boştur.</w:t>
            </w:r>
          </w:p>
        </w:tc>
        <w:tc>
          <w:tcPr>
            <w:tcW w:w="992"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026B29" w:rsidRDefault="00AA2E65" w:rsidP="00AA2E65">
            <w:pPr>
              <w:ind w:right="129"/>
              <w:jc w:val="right"/>
              <w:rPr>
                <w:color w:val="000000"/>
                <w:sz w:val="16"/>
                <w:szCs w:val="16"/>
              </w:rPr>
            </w:pPr>
            <w:r w:rsidRPr="00026B29">
              <w:rPr>
                <w:color w:val="000000"/>
                <w:sz w:val="16"/>
                <w:szCs w:val="16"/>
              </w:rPr>
              <w:t>31.000</w:t>
            </w:r>
            <w:r w:rsidR="001220DB" w:rsidRPr="00026B29">
              <w:rPr>
                <w:color w:val="000000"/>
                <w:sz w:val="16"/>
                <w:szCs w:val="16"/>
              </w:rPr>
              <w:t>,00</w:t>
            </w:r>
          </w:p>
        </w:tc>
        <w:tc>
          <w:tcPr>
            <w:tcW w:w="851"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026B29" w:rsidRDefault="00AA2E65" w:rsidP="00AA2E65">
            <w:pPr>
              <w:ind w:right="150"/>
              <w:jc w:val="right"/>
              <w:rPr>
                <w:color w:val="000000"/>
                <w:sz w:val="16"/>
                <w:szCs w:val="16"/>
              </w:rPr>
            </w:pPr>
            <w:r w:rsidRPr="00026B29">
              <w:rPr>
                <w:color w:val="000000"/>
                <w:sz w:val="16"/>
                <w:szCs w:val="16"/>
              </w:rPr>
              <w:t>6</w:t>
            </w:r>
            <w:r w:rsidR="001220DB" w:rsidRPr="00026B29">
              <w:rPr>
                <w:color w:val="000000"/>
                <w:sz w:val="16"/>
                <w:szCs w:val="16"/>
              </w:rPr>
              <w:t>.</w:t>
            </w:r>
            <w:r w:rsidRPr="00026B29">
              <w:rPr>
                <w:color w:val="000000"/>
                <w:sz w:val="16"/>
                <w:szCs w:val="16"/>
              </w:rPr>
              <w:t>2</w:t>
            </w:r>
            <w:r w:rsidR="001220DB" w:rsidRPr="00026B29">
              <w:rPr>
                <w:color w:val="000000"/>
                <w:sz w:val="16"/>
                <w:szCs w:val="16"/>
              </w:rPr>
              <w:t>00,00</w:t>
            </w:r>
          </w:p>
        </w:tc>
        <w:tc>
          <w:tcPr>
            <w:tcW w:w="850" w:type="dxa"/>
            <w:tcBorders>
              <w:top w:val="double" w:sz="4" w:space="0" w:color="auto"/>
              <w:left w:val="nil"/>
              <w:bottom w:val="thickThinSmallGap" w:sz="24" w:space="0" w:color="auto"/>
              <w:right w:val="single" w:sz="4" w:space="0" w:color="auto"/>
            </w:tcBorders>
            <w:tcMar>
              <w:top w:w="0" w:type="dxa"/>
              <w:left w:w="28" w:type="dxa"/>
              <w:bottom w:w="0" w:type="dxa"/>
              <w:right w:w="28" w:type="dxa"/>
            </w:tcMar>
            <w:vAlign w:val="center"/>
          </w:tcPr>
          <w:p w:rsidR="001220DB" w:rsidRPr="00AA2E65" w:rsidRDefault="00AA2E65" w:rsidP="00AA2E65">
            <w:pPr>
              <w:ind w:right="-1"/>
              <w:jc w:val="center"/>
              <w:rPr>
                <w:b/>
                <w:bCs/>
                <w:sz w:val="16"/>
                <w:szCs w:val="16"/>
              </w:rPr>
            </w:pPr>
            <w:r w:rsidRPr="00AA2E65">
              <w:rPr>
                <w:b/>
                <w:bCs/>
                <w:sz w:val="16"/>
                <w:szCs w:val="16"/>
              </w:rPr>
              <w:t>29</w:t>
            </w:r>
            <w:r w:rsidR="001220DB" w:rsidRPr="00AA2E65">
              <w:rPr>
                <w:b/>
                <w:bCs/>
                <w:sz w:val="16"/>
                <w:szCs w:val="16"/>
              </w:rPr>
              <w:t>.</w:t>
            </w:r>
            <w:r w:rsidRPr="00AA2E65">
              <w:rPr>
                <w:b/>
                <w:bCs/>
                <w:sz w:val="16"/>
                <w:szCs w:val="16"/>
              </w:rPr>
              <w:t>11</w:t>
            </w:r>
            <w:r w:rsidR="001220DB" w:rsidRPr="00AA2E65">
              <w:rPr>
                <w:b/>
                <w:bCs/>
                <w:sz w:val="16"/>
                <w:szCs w:val="16"/>
              </w:rPr>
              <w:t>.2024</w:t>
            </w:r>
          </w:p>
        </w:tc>
        <w:tc>
          <w:tcPr>
            <w:tcW w:w="985" w:type="dxa"/>
            <w:tcBorders>
              <w:top w:val="double" w:sz="4" w:space="0" w:color="auto"/>
              <w:left w:val="nil"/>
              <w:bottom w:val="thickThinSmallGap" w:sz="24" w:space="0" w:color="auto"/>
              <w:right w:val="thickThinSmallGap" w:sz="24" w:space="0" w:color="auto"/>
            </w:tcBorders>
            <w:tcMar>
              <w:top w:w="0" w:type="dxa"/>
              <w:left w:w="28" w:type="dxa"/>
              <w:bottom w:w="0" w:type="dxa"/>
              <w:right w:w="28" w:type="dxa"/>
            </w:tcMar>
            <w:vAlign w:val="center"/>
          </w:tcPr>
          <w:p w:rsidR="001220DB" w:rsidRPr="00AA2E65" w:rsidRDefault="006B415E" w:rsidP="006B415E">
            <w:pPr>
              <w:jc w:val="center"/>
              <w:rPr>
                <w:b/>
                <w:bCs/>
                <w:color w:val="000000"/>
                <w:sz w:val="16"/>
                <w:szCs w:val="16"/>
              </w:rPr>
            </w:pPr>
            <w:r>
              <w:rPr>
                <w:b/>
                <w:bCs/>
                <w:color w:val="000000"/>
                <w:sz w:val="16"/>
                <w:szCs w:val="16"/>
              </w:rPr>
              <w:t>11</w:t>
            </w:r>
            <w:r w:rsidR="001220DB" w:rsidRPr="00AA2E65">
              <w:rPr>
                <w:b/>
                <w:bCs/>
                <w:color w:val="000000"/>
                <w:sz w:val="16"/>
                <w:szCs w:val="16"/>
              </w:rPr>
              <w:t>:</w:t>
            </w:r>
            <w:r>
              <w:rPr>
                <w:b/>
                <w:bCs/>
                <w:color w:val="000000"/>
                <w:sz w:val="16"/>
                <w:szCs w:val="16"/>
              </w:rPr>
              <w:t>0</w:t>
            </w:r>
            <w:r w:rsidR="00AA2E65" w:rsidRPr="00AA2E65">
              <w:rPr>
                <w:b/>
                <w:bCs/>
                <w:color w:val="000000"/>
                <w:sz w:val="16"/>
                <w:szCs w:val="16"/>
              </w:rPr>
              <w:t>0</w:t>
            </w:r>
          </w:p>
        </w:tc>
      </w:tr>
    </w:tbl>
    <w:p w:rsidR="001220DB" w:rsidRDefault="001220DB" w:rsidP="009B6D2D">
      <w:pPr>
        <w:rPr>
          <w:b/>
          <w:sz w:val="18"/>
          <w:szCs w:val="18"/>
        </w:rPr>
      </w:pPr>
    </w:p>
    <w:p w:rsidR="00715F26" w:rsidRDefault="00715F26" w:rsidP="001D608D">
      <w:pPr>
        <w:ind w:left="-567" w:right="-567"/>
        <w:rPr>
          <w:b/>
          <w:sz w:val="18"/>
          <w:szCs w:val="18"/>
          <w:u w:val="single"/>
        </w:rPr>
      </w:pPr>
      <w:r w:rsidRPr="00E433DD">
        <w:rPr>
          <w:b/>
          <w:sz w:val="18"/>
          <w:szCs w:val="18"/>
          <w:u w:val="single"/>
        </w:rPr>
        <w:t>AÇIKLAMA:</w:t>
      </w:r>
    </w:p>
    <w:p w:rsidR="004B2EA4" w:rsidRPr="00E433DD" w:rsidRDefault="004B2EA4" w:rsidP="001D608D">
      <w:pPr>
        <w:ind w:left="-567" w:right="-567"/>
        <w:rPr>
          <w:b/>
          <w:sz w:val="18"/>
          <w:szCs w:val="18"/>
          <w:u w:val="single"/>
        </w:rPr>
      </w:pPr>
    </w:p>
    <w:p w:rsidR="00F06375" w:rsidRPr="001D608D" w:rsidRDefault="009B6D2D" w:rsidP="001D608D">
      <w:pPr>
        <w:pStyle w:val="bekMetni"/>
        <w:ind w:left="-567" w:right="-567"/>
        <w:rPr>
          <w:rFonts w:ascii="Times New Roman" w:hAnsi="Times New Roman"/>
          <w:b w:val="0"/>
          <w:szCs w:val="18"/>
        </w:rPr>
      </w:pPr>
      <w:r w:rsidRPr="00A21447">
        <w:rPr>
          <w:rFonts w:ascii="Times New Roman" w:hAnsi="Times New Roman"/>
          <w:szCs w:val="18"/>
        </w:rPr>
        <w:t>1-</w:t>
      </w:r>
      <w:r w:rsidRPr="00A21447">
        <w:rPr>
          <w:rFonts w:ascii="Times New Roman" w:hAnsi="Times New Roman"/>
          <w:b w:val="0"/>
          <w:szCs w:val="18"/>
        </w:rPr>
        <w:t xml:space="preserve"> Yukarıda</w:t>
      </w:r>
      <w:r w:rsidR="00715F26" w:rsidRPr="00A21447">
        <w:rPr>
          <w:rFonts w:ascii="Times New Roman" w:hAnsi="Times New Roman"/>
          <w:b w:val="0"/>
          <w:szCs w:val="18"/>
        </w:rPr>
        <w:t xml:space="preserve"> </w:t>
      </w:r>
      <w:r w:rsidR="001D608D">
        <w:rPr>
          <w:rFonts w:ascii="Times New Roman" w:hAnsi="Times New Roman"/>
          <w:b w:val="0"/>
          <w:szCs w:val="18"/>
        </w:rPr>
        <w:t xml:space="preserve">tabloda </w:t>
      </w:r>
      <w:r w:rsidR="00715F26" w:rsidRPr="00A21447">
        <w:rPr>
          <w:rFonts w:ascii="Times New Roman" w:hAnsi="Times New Roman"/>
          <w:b w:val="0"/>
          <w:szCs w:val="18"/>
        </w:rPr>
        <w:t xml:space="preserve">özellikleri yazılı olan taşınmazın irtifak hakkı ihalesi 2886 sayılı Kanunun 51/g maddesi uyarınca pazarlık usulü ile </w:t>
      </w:r>
      <w:r w:rsidR="001D608D">
        <w:rPr>
          <w:rFonts w:ascii="Times New Roman" w:hAnsi="Times New Roman"/>
          <w:b w:val="0"/>
          <w:szCs w:val="18"/>
        </w:rPr>
        <w:t>aynı tablonun ilgili sütunlarında</w:t>
      </w:r>
      <w:r w:rsidR="00715F26" w:rsidRPr="00A21447">
        <w:rPr>
          <w:rFonts w:ascii="Times New Roman" w:hAnsi="Times New Roman"/>
          <w:b w:val="0"/>
          <w:szCs w:val="18"/>
        </w:rPr>
        <w:t xml:space="preserve"> </w:t>
      </w:r>
      <w:r w:rsidR="001D608D">
        <w:rPr>
          <w:rFonts w:ascii="Times New Roman" w:hAnsi="Times New Roman"/>
          <w:b w:val="0"/>
          <w:szCs w:val="18"/>
        </w:rPr>
        <w:t>belirti</w:t>
      </w:r>
      <w:r w:rsidR="00715F26" w:rsidRPr="00A21447">
        <w:rPr>
          <w:rFonts w:ascii="Times New Roman" w:hAnsi="Times New Roman"/>
          <w:b w:val="0"/>
          <w:szCs w:val="18"/>
        </w:rPr>
        <w:t>len gün ve saate Denizli İli, Kale İlçesi,</w:t>
      </w:r>
      <w:r w:rsidR="00E64BF4" w:rsidRPr="00A21447">
        <w:rPr>
          <w:rFonts w:ascii="Times New Roman" w:hAnsi="Times New Roman"/>
          <w:b w:val="0"/>
          <w:szCs w:val="18"/>
        </w:rPr>
        <w:t xml:space="preserve"> </w:t>
      </w:r>
      <w:r w:rsidR="00E64BF4" w:rsidRPr="00A21447">
        <w:rPr>
          <w:rFonts w:ascii="Times New Roman" w:hAnsi="Times New Roman"/>
          <w:b w:val="0"/>
          <w:color w:val="4F4F4F"/>
          <w:szCs w:val="18"/>
          <w:shd w:val="clear" w:color="auto" w:fill="FFFFFF"/>
        </w:rPr>
        <w:t>Hürriyet Mah. İstiklal_1 Bulvarı No:23 Kale Kaymakamlığı Hizmet Binası Kat: 2 Kaymakamlık Toplantı Salonunda</w:t>
      </w:r>
      <w:r w:rsidR="00715F26" w:rsidRPr="00A21447">
        <w:rPr>
          <w:rFonts w:ascii="Times New Roman" w:hAnsi="Times New Roman"/>
          <w:b w:val="0"/>
          <w:szCs w:val="18"/>
        </w:rPr>
        <w:t xml:space="preserve"> </w:t>
      </w:r>
      <w:r w:rsidR="00E64BF4" w:rsidRPr="00A21447">
        <w:rPr>
          <w:rFonts w:ascii="Times New Roman" w:hAnsi="Times New Roman"/>
          <w:b w:val="0"/>
          <w:szCs w:val="18"/>
        </w:rPr>
        <w:t>teşekkül edecek komisyon huzurunda yapılacaktır.</w:t>
      </w:r>
      <w:r w:rsidR="001D608D">
        <w:rPr>
          <w:rFonts w:ascii="Times New Roman" w:hAnsi="Times New Roman"/>
          <w:b w:val="0"/>
          <w:szCs w:val="18"/>
        </w:rPr>
        <w:t xml:space="preserve"> </w:t>
      </w:r>
      <w:r w:rsidR="001D608D" w:rsidRPr="001D608D">
        <w:rPr>
          <w:rFonts w:ascii="Times New Roman" w:hAnsi="Times New Roman"/>
          <w:b w:val="0"/>
          <w:szCs w:val="18"/>
        </w:rPr>
        <w:t xml:space="preserve">Komisyon ihaleyi yapıp yapmamakta serbesttir.         </w:t>
      </w:r>
    </w:p>
    <w:p w:rsidR="00026B29" w:rsidRDefault="00026B29" w:rsidP="00026B29">
      <w:pPr>
        <w:ind w:left="-567" w:right="-567"/>
        <w:jc w:val="both"/>
        <w:rPr>
          <w:sz w:val="18"/>
          <w:szCs w:val="18"/>
        </w:rPr>
      </w:pPr>
      <w:r>
        <w:rPr>
          <w:b/>
          <w:sz w:val="18"/>
          <w:szCs w:val="18"/>
        </w:rPr>
        <w:t>2</w:t>
      </w:r>
      <w:r w:rsidR="009B6D2D" w:rsidRPr="00A21447">
        <w:rPr>
          <w:b/>
          <w:sz w:val="18"/>
          <w:szCs w:val="18"/>
        </w:rPr>
        <w:t>-</w:t>
      </w:r>
      <w:r w:rsidR="009B6D2D" w:rsidRPr="00A21447">
        <w:rPr>
          <w:sz w:val="18"/>
          <w:szCs w:val="18"/>
        </w:rPr>
        <w:t xml:space="preserve"> </w:t>
      </w:r>
      <w:r>
        <w:rPr>
          <w:sz w:val="18"/>
          <w:szCs w:val="18"/>
        </w:rPr>
        <w:t xml:space="preserve">İhalelere katılabilmek için isteklilerin; aslını ibraz etmek suretiyle nüfus cüzdanı örneğini, İkametgâh Belgesini ve geçici teminata ilişkin belgeyi, Tüzel Kişilerin ise ayrıca, siciline kayıtlı olduğu (Ticaret Odası, Esnaf Odası vb.) yerden alacakları yılı içinde onaylı oda sicil kaydı ve tüzel kişilik adına ihaleye katılacak kişiye verilmiş noter onaylı yetki belgesini, ihale saatine kadar komisyona vermeleri gerekmektedir. </w:t>
      </w:r>
    </w:p>
    <w:p w:rsidR="00FC765A" w:rsidRPr="00A21447" w:rsidRDefault="00026B29" w:rsidP="00026B29">
      <w:pPr>
        <w:ind w:left="-567" w:right="-567"/>
        <w:jc w:val="both"/>
        <w:rPr>
          <w:sz w:val="18"/>
          <w:szCs w:val="18"/>
        </w:rPr>
      </w:pPr>
      <w:r>
        <w:rPr>
          <w:b/>
          <w:sz w:val="18"/>
          <w:szCs w:val="18"/>
        </w:rPr>
        <w:t>3</w:t>
      </w:r>
      <w:r w:rsidR="006023B4" w:rsidRPr="00A21447">
        <w:rPr>
          <w:b/>
          <w:sz w:val="18"/>
          <w:szCs w:val="18"/>
        </w:rPr>
        <w:t>-</w:t>
      </w:r>
      <w:r w:rsidR="00FC765A" w:rsidRPr="00A21447">
        <w:rPr>
          <w:b/>
          <w:sz w:val="18"/>
          <w:szCs w:val="18"/>
        </w:rPr>
        <w:t xml:space="preserve"> </w:t>
      </w:r>
      <w:r w:rsidR="006023B4" w:rsidRPr="00A21447">
        <w:rPr>
          <w:sz w:val="18"/>
          <w:szCs w:val="18"/>
        </w:rPr>
        <w:t>Posta ile yapılacak müracaatlarda teklifin 2886 sayılı Devlet İhale Kanunun 37. maddesine uygun hazırlanması ve ihale saatinden önce komisyona ulaşması şarttır. (Postada meydana gelebilecek gecikmelerden dolayı, İdare ya da Komisyon herhangi bir suretle sorumlu değildir.)</w:t>
      </w:r>
    </w:p>
    <w:p w:rsidR="004B2EA4" w:rsidRDefault="00026B29" w:rsidP="004B2EA4">
      <w:pPr>
        <w:ind w:left="-567" w:right="-567"/>
        <w:jc w:val="both"/>
        <w:rPr>
          <w:sz w:val="18"/>
          <w:szCs w:val="18"/>
        </w:rPr>
      </w:pPr>
      <w:r>
        <w:rPr>
          <w:b/>
          <w:sz w:val="18"/>
          <w:szCs w:val="18"/>
        </w:rPr>
        <w:t>4</w:t>
      </w:r>
      <w:r w:rsidR="00FC765A" w:rsidRPr="00A21447">
        <w:rPr>
          <w:b/>
          <w:sz w:val="18"/>
          <w:szCs w:val="18"/>
        </w:rPr>
        <w:t>-</w:t>
      </w:r>
      <w:r w:rsidR="00FC765A" w:rsidRPr="00A21447">
        <w:rPr>
          <w:sz w:val="18"/>
          <w:szCs w:val="18"/>
        </w:rPr>
        <w:t xml:space="preserve"> 2886 sayılı Kanun ve diğer Kanunlardaki hükümler gereğince geçici veya sürekli olarak Kamu ihalelerine katılmaktan yasaklanmış olanlar ihaleye katılamazlar, katılmaları halinde ise ihale dışı bırakılacaktır. İhaleye katılmaları ve sorgulama sonrası ihale üzerinde kalması halinde iptal edilecek olup, geçici teminatı Hazineye irat kaydedilecektir.</w:t>
      </w:r>
    </w:p>
    <w:p w:rsidR="004B2EA4" w:rsidRPr="00640D13" w:rsidRDefault="004B2EA4" w:rsidP="001D608D">
      <w:pPr>
        <w:ind w:left="-567" w:right="-567"/>
        <w:jc w:val="both"/>
        <w:rPr>
          <w:sz w:val="18"/>
          <w:szCs w:val="18"/>
        </w:rPr>
      </w:pPr>
      <w:r>
        <w:rPr>
          <w:b/>
          <w:sz w:val="18"/>
          <w:szCs w:val="18"/>
        </w:rPr>
        <w:t>5-</w:t>
      </w:r>
      <w:r>
        <w:rPr>
          <w:sz w:val="18"/>
          <w:szCs w:val="18"/>
        </w:rPr>
        <w:t xml:space="preserve"> Bankalar ve Özel Finans Kurumlarınca verilen (süresiz) geçici teminat mektupları kabul edilmektedir. Ayrıca, Geçici Teminat tutarları ihale </w:t>
      </w:r>
      <w:r w:rsidRPr="00640D13">
        <w:rPr>
          <w:sz w:val="18"/>
          <w:szCs w:val="18"/>
        </w:rPr>
        <w:t xml:space="preserve">tarihlerinde </w:t>
      </w:r>
      <w:r w:rsidRPr="00640D13">
        <w:rPr>
          <w:color w:val="4F4F4F"/>
          <w:sz w:val="18"/>
          <w:szCs w:val="18"/>
          <w:shd w:val="clear" w:color="auto" w:fill="FFFFFF"/>
        </w:rPr>
        <w:t xml:space="preserve">Kale Kaymakamlığı Hizmet Binası </w:t>
      </w:r>
      <w:r w:rsidRPr="00640D13">
        <w:rPr>
          <w:sz w:val="18"/>
          <w:szCs w:val="18"/>
        </w:rPr>
        <w:t xml:space="preserve">1. katındaki Kale Malmüdürlüğü veznesine de yatırılabilecektir. </w:t>
      </w:r>
      <w:r w:rsidRPr="00640D13">
        <w:rPr>
          <w:b/>
          <w:sz w:val="18"/>
          <w:szCs w:val="18"/>
        </w:rPr>
        <w:t>Bankalardan veya Özel Finans Kurumlarından hesaba para yatırma, havale, EFT gibi yollarla yapılan ödemelere ilişkin dekont vb. belgeler geçici teminat belgesi olarak kabul edilmeyecektir.</w:t>
      </w:r>
    </w:p>
    <w:p w:rsidR="00745D5E" w:rsidRPr="00A21447" w:rsidRDefault="004B2EA4" w:rsidP="001D608D">
      <w:pPr>
        <w:ind w:left="-567" w:right="-567"/>
        <w:jc w:val="both"/>
        <w:rPr>
          <w:sz w:val="18"/>
          <w:szCs w:val="18"/>
        </w:rPr>
      </w:pPr>
      <w:r>
        <w:rPr>
          <w:b/>
          <w:sz w:val="18"/>
          <w:szCs w:val="18"/>
        </w:rPr>
        <w:t>6</w:t>
      </w:r>
      <w:r w:rsidR="00FC765A" w:rsidRPr="00A21447">
        <w:rPr>
          <w:b/>
          <w:sz w:val="18"/>
          <w:szCs w:val="18"/>
        </w:rPr>
        <w:t>-</w:t>
      </w:r>
      <w:r w:rsidR="00FC765A" w:rsidRPr="00A21447">
        <w:rPr>
          <w:sz w:val="18"/>
          <w:szCs w:val="18"/>
        </w:rPr>
        <w:t xml:space="preserve"> Hazine taşınmazının irtifak hakkı işlemlerinde irtifak hakkı bedeli üzerinden 5 milyon TL ye kadar kısmı için yüzde bir, 5 milyon TL den 10 milyon TL ye kadar </w:t>
      </w:r>
      <w:r w:rsidR="00745D5E" w:rsidRPr="00A21447">
        <w:rPr>
          <w:sz w:val="18"/>
          <w:szCs w:val="18"/>
        </w:rPr>
        <w:t>olan kısmı için binde beş, 10 milyon TL yi aşan kısmı için onbinde yirmibeş döner sermaye işlem bedeli alınacaktır.</w:t>
      </w:r>
    </w:p>
    <w:p w:rsidR="00FC765A" w:rsidRPr="00A21447" w:rsidRDefault="004B2EA4" w:rsidP="001D608D">
      <w:pPr>
        <w:ind w:left="-567" w:right="-567"/>
        <w:jc w:val="both"/>
        <w:rPr>
          <w:sz w:val="18"/>
          <w:szCs w:val="18"/>
        </w:rPr>
      </w:pPr>
      <w:r>
        <w:rPr>
          <w:b/>
          <w:sz w:val="18"/>
          <w:szCs w:val="18"/>
        </w:rPr>
        <w:t>7</w:t>
      </w:r>
      <w:r w:rsidR="00745D5E" w:rsidRPr="00A21447">
        <w:rPr>
          <w:b/>
          <w:sz w:val="18"/>
          <w:szCs w:val="18"/>
        </w:rPr>
        <w:t>-</w:t>
      </w:r>
      <w:r w:rsidR="00745D5E" w:rsidRPr="00A21447">
        <w:rPr>
          <w:sz w:val="18"/>
          <w:szCs w:val="18"/>
        </w:rPr>
        <w:t xml:space="preserve"> </w:t>
      </w:r>
      <w:r w:rsidR="00FD321F" w:rsidRPr="00A21447">
        <w:rPr>
          <w:sz w:val="18"/>
          <w:szCs w:val="18"/>
        </w:rPr>
        <w:t>İrtifak hakkı ihalesi sonucunda oluşan ilk yıl irtifak hakkı bedeli (ön izin verilmesi halinde ön izin bedeli) ile diğer vergi, resim ve harçlar ile kesin teminat bedeli peşin olarak ödenecek olup, irtifak hakkı işlemlerinden doğacak her türlü vergi, resim ve harçlar kullanma izni verilecek olan gerçek veya tüzel kişi tarafından karşılanacaktır.</w:t>
      </w:r>
    </w:p>
    <w:p w:rsidR="00AA4DBC" w:rsidRDefault="004B2EA4" w:rsidP="001D608D">
      <w:pPr>
        <w:ind w:left="-567" w:right="-567"/>
        <w:jc w:val="both"/>
        <w:rPr>
          <w:sz w:val="18"/>
          <w:szCs w:val="18"/>
        </w:rPr>
      </w:pPr>
      <w:r>
        <w:rPr>
          <w:b/>
          <w:sz w:val="18"/>
          <w:szCs w:val="18"/>
        </w:rPr>
        <w:t>8</w:t>
      </w:r>
      <w:r w:rsidR="00FD321F" w:rsidRPr="00A21447">
        <w:rPr>
          <w:b/>
          <w:sz w:val="18"/>
          <w:szCs w:val="18"/>
        </w:rPr>
        <w:t>-</w:t>
      </w:r>
      <w:r w:rsidR="00FD321F" w:rsidRPr="00A21447">
        <w:rPr>
          <w:sz w:val="18"/>
          <w:szCs w:val="18"/>
        </w:rPr>
        <w:t xml:space="preserve"> İrtifak hakkı ihalesinin Onayını müteakip gerekmesi halinde, fiili kullanım olmaksızın taşınmazın tescil, ifraz, tevhit, terk ve benzeri işlemlerinin yapılması veya imar planının yaptırılması, değiştirilmesi ya da uygulama projelerinin hazırlanm</w:t>
      </w:r>
      <w:r w:rsidR="00003364" w:rsidRPr="00A21447">
        <w:rPr>
          <w:sz w:val="18"/>
          <w:szCs w:val="18"/>
        </w:rPr>
        <w:t xml:space="preserve">ası, onaylatılması ile söz konusu imar planı ile getirilecek/getirilen kullanım kararlarına uygun olarak,(konut, enerji ve konaklama amaçlı turizm hariç) sabit ve kalıcı tesislerin projelerinin </w:t>
      </w:r>
      <w:r w:rsidR="00075143" w:rsidRPr="00A21447">
        <w:rPr>
          <w:sz w:val="18"/>
          <w:szCs w:val="18"/>
        </w:rPr>
        <w:t>hazırlanması ve onaylatılması ile ilgili Kamu idarelerinden gerekli izin ve ruhsatların alınması amacıyla, üzerinde ihale kalan yatırımcıya Ön İzin Sözleşmesi düzenlenmek suretiyle 1 (bir) yıl süreli Ön İzin verilecektir. Ön izin verilmesi gereken hallerde, ayrıca bedel takdiri yapılmayacak</w:t>
      </w:r>
      <w:r w:rsidR="00B16C79" w:rsidRPr="00A21447">
        <w:rPr>
          <w:sz w:val="18"/>
          <w:szCs w:val="18"/>
        </w:rPr>
        <w:t>, Ön izin bedeli irtifak ihalesi sonucu oluşacak bedelin yüzde yirmisi olarak belirlenecektir.</w:t>
      </w:r>
      <w:r w:rsidR="00E433DD" w:rsidRPr="00A21447">
        <w:rPr>
          <w:sz w:val="18"/>
          <w:szCs w:val="18"/>
        </w:rPr>
        <w:t xml:space="preserve"> Ancak ön izin verilecek alanda hak sahibinin fiili kullanımı olması halinde Ön izin bedeli, irtifak hakkı ihale bedeli olarak belirlenecektir.</w:t>
      </w:r>
    </w:p>
    <w:p w:rsidR="00026B29" w:rsidRPr="00A21447" w:rsidRDefault="004B2EA4" w:rsidP="00026B29">
      <w:pPr>
        <w:ind w:left="-567" w:right="-567"/>
        <w:jc w:val="both"/>
        <w:rPr>
          <w:sz w:val="18"/>
          <w:szCs w:val="18"/>
        </w:rPr>
      </w:pPr>
      <w:r>
        <w:rPr>
          <w:b/>
          <w:sz w:val="18"/>
          <w:szCs w:val="18"/>
        </w:rPr>
        <w:t>9</w:t>
      </w:r>
      <w:r w:rsidR="00026B29" w:rsidRPr="00A21447">
        <w:rPr>
          <w:b/>
          <w:sz w:val="18"/>
          <w:szCs w:val="18"/>
        </w:rPr>
        <w:t xml:space="preserve"> –</w:t>
      </w:r>
      <w:r w:rsidR="00026B29" w:rsidRPr="00A21447">
        <w:rPr>
          <w:sz w:val="18"/>
          <w:szCs w:val="18"/>
        </w:rPr>
        <w:t xml:space="preserve"> İhaleye ilişkin şartname mesai saatleri içinde Kale Kaymakamlığında (Milli Emlak Şefliği) bedelsiz olarak görülebilir.  </w:t>
      </w:r>
    </w:p>
    <w:p w:rsidR="009B6D2D" w:rsidRPr="00A21447" w:rsidRDefault="004B2EA4" w:rsidP="001D608D">
      <w:pPr>
        <w:ind w:left="-567" w:right="-567"/>
        <w:jc w:val="both"/>
        <w:rPr>
          <w:sz w:val="18"/>
          <w:szCs w:val="18"/>
        </w:rPr>
      </w:pPr>
      <w:r>
        <w:rPr>
          <w:b/>
          <w:sz w:val="18"/>
          <w:szCs w:val="18"/>
        </w:rPr>
        <w:t>10</w:t>
      </w:r>
      <w:r w:rsidR="009B6D2D" w:rsidRPr="00A21447">
        <w:rPr>
          <w:b/>
          <w:sz w:val="18"/>
          <w:szCs w:val="18"/>
        </w:rPr>
        <w:t xml:space="preserve"> -</w:t>
      </w:r>
      <w:r w:rsidR="009B6D2D" w:rsidRPr="00A21447">
        <w:rPr>
          <w:sz w:val="18"/>
          <w:szCs w:val="18"/>
        </w:rPr>
        <w:t xml:space="preserve"> Türkiye genelindeki ihale </w:t>
      </w:r>
      <w:r w:rsidR="009B6D2D" w:rsidRPr="00A21447">
        <w:rPr>
          <w:color w:val="000000" w:themeColor="text1"/>
          <w:sz w:val="18"/>
          <w:szCs w:val="18"/>
        </w:rPr>
        <w:t xml:space="preserve">bilgileri </w:t>
      </w:r>
      <w:hyperlink r:id="rId6" w:history="1">
        <w:r w:rsidR="009B6D2D" w:rsidRPr="00A21447">
          <w:rPr>
            <w:rStyle w:val="Kpr"/>
            <w:b/>
            <w:bCs/>
            <w:color w:val="000000" w:themeColor="text1"/>
            <w:sz w:val="18"/>
            <w:szCs w:val="18"/>
          </w:rPr>
          <w:t>http://www.milliemlak.gov.tr</w:t>
        </w:r>
      </w:hyperlink>
      <w:r w:rsidR="009B6D2D" w:rsidRPr="00A21447">
        <w:rPr>
          <w:sz w:val="18"/>
          <w:szCs w:val="18"/>
        </w:rPr>
        <w:t xml:space="preserve"> internet adresinden, Denizli İlindeki ihale bilgileri </w:t>
      </w:r>
      <w:r w:rsidR="009B6D2D" w:rsidRPr="00A21447">
        <w:rPr>
          <w:b/>
          <w:sz w:val="18"/>
          <w:szCs w:val="18"/>
          <w:u w:val="single"/>
        </w:rPr>
        <w:t>http://www.denizli.csb.gov.tr</w:t>
      </w:r>
      <w:r w:rsidR="009B6D2D" w:rsidRPr="00A21447">
        <w:rPr>
          <w:sz w:val="18"/>
          <w:szCs w:val="18"/>
        </w:rPr>
        <w:t xml:space="preserve"> internet adresinden öğrenilebilir.</w:t>
      </w:r>
    </w:p>
    <w:p w:rsidR="009B6D2D" w:rsidRDefault="009B6D2D" w:rsidP="001D608D">
      <w:pPr>
        <w:ind w:left="-567" w:right="-567"/>
        <w:jc w:val="both"/>
        <w:rPr>
          <w:sz w:val="18"/>
          <w:szCs w:val="18"/>
        </w:rPr>
      </w:pPr>
      <w:r w:rsidRPr="00A21447">
        <w:rPr>
          <w:sz w:val="18"/>
          <w:szCs w:val="18"/>
        </w:rPr>
        <w:t xml:space="preserve">     İlan olunur</w:t>
      </w:r>
      <w:r w:rsidR="007D36A6" w:rsidRPr="00A21447">
        <w:rPr>
          <w:sz w:val="18"/>
          <w:szCs w:val="18"/>
        </w:rPr>
        <w:t>.</w:t>
      </w:r>
      <w:r w:rsidR="00026B29">
        <w:rPr>
          <w:sz w:val="18"/>
          <w:szCs w:val="18"/>
        </w:rPr>
        <w:t xml:space="preserve"> </w:t>
      </w:r>
      <w:r w:rsidR="002E7DA8">
        <w:rPr>
          <w:sz w:val="18"/>
          <w:szCs w:val="18"/>
        </w:rPr>
        <w:t>11</w:t>
      </w:r>
      <w:bookmarkStart w:id="0" w:name="_GoBack"/>
      <w:bookmarkEnd w:id="0"/>
      <w:r w:rsidR="00B55404" w:rsidRPr="00A21447">
        <w:rPr>
          <w:sz w:val="18"/>
          <w:szCs w:val="18"/>
        </w:rPr>
        <w:t xml:space="preserve"> </w:t>
      </w:r>
      <w:r w:rsidR="00D239FF" w:rsidRPr="00A21447">
        <w:rPr>
          <w:sz w:val="18"/>
          <w:szCs w:val="18"/>
        </w:rPr>
        <w:t>11</w:t>
      </w:r>
      <w:r w:rsidR="00B55404" w:rsidRPr="00A21447">
        <w:rPr>
          <w:sz w:val="18"/>
          <w:szCs w:val="18"/>
        </w:rPr>
        <w:t>/202</w:t>
      </w:r>
      <w:r w:rsidR="001420A4" w:rsidRPr="00A21447">
        <w:rPr>
          <w:sz w:val="18"/>
          <w:szCs w:val="18"/>
        </w:rPr>
        <w:t>4</w:t>
      </w:r>
    </w:p>
    <w:p w:rsidR="00026B29" w:rsidRDefault="00026B29" w:rsidP="001D608D">
      <w:pPr>
        <w:ind w:left="-567" w:right="-567"/>
        <w:jc w:val="both"/>
        <w:rPr>
          <w:sz w:val="18"/>
          <w:szCs w:val="18"/>
        </w:rPr>
      </w:pPr>
    </w:p>
    <w:p w:rsidR="00026B29" w:rsidRDefault="00026B29" w:rsidP="001D608D">
      <w:pPr>
        <w:ind w:left="-567" w:right="-567"/>
        <w:jc w:val="both"/>
        <w:rPr>
          <w:sz w:val="18"/>
          <w:szCs w:val="18"/>
        </w:rPr>
      </w:pPr>
    </w:p>
    <w:p w:rsidR="00026B29" w:rsidRDefault="00026B29" w:rsidP="001D608D">
      <w:pPr>
        <w:ind w:left="-567" w:right="-567"/>
        <w:jc w:val="both"/>
        <w:rPr>
          <w:b/>
          <w:sz w:val="22"/>
          <w:szCs w:val="22"/>
        </w:rPr>
      </w:pPr>
    </w:p>
    <w:sectPr w:rsidR="00026B29" w:rsidSect="00E433DD">
      <w:pgSz w:w="16838" w:h="11906" w:orient="landscape" w:code="9"/>
      <w:pgMar w:top="284" w:right="962" w:bottom="568" w:left="1134"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ourier Tur">
    <w:panose1 w:val="00000000000000000000"/>
    <w:charset w:val="A2"/>
    <w:family w:val="modern"/>
    <w:notTrueType/>
    <w:pitch w:val="fixed"/>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6A0"/>
    <w:multiLevelType w:val="hybridMultilevel"/>
    <w:tmpl w:val="4434FC56"/>
    <w:lvl w:ilvl="0" w:tplc="344A8AC6">
      <w:start w:val="1"/>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 w15:restartNumberingAfterBreak="0">
    <w:nsid w:val="0F0E2BA5"/>
    <w:multiLevelType w:val="hybridMultilevel"/>
    <w:tmpl w:val="62E66596"/>
    <w:lvl w:ilvl="0" w:tplc="D662135E">
      <w:start w:val="2"/>
      <w:numFmt w:val="decimal"/>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2" w15:restartNumberingAfterBreak="0">
    <w:nsid w:val="469B6849"/>
    <w:multiLevelType w:val="hybridMultilevel"/>
    <w:tmpl w:val="86CCB7FE"/>
    <w:lvl w:ilvl="0" w:tplc="1B6A0942">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tr-TR"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EB"/>
    <w:rsid w:val="00003364"/>
    <w:rsid w:val="0000490A"/>
    <w:rsid w:val="00007F60"/>
    <w:rsid w:val="00014C29"/>
    <w:rsid w:val="000154DB"/>
    <w:rsid w:val="00015551"/>
    <w:rsid w:val="00016948"/>
    <w:rsid w:val="0002327B"/>
    <w:rsid w:val="00026B29"/>
    <w:rsid w:val="00027C26"/>
    <w:rsid w:val="00033A18"/>
    <w:rsid w:val="00037172"/>
    <w:rsid w:val="0004473C"/>
    <w:rsid w:val="00046A54"/>
    <w:rsid w:val="000474C5"/>
    <w:rsid w:val="00050EF1"/>
    <w:rsid w:val="000536DF"/>
    <w:rsid w:val="00055A5C"/>
    <w:rsid w:val="00060B82"/>
    <w:rsid w:val="00063382"/>
    <w:rsid w:val="0006487F"/>
    <w:rsid w:val="000672C4"/>
    <w:rsid w:val="00071062"/>
    <w:rsid w:val="00073FF4"/>
    <w:rsid w:val="00075143"/>
    <w:rsid w:val="00081431"/>
    <w:rsid w:val="0008194A"/>
    <w:rsid w:val="00083B38"/>
    <w:rsid w:val="000918AB"/>
    <w:rsid w:val="000A2F5C"/>
    <w:rsid w:val="000A3CF3"/>
    <w:rsid w:val="000A46FD"/>
    <w:rsid w:val="000B1901"/>
    <w:rsid w:val="000C1731"/>
    <w:rsid w:val="000D4E5A"/>
    <w:rsid w:val="000D51E6"/>
    <w:rsid w:val="000E3551"/>
    <w:rsid w:val="000E4557"/>
    <w:rsid w:val="000E57DD"/>
    <w:rsid w:val="000F06DB"/>
    <w:rsid w:val="000F23D2"/>
    <w:rsid w:val="000F305F"/>
    <w:rsid w:val="000F60FE"/>
    <w:rsid w:val="000F68FE"/>
    <w:rsid w:val="00100F7F"/>
    <w:rsid w:val="001059DF"/>
    <w:rsid w:val="0011031E"/>
    <w:rsid w:val="00111D6E"/>
    <w:rsid w:val="00116667"/>
    <w:rsid w:val="00121426"/>
    <w:rsid w:val="0012179E"/>
    <w:rsid w:val="001220DB"/>
    <w:rsid w:val="00124171"/>
    <w:rsid w:val="001255EF"/>
    <w:rsid w:val="00127587"/>
    <w:rsid w:val="00130197"/>
    <w:rsid w:val="001420A4"/>
    <w:rsid w:val="001466A1"/>
    <w:rsid w:val="00146DD8"/>
    <w:rsid w:val="0015549C"/>
    <w:rsid w:val="00156EBF"/>
    <w:rsid w:val="001601AE"/>
    <w:rsid w:val="001636C4"/>
    <w:rsid w:val="00167016"/>
    <w:rsid w:val="00171F7A"/>
    <w:rsid w:val="00173D96"/>
    <w:rsid w:val="00191270"/>
    <w:rsid w:val="001918F5"/>
    <w:rsid w:val="001961BA"/>
    <w:rsid w:val="001A56F0"/>
    <w:rsid w:val="001B2171"/>
    <w:rsid w:val="001B51ED"/>
    <w:rsid w:val="001B52E0"/>
    <w:rsid w:val="001B553E"/>
    <w:rsid w:val="001B7CEB"/>
    <w:rsid w:val="001C14A3"/>
    <w:rsid w:val="001C1EB6"/>
    <w:rsid w:val="001C3217"/>
    <w:rsid w:val="001C6760"/>
    <w:rsid w:val="001D4E0E"/>
    <w:rsid w:val="001D608D"/>
    <w:rsid w:val="001D7C43"/>
    <w:rsid w:val="001E1225"/>
    <w:rsid w:val="001E19C2"/>
    <w:rsid w:val="001E3703"/>
    <w:rsid w:val="001E665F"/>
    <w:rsid w:val="001E6D2F"/>
    <w:rsid w:val="001F103D"/>
    <w:rsid w:val="002001E7"/>
    <w:rsid w:val="0020365F"/>
    <w:rsid w:val="002038EC"/>
    <w:rsid w:val="00212D65"/>
    <w:rsid w:val="00212F21"/>
    <w:rsid w:val="002209BB"/>
    <w:rsid w:val="00224B1E"/>
    <w:rsid w:val="00225523"/>
    <w:rsid w:val="002268F0"/>
    <w:rsid w:val="00231F96"/>
    <w:rsid w:val="0023298B"/>
    <w:rsid w:val="002331AD"/>
    <w:rsid w:val="00234E73"/>
    <w:rsid w:val="0023584E"/>
    <w:rsid w:val="002365B9"/>
    <w:rsid w:val="00236F54"/>
    <w:rsid w:val="002451CB"/>
    <w:rsid w:val="002532D2"/>
    <w:rsid w:val="002552C9"/>
    <w:rsid w:val="00265D2B"/>
    <w:rsid w:val="002678D1"/>
    <w:rsid w:val="00267F8F"/>
    <w:rsid w:val="00274CB7"/>
    <w:rsid w:val="00276223"/>
    <w:rsid w:val="002835C0"/>
    <w:rsid w:val="0028738F"/>
    <w:rsid w:val="00292151"/>
    <w:rsid w:val="002A10AC"/>
    <w:rsid w:val="002A19C8"/>
    <w:rsid w:val="002A5BD7"/>
    <w:rsid w:val="002A68E0"/>
    <w:rsid w:val="002B0844"/>
    <w:rsid w:val="002B08FD"/>
    <w:rsid w:val="002B7E60"/>
    <w:rsid w:val="002C6125"/>
    <w:rsid w:val="002D1F95"/>
    <w:rsid w:val="002D6A93"/>
    <w:rsid w:val="002E1750"/>
    <w:rsid w:val="002E4D00"/>
    <w:rsid w:val="002E7DA8"/>
    <w:rsid w:val="002F3C1B"/>
    <w:rsid w:val="002F4123"/>
    <w:rsid w:val="002F6ECA"/>
    <w:rsid w:val="003025E6"/>
    <w:rsid w:val="003118C1"/>
    <w:rsid w:val="00313A3A"/>
    <w:rsid w:val="003315A8"/>
    <w:rsid w:val="003341AB"/>
    <w:rsid w:val="00336C0E"/>
    <w:rsid w:val="00337F24"/>
    <w:rsid w:val="00341A2F"/>
    <w:rsid w:val="00350CD5"/>
    <w:rsid w:val="00351493"/>
    <w:rsid w:val="00357572"/>
    <w:rsid w:val="00362161"/>
    <w:rsid w:val="00362DED"/>
    <w:rsid w:val="003634D8"/>
    <w:rsid w:val="003647D2"/>
    <w:rsid w:val="003648C3"/>
    <w:rsid w:val="00372421"/>
    <w:rsid w:val="00377A2C"/>
    <w:rsid w:val="0038081A"/>
    <w:rsid w:val="00393016"/>
    <w:rsid w:val="003A05DA"/>
    <w:rsid w:val="003A541C"/>
    <w:rsid w:val="003B14CC"/>
    <w:rsid w:val="003B163F"/>
    <w:rsid w:val="003B356F"/>
    <w:rsid w:val="003B5B1F"/>
    <w:rsid w:val="003B6028"/>
    <w:rsid w:val="003C0AD8"/>
    <w:rsid w:val="003C5A95"/>
    <w:rsid w:val="003C7D1C"/>
    <w:rsid w:val="003D3958"/>
    <w:rsid w:val="003E1267"/>
    <w:rsid w:val="003E5BEB"/>
    <w:rsid w:val="003E6D66"/>
    <w:rsid w:val="003F3659"/>
    <w:rsid w:val="0041541B"/>
    <w:rsid w:val="00424BDB"/>
    <w:rsid w:val="004317F5"/>
    <w:rsid w:val="00431FA2"/>
    <w:rsid w:val="00435459"/>
    <w:rsid w:val="0043601F"/>
    <w:rsid w:val="00441223"/>
    <w:rsid w:val="00444E11"/>
    <w:rsid w:val="00445C89"/>
    <w:rsid w:val="0045344B"/>
    <w:rsid w:val="00454A3C"/>
    <w:rsid w:val="00454CCB"/>
    <w:rsid w:val="0045696A"/>
    <w:rsid w:val="00456AD9"/>
    <w:rsid w:val="00456FC0"/>
    <w:rsid w:val="00471846"/>
    <w:rsid w:val="00472443"/>
    <w:rsid w:val="00472892"/>
    <w:rsid w:val="00472F45"/>
    <w:rsid w:val="00477F4F"/>
    <w:rsid w:val="00481177"/>
    <w:rsid w:val="004829F1"/>
    <w:rsid w:val="004963DF"/>
    <w:rsid w:val="00496FDC"/>
    <w:rsid w:val="0049792C"/>
    <w:rsid w:val="004A0386"/>
    <w:rsid w:val="004A0579"/>
    <w:rsid w:val="004A1CA0"/>
    <w:rsid w:val="004A250E"/>
    <w:rsid w:val="004B07BE"/>
    <w:rsid w:val="004B1A11"/>
    <w:rsid w:val="004B2EA4"/>
    <w:rsid w:val="004B3681"/>
    <w:rsid w:val="004B5058"/>
    <w:rsid w:val="004C2D92"/>
    <w:rsid w:val="004D131E"/>
    <w:rsid w:val="004D6C60"/>
    <w:rsid w:val="004E0DCE"/>
    <w:rsid w:val="004E1C04"/>
    <w:rsid w:val="004E27A5"/>
    <w:rsid w:val="004E2C68"/>
    <w:rsid w:val="004E4388"/>
    <w:rsid w:val="004F2469"/>
    <w:rsid w:val="00504E8A"/>
    <w:rsid w:val="00507481"/>
    <w:rsid w:val="00510FD0"/>
    <w:rsid w:val="005114CD"/>
    <w:rsid w:val="00512A10"/>
    <w:rsid w:val="0051318A"/>
    <w:rsid w:val="00513772"/>
    <w:rsid w:val="00514110"/>
    <w:rsid w:val="0051482F"/>
    <w:rsid w:val="00515BE9"/>
    <w:rsid w:val="005219D2"/>
    <w:rsid w:val="005266D2"/>
    <w:rsid w:val="00534AC0"/>
    <w:rsid w:val="005353C9"/>
    <w:rsid w:val="00540A90"/>
    <w:rsid w:val="005426A5"/>
    <w:rsid w:val="005426E6"/>
    <w:rsid w:val="005429D8"/>
    <w:rsid w:val="005444D5"/>
    <w:rsid w:val="00547C92"/>
    <w:rsid w:val="0055072E"/>
    <w:rsid w:val="00554F32"/>
    <w:rsid w:val="00556E8A"/>
    <w:rsid w:val="00557CF8"/>
    <w:rsid w:val="00561D7F"/>
    <w:rsid w:val="00565A61"/>
    <w:rsid w:val="00566E5A"/>
    <w:rsid w:val="00572CA3"/>
    <w:rsid w:val="00574BC9"/>
    <w:rsid w:val="00574D8A"/>
    <w:rsid w:val="005753D4"/>
    <w:rsid w:val="00581DF9"/>
    <w:rsid w:val="0058437F"/>
    <w:rsid w:val="00595581"/>
    <w:rsid w:val="005A2FD5"/>
    <w:rsid w:val="005B6270"/>
    <w:rsid w:val="005B6779"/>
    <w:rsid w:val="005C15CB"/>
    <w:rsid w:val="005E2209"/>
    <w:rsid w:val="005F402D"/>
    <w:rsid w:val="006023B4"/>
    <w:rsid w:val="00603E10"/>
    <w:rsid w:val="00607F25"/>
    <w:rsid w:val="00614944"/>
    <w:rsid w:val="006149FA"/>
    <w:rsid w:val="00617E4A"/>
    <w:rsid w:val="006265B5"/>
    <w:rsid w:val="00627120"/>
    <w:rsid w:val="0063134F"/>
    <w:rsid w:val="00631377"/>
    <w:rsid w:val="006313BF"/>
    <w:rsid w:val="0063385D"/>
    <w:rsid w:val="00635C97"/>
    <w:rsid w:val="00640D13"/>
    <w:rsid w:val="00644D74"/>
    <w:rsid w:val="00651885"/>
    <w:rsid w:val="00653D4A"/>
    <w:rsid w:val="00654804"/>
    <w:rsid w:val="0065663D"/>
    <w:rsid w:val="00660FBE"/>
    <w:rsid w:val="00662191"/>
    <w:rsid w:val="006768B7"/>
    <w:rsid w:val="00682C93"/>
    <w:rsid w:val="00687F9F"/>
    <w:rsid w:val="00694062"/>
    <w:rsid w:val="006A5B40"/>
    <w:rsid w:val="006B13CF"/>
    <w:rsid w:val="006B415E"/>
    <w:rsid w:val="006C2009"/>
    <w:rsid w:val="006C3332"/>
    <w:rsid w:val="006C5930"/>
    <w:rsid w:val="006C630D"/>
    <w:rsid w:val="006C763F"/>
    <w:rsid w:val="006D28F0"/>
    <w:rsid w:val="006D5878"/>
    <w:rsid w:val="006D712D"/>
    <w:rsid w:val="006D7EF0"/>
    <w:rsid w:val="006E1220"/>
    <w:rsid w:val="006F0A2F"/>
    <w:rsid w:val="006F118F"/>
    <w:rsid w:val="006F2605"/>
    <w:rsid w:val="006F4A74"/>
    <w:rsid w:val="006F5BCB"/>
    <w:rsid w:val="007008E0"/>
    <w:rsid w:val="00715F26"/>
    <w:rsid w:val="00716B45"/>
    <w:rsid w:val="00721540"/>
    <w:rsid w:val="00736175"/>
    <w:rsid w:val="00736245"/>
    <w:rsid w:val="00737507"/>
    <w:rsid w:val="00745ACF"/>
    <w:rsid w:val="00745D5E"/>
    <w:rsid w:val="00746A15"/>
    <w:rsid w:val="0075165D"/>
    <w:rsid w:val="00757AA1"/>
    <w:rsid w:val="00761B54"/>
    <w:rsid w:val="00763A0A"/>
    <w:rsid w:val="00766DB8"/>
    <w:rsid w:val="00770E37"/>
    <w:rsid w:val="00771016"/>
    <w:rsid w:val="0077509B"/>
    <w:rsid w:val="007863C4"/>
    <w:rsid w:val="007872C4"/>
    <w:rsid w:val="007927FE"/>
    <w:rsid w:val="00795B3A"/>
    <w:rsid w:val="00796F25"/>
    <w:rsid w:val="007A0318"/>
    <w:rsid w:val="007A429B"/>
    <w:rsid w:val="007A51E8"/>
    <w:rsid w:val="007A7472"/>
    <w:rsid w:val="007B0984"/>
    <w:rsid w:val="007B0E01"/>
    <w:rsid w:val="007C0375"/>
    <w:rsid w:val="007C4701"/>
    <w:rsid w:val="007D03CC"/>
    <w:rsid w:val="007D26B9"/>
    <w:rsid w:val="007D36A6"/>
    <w:rsid w:val="007E025C"/>
    <w:rsid w:val="007F3690"/>
    <w:rsid w:val="007F3869"/>
    <w:rsid w:val="007F3BE9"/>
    <w:rsid w:val="008066A1"/>
    <w:rsid w:val="00821943"/>
    <w:rsid w:val="00822E47"/>
    <w:rsid w:val="00835689"/>
    <w:rsid w:val="00840017"/>
    <w:rsid w:val="008423DA"/>
    <w:rsid w:val="00842CBC"/>
    <w:rsid w:val="00847D54"/>
    <w:rsid w:val="00854468"/>
    <w:rsid w:val="00854521"/>
    <w:rsid w:val="00854D1C"/>
    <w:rsid w:val="00854DAF"/>
    <w:rsid w:val="008555B7"/>
    <w:rsid w:val="00860D5C"/>
    <w:rsid w:val="00862171"/>
    <w:rsid w:val="00862977"/>
    <w:rsid w:val="008677F9"/>
    <w:rsid w:val="00870F0C"/>
    <w:rsid w:val="00871BFE"/>
    <w:rsid w:val="008827AC"/>
    <w:rsid w:val="008848A3"/>
    <w:rsid w:val="00885A02"/>
    <w:rsid w:val="00886100"/>
    <w:rsid w:val="0088709E"/>
    <w:rsid w:val="00892311"/>
    <w:rsid w:val="00893EFA"/>
    <w:rsid w:val="008A3032"/>
    <w:rsid w:val="008A44E4"/>
    <w:rsid w:val="008A4894"/>
    <w:rsid w:val="008B028F"/>
    <w:rsid w:val="008B2579"/>
    <w:rsid w:val="008B2CF3"/>
    <w:rsid w:val="008B6047"/>
    <w:rsid w:val="008C0832"/>
    <w:rsid w:val="008C3A7C"/>
    <w:rsid w:val="008C6C44"/>
    <w:rsid w:val="008E048B"/>
    <w:rsid w:val="008E04D0"/>
    <w:rsid w:val="008E0D71"/>
    <w:rsid w:val="008E4AC6"/>
    <w:rsid w:val="008F0F4B"/>
    <w:rsid w:val="008F273B"/>
    <w:rsid w:val="008F3245"/>
    <w:rsid w:val="008F5CB1"/>
    <w:rsid w:val="00901BFC"/>
    <w:rsid w:val="00903F77"/>
    <w:rsid w:val="00905D0C"/>
    <w:rsid w:val="00921AC5"/>
    <w:rsid w:val="00921D8C"/>
    <w:rsid w:val="0092311B"/>
    <w:rsid w:val="009233CB"/>
    <w:rsid w:val="00925302"/>
    <w:rsid w:val="00930F57"/>
    <w:rsid w:val="00934713"/>
    <w:rsid w:val="00941050"/>
    <w:rsid w:val="0094193B"/>
    <w:rsid w:val="0096164D"/>
    <w:rsid w:val="009643F5"/>
    <w:rsid w:val="00964A69"/>
    <w:rsid w:val="0096685F"/>
    <w:rsid w:val="009670B3"/>
    <w:rsid w:val="00981A7B"/>
    <w:rsid w:val="00986700"/>
    <w:rsid w:val="009911DE"/>
    <w:rsid w:val="0099479B"/>
    <w:rsid w:val="009951C5"/>
    <w:rsid w:val="00995E32"/>
    <w:rsid w:val="0099774A"/>
    <w:rsid w:val="009A000B"/>
    <w:rsid w:val="009A02E3"/>
    <w:rsid w:val="009A0419"/>
    <w:rsid w:val="009A4D6A"/>
    <w:rsid w:val="009A6666"/>
    <w:rsid w:val="009A6D83"/>
    <w:rsid w:val="009B0ABE"/>
    <w:rsid w:val="009B0E97"/>
    <w:rsid w:val="009B6D2D"/>
    <w:rsid w:val="009C000F"/>
    <w:rsid w:val="009C0A0C"/>
    <w:rsid w:val="009C0D3A"/>
    <w:rsid w:val="009C119D"/>
    <w:rsid w:val="009C499D"/>
    <w:rsid w:val="009D3AE5"/>
    <w:rsid w:val="009D3FCD"/>
    <w:rsid w:val="009D49C6"/>
    <w:rsid w:val="009D55BF"/>
    <w:rsid w:val="009D7DEF"/>
    <w:rsid w:val="009E011B"/>
    <w:rsid w:val="009E04BE"/>
    <w:rsid w:val="009E0BB5"/>
    <w:rsid w:val="009E496A"/>
    <w:rsid w:val="009E4C24"/>
    <w:rsid w:val="009E5455"/>
    <w:rsid w:val="009F24BB"/>
    <w:rsid w:val="00A02013"/>
    <w:rsid w:val="00A054F3"/>
    <w:rsid w:val="00A20C03"/>
    <w:rsid w:val="00A21447"/>
    <w:rsid w:val="00A23E11"/>
    <w:rsid w:val="00A25052"/>
    <w:rsid w:val="00A33098"/>
    <w:rsid w:val="00A375F0"/>
    <w:rsid w:val="00A409F2"/>
    <w:rsid w:val="00A41A7E"/>
    <w:rsid w:val="00A70750"/>
    <w:rsid w:val="00A71B5C"/>
    <w:rsid w:val="00A72F5F"/>
    <w:rsid w:val="00A74EF0"/>
    <w:rsid w:val="00A75662"/>
    <w:rsid w:val="00A854EB"/>
    <w:rsid w:val="00A87326"/>
    <w:rsid w:val="00A90DB6"/>
    <w:rsid w:val="00A93A4D"/>
    <w:rsid w:val="00A95CDA"/>
    <w:rsid w:val="00A96EAD"/>
    <w:rsid w:val="00A97E19"/>
    <w:rsid w:val="00AA2E65"/>
    <w:rsid w:val="00AA4DBC"/>
    <w:rsid w:val="00AB2D93"/>
    <w:rsid w:val="00AB3883"/>
    <w:rsid w:val="00AB42F8"/>
    <w:rsid w:val="00AC1D44"/>
    <w:rsid w:val="00AC6D84"/>
    <w:rsid w:val="00AD338B"/>
    <w:rsid w:val="00AD62DA"/>
    <w:rsid w:val="00AD65D4"/>
    <w:rsid w:val="00AD7B90"/>
    <w:rsid w:val="00AF115A"/>
    <w:rsid w:val="00AF4B80"/>
    <w:rsid w:val="00AF4CB7"/>
    <w:rsid w:val="00AF5C78"/>
    <w:rsid w:val="00B01370"/>
    <w:rsid w:val="00B02548"/>
    <w:rsid w:val="00B02F83"/>
    <w:rsid w:val="00B153A9"/>
    <w:rsid w:val="00B158B8"/>
    <w:rsid w:val="00B16C79"/>
    <w:rsid w:val="00B23370"/>
    <w:rsid w:val="00B278F0"/>
    <w:rsid w:val="00B27FFA"/>
    <w:rsid w:val="00B3310D"/>
    <w:rsid w:val="00B33D23"/>
    <w:rsid w:val="00B3450A"/>
    <w:rsid w:val="00B526FA"/>
    <w:rsid w:val="00B55404"/>
    <w:rsid w:val="00B56401"/>
    <w:rsid w:val="00B5711C"/>
    <w:rsid w:val="00B7363E"/>
    <w:rsid w:val="00B770AF"/>
    <w:rsid w:val="00B77E48"/>
    <w:rsid w:val="00B80C7A"/>
    <w:rsid w:val="00B8148E"/>
    <w:rsid w:val="00B84DAA"/>
    <w:rsid w:val="00B86F09"/>
    <w:rsid w:val="00B904B5"/>
    <w:rsid w:val="00B90801"/>
    <w:rsid w:val="00B9224C"/>
    <w:rsid w:val="00B93C33"/>
    <w:rsid w:val="00BA0022"/>
    <w:rsid w:val="00BA18D6"/>
    <w:rsid w:val="00BB3789"/>
    <w:rsid w:val="00BB423B"/>
    <w:rsid w:val="00BC00DE"/>
    <w:rsid w:val="00BC232A"/>
    <w:rsid w:val="00BC36B2"/>
    <w:rsid w:val="00BC78E3"/>
    <w:rsid w:val="00BD0A84"/>
    <w:rsid w:val="00BD6C39"/>
    <w:rsid w:val="00BD7636"/>
    <w:rsid w:val="00BD7A0D"/>
    <w:rsid w:val="00BD7B12"/>
    <w:rsid w:val="00BE6B42"/>
    <w:rsid w:val="00BE74A0"/>
    <w:rsid w:val="00BF26FD"/>
    <w:rsid w:val="00C00AA4"/>
    <w:rsid w:val="00C05DBF"/>
    <w:rsid w:val="00C11009"/>
    <w:rsid w:val="00C2276E"/>
    <w:rsid w:val="00C235B6"/>
    <w:rsid w:val="00C2498A"/>
    <w:rsid w:val="00C32A70"/>
    <w:rsid w:val="00C3422C"/>
    <w:rsid w:val="00C37FD2"/>
    <w:rsid w:val="00C41360"/>
    <w:rsid w:val="00C419CF"/>
    <w:rsid w:val="00C41BFA"/>
    <w:rsid w:val="00C421AA"/>
    <w:rsid w:val="00C52024"/>
    <w:rsid w:val="00C522A8"/>
    <w:rsid w:val="00C57DF6"/>
    <w:rsid w:val="00C57FE3"/>
    <w:rsid w:val="00C6047D"/>
    <w:rsid w:val="00C61645"/>
    <w:rsid w:val="00C63AD5"/>
    <w:rsid w:val="00C66034"/>
    <w:rsid w:val="00C660A7"/>
    <w:rsid w:val="00C73899"/>
    <w:rsid w:val="00C75EEF"/>
    <w:rsid w:val="00C768EF"/>
    <w:rsid w:val="00C804C0"/>
    <w:rsid w:val="00C808C6"/>
    <w:rsid w:val="00C822AF"/>
    <w:rsid w:val="00C8271B"/>
    <w:rsid w:val="00C87C3E"/>
    <w:rsid w:val="00C90AC9"/>
    <w:rsid w:val="00C91CE8"/>
    <w:rsid w:val="00C92096"/>
    <w:rsid w:val="00C97ADD"/>
    <w:rsid w:val="00CA320E"/>
    <w:rsid w:val="00CB117E"/>
    <w:rsid w:val="00CB3164"/>
    <w:rsid w:val="00CB6195"/>
    <w:rsid w:val="00CC0C50"/>
    <w:rsid w:val="00CC5F81"/>
    <w:rsid w:val="00CD0909"/>
    <w:rsid w:val="00CD1521"/>
    <w:rsid w:val="00CD4AD5"/>
    <w:rsid w:val="00CF12D9"/>
    <w:rsid w:val="00CF17D7"/>
    <w:rsid w:val="00CF1D10"/>
    <w:rsid w:val="00D034BB"/>
    <w:rsid w:val="00D03A9D"/>
    <w:rsid w:val="00D04653"/>
    <w:rsid w:val="00D122DA"/>
    <w:rsid w:val="00D12E9A"/>
    <w:rsid w:val="00D142B9"/>
    <w:rsid w:val="00D16C7A"/>
    <w:rsid w:val="00D17014"/>
    <w:rsid w:val="00D239FF"/>
    <w:rsid w:val="00D23A61"/>
    <w:rsid w:val="00D32F15"/>
    <w:rsid w:val="00D4536E"/>
    <w:rsid w:val="00D4768C"/>
    <w:rsid w:val="00D52CEC"/>
    <w:rsid w:val="00D64BC7"/>
    <w:rsid w:val="00D74842"/>
    <w:rsid w:val="00D750C0"/>
    <w:rsid w:val="00D8172A"/>
    <w:rsid w:val="00D8302D"/>
    <w:rsid w:val="00D85319"/>
    <w:rsid w:val="00D90845"/>
    <w:rsid w:val="00D96731"/>
    <w:rsid w:val="00D9700E"/>
    <w:rsid w:val="00DA153C"/>
    <w:rsid w:val="00DA1A8F"/>
    <w:rsid w:val="00DB5E9F"/>
    <w:rsid w:val="00DC6E3F"/>
    <w:rsid w:val="00DC7D24"/>
    <w:rsid w:val="00DE33BA"/>
    <w:rsid w:val="00DE5F53"/>
    <w:rsid w:val="00DE612D"/>
    <w:rsid w:val="00DE6CB7"/>
    <w:rsid w:val="00DF2C32"/>
    <w:rsid w:val="00E00385"/>
    <w:rsid w:val="00E01D32"/>
    <w:rsid w:val="00E1311F"/>
    <w:rsid w:val="00E1320E"/>
    <w:rsid w:val="00E2044B"/>
    <w:rsid w:val="00E229B6"/>
    <w:rsid w:val="00E31059"/>
    <w:rsid w:val="00E32BD2"/>
    <w:rsid w:val="00E353C3"/>
    <w:rsid w:val="00E35C53"/>
    <w:rsid w:val="00E35D77"/>
    <w:rsid w:val="00E433DD"/>
    <w:rsid w:val="00E55634"/>
    <w:rsid w:val="00E55CD7"/>
    <w:rsid w:val="00E55DBB"/>
    <w:rsid w:val="00E6254E"/>
    <w:rsid w:val="00E6267A"/>
    <w:rsid w:val="00E64BF4"/>
    <w:rsid w:val="00E659B5"/>
    <w:rsid w:val="00E6635B"/>
    <w:rsid w:val="00E71AD6"/>
    <w:rsid w:val="00E72A4E"/>
    <w:rsid w:val="00E768EE"/>
    <w:rsid w:val="00E802C2"/>
    <w:rsid w:val="00E8097D"/>
    <w:rsid w:val="00E83F31"/>
    <w:rsid w:val="00E86646"/>
    <w:rsid w:val="00E86815"/>
    <w:rsid w:val="00E87CD3"/>
    <w:rsid w:val="00E90F42"/>
    <w:rsid w:val="00E944E8"/>
    <w:rsid w:val="00E95974"/>
    <w:rsid w:val="00EA3D65"/>
    <w:rsid w:val="00EA44E5"/>
    <w:rsid w:val="00EB0696"/>
    <w:rsid w:val="00EB3EFE"/>
    <w:rsid w:val="00EB6572"/>
    <w:rsid w:val="00EC2726"/>
    <w:rsid w:val="00ED3873"/>
    <w:rsid w:val="00ED6F61"/>
    <w:rsid w:val="00EE1D93"/>
    <w:rsid w:val="00EF55BF"/>
    <w:rsid w:val="00F00254"/>
    <w:rsid w:val="00F026CD"/>
    <w:rsid w:val="00F027D2"/>
    <w:rsid w:val="00F06375"/>
    <w:rsid w:val="00F121BE"/>
    <w:rsid w:val="00F157E3"/>
    <w:rsid w:val="00F16E0A"/>
    <w:rsid w:val="00F171E1"/>
    <w:rsid w:val="00F1738F"/>
    <w:rsid w:val="00F20EE8"/>
    <w:rsid w:val="00F23340"/>
    <w:rsid w:val="00F25125"/>
    <w:rsid w:val="00F31791"/>
    <w:rsid w:val="00F3674F"/>
    <w:rsid w:val="00F403A8"/>
    <w:rsid w:val="00F41C2A"/>
    <w:rsid w:val="00F44177"/>
    <w:rsid w:val="00F5388C"/>
    <w:rsid w:val="00F565BB"/>
    <w:rsid w:val="00F56F20"/>
    <w:rsid w:val="00F60848"/>
    <w:rsid w:val="00F62976"/>
    <w:rsid w:val="00F66565"/>
    <w:rsid w:val="00F71186"/>
    <w:rsid w:val="00F740B2"/>
    <w:rsid w:val="00F80D6A"/>
    <w:rsid w:val="00F869F6"/>
    <w:rsid w:val="00F86CC2"/>
    <w:rsid w:val="00FA16D2"/>
    <w:rsid w:val="00FA596C"/>
    <w:rsid w:val="00FB0AED"/>
    <w:rsid w:val="00FB4225"/>
    <w:rsid w:val="00FB4E24"/>
    <w:rsid w:val="00FB532F"/>
    <w:rsid w:val="00FC2025"/>
    <w:rsid w:val="00FC3318"/>
    <w:rsid w:val="00FC51B6"/>
    <w:rsid w:val="00FC765A"/>
    <w:rsid w:val="00FD321F"/>
    <w:rsid w:val="00FD3AFC"/>
    <w:rsid w:val="00FD63F8"/>
    <w:rsid w:val="00FE0065"/>
    <w:rsid w:val="00FE6ED5"/>
    <w:rsid w:val="00FF48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361D7"/>
  <w15:docId w15:val="{63B7D32C-57A7-4DA7-A4A8-1167D76A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F54"/>
    <w:rPr>
      <w:sz w:val="24"/>
      <w:szCs w:val="24"/>
    </w:rPr>
  </w:style>
  <w:style w:type="paragraph" w:styleId="Balk1">
    <w:name w:val="heading 1"/>
    <w:basedOn w:val="Normal"/>
    <w:next w:val="Normal"/>
    <w:link w:val="Balk1Char"/>
    <w:qFormat/>
    <w:pPr>
      <w:keepNext/>
      <w:ind w:right="-1"/>
      <w:jc w:val="center"/>
      <w:outlineLvl w:val="0"/>
    </w:pPr>
    <w:rPr>
      <w:rFonts w:ascii="Tahoma" w:hAnsi="Tahoma"/>
      <w:b/>
      <w:sz w:val="16"/>
      <w:szCs w:val="20"/>
    </w:rPr>
  </w:style>
  <w:style w:type="paragraph" w:styleId="Balk2">
    <w:name w:val="heading 2"/>
    <w:basedOn w:val="Normal"/>
    <w:next w:val="Normal"/>
    <w:link w:val="Balk2Char"/>
    <w:qFormat/>
    <w:pPr>
      <w:keepNext/>
      <w:jc w:val="center"/>
      <w:outlineLvl w:val="1"/>
    </w:pPr>
    <w:rPr>
      <w:rFonts w:ascii="Trebuchet MS" w:hAnsi="Trebuchet MS"/>
      <w:b/>
      <w:sz w:val="16"/>
      <w:szCs w:val="20"/>
    </w:rPr>
  </w:style>
  <w:style w:type="paragraph" w:styleId="Balk3">
    <w:name w:val="heading 3"/>
    <w:basedOn w:val="Normal"/>
    <w:next w:val="Normal"/>
    <w:link w:val="Balk3Char"/>
    <w:qFormat/>
    <w:pPr>
      <w:keepNext/>
      <w:ind w:right="-1"/>
      <w:jc w:val="center"/>
      <w:outlineLvl w:val="2"/>
    </w:pPr>
    <w:rPr>
      <w:rFonts w:ascii="Century Gothic" w:hAnsi="Century Gothic"/>
      <w:b/>
      <w:bCs/>
      <w:sz w:val="18"/>
      <w:szCs w:val="20"/>
    </w:rPr>
  </w:style>
  <w:style w:type="paragraph" w:styleId="Balk4">
    <w:name w:val="heading 4"/>
    <w:basedOn w:val="Normal"/>
    <w:next w:val="Normal"/>
    <w:link w:val="Balk4Char"/>
    <w:qFormat/>
    <w:pPr>
      <w:keepNext/>
      <w:ind w:left="-851"/>
      <w:outlineLvl w:val="3"/>
    </w:pPr>
    <w:rPr>
      <w:b/>
      <w:sz w:val="17"/>
    </w:rPr>
  </w:style>
  <w:style w:type="paragraph" w:styleId="Balk5">
    <w:name w:val="heading 5"/>
    <w:basedOn w:val="Normal"/>
    <w:next w:val="Normal"/>
    <w:link w:val="Balk5Char"/>
    <w:qFormat/>
    <w:pPr>
      <w:keepNext/>
      <w:ind w:left="72"/>
      <w:outlineLvl w:val="4"/>
    </w:pPr>
    <w:rPr>
      <w:b/>
      <w:bCs/>
      <w:sz w:val="17"/>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pPr>
      <w:ind w:left="-426" w:right="-1"/>
      <w:jc w:val="both"/>
    </w:pPr>
    <w:rPr>
      <w:rFonts w:ascii="Courier Tur" w:hAnsi="Courier Tur"/>
      <w:b/>
      <w:sz w:val="18"/>
      <w:szCs w:val="20"/>
    </w:rPr>
  </w:style>
  <w:style w:type="paragraph" w:styleId="GvdeMetniGirintisi">
    <w:name w:val="Body Text Indent"/>
    <w:basedOn w:val="Normal"/>
    <w:link w:val="GvdeMetniGirintisiChar"/>
    <w:pPr>
      <w:ind w:left="-425" w:firstLine="680"/>
      <w:jc w:val="both"/>
    </w:pPr>
    <w:rPr>
      <w:rFonts w:ascii="Trebuchet MS" w:hAnsi="Trebuchet MS"/>
      <w:sz w:val="16"/>
      <w:szCs w:val="20"/>
    </w:rPr>
  </w:style>
  <w:style w:type="character" w:styleId="Kpr">
    <w:name w:val="Hyperlink"/>
    <w:uiPriority w:val="99"/>
    <w:rPr>
      <w:color w:val="0000FF"/>
      <w:u w:val="single"/>
    </w:rPr>
  </w:style>
  <w:style w:type="paragraph" w:styleId="BalonMetni">
    <w:name w:val="Balloon Text"/>
    <w:basedOn w:val="Normal"/>
    <w:link w:val="BalonMetniChar"/>
    <w:semiHidden/>
    <w:rsid w:val="00C808C6"/>
    <w:rPr>
      <w:rFonts w:ascii="Tahoma" w:hAnsi="Tahoma" w:cs="Tahoma"/>
      <w:sz w:val="16"/>
      <w:szCs w:val="16"/>
    </w:rPr>
  </w:style>
  <w:style w:type="character" w:customStyle="1" w:styleId="Balk1Char">
    <w:name w:val="Başlık 1 Char"/>
    <w:link w:val="Balk1"/>
    <w:rsid w:val="00AB2D93"/>
    <w:rPr>
      <w:rFonts w:ascii="Tahoma" w:hAnsi="Tahoma"/>
      <w:b/>
      <w:sz w:val="16"/>
    </w:rPr>
  </w:style>
  <w:style w:type="character" w:customStyle="1" w:styleId="Balk2Char">
    <w:name w:val="Başlık 2 Char"/>
    <w:link w:val="Balk2"/>
    <w:rsid w:val="00AB2D93"/>
    <w:rPr>
      <w:rFonts w:ascii="Trebuchet MS" w:hAnsi="Trebuchet MS"/>
      <w:b/>
      <w:sz w:val="16"/>
    </w:rPr>
  </w:style>
  <w:style w:type="character" w:customStyle="1" w:styleId="Balk3Char">
    <w:name w:val="Başlık 3 Char"/>
    <w:link w:val="Balk3"/>
    <w:rsid w:val="00AB2D93"/>
    <w:rPr>
      <w:rFonts w:ascii="Century Gothic" w:hAnsi="Century Gothic"/>
      <w:b/>
      <w:bCs/>
      <w:sz w:val="18"/>
    </w:rPr>
  </w:style>
  <w:style w:type="character" w:customStyle="1" w:styleId="Balk4Char">
    <w:name w:val="Başlık 4 Char"/>
    <w:link w:val="Balk4"/>
    <w:rsid w:val="00AB2D93"/>
    <w:rPr>
      <w:b/>
      <w:sz w:val="17"/>
      <w:szCs w:val="24"/>
    </w:rPr>
  </w:style>
  <w:style w:type="paragraph" w:styleId="ListeParagraf">
    <w:name w:val="List Paragraph"/>
    <w:basedOn w:val="Normal"/>
    <w:uiPriority w:val="34"/>
    <w:qFormat/>
    <w:rsid w:val="009A02E3"/>
    <w:pPr>
      <w:ind w:left="720"/>
      <w:contextualSpacing/>
    </w:pPr>
  </w:style>
  <w:style w:type="character" w:customStyle="1" w:styleId="Balk5Char">
    <w:name w:val="Başlık 5 Char"/>
    <w:basedOn w:val="VarsaylanParagrafYazTipi"/>
    <w:link w:val="Balk5"/>
    <w:rsid w:val="009B6D2D"/>
    <w:rPr>
      <w:b/>
      <w:bCs/>
      <w:sz w:val="17"/>
      <w:szCs w:val="22"/>
    </w:rPr>
  </w:style>
  <w:style w:type="character" w:styleId="zlenenKpr">
    <w:name w:val="FollowedHyperlink"/>
    <w:basedOn w:val="VarsaylanParagrafYazTipi"/>
    <w:uiPriority w:val="99"/>
    <w:semiHidden/>
    <w:unhideWhenUsed/>
    <w:rsid w:val="009B6D2D"/>
    <w:rPr>
      <w:color w:val="800080" w:themeColor="followedHyperlink"/>
      <w:u w:val="single"/>
    </w:rPr>
  </w:style>
  <w:style w:type="paragraph" w:customStyle="1" w:styleId="msonormal0">
    <w:name w:val="msonormal"/>
    <w:basedOn w:val="Normal"/>
    <w:rsid w:val="009B6D2D"/>
    <w:pPr>
      <w:spacing w:before="100" w:beforeAutospacing="1" w:after="100" w:afterAutospacing="1"/>
    </w:pPr>
  </w:style>
  <w:style w:type="character" w:customStyle="1" w:styleId="GvdeMetniGirintisiChar">
    <w:name w:val="Gövde Metni Girintisi Char"/>
    <w:basedOn w:val="VarsaylanParagrafYazTipi"/>
    <w:link w:val="GvdeMetniGirintisi"/>
    <w:locked/>
    <w:rsid w:val="009B6D2D"/>
    <w:rPr>
      <w:rFonts w:ascii="Trebuchet MS" w:hAnsi="Trebuchet MS"/>
      <w:sz w:val="16"/>
    </w:rPr>
  </w:style>
  <w:style w:type="paragraph" w:customStyle="1" w:styleId="msobodytextindent">
    <w:name w:val="msobodytextindent"/>
    <w:basedOn w:val="Normal"/>
    <w:rsid w:val="009B6D2D"/>
    <w:pPr>
      <w:ind w:left="-425" w:firstLine="680"/>
      <w:jc w:val="both"/>
    </w:pPr>
    <w:rPr>
      <w:rFonts w:ascii="Trebuchet MS" w:hAnsi="Trebuchet MS"/>
      <w:sz w:val="16"/>
      <w:szCs w:val="20"/>
    </w:rPr>
  </w:style>
  <w:style w:type="character" w:customStyle="1" w:styleId="BalonMetniChar">
    <w:name w:val="Balon Metni Char"/>
    <w:basedOn w:val="VarsaylanParagrafYazTipi"/>
    <w:link w:val="BalonMetni"/>
    <w:semiHidden/>
    <w:rsid w:val="009B6D2D"/>
    <w:rPr>
      <w:rFonts w:ascii="Tahoma" w:hAnsi="Tahoma" w:cs="Tahoma"/>
      <w:sz w:val="16"/>
      <w:szCs w:val="16"/>
    </w:rPr>
  </w:style>
  <w:style w:type="character" w:customStyle="1" w:styleId="GvdeMetniGirintisiChar1">
    <w:name w:val="Gövde Metni Girintisi Char1"/>
    <w:basedOn w:val="VarsaylanParagrafYazTipi"/>
    <w:semiHidden/>
    <w:rsid w:val="009B6D2D"/>
    <w:rPr>
      <w:sz w:val="24"/>
      <w:szCs w:val="24"/>
    </w:rPr>
  </w:style>
  <w:style w:type="paragraph" w:styleId="AralkYok">
    <w:name w:val="No Spacing"/>
    <w:uiPriority w:val="1"/>
    <w:qFormat/>
    <w:rsid w:val="00BE6B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087755">
      <w:bodyDiv w:val="1"/>
      <w:marLeft w:val="0"/>
      <w:marRight w:val="0"/>
      <w:marTop w:val="0"/>
      <w:marBottom w:val="0"/>
      <w:divBdr>
        <w:top w:val="none" w:sz="0" w:space="0" w:color="auto"/>
        <w:left w:val="none" w:sz="0" w:space="0" w:color="auto"/>
        <w:bottom w:val="none" w:sz="0" w:space="0" w:color="auto"/>
        <w:right w:val="none" w:sz="0" w:space="0" w:color="auto"/>
      </w:divBdr>
    </w:div>
    <w:div w:id="1062555310">
      <w:bodyDiv w:val="1"/>
      <w:marLeft w:val="0"/>
      <w:marRight w:val="0"/>
      <w:marTop w:val="0"/>
      <w:marBottom w:val="0"/>
      <w:divBdr>
        <w:top w:val="none" w:sz="0" w:space="0" w:color="auto"/>
        <w:left w:val="none" w:sz="0" w:space="0" w:color="auto"/>
        <w:bottom w:val="none" w:sz="0" w:space="0" w:color="auto"/>
        <w:right w:val="none" w:sz="0" w:space="0" w:color="auto"/>
      </w:divBdr>
    </w:div>
    <w:div w:id="16385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iemlak.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2EBEA-D3B5-4A1F-984B-4C19806E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MILEBIM</Company>
  <LinksUpToDate>false</LinksUpToDate>
  <CharactersWithSpaces>4747</CharactersWithSpaces>
  <SharedDoc>false</SharedDoc>
  <HLinks>
    <vt:vector size="12" baseType="variant">
      <vt:variant>
        <vt:i4>2490404</vt:i4>
      </vt:variant>
      <vt:variant>
        <vt:i4>3</vt:i4>
      </vt:variant>
      <vt:variant>
        <vt:i4>0</vt:i4>
      </vt:variant>
      <vt:variant>
        <vt:i4>5</vt:i4>
      </vt:variant>
      <vt:variant>
        <vt:lpwstr>http://www.denizlidefterdarligi.gov.tr/</vt:lpwstr>
      </vt:variant>
      <vt:variant>
        <vt:lpwstr/>
      </vt:variant>
      <vt:variant>
        <vt:i4>5374034</vt:i4>
      </vt:variant>
      <vt:variant>
        <vt:i4>0</vt:i4>
      </vt:variant>
      <vt:variant>
        <vt:i4>0</vt:i4>
      </vt:variant>
      <vt:variant>
        <vt:i4>5</vt:i4>
      </vt:variant>
      <vt:variant>
        <vt:lpwstr>http://www.milliemlak.gov.tr/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MEOP</dc:creator>
  <cp:keywords/>
  <dc:description/>
  <cp:lastModifiedBy>Mustafa GÜRGÜN</cp:lastModifiedBy>
  <cp:revision>5</cp:revision>
  <cp:lastPrinted>2024-11-11T11:31:00Z</cp:lastPrinted>
  <dcterms:created xsi:type="dcterms:W3CDTF">2024-11-07T13:56:00Z</dcterms:created>
  <dcterms:modified xsi:type="dcterms:W3CDTF">2024-11-11T11:31:00Z</dcterms:modified>
</cp:coreProperties>
</file>