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6" w:type="dxa"/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543DE8" w:rsidTr="00543DE8">
        <w:trPr>
          <w:trHeight w:val="262"/>
        </w:trPr>
        <w:tc>
          <w:tcPr>
            <w:tcW w:w="3152" w:type="dxa"/>
            <w:hideMark/>
          </w:tcPr>
          <w:p w:rsidR="00543DE8" w:rsidRDefault="00543DE8" w:rsidP="00543DE8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11 Aralık </w:t>
            </w:r>
            <w:r>
              <w:rPr>
                <w:b/>
                <w:bCs/>
              </w:rPr>
              <w:t>2013</w:t>
            </w:r>
          </w:p>
        </w:tc>
        <w:tc>
          <w:tcPr>
            <w:tcW w:w="3152" w:type="dxa"/>
            <w:hideMark/>
          </w:tcPr>
          <w:p w:rsidR="00543DE8" w:rsidRDefault="00543DE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Palatino Linotype" w:hAnsi="Palatino Linotype" w:cs="Times New Roman"/>
                <w:b/>
                <w:bCs/>
                <w:color w:val="800080"/>
                <w:sz w:val="24"/>
                <w:szCs w:val="24"/>
              </w:rPr>
              <w:t>Resmî Gazete</w:t>
            </w:r>
          </w:p>
        </w:tc>
        <w:tc>
          <w:tcPr>
            <w:tcW w:w="3152" w:type="dxa"/>
            <w:hideMark/>
          </w:tcPr>
          <w:p w:rsidR="00543DE8" w:rsidRDefault="00543DE8">
            <w:pPr>
              <w:spacing w:line="240" w:lineRule="auto"/>
              <w:jc w:val="right"/>
              <w:rPr>
                <w:b/>
                <w:bCs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Sayı : 28848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>
              <w:rPr>
                <w:rFonts w:ascii="Arial" w:hAnsi="Arial" w:cs="Arial"/>
                <w:sz w:val="16"/>
                <w:szCs w:val="16"/>
              </w:rPr>
              <w:t>Mükerrer)</w:t>
            </w:r>
          </w:p>
        </w:tc>
      </w:tr>
      <w:tr w:rsidR="00543DE8" w:rsidTr="00543DE8">
        <w:trPr>
          <w:trHeight w:val="247"/>
        </w:trPr>
        <w:tc>
          <w:tcPr>
            <w:tcW w:w="3152" w:type="dxa"/>
          </w:tcPr>
          <w:p w:rsidR="00543DE8" w:rsidRDefault="00543DE8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152" w:type="dxa"/>
            <w:vAlign w:val="center"/>
            <w:hideMark/>
          </w:tcPr>
          <w:p w:rsidR="00543DE8" w:rsidRDefault="00543DE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YÖNETMELİK</w:t>
            </w:r>
          </w:p>
        </w:tc>
        <w:tc>
          <w:tcPr>
            <w:tcW w:w="3152" w:type="dxa"/>
          </w:tcPr>
          <w:p w:rsidR="00543DE8" w:rsidRDefault="00543DE8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:rsidR="00543DE8" w:rsidRPr="00543DE8" w:rsidRDefault="00543DE8" w:rsidP="00543DE8">
      <w:pPr>
        <w:pStyle w:val="1-Baslk"/>
        <w:rPr>
          <w:rFonts w:hAnsi="Times New Roman"/>
          <w:szCs w:val="24"/>
        </w:rPr>
      </w:pPr>
      <w:r w:rsidRPr="00543DE8">
        <w:rPr>
          <w:rFonts w:hAnsi="Times New Roman"/>
          <w:szCs w:val="24"/>
        </w:rPr>
        <w:t>Çevre ve Şehircilik Bakanlığından:</w:t>
      </w:r>
    </w:p>
    <w:p w:rsidR="00CA7693" w:rsidRPr="00CA7693" w:rsidRDefault="00CA7693" w:rsidP="00CA7693">
      <w:pPr>
        <w:pStyle w:val="1-Baslk"/>
        <w:ind w:firstLine="566"/>
        <w:rPr>
          <w:rFonts w:hAnsi="Times New Roman"/>
          <w:sz w:val="24"/>
          <w:szCs w:val="24"/>
        </w:rPr>
      </w:pPr>
      <w:bookmarkStart w:id="0" w:name="_GoBack"/>
      <w:bookmarkEnd w:id="0"/>
    </w:p>
    <w:p w:rsidR="00CA7693" w:rsidRPr="00CA7693" w:rsidRDefault="00CA7693" w:rsidP="00CA7693">
      <w:pPr>
        <w:pStyle w:val="2-OrtaBaslk"/>
        <w:rPr>
          <w:rFonts w:hAnsi="Times New Roman"/>
          <w:sz w:val="24"/>
          <w:szCs w:val="24"/>
        </w:rPr>
      </w:pPr>
      <w:r w:rsidRPr="00CA7693">
        <w:rPr>
          <w:rFonts w:hAnsi="Times New Roman"/>
          <w:sz w:val="24"/>
          <w:szCs w:val="24"/>
        </w:rPr>
        <w:t>MADDELERİN VE KARIŞIMLARIN FİZİKO-KİMYASAL, TOKSİKOLOJİK VE</w:t>
      </w:r>
    </w:p>
    <w:p w:rsidR="00CA7693" w:rsidRPr="00CA7693" w:rsidRDefault="00CA7693" w:rsidP="00CA7693">
      <w:pPr>
        <w:pStyle w:val="2-OrtaBaslk"/>
        <w:rPr>
          <w:rFonts w:hAnsi="Times New Roman"/>
          <w:sz w:val="24"/>
          <w:szCs w:val="24"/>
        </w:rPr>
      </w:pPr>
      <w:r w:rsidRPr="00CA7693">
        <w:rPr>
          <w:rFonts w:hAnsi="Times New Roman"/>
          <w:sz w:val="24"/>
          <w:szCs w:val="24"/>
        </w:rPr>
        <w:t>EKOTOKSİKOLOJİK ÖZELLİKLERİNİN BELİRLENMESİNDE UYGULANACAK</w:t>
      </w:r>
    </w:p>
    <w:p w:rsidR="00CA7693" w:rsidRDefault="00CA7693" w:rsidP="00CA7693">
      <w:pPr>
        <w:pStyle w:val="2-OrtaBaslk"/>
        <w:rPr>
          <w:rFonts w:hAnsi="Times New Roman"/>
          <w:sz w:val="24"/>
          <w:szCs w:val="24"/>
        </w:rPr>
      </w:pPr>
      <w:r>
        <w:rPr>
          <w:rFonts w:hAnsi="Times New Roman"/>
          <w:sz w:val="24"/>
          <w:szCs w:val="24"/>
        </w:rPr>
        <w:t>TEST YÖNTEMLERİ HAKKINDA YÖ</w:t>
      </w:r>
      <w:r w:rsidRPr="00CA7693">
        <w:rPr>
          <w:rFonts w:hAnsi="Times New Roman"/>
          <w:sz w:val="24"/>
          <w:szCs w:val="24"/>
        </w:rPr>
        <w:t>NETMELİK</w:t>
      </w:r>
    </w:p>
    <w:p w:rsidR="00CA7693" w:rsidRPr="00CA7693" w:rsidRDefault="00CA7693" w:rsidP="00CA7693">
      <w:pPr>
        <w:pStyle w:val="2-OrtaBaslk"/>
        <w:rPr>
          <w:rFonts w:hAnsi="Times New Roman"/>
          <w:sz w:val="24"/>
          <w:szCs w:val="24"/>
        </w:rPr>
      </w:pPr>
    </w:p>
    <w:p w:rsidR="00CA7693" w:rsidRPr="00CA7693" w:rsidRDefault="00CA7693" w:rsidP="00CA7693">
      <w:pPr>
        <w:pStyle w:val="3-NormalYaz"/>
        <w:ind w:firstLine="566"/>
        <w:rPr>
          <w:rFonts w:hAnsi="Times New Roman"/>
          <w:b/>
          <w:sz w:val="24"/>
          <w:szCs w:val="24"/>
        </w:rPr>
      </w:pPr>
      <w:r w:rsidRPr="00CA7693">
        <w:rPr>
          <w:rFonts w:hAnsi="Times New Roman"/>
          <w:b/>
          <w:sz w:val="24"/>
          <w:szCs w:val="24"/>
        </w:rPr>
        <w:t>Amaç</w:t>
      </w:r>
    </w:p>
    <w:p w:rsid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b/>
          <w:sz w:val="24"/>
          <w:szCs w:val="24"/>
        </w:rPr>
        <w:t>MADDE 1 –</w:t>
      </w:r>
      <w:r w:rsidRPr="00CA7693">
        <w:rPr>
          <w:rFonts w:hAnsi="Times New Roman"/>
          <w:sz w:val="24"/>
          <w:szCs w:val="24"/>
        </w:rPr>
        <w:t xml:space="preserve"> (1) Bu Yönetmeliğin amacı, maddelerin ve karışımların içsel özelliklerinden kaynaklanan </w:t>
      </w:r>
      <w:proofErr w:type="spellStart"/>
      <w:r w:rsidRPr="00CA7693">
        <w:rPr>
          <w:rFonts w:hAnsi="Times New Roman"/>
          <w:sz w:val="24"/>
          <w:szCs w:val="24"/>
        </w:rPr>
        <w:t>fiziko</w:t>
      </w:r>
      <w:proofErr w:type="spellEnd"/>
      <w:r w:rsidRPr="00CA7693">
        <w:rPr>
          <w:rFonts w:hAnsi="Times New Roman"/>
          <w:sz w:val="24"/>
          <w:szCs w:val="24"/>
        </w:rPr>
        <w:t xml:space="preserve">-kimyasal, </w:t>
      </w:r>
      <w:proofErr w:type="spellStart"/>
      <w:r w:rsidRPr="00CA7693">
        <w:rPr>
          <w:rFonts w:hAnsi="Times New Roman"/>
          <w:sz w:val="24"/>
          <w:szCs w:val="24"/>
        </w:rPr>
        <w:t>toksikolojik</w:t>
      </w:r>
      <w:proofErr w:type="spellEnd"/>
      <w:r w:rsidRPr="00CA7693">
        <w:rPr>
          <w:rFonts w:hAnsi="Times New Roman"/>
          <w:sz w:val="24"/>
          <w:szCs w:val="24"/>
        </w:rPr>
        <w:t xml:space="preserve"> ve </w:t>
      </w:r>
      <w:proofErr w:type="spellStart"/>
      <w:r w:rsidRPr="00CA7693">
        <w:rPr>
          <w:rFonts w:hAnsi="Times New Roman"/>
          <w:sz w:val="24"/>
          <w:szCs w:val="24"/>
        </w:rPr>
        <w:t>ekotoksikolojik</w:t>
      </w:r>
      <w:proofErr w:type="spellEnd"/>
      <w:r w:rsidRPr="00CA7693">
        <w:rPr>
          <w:rFonts w:hAnsi="Times New Roman"/>
          <w:sz w:val="24"/>
          <w:szCs w:val="24"/>
        </w:rPr>
        <w:t xml:space="preserve"> özelliklerinin belirlenmesi için madde veya karışım üzerinde yapılacak testlere ilişkin idari ve teknik usul ve esasları düzenlemektir.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</w:p>
    <w:p w:rsidR="00CA7693" w:rsidRPr="00CA7693" w:rsidRDefault="00CA7693" w:rsidP="00CA7693">
      <w:pPr>
        <w:pStyle w:val="3-NormalYaz"/>
        <w:ind w:firstLine="566"/>
        <w:rPr>
          <w:rFonts w:hAnsi="Times New Roman"/>
          <w:b/>
          <w:sz w:val="24"/>
          <w:szCs w:val="24"/>
        </w:rPr>
      </w:pPr>
      <w:r w:rsidRPr="00CA7693">
        <w:rPr>
          <w:rFonts w:hAnsi="Times New Roman"/>
          <w:b/>
          <w:sz w:val="24"/>
          <w:szCs w:val="24"/>
        </w:rPr>
        <w:t>Kapsam</w:t>
      </w:r>
    </w:p>
    <w:p w:rsid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b/>
          <w:sz w:val="24"/>
          <w:szCs w:val="24"/>
        </w:rPr>
        <w:t>MADDE 2 –</w:t>
      </w:r>
      <w:r w:rsidRPr="00CA7693">
        <w:rPr>
          <w:rFonts w:hAnsi="Times New Roman"/>
          <w:sz w:val="24"/>
          <w:szCs w:val="24"/>
        </w:rPr>
        <w:t xml:space="preserve"> (1) Bu Yönetmelik; maddenin ve karışımların içsel özelliklerine ilişkin, Maddelerin ve Karışımların Sınıflandırılması, Etiketlenmesi ve Ambalajlanması Hakkında Yönetmeliğin ek-9’unda yer alan bilgilerin elde edilmesinde kullanılan testleri kapsar. 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</w:p>
    <w:p w:rsidR="00CA7693" w:rsidRPr="00CA7693" w:rsidRDefault="00CA7693" w:rsidP="00CA7693">
      <w:pPr>
        <w:pStyle w:val="3-NormalYaz"/>
        <w:ind w:firstLine="566"/>
        <w:rPr>
          <w:rFonts w:hAnsi="Times New Roman"/>
          <w:b/>
          <w:sz w:val="24"/>
          <w:szCs w:val="24"/>
        </w:rPr>
      </w:pPr>
      <w:r w:rsidRPr="00CA7693">
        <w:rPr>
          <w:rFonts w:hAnsi="Times New Roman"/>
          <w:b/>
          <w:sz w:val="24"/>
          <w:szCs w:val="24"/>
        </w:rPr>
        <w:t>Dayanak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b/>
          <w:sz w:val="24"/>
          <w:szCs w:val="24"/>
        </w:rPr>
        <w:t>MADDE 3 –</w:t>
      </w:r>
      <w:r w:rsidRPr="00CA7693">
        <w:rPr>
          <w:rFonts w:hAnsi="Times New Roman"/>
          <w:sz w:val="24"/>
          <w:szCs w:val="24"/>
        </w:rPr>
        <w:t xml:space="preserve"> (1) Bu Yönetmelik;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sz w:val="24"/>
          <w:szCs w:val="24"/>
        </w:rPr>
        <w:t xml:space="preserve">a) 9/8/1983 tarihli ve 2872 sayılı Çevre Kanununa ve 4/7/2011 tarihli ve 644 sayılı Çevre ve Şehircilik Bakanlığının Teşkilat ve Görevleri Hakkında Kanun Hükmünde Kararnameye dayanılarak, 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sz w:val="24"/>
          <w:szCs w:val="24"/>
        </w:rPr>
        <w:t>b) 31/5/2008 tarihli Avrupa Birliği Resmî Gazetesi’nde yayımlanan 440/2008 sayılı Test Yöntemleri Hakkındaki Avrupa Parlamentosu ve Avrupa Konseyi Tüzüğü hükümlerine paralel olarak,</w:t>
      </w:r>
    </w:p>
    <w:p w:rsid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sz w:val="24"/>
          <w:szCs w:val="24"/>
        </w:rPr>
        <w:t>hazırlanmıştır.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</w:p>
    <w:p w:rsidR="00CA7693" w:rsidRPr="00CA7693" w:rsidRDefault="00CA7693" w:rsidP="00CA7693">
      <w:pPr>
        <w:pStyle w:val="3-NormalYaz"/>
        <w:ind w:firstLine="566"/>
        <w:rPr>
          <w:rFonts w:hAnsi="Times New Roman"/>
          <w:b/>
          <w:sz w:val="24"/>
          <w:szCs w:val="24"/>
        </w:rPr>
      </w:pPr>
      <w:r w:rsidRPr="00CA7693">
        <w:rPr>
          <w:rFonts w:hAnsi="Times New Roman"/>
          <w:b/>
          <w:sz w:val="24"/>
          <w:szCs w:val="24"/>
        </w:rPr>
        <w:t>Tanımlar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b/>
          <w:sz w:val="24"/>
          <w:szCs w:val="24"/>
        </w:rPr>
        <w:t>MADDE 4 –</w:t>
      </w:r>
      <w:r w:rsidRPr="00CA7693">
        <w:rPr>
          <w:rFonts w:hAnsi="Times New Roman"/>
          <w:sz w:val="24"/>
          <w:szCs w:val="24"/>
        </w:rPr>
        <w:t xml:space="preserve"> (1) Bu Yönetmeliğin uygulanmasında;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sz w:val="24"/>
          <w:szCs w:val="24"/>
        </w:rPr>
        <w:t>a) Karışım: İki veya daha fazla maddenin kimyasal özelliklerini kaybetmeden bir araya gelmesi veya çözeltisi oluşturmasını,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sz w:val="24"/>
          <w:szCs w:val="24"/>
        </w:rPr>
        <w:t>b) Madde: Doğal halde bulunan veya bir üretim sonucu elde edilen, içindeki, kararlılığını sağlamak üzere kullanılan katkı maddeleri ile ür</w:t>
      </w:r>
      <w:r>
        <w:rPr>
          <w:rFonts w:hAnsi="Times New Roman"/>
          <w:sz w:val="24"/>
          <w:szCs w:val="24"/>
        </w:rPr>
        <w:t xml:space="preserve">etim işleminden kaynaklanan </w:t>
      </w:r>
      <w:proofErr w:type="spellStart"/>
      <w:r w:rsidRPr="00CA7693">
        <w:rPr>
          <w:rFonts w:hAnsi="Times New Roman"/>
          <w:sz w:val="24"/>
          <w:szCs w:val="24"/>
        </w:rPr>
        <w:t>safsızlıklar</w:t>
      </w:r>
      <w:proofErr w:type="spellEnd"/>
      <w:r w:rsidRPr="00CA7693">
        <w:rPr>
          <w:rFonts w:hAnsi="Times New Roman"/>
          <w:sz w:val="24"/>
          <w:szCs w:val="24"/>
        </w:rPr>
        <w:t xml:space="preserve"> dahil, fakat yine içindeki, kararlılığını ve yapısını etkilemeden uzaklaştırılabilen çözücüler hariç, kimyasal elementleri ve bunların bileşiklerini,</w:t>
      </w:r>
    </w:p>
    <w:p w:rsid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sz w:val="24"/>
          <w:szCs w:val="24"/>
        </w:rPr>
        <w:t>ifade eder.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</w:p>
    <w:p w:rsidR="00CA7693" w:rsidRPr="00CA7693" w:rsidRDefault="00CA7693" w:rsidP="00CA7693">
      <w:pPr>
        <w:pStyle w:val="3-NormalYaz"/>
        <w:ind w:firstLine="566"/>
        <w:rPr>
          <w:rFonts w:hAnsi="Times New Roman"/>
          <w:b/>
          <w:sz w:val="24"/>
          <w:szCs w:val="24"/>
        </w:rPr>
      </w:pPr>
      <w:r w:rsidRPr="00CA7693">
        <w:rPr>
          <w:rFonts w:hAnsi="Times New Roman"/>
          <w:b/>
          <w:sz w:val="24"/>
          <w:szCs w:val="24"/>
        </w:rPr>
        <w:t>Maddelerin ve karışımların test edilmesi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b/>
          <w:sz w:val="24"/>
          <w:szCs w:val="24"/>
        </w:rPr>
        <w:t>MADDE 5 –</w:t>
      </w:r>
      <w:r w:rsidRPr="00CA7693">
        <w:rPr>
          <w:rFonts w:hAnsi="Times New Roman"/>
          <w:sz w:val="24"/>
          <w:szCs w:val="24"/>
        </w:rPr>
        <w:t xml:space="preserve"> (1) Maddelerin ve karışımların içsel özelliklerinden kaynaklanan </w:t>
      </w:r>
      <w:proofErr w:type="spellStart"/>
      <w:r w:rsidRPr="00CA7693">
        <w:rPr>
          <w:rFonts w:hAnsi="Times New Roman"/>
          <w:sz w:val="24"/>
          <w:szCs w:val="24"/>
        </w:rPr>
        <w:t>fiziko</w:t>
      </w:r>
      <w:proofErr w:type="spellEnd"/>
      <w:r w:rsidRPr="00CA7693">
        <w:rPr>
          <w:rFonts w:hAnsi="Times New Roman"/>
          <w:sz w:val="24"/>
          <w:szCs w:val="24"/>
        </w:rPr>
        <w:t xml:space="preserve">-kimyasal özelliklerinin belirlenmesinde bu Yönetmeliğin ek-1’inin A bölümünde yer alan test yöntemleri kullanılır. 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sz w:val="24"/>
          <w:szCs w:val="24"/>
        </w:rPr>
        <w:t xml:space="preserve">(2) Maddelerin ve karışımların içsel özelliklerinden kaynaklanan </w:t>
      </w:r>
      <w:proofErr w:type="spellStart"/>
      <w:r w:rsidRPr="00CA7693">
        <w:rPr>
          <w:rFonts w:hAnsi="Times New Roman"/>
          <w:sz w:val="24"/>
          <w:szCs w:val="24"/>
        </w:rPr>
        <w:t>toksikolojik</w:t>
      </w:r>
      <w:proofErr w:type="spellEnd"/>
      <w:r w:rsidRPr="00CA7693">
        <w:rPr>
          <w:rFonts w:hAnsi="Times New Roman"/>
          <w:sz w:val="24"/>
          <w:szCs w:val="24"/>
        </w:rPr>
        <w:t xml:space="preserve"> özelliklerinin belirlenmesinde bu Yönetmeliğin ek-1’inin B bölümünde yer alan test yöntemleri kullanılır. </w:t>
      </w:r>
    </w:p>
    <w:p w:rsid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sz w:val="24"/>
          <w:szCs w:val="24"/>
        </w:rPr>
        <w:t xml:space="preserve">(3) Maddelerin ve karışımların içsel özelliklerinden kaynaklanan </w:t>
      </w:r>
      <w:proofErr w:type="spellStart"/>
      <w:r w:rsidRPr="00CA7693">
        <w:rPr>
          <w:rFonts w:hAnsi="Times New Roman"/>
          <w:sz w:val="24"/>
          <w:szCs w:val="24"/>
        </w:rPr>
        <w:t>ekotoksikolojik</w:t>
      </w:r>
      <w:proofErr w:type="spellEnd"/>
      <w:r w:rsidRPr="00CA7693">
        <w:rPr>
          <w:rFonts w:hAnsi="Times New Roman"/>
          <w:sz w:val="24"/>
          <w:szCs w:val="24"/>
        </w:rPr>
        <w:t xml:space="preserve"> özelliklerinin belirlenmesinde bu Yönetmeliğin ek-1’inin C bölümünde yer alan test yöntemleri kullanılır. 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</w:p>
    <w:p w:rsidR="00CA7693" w:rsidRPr="00CA7693" w:rsidRDefault="00CA7693" w:rsidP="00CA7693">
      <w:pPr>
        <w:pStyle w:val="3-NormalYaz"/>
        <w:ind w:firstLine="566"/>
        <w:rPr>
          <w:rFonts w:hAnsi="Times New Roman"/>
          <w:b/>
          <w:sz w:val="24"/>
          <w:szCs w:val="24"/>
        </w:rPr>
      </w:pPr>
      <w:r w:rsidRPr="00CA7693">
        <w:rPr>
          <w:rFonts w:hAnsi="Times New Roman"/>
          <w:b/>
          <w:sz w:val="24"/>
          <w:szCs w:val="24"/>
        </w:rPr>
        <w:t>Yürürlük</w:t>
      </w:r>
    </w:p>
    <w:p w:rsid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b/>
          <w:sz w:val="24"/>
          <w:szCs w:val="24"/>
        </w:rPr>
        <w:t>MADDE 6 –</w:t>
      </w:r>
      <w:r w:rsidRPr="00CA7693">
        <w:rPr>
          <w:rFonts w:hAnsi="Times New Roman"/>
          <w:sz w:val="24"/>
          <w:szCs w:val="24"/>
        </w:rPr>
        <w:t xml:space="preserve"> (1) Bu Yönetmelik yayımı tarihinde yürürlüğe girer.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</w:p>
    <w:p w:rsidR="00CA7693" w:rsidRPr="00CA7693" w:rsidRDefault="00CA7693" w:rsidP="00CA7693">
      <w:pPr>
        <w:pStyle w:val="3-NormalYaz"/>
        <w:ind w:firstLine="566"/>
        <w:rPr>
          <w:rFonts w:hAnsi="Times New Roman"/>
          <w:b/>
          <w:sz w:val="24"/>
          <w:szCs w:val="24"/>
        </w:rPr>
      </w:pPr>
      <w:r w:rsidRPr="00CA7693">
        <w:rPr>
          <w:rFonts w:hAnsi="Times New Roman"/>
          <w:b/>
          <w:sz w:val="24"/>
          <w:szCs w:val="24"/>
        </w:rPr>
        <w:t>Yürütme</w:t>
      </w:r>
    </w:p>
    <w:p w:rsidR="00CA7693" w:rsidRPr="00CA7693" w:rsidRDefault="00CA7693" w:rsidP="00CA7693">
      <w:pPr>
        <w:pStyle w:val="3-NormalYaz"/>
        <w:ind w:firstLine="566"/>
        <w:rPr>
          <w:rFonts w:hAnsi="Times New Roman"/>
          <w:sz w:val="24"/>
          <w:szCs w:val="24"/>
        </w:rPr>
      </w:pPr>
      <w:r w:rsidRPr="00CA7693">
        <w:rPr>
          <w:rFonts w:hAnsi="Times New Roman"/>
          <w:b/>
          <w:sz w:val="24"/>
          <w:szCs w:val="24"/>
        </w:rPr>
        <w:t>MADDE 7 –</w:t>
      </w:r>
      <w:r w:rsidRPr="00CA7693">
        <w:rPr>
          <w:rFonts w:hAnsi="Times New Roman"/>
          <w:sz w:val="24"/>
          <w:szCs w:val="24"/>
        </w:rPr>
        <w:t xml:space="preserve"> (1) Bu Yönetmelik hükümlerini Çevre ve Şehircilik Bakanı yürütür.</w:t>
      </w:r>
    </w:p>
    <w:p w:rsidR="00F276C1" w:rsidRPr="00CA7693" w:rsidRDefault="00543DE8" w:rsidP="00CA7693">
      <w:pPr>
        <w:spacing w:line="240" w:lineRule="auto"/>
        <w:rPr>
          <w:sz w:val="24"/>
          <w:szCs w:val="24"/>
        </w:rPr>
      </w:pPr>
    </w:p>
    <w:sectPr w:rsidR="00F276C1" w:rsidRPr="00CA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93"/>
    <w:rsid w:val="00013CB5"/>
    <w:rsid w:val="000249A7"/>
    <w:rsid w:val="00162BC3"/>
    <w:rsid w:val="002B4AD8"/>
    <w:rsid w:val="0038182D"/>
    <w:rsid w:val="00416538"/>
    <w:rsid w:val="004244B5"/>
    <w:rsid w:val="004E1224"/>
    <w:rsid w:val="00543DE8"/>
    <w:rsid w:val="00A90915"/>
    <w:rsid w:val="00C30115"/>
    <w:rsid w:val="00C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1D7A"/>
  <w15:docId w15:val="{C12B1A7E-501A-41A9-B004-DF7A1EF7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CA7693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CA7693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CA769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NormalWeb">
    <w:name w:val="Normal (Web)"/>
    <w:basedOn w:val="Normal"/>
    <w:uiPriority w:val="99"/>
    <w:unhideWhenUsed/>
    <w:rsid w:val="00CA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Işıl Orhan</dc:creator>
  <cp:lastModifiedBy>Işıl Orhan</cp:lastModifiedBy>
  <cp:revision>2</cp:revision>
  <dcterms:created xsi:type="dcterms:W3CDTF">2013-12-18T09:15:00Z</dcterms:created>
  <dcterms:modified xsi:type="dcterms:W3CDTF">2020-12-11T12:24:00Z</dcterms:modified>
</cp:coreProperties>
</file>