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2130" w14:textId="77777777" w:rsidR="00580E7E" w:rsidRDefault="00580E7E" w:rsidP="006B3CA3">
      <w:pPr>
        <w:spacing w:after="0" w:line="240" w:lineRule="auto"/>
        <w:ind w:firstLine="708"/>
        <w:jc w:val="both"/>
        <w:rPr>
          <w:rFonts w:ascii="Times New Roman" w:hAnsi="Times New Roman" w:cs="Times New Roman"/>
          <w:b/>
          <w:bCs/>
          <w:sz w:val="24"/>
          <w:szCs w:val="24"/>
        </w:rPr>
      </w:pPr>
    </w:p>
    <w:p w14:paraId="1065C735" w14:textId="1488EC33" w:rsidR="00720FB8" w:rsidRPr="00A4671B" w:rsidRDefault="00720FB8" w:rsidP="006B3CA3">
      <w:pPr>
        <w:spacing w:after="0" w:line="240" w:lineRule="auto"/>
        <w:ind w:firstLine="708"/>
        <w:jc w:val="both"/>
        <w:rPr>
          <w:rFonts w:ascii="Times New Roman" w:eastAsia="Times New Roman" w:hAnsi="Times New Roman" w:cs="Times New Roman"/>
          <w:sz w:val="24"/>
          <w:szCs w:val="24"/>
          <w:lang w:eastAsia="tr-TR"/>
        </w:rPr>
      </w:pPr>
      <w:r w:rsidRPr="00A4671B">
        <w:rPr>
          <w:rFonts w:ascii="Times New Roman" w:hAnsi="Times New Roman" w:cs="Times New Roman"/>
          <w:b/>
          <w:bCs/>
          <w:sz w:val="24"/>
          <w:szCs w:val="24"/>
        </w:rPr>
        <w:t xml:space="preserve">MADDE </w:t>
      </w:r>
      <w:r w:rsidR="0024568D" w:rsidRPr="00A4671B">
        <w:rPr>
          <w:rFonts w:ascii="Times New Roman" w:hAnsi="Times New Roman" w:cs="Times New Roman"/>
          <w:b/>
          <w:bCs/>
          <w:sz w:val="24"/>
          <w:szCs w:val="24"/>
        </w:rPr>
        <w:t>1</w:t>
      </w:r>
      <w:r w:rsidR="00EF2F5F" w:rsidRPr="00A4671B">
        <w:rPr>
          <w:rFonts w:ascii="Times New Roman" w:hAnsi="Times New Roman" w:cs="Times New Roman"/>
          <w:b/>
          <w:bCs/>
          <w:sz w:val="24"/>
          <w:szCs w:val="24"/>
        </w:rPr>
        <w:t>-</w:t>
      </w:r>
      <w:r w:rsidRPr="00A4671B">
        <w:rPr>
          <w:rFonts w:ascii="Times New Roman" w:hAnsi="Times New Roman" w:cs="Times New Roman"/>
          <w:b/>
          <w:bCs/>
          <w:sz w:val="24"/>
          <w:szCs w:val="24"/>
        </w:rPr>
        <w:t xml:space="preserve"> </w:t>
      </w:r>
      <w:r w:rsidR="004B0AB2" w:rsidRPr="00A4671B">
        <w:rPr>
          <w:rFonts w:ascii="Times New Roman" w:hAnsi="Times New Roman" w:cs="Times New Roman"/>
          <w:sz w:val="24"/>
          <w:szCs w:val="24"/>
        </w:rPr>
        <w:t>30</w:t>
      </w:r>
      <w:r w:rsidR="00566731" w:rsidRPr="00A4671B">
        <w:rPr>
          <w:rFonts w:ascii="Times New Roman" w:hAnsi="Times New Roman" w:cs="Times New Roman"/>
          <w:sz w:val="24"/>
          <w:szCs w:val="24"/>
        </w:rPr>
        <w:t>/1</w:t>
      </w:r>
      <w:r w:rsidR="004B0AB2" w:rsidRPr="00A4671B">
        <w:rPr>
          <w:rFonts w:ascii="Times New Roman" w:hAnsi="Times New Roman" w:cs="Times New Roman"/>
          <w:sz w:val="24"/>
          <w:szCs w:val="24"/>
        </w:rPr>
        <w:t>2</w:t>
      </w:r>
      <w:r w:rsidR="00566731" w:rsidRPr="00A4671B">
        <w:rPr>
          <w:rFonts w:ascii="Times New Roman" w:hAnsi="Times New Roman" w:cs="Times New Roman"/>
          <w:sz w:val="24"/>
          <w:szCs w:val="24"/>
        </w:rPr>
        <w:t>/</w:t>
      </w:r>
      <w:r w:rsidR="006B3CA3" w:rsidRPr="00A4671B">
        <w:rPr>
          <w:rFonts w:ascii="Times New Roman" w:hAnsi="Times New Roman" w:cs="Times New Roman"/>
          <w:sz w:val="24"/>
          <w:szCs w:val="24"/>
        </w:rPr>
        <w:t>200</w:t>
      </w:r>
      <w:r w:rsidR="004B0AB2" w:rsidRPr="00A4671B">
        <w:rPr>
          <w:rFonts w:ascii="Times New Roman" w:hAnsi="Times New Roman" w:cs="Times New Roman"/>
          <w:sz w:val="24"/>
          <w:szCs w:val="24"/>
        </w:rPr>
        <w:t>9</w:t>
      </w:r>
      <w:r w:rsidR="006B3CA3" w:rsidRPr="00A4671B">
        <w:rPr>
          <w:rFonts w:ascii="Times New Roman" w:hAnsi="Times New Roman" w:cs="Times New Roman"/>
          <w:sz w:val="24"/>
          <w:szCs w:val="24"/>
        </w:rPr>
        <w:t xml:space="preserve"> tarih</w:t>
      </w:r>
      <w:r w:rsidR="00566731" w:rsidRPr="00A4671B">
        <w:rPr>
          <w:rFonts w:ascii="Times New Roman" w:hAnsi="Times New Roman" w:cs="Times New Roman"/>
          <w:sz w:val="24"/>
          <w:szCs w:val="24"/>
        </w:rPr>
        <w:t>li</w:t>
      </w:r>
      <w:r w:rsidR="006B3CA3" w:rsidRPr="00A4671B">
        <w:rPr>
          <w:rFonts w:ascii="Times New Roman" w:hAnsi="Times New Roman" w:cs="Times New Roman"/>
          <w:sz w:val="24"/>
          <w:szCs w:val="24"/>
        </w:rPr>
        <w:t xml:space="preserve"> ve 2</w:t>
      </w:r>
      <w:r w:rsidR="004B0AB2" w:rsidRPr="00A4671B">
        <w:rPr>
          <w:rFonts w:ascii="Times New Roman" w:hAnsi="Times New Roman" w:cs="Times New Roman"/>
          <w:sz w:val="24"/>
          <w:szCs w:val="24"/>
        </w:rPr>
        <w:t xml:space="preserve">7448 </w:t>
      </w:r>
      <w:r w:rsidR="006B3CA3" w:rsidRPr="00A4671B">
        <w:rPr>
          <w:rFonts w:ascii="Times New Roman" w:hAnsi="Times New Roman" w:cs="Times New Roman"/>
          <w:sz w:val="24"/>
          <w:szCs w:val="24"/>
        </w:rPr>
        <w:t>sayılı Resmî Gazete’de yayımlanan</w:t>
      </w:r>
      <w:r w:rsidR="006B3CA3" w:rsidRPr="00A4671B">
        <w:rPr>
          <w:rFonts w:ascii="Times New Roman" w:hAnsi="Times New Roman" w:cs="Times New Roman"/>
          <w:b/>
          <w:bCs/>
          <w:sz w:val="24"/>
          <w:szCs w:val="24"/>
        </w:rPr>
        <w:t xml:space="preserve"> </w:t>
      </w:r>
      <w:r w:rsidRPr="00A4671B">
        <w:rPr>
          <w:rFonts w:ascii="Times New Roman" w:eastAsia="Times New Roman" w:hAnsi="Times New Roman" w:cs="Times New Roman"/>
          <w:sz w:val="24"/>
          <w:szCs w:val="24"/>
          <w:lang w:eastAsia="tr-TR"/>
        </w:rPr>
        <w:t xml:space="preserve">Ömrünü Tamamlamış </w:t>
      </w:r>
      <w:r w:rsidR="004B0AB2" w:rsidRPr="00A4671B">
        <w:rPr>
          <w:rFonts w:ascii="Times New Roman" w:eastAsia="Times New Roman" w:hAnsi="Times New Roman" w:cs="Times New Roman"/>
          <w:sz w:val="24"/>
          <w:szCs w:val="24"/>
          <w:lang w:eastAsia="tr-TR"/>
        </w:rPr>
        <w:t xml:space="preserve">Araçların Kontrolü Hakkında Yönetmelik’in </w:t>
      </w:r>
      <w:r w:rsidR="0024568D" w:rsidRPr="00A4671B">
        <w:rPr>
          <w:rFonts w:ascii="Times New Roman" w:eastAsia="Times New Roman" w:hAnsi="Times New Roman" w:cs="Times New Roman"/>
          <w:sz w:val="24"/>
          <w:szCs w:val="24"/>
          <w:lang w:eastAsia="tr-TR"/>
        </w:rPr>
        <w:t xml:space="preserve">2 nci </w:t>
      </w:r>
      <w:r w:rsidRPr="00A4671B">
        <w:rPr>
          <w:rFonts w:ascii="Times New Roman" w:eastAsia="Times New Roman" w:hAnsi="Times New Roman" w:cs="Times New Roman"/>
          <w:sz w:val="24"/>
          <w:szCs w:val="24"/>
          <w:lang w:eastAsia="tr-TR"/>
        </w:rPr>
        <w:t>maddesinin birinci fıkrası</w:t>
      </w:r>
      <w:r w:rsidR="0024568D" w:rsidRPr="00A4671B">
        <w:rPr>
          <w:rFonts w:ascii="Times New Roman" w:eastAsia="Times New Roman" w:hAnsi="Times New Roman" w:cs="Times New Roman"/>
          <w:sz w:val="24"/>
          <w:szCs w:val="24"/>
          <w:lang w:eastAsia="tr-TR"/>
        </w:rPr>
        <w:t xml:space="preserve"> </w:t>
      </w:r>
      <w:r w:rsidRPr="00A4671B">
        <w:rPr>
          <w:rFonts w:ascii="Times New Roman" w:eastAsia="Times New Roman" w:hAnsi="Times New Roman" w:cs="Times New Roman"/>
          <w:sz w:val="24"/>
          <w:szCs w:val="24"/>
          <w:lang w:eastAsia="tr-TR"/>
        </w:rPr>
        <w:t>aşağıdaki şekilde değiştirilmiştir.</w:t>
      </w:r>
    </w:p>
    <w:p w14:paraId="38ECEF3F" w14:textId="2A7869F3" w:rsidR="00720FB8" w:rsidRPr="00A4671B" w:rsidRDefault="006B3CA3" w:rsidP="00EF2F5F">
      <w:pPr>
        <w:spacing w:after="0" w:line="240" w:lineRule="auto"/>
        <w:ind w:firstLine="709"/>
        <w:jc w:val="both"/>
        <w:rPr>
          <w:rFonts w:ascii="Times New Roman" w:eastAsia="Times New Roman" w:hAnsi="Times New Roman" w:cs="Times New Roman"/>
          <w:sz w:val="24"/>
          <w:szCs w:val="24"/>
          <w:lang w:eastAsia="tr-TR"/>
        </w:rPr>
      </w:pPr>
      <w:r w:rsidRPr="00A4671B">
        <w:rPr>
          <w:rFonts w:ascii="Times New Roman" w:eastAsia="Times New Roman" w:hAnsi="Times New Roman" w:cs="Times New Roman"/>
          <w:sz w:val="24"/>
          <w:szCs w:val="24"/>
          <w:lang w:eastAsia="tr-TR"/>
        </w:rPr>
        <w:t>“</w:t>
      </w:r>
      <w:r w:rsidR="0024568D" w:rsidRPr="00A4671B">
        <w:rPr>
          <w:rFonts w:ascii="Times New Roman" w:eastAsia="Times New Roman" w:hAnsi="Times New Roman" w:cs="Times New Roman"/>
          <w:sz w:val="24"/>
          <w:szCs w:val="24"/>
          <w:lang w:eastAsia="tr-TR"/>
        </w:rPr>
        <w:t>Bu Yönetmelik; 26/10/2016 tarihli ve 26869 sayılı Resmi Gazete’de yayımlanan Araçların İmal, Tadil ve Montajı Hakkında Yönetmelik’in Ek-1’inde belirtilen L, M1, N1 kategorilerindeki araçları, motosiklet ve motorlu bisiklet haricindeki üç tekerlekli araçları, bu kategorilerdeki ömrünü tamamlamış araçlar ile bunlara ait aksam parçaları ve malzemeleri kapsar.</w:t>
      </w:r>
      <w:r w:rsidRPr="00A4671B">
        <w:rPr>
          <w:rFonts w:ascii="Times New Roman" w:eastAsia="Times New Roman" w:hAnsi="Times New Roman" w:cs="Times New Roman"/>
          <w:sz w:val="24"/>
          <w:szCs w:val="24"/>
          <w:lang w:eastAsia="tr-TR"/>
        </w:rPr>
        <w:t>”</w:t>
      </w:r>
    </w:p>
    <w:p w14:paraId="61C5F7E8" w14:textId="77777777" w:rsidR="00BD34CD" w:rsidRPr="00A4671B" w:rsidRDefault="00BD34CD" w:rsidP="00875283">
      <w:pPr>
        <w:spacing w:after="0" w:line="240" w:lineRule="auto"/>
        <w:ind w:firstLine="708"/>
        <w:jc w:val="both"/>
        <w:rPr>
          <w:rFonts w:ascii="Times New Roman" w:eastAsia="Times New Roman" w:hAnsi="Times New Roman" w:cs="Times New Roman"/>
          <w:b/>
          <w:sz w:val="24"/>
          <w:szCs w:val="24"/>
          <w:lang w:eastAsia="tr-TR"/>
        </w:rPr>
      </w:pPr>
    </w:p>
    <w:p w14:paraId="2E9C546E" w14:textId="77777777" w:rsidR="00231876" w:rsidRPr="00A4671B" w:rsidRDefault="00720FB8" w:rsidP="00875283">
      <w:pPr>
        <w:spacing w:after="0" w:line="240" w:lineRule="auto"/>
        <w:ind w:firstLine="708"/>
        <w:jc w:val="both"/>
        <w:rPr>
          <w:rStyle w:val="citation-16"/>
          <w:rFonts w:ascii="Times New Roman" w:hAnsi="Times New Roman" w:cs="Times New Roman"/>
          <w:sz w:val="24"/>
          <w:szCs w:val="24"/>
        </w:rPr>
      </w:pPr>
      <w:r w:rsidRPr="00A4671B">
        <w:rPr>
          <w:rFonts w:ascii="Times New Roman" w:eastAsia="Times New Roman" w:hAnsi="Times New Roman" w:cs="Times New Roman"/>
          <w:b/>
          <w:sz w:val="24"/>
          <w:szCs w:val="24"/>
          <w:lang w:eastAsia="tr-TR"/>
        </w:rPr>
        <w:t>MADDE 2-</w:t>
      </w:r>
      <w:r w:rsidRPr="00A4671B">
        <w:rPr>
          <w:rFonts w:ascii="Times New Roman" w:hAnsi="Times New Roman" w:cs="Times New Roman"/>
          <w:sz w:val="24"/>
          <w:szCs w:val="24"/>
        </w:rPr>
        <w:t xml:space="preserve"> </w:t>
      </w:r>
      <w:r w:rsidR="006B3CA3" w:rsidRPr="00A4671B">
        <w:rPr>
          <w:rFonts w:ascii="Times New Roman" w:hAnsi="Times New Roman" w:cs="Times New Roman"/>
          <w:sz w:val="24"/>
          <w:szCs w:val="24"/>
        </w:rPr>
        <w:t xml:space="preserve">Aynı Yönetmeliğin </w:t>
      </w:r>
      <w:r w:rsidR="00231876" w:rsidRPr="00A4671B">
        <w:rPr>
          <w:rFonts w:ascii="Times New Roman" w:hAnsi="Times New Roman" w:cs="Times New Roman"/>
          <w:sz w:val="24"/>
          <w:szCs w:val="24"/>
        </w:rPr>
        <w:t>3</w:t>
      </w:r>
      <w:r w:rsidR="00EF2F5F" w:rsidRPr="00A4671B">
        <w:rPr>
          <w:rStyle w:val="citation-16"/>
          <w:rFonts w:ascii="Times New Roman" w:hAnsi="Times New Roman" w:cs="Times New Roman"/>
          <w:sz w:val="24"/>
          <w:szCs w:val="24"/>
        </w:rPr>
        <w:t xml:space="preserve"> </w:t>
      </w:r>
      <w:r w:rsidRPr="00A4671B">
        <w:rPr>
          <w:rStyle w:val="citation-16"/>
          <w:rFonts w:ascii="Times New Roman" w:hAnsi="Times New Roman" w:cs="Times New Roman"/>
          <w:sz w:val="24"/>
          <w:szCs w:val="24"/>
        </w:rPr>
        <w:t xml:space="preserve">üncü maddesinin </w:t>
      </w:r>
      <w:r w:rsidR="009A6100" w:rsidRPr="00A4671B">
        <w:rPr>
          <w:rStyle w:val="citation-16"/>
          <w:rFonts w:ascii="Times New Roman" w:hAnsi="Times New Roman" w:cs="Times New Roman"/>
          <w:sz w:val="24"/>
          <w:szCs w:val="24"/>
        </w:rPr>
        <w:t>birinci fıkrası</w:t>
      </w:r>
      <w:r w:rsidR="00231876" w:rsidRPr="00A4671B">
        <w:rPr>
          <w:rStyle w:val="citation-16"/>
          <w:rFonts w:ascii="Times New Roman" w:hAnsi="Times New Roman" w:cs="Times New Roman"/>
          <w:sz w:val="24"/>
          <w:szCs w:val="24"/>
        </w:rPr>
        <w:t xml:space="preserve"> aşağıdaki gibi değiştirilmiştir.</w:t>
      </w:r>
    </w:p>
    <w:p w14:paraId="799BB409" w14:textId="5B7808AC" w:rsidR="00231876" w:rsidRPr="00A4671B" w:rsidRDefault="00231876" w:rsidP="00875283">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"Bu Yönetmelik; 9/8/1983 tarihli ve 2872 sayılı Çevre Kanununun 8, 11, 12 ve 13 üncü maddeleri ile 1 sayılı Cumhurbaşkanlığı Teşkilatı Hakkında Cumhurbaşkanlığı Kararnamesi’nin 97 nci ve 103 üncü maddelerine dayanılarak hazırlanmıştır."</w:t>
      </w:r>
    </w:p>
    <w:p w14:paraId="26F1930A" w14:textId="1CA2B755" w:rsidR="00231876" w:rsidRPr="00A4671B" w:rsidRDefault="00231876" w:rsidP="00875283">
      <w:pPr>
        <w:spacing w:after="0" w:line="240" w:lineRule="auto"/>
        <w:ind w:firstLine="708"/>
        <w:jc w:val="both"/>
        <w:rPr>
          <w:rStyle w:val="citation-16"/>
          <w:rFonts w:ascii="Times New Roman" w:hAnsi="Times New Roman" w:cs="Times New Roman"/>
          <w:sz w:val="24"/>
          <w:szCs w:val="24"/>
        </w:rPr>
      </w:pPr>
    </w:p>
    <w:p w14:paraId="6730FCF8" w14:textId="77777777" w:rsidR="00390E2C" w:rsidRDefault="00390E2C" w:rsidP="00BC5D45">
      <w:pPr>
        <w:spacing w:after="0" w:line="240" w:lineRule="auto"/>
        <w:ind w:firstLine="708"/>
        <w:jc w:val="both"/>
        <w:rPr>
          <w:rFonts w:ascii="Times New Roman" w:hAnsi="Times New Roman" w:cs="Times New Roman"/>
          <w:sz w:val="24"/>
          <w:szCs w:val="24"/>
        </w:rPr>
      </w:pPr>
      <w:r w:rsidRPr="00A4671B">
        <w:rPr>
          <w:rStyle w:val="citation-16"/>
          <w:rFonts w:ascii="Times New Roman" w:hAnsi="Times New Roman" w:cs="Times New Roman"/>
          <w:sz w:val="24"/>
          <w:szCs w:val="24"/>
        </w:rPr>
        <w:t xml:space="preserve"> </w:t>
      </w:r>
      <w:r w:rsidRPr="00390E2C">
        <w:rPr>
          <w:rStyle w:val="citation-5"/>
          <w:rFonts w:ascii="Times New Roman" w:hAnsi="Times New Roman" w:cs="Times New Roman"/>
          <w:b/>
          <w:bCs/>
          <w:sz w:val="24"/>
          <w:szCs w:val="24"/>
        </w:rPr>
        <w:t>MADDE 3:</w:t>
      </w:r>
      <w:r w:rsidRPr="00390E2C">
        <w:rPr>
          <w:rStyle w:val="citation-5"/>
          <w:rFonts w:ascii="Times New Roman" w:hAnsi="Times New Roman" w:cs="Times New Roman"/>
          <w:sz w:val="24"/>
          <w:szCs w:val="24"/>
        </w:rPr>
        <w:t xml:space="preserve"> Aynı Yönetmeliğin 4 üncü maddesinin birinci fıkrasının (b), (ç), (d), (ğ), (h), (k), (p), (r) bentleri aşağıdaki şekilde değiştirilmiş, (ö) bendi kaldırılmış, (s) ve (ş) bentleri eklenmiştir.</w:t>
      </w:r>
      <w:r w:rsidRPr="00390E2C">
        <w:rPr>
          <w:rFonts w:ascii="Times New Roman" w:hAnsi="Times New Roman" w:cs="Times New Roman"/>
          <w:sz w:val="24"/>
          <w:szCs w:val="24"/>
        </w:rPr>
        <w:t xml:space="preserve"> </w:t>
      </w:r>
    </w:p>
    <w:p w14:paraId="1EFA47A9" w14:textId="69E0913F" w:rsidR="00BC5D45" w:rsidRPr="00390E2C" w:rsidRDefault="00BC5D45" w:rsidP="00BC5D45">
      <w:pPr>
        <w:spacing w:after="0" w:line="240" w:lineRule="auto"/>
        <w:ind w:firstLine="708"/>
        <w:jc w:val="both"/>
        <w:rPr>
          <w:rStyle w:val="citation-16"/>
          <w:rFonts w:ascii="Times New Roman" w:hAnsi="Times New Roman" w:cs="Times New Roman"/>
          <w:sz w:val="24"/>
          <w:szCs w:val="24"/>
        </w:rPr>
      </w:pPr>
      <w:r w:rsidRPr="00390E2C">
        <w:rPr>
          <w:rStyle w:val="citation-16"/>
          <w:rFonts w:ascii="Times New Roman" w:hAnsi="Times New Roman" w:cs="Times New Roman"/>
          <w:sz w:val="24"/>
          <w:szCs w:val="24"/>
        </w:rPr>
        <w:t>“b) Araç: Karayollarında kullanılabilen motorlu, motorsuz ve özel amaçlı taşıtlar ile iş makineleri ve lastik tekerlekli traktörlerin genel adını,”</w:t>
      </w:r>
    </w:p>
    <w:p w14:paraId="3172AB4B" w14:textId="270BD34A"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“ç) Bakanlık: Çevre, Şehircilik ve İklim Değişikliği Bakanlığını,”</w:t>
      </w:r>
    </w:p>
    <w:p w14:paraId="1509439D" w14:textId="041656D5"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“d) Bertaraf: 02/04/2015 tarihli ve 29314 sayılı Resmî Gazete’de yayımlanan Atık Yönetimi Yönetmeliğinin 4 üncü maddesinin birinci fıkrasının (ö) bendinde tanımlanan işlemi,”</w:t>
      </w:r>
    </w:p>
    <w:p w14:paraId="1F738AC5" w14:textId="2B2108F0"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“ğ) Geri dönüşüm: Atık Yönetimi Yönetmeliğinin 4 üncü maddesinin birinci fıkrasının (z) bendinde tanımlanan işlemi,”</w:t>
      </w:r>
    </w:p>
    <w:p w14:paraId="2E9F6BE7" w14:textId="2029EFE6"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“h) Geri kazanım: Atık Yönetimi Yönetmeliğinin 4 üncü maddesinin birinci fıkrasının (aa) bendinde tanımlanan işlemi,”</w:t>
      </w:r>
    </w:p>
    <w:p w14:paraId="274238E9" w14:textId="5963AFFF"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“k) Ömrünü tamamlamış araç (ÖTA): Atık Yönetimi Yönetmeliği’nde 4 üncü maddesinin birinci fıkrasının (d) bendinde yer alan atık tanımına uygun aracı,”</w:t>
      </w:r>
    </w:p>
    <w:p w14:paraId="328E1870" w14:textId="545A65A0"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“p) Üretici: Araç üreten, ticari amaçla ithal eden gerçek ve tüzel kişileri,”</w:t>
      </w:r>
    </w:p>
    <w:p w14:paraId="104C59B5" w14:textId="373D3A4F"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“r) Yeniden kullanım: Atık Yönetimi Yönetmeliğinin 4 üncü maddesinin birinci fıkrasının (öö) bendinde tanımlanan işlemi,”</w:t>
      </w:r>
    </w:p>
    <w:p w14:paraId="714FBF12" w14:textId="78C4183A"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“s) Tehlikeli Atık: Atık Yönetimi Yönetmeliğinin 4. Maddesinin 1. fıkrasının (jj) bendinde tanımlanmış olan atıkları,”</w:t>
      </w:r>
    </w:p>
    <w:p w14:paraId="1B620602" w14:textId="5652EB4B"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“ş) Zararlı Madde: 11/12/2013 tarihli ve 28848 sayılı 1. Mükerrer Resmî Gazete'de yayımlanan Maddelerin ve Karışımların, Sınıflandırılması, Etiketlenmesi ve Ambalajlanması Hakkında Yönetmelik kapsamında yer alan maddeleri,”</w:t>
      </w:r>
    </w:p>
    <w:p w14:paraId="461979AE" w14:textId="5A5DF575"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p>
    <w:p w14:paraId="619E5CE6" w14:textId="7BB3D602" w:rsidR="00BC5D45" w:rsidRPr="00A4671B" w:rsidRDefault="00BC5D45"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MADDE 4-</w:t>
      </w:r>
      <w:r w:rsidRPr="00A4671B">
        <w:rPr>
          <w:rStyle w:val="citation-16"/>
          <w:rFonts w:ascii="Times New Roman" w:hAnsi="Times New Roman" w:cs="Times New Roman"/>
          <w:sz w:val="24"/>
          <w:szCs w:val="24"/>
        </w:rPr>
        <w:t xml:space="preserve"> Aynı Yönetmeliğin</w:t>
      </w:r>
      <w:r w:rsidR="00D679A3" w:rsidRPr="00A4671B">
        <w:rPr>
          <w:rStyle w:val="citation-16"/>
          <w:rFonts w:ascii="Times New Roman" w:hAnsi="Times New Roman" w:cs="Times New Roman"/>
          <w:sz w:val="24"/>
          <w:szCs w:val="24"/>
        </w:rPr>
        <w:t xml:space="preserve"> 5 inci maddesinin birinci fıkrası aşağıdaki şekilde değiştirilmiştir.</w:t>
      </w:r>
    </w:p>
    <w:p w14:paraId="3D25FE44" w14:textId="7B3343AA" w:rsidR="00D679A3" w:rsidRPr="00A4671B" w:rsidRDefault="00D679A3"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“Atık Yönetimi Yönetmeliği hükümleri saklı kalmak kaydıyla ömrünü tamamlamış araçların kontrolüne ilişkin esaslar şunlardır, …”</w:t>
      </w:r>
    </w:p>
    <w:p w14:paraId="78B7C92A" w14:textId="3DAD4C90" w:rsidR="00D679A3" w:rsidRPr="00A4671B" w:rsidRDefault="00D679A3" w:rsidP="00BC5D45">
      <w:pPr>
        <w:spacing w:after="0" w:line="240" w:lineRule="auto"/>
        <w:ind w:firstLine="708"/>
        <w:jc w:val="both"/>
        <w:rPr>
          <w:rStyle w:val="citation-16"/>
          <w:rFonts w:ascii="Times New Roman" w:hAnsi="Times New Roman" w:cs="Times New Roman"/>
          <w:sz w:val="24"/>
          <w:szCs w:val="24"/>
        </w:rPr>
      </w:pPr>
    </w:p>
    <w:p w14:paraId="3C5F1757" w14:textId="064ECA14" w:rsidR="00D679A3" w:rsidRPr="00A4671B" w:rsidRDefault="00D679A3" w:rsidP="00BC5D4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MADDE 5-</w:t>
      </w:r>
      <w:r w:rsidRPr="00A4671B">
        <w:rPr>
          <w:rStyle w:val="citation-16"/>
          <w:rFonts w:ascii="Times New Roman" w:hAnsi="Times New Roman" w:cs="Times New Roman"/>
          <w:sz w:val="24"/>
          <w:szCs w:val="24"/>
        </w:rPr>
        <w:t xml:space="preserve"> Aynı Yönetmeliğin </w:t>
      </w:r>
      <w:r w:rsidR="0030379B" w:rsidRPr="00A4671B">
        <w:rPr>
          <w:rStyle w:val="citation-16"/>
          <w:rFonts w:ascii="Times New Roman" w:hAnsi="Times New Roman" w:cs="Times New Roman"/>
          <w:sz w:val="24"/>
          <w:szCs w:val="24"/>
        </w:rPr>
        <w:t>6 ncı maddesinin</w:t>
      </w:r>
      <w:r w:rsidR="00E9309E" w:rsidRPr="00A4671B">
        <w:rPr>
          <w:rStyle w:val="citation-16"/>
          <w:rFonts w:ascii="Times New Roman" w:hAnsi="Times New Roman" w:cs="Times New Roman"/>
          <w:sz w:val="24"/>
          <w:szCs w:val="24"/>
        </w:rPr>
        <w:t xml:space="preserve"> ikinci fıkrası aşağıdaki şekilde değiştirilmiştir.</w:t>
      </w:r>
    </w:p>
    <w:p w14:paraId="1A8D46EE" w14:textId="3F410EEA" w:rsidR="00BC5D45" w:rsidRDefault="00E9309E" w:rsidP="00BC5D45">
      <w:pPr>
        <w:spacing w:after="0" w:line="240" w:lineRule="auto"/>
        <w:ind w:firstLine="708"/>
        <w:jc w:val="both"/>
        <w:rPr>
          <w:rFonts w:ascii="Times New Roman" w:hAnsi="Times New Roman" w:cs="Times New Roman"/>
          <w:sz w:val="24"/>
          <w:szCs w:val="24"/>
        </w:rPr>
      </w:pPr>
      <w:r w:rsidRPr="00A4671B">
        <w:rPr>
          <w:rStyle w:val="citation-16"/>
          <w:rFonts w:ascii="Times New Roman" w:hAnsi="Times New Roman" w:cs="Times New Roman"/>
          <w:sz w:val="24"/>
          <w:szCs w:val="24"/>
        </w:rPr>
        <w:t>"</w:t>
      </w:r>
      <w:r w:rsidR="00390E2C" w:rsidRPr="00390E2C">
        <w:rPr>
          <w:rFonts w:ascii="Times New Roman" w:hAnsi="Times New Roman" w:cs="Times New Roman"/>
          <w:sz w:val="24"/>
          <w:szCs w:val="24"/>
        </w:rPr>
        <w:t xml:space="preserve">Birinci fıkranın (ç) bendinde belirtilen görevler </w:t>
      </w:r>
      <w:r w:rsidR="00390E2C" w:rsidRPr="00390E2C">
        <w:rPr>
          <w:rStyle w:val="citation-143"/>
          <w:rFonts w:ascii="Times New Roman" w:hAnsi="Times New Roman" w:cs="Times New Roman"/>
          <w:sz w:val="24"/>
          <w:szCs w:val="24"/>
        </w:rPr>
        <w:t>çevre, şehircilik ve iklim değişikliği il</w:t>
      </w:r>
      <w:r w:rsidR="00390E2C" w:rsidRPr="00390E2C">
        <w:rPr>
          <w:rFonts w:ascii="Times New Roman" w:hAnsi="Times New Roman" w:cs="Times New Roman"/>
          <w:sz w:val="24"/>
          <w:szCs w:val="24"/>
        </w:rPr>
        <w:t xml:space="preserve"> müdürlüklerince yerine getirilir.</w:t>
      </w:r>
      <w:r w:rsidR="00390E2C">
        <w:rPr>
          <w:rFonts w:ascii="Times New Roman" w:hAnsi="Times New Roman" w:cs="Times New Roman"/>
          <w:sz w:val="24"/>
          <w:szCs w:val="24"/>
        </w:rPr>
        <w:t>”</w:t>
      </w:r>
    </w:p>
    <w:p w14:paraId="3DE5EA25" w14:textId="77777777" w:rsidR="00390E2C" w:rsidRPr="00A4671B" w:rsidRDefault="00390E2C" w:rsidP="00BC5D45">
      <w:pPr>
        <w:spacing w:after="0" w:line="240" w:lineRule="auto"/>
        <w:ind w:firstLine="708"/>
        <w:jc w:val="both"/>
        <w:rPr>
          <w:rStyle w:val="citation-16"/>
          <w:rFonts w:ascii="Times New Roman" w:hAnsi="Times New Roman" w:cs="Times New Roman"/>
          <w:sz w:val="24"/>
          <w:szCs w:val="24"/>
        </w:rPr>
      </w:pPr>
    </w:p>
    <w:p w14:paraId="01F6FAC4" w14:textId="77777777" w:rsidR="0014623E" w:rsidRPr="00A4671B" w:rsidRDefault="00E9309E" w:rsidP="00875283">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MADDE 6-</w:t>
      </w:r>
      <w:r w:rsidRPr="00A4671B">
        <w:rPr>
          <w:rStyle w:val="citation-16"/>
          <w:rFonts w:ascii="Times New Roman" w:hAnsi="Times New Roman" w:cs="Times New Roman"/>
          <w:sz w:val="24"/>
          <w:szCs w:val="24"/>
        </w:rPr>
        <w:t xml:space="preserve"> Aynı Yönetmeliğin 7 nci </w:t>
      </w:r>
      <w:r w:rsidR="0014623E" w:rsidRPr="00A4671B">
        <w:rPr>
          <w:rStyle w:val="citation-16"/>
          <w:rFonts w:ascii="Times New Roman" w:hAnsi="Times New Roman" w:cs="Times New Roman"/>
          <w:sz w:val="24"/>
          <w:szCs w:val="24"/>
        </w:rPr>
        <w:t>maddesinin birinci fıkrası aşağıdaki şekilde değiştirilmiştir.</w:t>
      </w:r>
    </w:p>
    <w:p w14:paraId="73595504" w14:textId="77777777" w:rsidR="0014623E" w:rsidRPr="00A4671B" w:rsidRDefault="0014623E" w:rsidP="00875283">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lastRenderedPageBreak/>
        <w:t>"Araç sahibi, ömrünü tamamlamış aracını ÖTA teslim yerleri ya da geçici depolama alanlarına 12 nci maddeye uygun olarak teslim etmek ve 13 üncü maddeye göre aracı teslim alandan araca ait onaylı araç kayıttan düşme ve bertaraf formunu almakla yükümlüdür."</w:t>
      </w:r>
    </w:p>
    <w:p w14:paraId="62F67942" w14:textId="77777777" w:rsidR="0014623E" w:rsidRPr="00A4671B" w:rsidRDefault="0014623E" w:rsidP="00875283">
      <w:pPr>
        <w:spacing w:after="0" w:line="240" w:lineRule="auto"/>
        <w:ind w:firstLine="708"/>
        <w:jc w:val="both"/>
        <w:rPr>
          <w:rStyle w:val="citation-16"/>
          <w:rFonts w:ascii="Times New Roman" w:hAnsi="Times New Roman" w:cs="Times New Roman"/>
          <w:sz w:val="24"/>
          <w:szCs w:val="24"/>
        </w:rPr>
      </w:pPr>
    </w:p>
    <w:p w14:paraId="58F21B17" w14:textId="77777777" w:rsidR="0025388B" w:rsidRPr="00A4671B" w:rsidRDefault="0014623E" w:rsidP="00875283">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MADDE 7-</w:t>
      </w:r>
      <w:r w:rsidRPr="00A4671B">
        <w:rPr>
          <w:rStyle w:val="citation-16"/>
          <w:rFonts w:ascii="Times New Roman" w:hAnsi="Times New Roman" w:cs="Times New Roman"/>
          <w:sz w:val="24"/>
          <w:szCs w:val="24"/>
        </w:rPr>
        <w:t xml:space="preserve"> Aynı Yönetmeliğin </w:t>
      </w:r>
      <w:r w:rsidR="0025388B" w:rsidRPr="00A4671B">
        <w:rPr>
          <w:rStyle w:val="citation-16"/>
          <w:rFonts w:ascii="Times New Roman" w:hAnsi="Times New Roman" w:cs="Times New Roman"/>
          <w:sz w:val="24"/>
          <w:szCs w:val="24"/>
        </w:rPr>
        <w:t>9 uncu maddesinin birinci fıkrasının (a), (b) ve (ç) bentleri aşağıdaki şekilde değiştirilmiştir.</w:t>
      </w:r>
    </w:p>
    <w:p w14:paraId="6D488DA1" w14:textId="1FBC3D95" w:rsidR="0025388B" w:rsidRPr="00A4671B" w:rsidRDefault="0025388B"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 xml:space="preserve">“a) </w:t>
      </w:r>
      <w:r w:rsidR="00580E7E" w:rsidRPr="00580E7E">
        <w:rPr>
          <w:rStyle w:val="citation-16"/>
          <w:rFonts w:ascii="Times New Roman" w:hAnsi="Times New Roman" w:cs="Times New Roman"/>
          <w:sz w:val="24"/>
          <w:szCs w:val="24"/>
        </w:rPr>
        <w:t>Sigorta poliçeleri uyarınca onarımı ekonomik olarak mümkün olmayıp tam tam hasar ile bedeli araç sahibine ödenmiş araçları lisanslı geçici depolama alanına 13 üncü maddeye uygun olarak teslim etmekle</w:t>
      </w:r>
      <w:r w:rsidRPr="00A4671B">
        <w:rPr>
          <w:rStyle w:val="citation-16"/>
          <w:rFonts w:ascii="Times New Roman" w:hAnsi="Times New Roman" w:cs="Times New Roman"/>
          <w:sz w:val="24"/>
          <w:szCs w:val="24"/>
        </w:rPr>
        <w:t>,”</w:t>
      </w:r>
    </w:p>
    <w:p w14:paraId="136E4F34" w14:textId="71188C09" w:rsidR="0025388B" w:rsidRPr="00A4671B" w:rsidRDefault="0025388B"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“b) Tam hasar halindeki araç için takdir edilen bedel üzerinde ihtilaf olması halinde aracı bekletmeden lisanslı geçici depolama alanına çektirmekle,”</w:t>
      </w:r>
    </w:p>
    <w:p w14:paraId="09E13F28" w14:textId="462FEFDC" w:rsidR="0025388B" w:rsidRPr="00A4671B" w:rsidRDefault="0025388B"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“ç) Sigorta poliçeleri uyarınca onarım sırasında değiştirilen parçaları, 3/6/2007 tarihli ve 5684 sayılı Sigortacılık Kanunu uyarınca faaliyet göstermeye yetkili sigorta eksperleri tarafından hazırlanan hasar onarım raporuna istinaden lisanslı geçici depolama alanına teslim etmekle,”</w:t>
      </w:r>
    </w:p>
    <w:p w14:paraId="51C78E61" w14:textId="77777777" w:rsidR="0025388B" w:rsidRPr="00A4671B" w:rsidRDefault="0025388B" w:rsidP="0025388B">
      <w:pPr>
        <w:spacing w:after="0" w:line="240" w:lineRule="auto"/>
        <w:ind w:firstLine="708"/>
        <w:jc w:val="both"/>
        <w:rPr>
          <w:rStyle w:val="citation-16"/>
          <w:rFonts w:ascii="Times New Roman" w:hAnsi="Times New Roman" w:cs="Times New Roman"/>
          <w:sz w:val="24"/>
          <w:szCs w:val="24"/>
        </w:rPr>
      </w:pPr>
    </w:p>
    <w:p w14:paraId="0264DB55" w14:textId="77777777" w:rsidR="004F52A0" w:rsidRPr="00A4671B" w:rsidRDefault="0025388B"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MADDE 8-</w:t>
      </w:r>
      <w:r w:rsidRPr="00A4671B">
        <w:rPr>
          <w:rStyle w:val="citation-16"/>
          <w:rFonts w:ascii="Times New Roman" w:hAnsi="Times New Roman" w:cs="Times New Roman"/>
          <w:sz w:val="24"/>
          <w:szCs w:val="24"/>
        </w:rPr>
        <w:t xml:space="preserve"> </w:t>
      </w:r>
      <w:r w:rsidR="004135F9" w:rsidRPr="00A4671B">
        <w:rPr>
          <w:rStyle w:val="citation-16"/>
          <w:rFonts w:ascii="Times New Roman" w:hAnsi="Times New Roman" w:cs="Times New Roman"/>
          <w:sz w:val="24"/>
          <w:szCs w:val="24"/>
        </w:rPr>
        <w:t xml:space="preserve">Aynı Yönetmeliğin </w:t>
      </w:r>
      <w:r w:rsidR="00DB14DE" w:rsidRPr="00A4671B">
        <w:rPr>
          <w:rStyle w:val="citation-16"/>
          <w:rFonts w:ascii="Times New Roman" w:hAnsi="Times New Roman" w:cs="Times New Roman"/>
          <w:sz w:val="24"/>
          <w:szCs w:val="24"/>
        </w:rPr>
        <w:t>10</w:t>
      </w:r>
      <w:r w:rsidR="004135F9" w:rsidRPr="00A4671B">
        <w:rPr>
          <w:rStyle w:val="citation-16"/>
          <w:rFonts w:ascii="Times New Roman" w:hAnsi="Times New Roman" w:cs="Times New Roman"/>
          <w:sz w:val="24"/>
          <w:szCs w:val="24"/>
        </w:rPr>
        <w:t xml:space="preserve"> uncu maddesinin </w:t>
      </w:r>
      <w:r w:rsidR="004F52A0" w:rsidRPr="00A4671B">
        <w:rPr>
          <w:rStyle w:val="citation-16"/>
          <w:rFonts w:ascii="Times New Roman" w:hAnsi="Times New Roman" w:cs="Times New Roman"/>
          <w:sz w:val="24"/>
          <w:szCs w:val="24"/>
        </w:rPr>
        <w:t xml:space="preserve">başlığı ve </w:t>
      </w:r>
      <w:r w:rsidR="004135F9" w:rsidRPr="00A4671B">
        <w:rPr>
          <w:rStyle w:val="citation-16"/>
          <w:rFonts w:ascii="Times New Roman" w:hAnsi="Times New Roman" w:cs="Times New Roman"/>
          <w:sz w:val="24"/>
          <w:szCs w:val="24"/>
        </w:rPr>
        <w:t>birinci fıkrası</w:t>
      </w:r>
      <w:r w:rsidR="004F52A0" w:rsidRPr="00A4671B">
        <w:rPr>
          <w:rStyle w:val="citation-16"/>
          <w:rFonts w:ascii="Times New Roman" w:hAnsi="Times New Roman" w:cs="Times New Roman"/>
          <w:sz w:val="24"/>
          <w:szCs w:val="24"/>
        </w:rPr>
        <w:t xml:space="preserve"> aşağıdaki şekilde değiştirilmiştir.</w:t>
      </w:r>
    </w:p>
    <w:p w14:paraId="11E2F70B" w14:textId="6487F08D" w:rsidR="004F52A0" w:rsidRPr="00A4671B" w:rsidRDefault="004F52A0" w:rsidP="004F52A0">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“Zararlı maddelerin kullanımının yasaklanması”</w:t>
      </w:r>
    </w:p>
    <w:p w14:paraId="6D8E38C5" w14:textId="774DB9A8" w:rsidR="00AC4A4E" w:rsidRPr="00A4671B" w:rsidRDefault="004F52A0" w:rsidP="004F52A0">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“Geri dönüşümü kolaylaştırmak, tehlikeli maddelerin çevreye yayılmasını önlemek ve bertaraf edilecek tehlikeli atık miktarını azaltmak amacıyla araçlarda tehlikeli madde kullanımı sınırlandırılır ve ileriye dönük tasarımlarda zararlı madde kullanımı asgari düzeye indirilir.”</w:t>
      </w:r>
    </w:p>
    <w:p w14:paraId="124903C0" w14:textId="1621A762" w:rsidR="00AC4A4E" w:rsidRPr="00A4671B" w:rsidRDefault="00AC4A4E" w:rsidP="0025388B">
      <w:pPr>
        <w:spacing w:after="0" w:line="240" w:lineRule="auto"/>
        <w:ind w:firstLine="708"/>
        <w:jc w:val="both"/>
        <w:rPr>
          <w:rStyle w:val="citation-16"/>
          <w:rFonts w:ascii="Times New Roman" w:hAnsi="Times New Roman" w:cs="Times New Roman"/>
          <w:sz w:val="24"/>
          <w:szCs w:val="24"/>
        </w:rPr>
      </w:pPr>
    </w:p>
    <w:p w14:paraId="50772DA3" w14:textId="05788337" w:rsidR="00AC4A4E" w:rsidRPr="00A4671B" w:rsidRDefault="00AC4A4E" w:rsidP="00AC4A4E">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793A24" w:rsidRPr="00A4671B">
        <w:rPr>
          <w:rStyle w:val="citation-16"/>
          <w:rFonts w:ascii="Times New Roman" w:hAnsi="Times New Roman" w:cs="Times New Roman"/>
          <w:b/>
          <w:sz w:val="24"/>
          <w:szCs w:val="24"/>
        </w:rPr>
        <w:t>9</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793A24" w:rsidRPr="00A4671B">
        <w:rPr>
          <w:rStyle w:val="citation-16"/>
          <w:rFonts w:ascii="Times New Roman" w:hAnsi="Times New Roman" w:cs="Times New Roman"/>
          <w:sz w:val="24"/>
          <w:szCs w:val="24"/>
        </w:rPr>
        <w:t>11</w:t>
      </w:r>
      <w:r w:rsidRPr="00A4671B">
        <w:rPr>
          <w:rStyle w:val="citation-16"/>
          <w:rFonts w:ascii="Times New Roman" w:hAnsi="Times New Roman" w:cs="Times New Roman"/>
          <w:sz w:val="24"/>
          <w:szCs w:val="24"/>
        </w:rPr>
        <w:t xml:space="preserve"> </w:t>
      </w:r>
      <w:r w:rsidR="00793A24" w:rsidRPr="00A4671B">
        <w:rPr>
          <w:rStyle w:val="citation-16"/>
          <w:rFonts w:ascii="Times New Roman" w:hAnsi="Times New Roman" w:cs="Times New Roman"/>
          <w:sz w:val="24"/>
          <w:szCs w:val="24"/>
        </w:rPr>
        <w:t>inci</w:t>
      </w:r>
      <w:r w:rsidRPr="00A4671B">
        <w:rPr>
          <w:rStyle w:val="citation-16"/>
          <w:rFonts w:ascii="Times New Roman" w:hAnsi="Times New Roman" w:cs="Times New Roman"/>
          <w:sz w:val="24"/>
          <w:szCs w:val="24"/>
        </w:rPr>
        <w:t xml:space="preserve"> maddesinin </w:t>
      </w:r>
      <w:r w:rsidR="00793A24" w:rsidRPr="00A4671B">
        <w:rPr>
          <w:rStyle w:val="citation-16"/>
          <w:rFonts w:ascii="Times New Roman" w:hAnsi="Times New Roman" w:cs="Times New Roman"/>
          <w:sz w:val="24"/>
          <w:szCs w:val="24"/>
        </w:rPr>
        <w:t xml:space="preserve">başlığı aşağıdaki </w:t>
      </w:r>
      <w:r w:rsidRPr="00A4671B">
        <w:rPr>
          <w:rStyle w:val="citation-16"/>
          <w:rFonts w:ascii="Times New Roman" w:hAnsi="Times New Roman" w:cs="Times New Roman"/>
          <w:sz w:val="24"/>
          <w:szCs w:val="24"/>
        </w:rPr>
        <w:t>şekilde değiştirilmiştir.</w:t>
      </w:r>
    </w:p>
    <w:p w14:paraId="241F0AC8" w14:textId="6AC33C7F" w:rsidR="00AC4A4E" w:rsidRPr="00A4671B" w:rsidRDefault="00196834"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"Zararlı maddelerin işaretlenmesi"</w:t>
      </w:r>
    </w:p>
    <w:p w14:paraId="3D22C86E" w14:textId="7A6FFFE5" w:rsidR="00AC4A4E" w:rsidRPr="00A4671B" w:rsidRDefault="00AC4A4E" w:rsidP="0025388B">
      <w:pPr>
        <w:spacing w:after="0" w:line="240" w:lineRule="auto"/>
        <w:ind w:firstLine="708"/>
        <w:jc w:val="both"/>
        <w:rPr>
          <w:rStyle w:val="citation-16"/>
          <w:rFonts w:ascii="Times New Roman" w:hAnsi="Times New Roman" w:cs="Times New Roman"/>
          <w:sz w:val="24"/>
          <w:szCs w:val="24"/>
        </w:rPr>
      </w:pPr>
    </w:p>
    <w:p w14:paraId="12C9C0EC" w14:textId="52754838" w:rsidR="00AC4A4E" w:rsidRPr="00A4671B" w:rsidRDefault="00AC4A4E" w:rsidP="00AC4A4E">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196834" w:rsidRPr="00A4671B">
        <w:rPr>
          <w:rStyle w:val="citation-16"/>
          <w:rFonts w:ascii="Times New Roman" w:hAnsi="Times New Roman" w:cs="Times New Roman"/>
          <w:b/>
          <w:sz w:val="24"/>
          <w:szCs w:val="24"/>
        </w:rPr>
        <w:t>10</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196834" w:rsidRPr="00A4671B">
        <w:rPr>
          <w:rStyle w:val="citation-16"/>
          <w:rFonts w:ascii="Times New Roman" w:hAnsi="Times New Roman" w:cs="Times New Roman"/>
          <w:sz w:val="24"/>
          <w:szCs w:val="24"/>
        </w:rPr>
        <w:t>12</w:t>
      </w:r>
      <w:r w:rsidRPr="00A4671B">
        <w:rPr>
          <w:rStyle w:val="citation-16"/>
          <w:rFonts w:ascii="Times New Roman" w:hAnsi="Times New Roman" w:cs="Times New Roman"/>
          <w:sz w:val="24"/>
          <w:szCs w:val="24"/>
        </w:rPr>
        <w:t xml:space="preserve"> </w:t>
      </w:r>
      <w:r w:rsidR="00196834" w:rsidRPr="00A4671B">
        <w:rPr>
          <w:rStyle w:val="citation-16"/>
          <w:rFonts w:ascii="Times New Roman" w:hAnsi="Times New Roman" w:cs="Times New Roman"/>
          <w:sz w:val="24"/>
          <w:szCs w:val="24"/>
        </w:rPr>
        <w:t>nci</w:t>
      </w:r>
      <w:r w:rsidRPr="00A4671B">
        <w:rPr>
          <w:rStyle w:val="citation-16"/>
          <w:rFonts w:ascii="Times New Roman" w:hAnsi="Times New Roman" w:cs="Times New Roman"/>
          <w:sz w:val="24"/>
          <w:szCs w:val="24"/>
        </w:rPr>
        <w:t xml:space="preserve"> maddesinin </w:t>
      </w:r>
      <w:r w:rsidR="00196834" w:rsidRPr="00A4671B">
        <w:rPr>
          <w:rStyle w:val="citation-16"/>
          <w:rFonts w:ascii="Times New Roman" w:hAnsi="Times New Roman" w:cs="Times New Roman"/>
          <w:sz w:val="24"/>
          <w:szCs w:val="24"/>
        </w:rPr>
        <w:t xml:space="preserve">dördüncü </w:t>
      </w:r>
      <w:r w:rsidRPr="00A4671B">
        <w:rPr>
          <w:rStyle w:val="citation-16"/>
          <w:rFonts w:ascii="Times New Roman" w:hAnsi="Times New Roman" w:cs="Times New Roman"/>
          <w:sz w:val="24"/>
          <w:szCs w:val="24"/>
        </w:rPr>
        <w:t xml:space="preserve">fıkrasının (b) </w:t>
      </w:r>
      <w:r w:rsidR="00196834" w:rsidRPr="00A4671B">
        <w:rPr>
          <w:rStyle w:val="citation-16"/>
          <w:rFonts w:ascii="Times New Roman" w:hAnsi="Times New Roman" w:cs="Times New Roman"/>
          <w:sz w:val="24"/>
          <w:szCs w:val="24"/>
        </w:rPr>
        <w:t xml:space="preserve">bendi </w:t>
      </w:r>
      <w:r w:rsidRPr="00A4671B">
        <w:rPr>
          <w:rStyle w:val="citation-16"/>
          <w:rFonts w:ascii="Times New Roman" w:hAnsi="Times New Roman" w:cs="Times New Roman"/>
          <w:sz w:val="24"/>
          <w:szCs w:val="24"/>
        </w:rPr>
        <w:t>aşağıdaki şekilde değiştirilmiştir.</w:t>
      </w:r>
    </w:p>
    <w:p w14:paraId="35B8EF86" w14:textId="239CDE98" w:rsidR="00AC4A4E" w:rsidRPr="00A4671B" w:rsidRDefault="00196834"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“Aracın; şanzıman, diferansiyel, katalizör, motor, elektronik kontrol üniteleri, lastik, üstyapı gibi önemli parçalarının bulunmaması,”</w:t>
      </w:r>
    </w:p>
    <w:p w14:paraId="1324602D" w14:textId="758A6993" w:rsidR="00AC4A4E" w:rsidRPr="00A4671B" w:rsidRDefault="00AC4A4E" w:rsidP="0025388B">
      <w:pPr>
        <w:spacing w:after="0" w:line="240" w:lineRule="auto"/>
        <w:ind w:firstLine="708"/>
        <w:jc w:val="both"/>
        <w:rPr>
          <w:rStyle w:val="citation-16"/>
          <w:rFonts w:ascii="Times New Roman" w:hAnsi="Times New Roman" w:cs="Times New Roman"/>
          <w:sz w:val="24"/>
          <w:szCs w:val="24"/>
        </w:rPr>
      </w:pPr>
    </w:p>
    <w:p w14:paraId="7675B1F4" w14:textId="629759B8" w:rsidR="00AC4A4E" w:rsidRPr="00A4671B" w:rsidRDefault="00AC4A4E" w:rsidP="00AC4A4E">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196834" w:rsidRPr="00A4671B">
        <w:rPr>
          <w:rStyle w:val="citation-16"/>
          <w:rFonts w:ascii="Times New Roman" w:hAnsi="Times New Roman" w:cs="Times New Roman"/>
          <w:b/>
          <w:sz w:val="24"/>
          <w:szCs w:val="24"/>
        </w:rPr>
        <w:t>11</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6D6AA8" w:rsidRPr="00A4671B">
        <w:rPr>
          <w:rStyle w:val="citation-16"/>
          <w:rFonts w:ascii="Times New Roman" w:hAnsi="Times New Roman" w:cs="Times New Roman"/>
          <w:sz w:val="24"/>
          <w:szCs w:val="24"/>
        </w:rPr>
        <w:t>13</w:t>
      </w:r>
      <w:r w:rsidRPr="00A4671B">
        <w:rPr>
          <w:rStyle w:val="citation-16"/>
          <w:rFonts w:ascii="Times New Roman" w:hAnsi="Times New Roman" w:cs="Times New Roman"/>
          <w:sz w:val="24"/>
          <w:szCs w:val="24"/>
        </w:rPr>
        <w:t xml:space="preserve"> </w:t>
      </w:r>
      <w:r w:rsidR="006D6AA8" w:rsidRPr="00A4671B">
        <w:rPr>
          <w:rStyle w:val="citation-16"/>
          <w:rFonts w:ascii="Times New Roman" w:hAnsi="Times New Roman" w:cs="Times New Roman"/>
          <w:sz w:val="24"/>
          <w:szCs w:val="24"/>
        </w:rPr>
        <w:t xml:space="preserve">üncü </w:t>
      </w:r>
      <w:r w:rsidRPr="00A4671B">
        <w:rPr>
          <w:rStyle w:val="citation-16"/>
          <w:rFonts w:ascii="Times New Roman" w:hAnsi="Times New Roman" w:cs="Times New Roman"/>
          <w:sz w:val="24"/>
          <w:szCs w:val="24"/>
        </w:rPr>
        <w:t>maddesinin birinci</w:t>
      </w:r>
      <w:r w:rsidR="006D6AA8" w:rsidRPr="00A4671B">
        <w:rPr>
          <w:rStyle w:val="citation-16"/>
          <w:rFonts w:ascii="Times New Roman" w:hAnsi="Times New Roman" w:cs="Times New Roman"/>
          <w:sz w:val="24"/>
          <w:szCs w:val="24"/>
        </w:rPr>
        <w:t>, ikinci, üçüncü ve dördüncü fıkraları aşağıdaki şekilde değiştirilmiş, aynı maddeye altıncı fıkra aşağıdaki şekilde eklenmiştir.</w:t>
      </w:r>
    </w:p>
    <w:p w14:paraId="5E55606D" w14:textId="77777777"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“(1) Aracın; araç sahibince araç teslim yeri ya da lisanslı geçici depolama alanlarına teslimi sırasında aşağıdaki belgeler ibraz edilir;</w:t>
      </w:r>
    </w:p>
    <w:p w14:paraId="0C611908" w14:textId="77777777"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a) Kayıtlarında haciz, rehin, tedbir gibi şerhlerin bulunmadığına dair trafik tescil kuruluşlarından alınmış belge,</w:t>
      </w:r>
    </w:p>
    <w:p w14:paraId="6359CA13" w14:textId="3BCEF3B8"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b) Trafikten çekilmiş araçlar hariç, ilgili vergi dairesinden alınmış, motorlu araçlar vergisi ile bu vergiye ilişkin gecikme zammı, gecikme faizi, vergi cezası, trafik idari para cezası, geçiş ücreti ve idari para cezası borcu bulunmadığına dair ilişik kesme belgesi.”</w:t>
      </w:r>
    </w:p>
    <w:p w14:paraId="0D689DF5" w14:textId="6EE0CADD"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"(2) Ömrünü tamamlamış araçların trafik kaydının silindiğinin ve çevreyle uyumlu olarak bertaraf edildiğinin belgelenebilmesi için, Ek-3’te örneği yer alan “Araç Kayıttan Düşme ve Bertaraf Formu” kullanılır. Bu form, Bakanlığın çevrimiçi yazılım sistemi kullanılarak teslim yerleri veya geçici depolama alanları tarafından düzenlenir ve araç sahibine bir bedel alınmadan verilir."</w:t>
      </w:r>
    </w:p>
    <w:p w14:paraId="31D66179" w14:textId="77777777"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"(3) Araç kayıttan düşme ve bertaraf formu Bakanlığın yazılım sistemi üzerinden düzenlenerek 4 (dört) nüsha olarak yazdırılır ve aşağıdaki şekilde kullanılır;</w:t>
      </w:r>
    </w:p>
    <w:p w14:paraId="08663295" w14:textId="77777777"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 xml:space="preserve">a) Formun (A) kısmı aracı teslim alan tarafından doldurulur. </w:t>
      </w:r>
    </w:p>
    <w:p w14:paraId="53AF2684" w14:textId="77777777"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b) Formun (B) kısmı araç sahibi tarafından doldurulur.</w:t>
      </w:r>
    </w:p>
    <w:p w14:paraId="40D373FA" w14:textId="2334B422"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 xml:space="preserve">c) Araç, araç sahibinin müracaatı üzerine Karayolları Trafik Yönetmeliğinin 39 uncu maddesi hükümlerine uygun olarak hurdaya ayrılır. Hurdaya ayırma işlemi sırasında “Araç Kayıttan Düşme ve Bertaraf Formu”nun ibrazı zorunludur. Hurdaya ayırma işlemi tamamlandıktan sonra formun (C) </w:t>
      </w:r>
      <w:r w:rsidRPr="00A4671B">
        <w:rPr>
          <w:rStyle w:val="citation-16"/>
          <w:rFonts w:ascii="Times New Roman" w:hAnsi="Times New Roman" w:cs="Times New Roman"/>
          <w:sz w:val="24"/>
          <w:szCs w:val="24"/>
        </w:rPr>
        <w:lastRenderedPageBreak/>
        <w:t>kısmı onaylanır. Onaylanan formun iki numaralı nüshası işlemi yapan trafik tescil kuruluşunda kalır, diğer nüshalar araç sahibine teslim edilir."</w:t>
      </w:r>
    </w:p>
    <w:p w14:paraId="37EF437F" w14:textId="22D5C758"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“(4) Bir numaralı nüsha ile birlikte aracın hurdaya ayrıldığına ilişkin araç tescil belgesi araç sahibinde kalır. Üç ve dört numaralı nüshalar aracı teslim alana verilir. Üç numaralı nüsha geçici depolama alanında kalır. Dört numaralı nüsha araç ile birlikte işleme tesisine gönderilir. Dört numaralı nüshalar işleme tesisince 20 nci maddede belirtilen belgelerle birlikte yıl sonunda toplu halde Bakanlığa gönderilir.”</w:t>
      </w:r>
    </w:p>
    <w:p w14:paraId="7E4D4F8F" w14:textId="13E2D820" w:rsidR="006D6AA8" w:rsidRPr="00A4671B" w:rsidRDefault="006D6AA8" w:rsidP="006D6AA8">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“(6) ÖTA teslim yeri ya da lisanslı geçici depolama alanlarına araç teslimi aşamasında, tesis yetkilisi tarafından aracın araç kayıttan düşme ve bertaraf formunu düzenleyen tesiste bulunduğunu ve genel durumunu gösterir bir adet fotoğraf çekilerek Bakanlık çevrimiçi yazılım sistemine yüklenir. Fotoğraf, aracın bütününü ve mevcut ol</w:t>
      </w:r>
      <w:r w:rsidR="00C40F28">
        <w:rPr>
          <w:rStyle w:val="citation-16"/>
          <w:rFonts w:ascii="Times New Roman" w:hAnsi="Times New Roman" w:cs="Times New Roman"/>
          <w:sz w:val="24"/>
          <w:szCs w:val="24"/>
        </w:rPr>
        <w:t>ması halinde tescil</w:t>
      </w:r>
      <w:r w:rsidRPr="00A4671B">
        <w:rPr>
          <w:rStyle w:val="citation-16"/>
          <w:rFonts w:ascii="Times New Roman" w:hAnsi="Times New Roman" w:cs="Times New Roman"/>
          <w:sz w:val="24"/>
          <w:szCs w:val="24"/>
        </w:rPr>
        <w:t xml:space="preserve"> plakasını gösterir şekilde, yeterli aydınlatmanın olduğu ortamda, düz bir zemin üzerinde, ön cepheden çekilmiş olmalıdır.”</w:t>
      </w:r>
    </w:p>
    <w:p w14:paraId="5A011454" w14:textId="11B1DE82" w:rsidR="00AC4A4E" w:rsidRPr="00A4671B" w:rsidRDefault="00AC4A4E" w:rsidP="0025388B">
      <w:pPr>
        <w:spacing w:after="0" w:line="240" w:lineRule="auto"/>
        <w:ind w:firstLine="708"/>
        <w:jc w:val="both"/>
        <w:rPr>
          <w:rStyle w:val="citation-16"/>
          <w:rFonts w:ascii="Times New Roman" w:hAnsi="Times New Roman" w:cs="Times New Roman"/>
          <w:sz w:val="24"/>
          <w:szCs w:val="24"/>
        </w:rPr>
      </w:pPr>
    </w:p>
    <w:p w14:paraId="3FE85A50" w14:textId="765A8B4E" w:rsidR="00214AB3" w:rsidRPr="00A4671B" w:rsidRDefault="00AC4A4E" w:rsidP="00AC4A4E">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E5153C" w:rsidRPr="00A4671B">
        <w:rPr>
          <w:rStyle w:val="citation-16"/>
          <w:rFonts w:ascii="Times New Roman" w:hAnsi="Times New Roman" w:cs="Times New Roman"/>
          <w:b/>
          <w:sz w:val="24"/>
          <w:szCs w:val="24"/>
        </w:rPr>
        <w:t>12</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214AB3" w:rsidRPr="00A4671B">
        <w:rPr>
          <w:rStyle w:val="citation-16"/>
          <w:rFonts w:ascii="Times New Roman" w:hAnsi="Times New Roman" w:cs="Times New Roman"/>
          <w:sz w:val="24"/>
          <w:szCs w:val="24"/>
        </w:rPr>
        <w:t>15</w:t>
      </w:r>
      <w:r w:rsidRPr="00A4671B">
        <w:rPr>
          <w:rStyle w:val="citation-16"/>
          <w:rFonts w:ascii="Times New Roman" w:hAnsi="Times New Roman" w:cs="Times New Roman"/>
          <w:sz w:val="24"/>
          <w:szCs w:val="24"/>
        </w:rPr>
        <w:t xml:space="preserve"> </w:t>
      </w:r>
      <w:r w:rsidR="00214AB3" w:rsidRPr="00A4671B">
        <w:rPr>
          <w:rStyle w:val="citation-16"/>
          <w:rFonts w:ascii="Times New Roman" w:hAnsi="Times New Roman" w:cs="Times New Roman"/>
          <w:sz w:val="24"/>
          <w:szCs w:val="24"/>
        </w:rPr>
        <w:t>inci</w:t>
      </w:r>
      <w:r w:rsidRPr="00A4671B">
        <w:rPr>
          <w:rStyle w:val="citation-16"/>
          <w:rFonts w:ascii="Times New Roman" w:hAnsi="Times New Roman" w:cs="Times New Roman"/>
          <w:sz w:val="24"/>
          <w:szCs w:val="24"/>
        </w:rPr>
        <w:t xml:space="preserve"> maddesinin birinci fıkrası</w:t>
      </w:r>
      <w:r w:rsidR="00214AB3" w:rsidRPr="00A4671B">
        <w:rPr>
          <w:rStyle w:val="citation-16"/>
          <w:rFonts w:ascii="Times New Roman" w:hAnsi="Times New Roman" w:cs="Times New Roman"/>
          <w:sz w:val="24"/>
          <w:szCs w:val="24"/>
        </w:rPr>
        <w:t xml:space="preserve"> aşağıdaki şekilde değiştirilmiştir.</w:t>
      </w:r>
    </w:p>
    <w:p w14:paraId="7B4F11F6" w14:textId="7D61C70C" w:rsidR="00AC4A4E" w:rsidRPr="00A4671B" w:rsidRDefault="00CD46E6" w:rsidP="0025388B">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“Özel veya herhangi bir kamu kurumuna ait işleme ve geçici depolama alanları Ek-1’de yer alan teknik kriterlere uygun olarak kurulur ve işletilir. Bu faaliyetler için 10/09/2014 tarihli ve 29115 sayılı Resmi Gazete’de yayımlanan Çevre İzin ve Lisans Yönetmeliği kapsamında çevre izin ve lisansı alınması zorunludur.”</w:t>
      </w:r>
    </w:p>
    <w:p w14:paraId="5396F625" w14:textId="616DC06E" w:rsidR="00AC4A4E" w:rsidRPr="00A4671B" w:rsidRDefault="00AC4A4E" w:rsidP="0025388B">
      <w:pPr>
        <w:spacing w:after="0" w:line="240" w:lineRule="auto"/>
        <w:ind w:firstLine="708"/>
        <w:jc w:val="both"/>
        <w:rPr>
          <w:rStyle w:val="citation-16"/>
          <w:rFonts w:ascii="Times New Roman" w:hAnsi="Times New Roman" w:cs="Times New Roman"/>
          <w:sz w:val="24"/>
          <w:szCs w:val="24"/>
        </w:rPr>
      </w:pPr>
    </w:p>
    <w:p w14:paraId="44F725F0" w14:textId="77777777" w:rsidR="00FB23C6" w:rsidRPr="00A4671B" w:rsidRDefault="00AC4A4E" w:rsidP="00AC4A4E">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CD46E6" w:rsidRPr="00A4671B">
        <w:rPr>
          <w:rStyle w:val="citation-16"/>
          <w:rFonts w:ascii="Times New Roman" w:hAnsi="Times New Roman" w:cs="Times New Roman"/>
          <w:b/>
          <w:sz w:val="24"/>
          <w:szCs w:val="24"/>
        </w:rPr>
        <w:t>13</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FB23C6" w:rsidRPr="00A4671B">
        <w:rPr>
          <w:rStyle w:val="citation-16"/>
          <w:rFonts w:ascii="Times New Roman" w:hAnsi="Times New Roman" w:cs="Times New Roman"/>
          <w:sz w:val="24"/>
          <w:szCs w:val="24"/>
        </w:rPr>
        <w:t xml:space="preserve">17 nci </w:t>
      </w:r>
      <w:r w:rsidRPr="00A4671B">
        <w:rPr>
          <w:rStyle w:val="citation-16"/>
          <w:rFonts w:ascii="Times New Roman" w:hAnsi="Times New Roman" w:cs="Times New Roman"/>
          <w:sz w:val="24"/>
          <w:szCs w:val="24"/>
        </w:rPr>
        <w:t xml:space="preserve">maddesinin birinci </w:t>
      </w:r>
      <w:r w:rsidR="00FB23C6" w:rsidRPr="00A4671B">
        <w:rPr>
          <w:rStyle w:val="citation-16"/>
          <w:rFonts w:ascii="Times New Roman" w:hAnsi="Times New Roman" w:cs="Times New Roman"/>
          <w:sz w:val="24"/>
          <w:szCs w:val="24"/>
        </w:rPr>
        <w:t>ve ikinci fıkraları aşağıdaki şekilde değiştirilmiştir.</w:t>
      </w:r>
    </w:p>
    <w:p w14:paraId="2D847D69" w14:textId="0EC5BD92" w:rsidR="00EB0EB0" w:rsidRPr="00A4671B" w:rsidRDefault="00EB0EB0" w:rsidP="00EB0EB0">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“(1) Yeni araç tasarımlarında; yeniden kullanım, geri dönüşüm ve geri kazanım oranlarına ilişkin esaslar Sanayi ve Teknoloji Bakanlığı tarafından belirlenir. Bu esaslara dayalı olarak üreticiler Sanayi ve Teknoloji Bakanlığı’ndan tip onayı alırlar.”</w:t>
      </w:r>
    </w:p>
    <w:p w14:paraId="4A7C37BE" w14:textId="115311E0" w:rsidR="00AC4A4E" w:rsidRPr="00A4671B" w:rsidRDefault="00EB0EB0" w:rsidP="00EB0EB0">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“(2) Münferit tip onaylarının 26/10/2016 tarihli ve 29869 sayılı Resmi Gazete’de yayımlanan Araçların İmal, Tadil ve Montajı Hakkında Yönetmelik kapsamında alınması zorunludur.”</w:t>
      </w:r>
    </w:p>
    <w:p w14:paraId="6FC2D404" w14:textId="204CA0E1" w:rsidR="00FB23C6" w:rsidRPr="00A4671B" w:rsidRDefault="00FB23C6" w:rsidP="0025388B">
      <w:pPr>
        <w:spacing w:after="0" w:line="240" w:lineRule="auto"/>
        <w:ind w:firstLine="708"/>
        <w:jc w:val="both"/>
        <w:rPr>
          <w:rStyle w:val="citation-16"/>
          <w:rFonts w:ascii="Times New Roman" w:hAnsi="Times New Roman" w:cs="Times New Roman"/>
          <w:sz w:val="24"/>
          <w:szCs w:val="24"/>
        </w:rPr>
      </w:pPr>
    </w:p>
    <w:p w14:paraId="1DD2E887" w14:textId="4A9A4E58" w:rsidR="00E5153C"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EB0EB0" w:rsidRPr="00A4671B">
        <w:rPr>
          <w:rStyle w:val="citation-16"/>
          <w:rFonts w:ascii="Times New Roman" w:hAnsi="Times New Roman" w:cs="Times New Roman"/>
          <w:b/>
          <w:sz w:val="24"/>
          <w:szCs w:val="24"/>
        </w:rPr>
        <w:t>14</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CD53F5" w:rsidRPr="00A4671B">
        <w:rPr>
          <w:rStyle w:val="citation-16"/>
          <w:rFonts w:ascii="Times New Roman" w:hAnsi="Times New Roman" w:cs="Times New Roman"/>
          <w:sz w:val="24"/>
          <w:szCs w:val="24"/>
        </w:rPr>
        <w:t>21 inci</w:t>
      </w:r>
      <w:r w:rsidRPr="00A4671B">
        <w:rPr>
          <w:rStyle w:val="citation-16"/>
          <w:rFonts w:ascii="Times New Roman" w:hAnsi="Times New Roman" w:cs="Times New Roman"/>
          <w:sz w:val="24"/>
          <w:szCs w:val="24"/>
        </w:rPr>
        <w:t xml:space="preserve"> maddesinin birinci fıkrası</w:t>
      </w:r>
      <w:r w:rsidR="00DD645A" w:rsidRPr="00A4671B">
        <w:rPr>
          <w:rStyle w:val="citation-16"/>
          <w:rFonts w:ascii="Times New Roman" w:hAnsi="Times New Roman" w:cs="Times New Roman"/>
          <w:sz w:val="24"/>
          <w:szCs w:val="24"/>
        </w:rPr>
        <w:t xml:space="preserve"> </w:t>
      </w:r>
      <w:r w:rsidRPr="00A4671B">
        <w:rPr>
          <w:rStyle w:val="citation-16"/>
          <w:rFonts w:ascii="Times New Roman" w:hAnsi="Times New Roman" w:cs="Times New Roman"/>
          <w:sz w:val="24"/>
          <w:szCs w:val="24"/>
        </w:rPr>
        <w:t>aşağıdaki şekilde değiştirilmiştir.</w:t>
      </w:r>
    </w:p>
    <w:p w14:paraId="1CBC75C4" w14:textId="03AC8E8B" w:rsidR="00DD645A" w:rsidRPr="00A4671B" w:rsidRDefault="00A94020"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“Ömrünü tamamlamış araçların taşınması, Atık Yönetimi Yönetmeliği hükümlerine göre yürütülür.”</w:t>
      </w:r>
    </w:p>
    <w:p w14:paraId="3F2F4069" w14:textId="77777777" w:rsidR="00E5153C" w:rsidRPr="00A4671B" w:rsidRDefault="00E5153C" w:rsidP="00E5153C">
      <w:pPr>
        <w:spacing w:after="0" w:line="240" w:lineRule="auto"/>
        <w:ind w:firstLine="708"/>
        <w:jc w:val="both"/>
        <w:rPr>
          <w:rStyle w:val="citation-16"/>
          <w:rFonts w:ascii="Times New Roman" w:hAnsi="Times New Roman" w:cs="Times New Roman"/>
          <w:sz w:val="24"/>
          <w:szCs w:val="24"/>
        </w:rPr>
      </w:pPr>
    </w:p>
    <w:p w14:paraId="12C6CCEC" w14:textId="36D20F24" w:rsidR="00E5153C"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A94020" w:rsidRPr="00A4671B">
        <w:rPr>
          <w:rStyle w:val="citation-16"/>
          <w:rFonts w:ascii="Times New Roman" w:hAnsi="Times New Roman" w:cs="Times New Roman"/>
          <w:b/>
          <w:sz w:val="24"/>
          <w:szCs w:val="24"/>
        </w:rPr>
        <w:t>15</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A6409F" w:rsidRPr="00A4671B">
        <w:rPr>
          <w:rStyle w:val="citation-16"/>
          <w:rFonts w:ascii="Times New Roman" w:hAnsi="Times New Roman" w:cs="Times New Roman"/>
          <w:sz w:val="24"/>
          <w:szCs w:val="24"/>
        </w:rPr>
        <w:t xml:space="preserve">24 üncü </w:t>
      </w:r>
      <w:r w:rsidRPr="00A4671B">
        <w:rPr>
          <w:rStyle w:val="citation-16"/>
          <w:rFonts w:ascii="Times New Roman" w:hAnsi="Times New Roman" w:cs="Times New Roman"/>
          <w:sz w:val="24"/>
          <w:szCs w:val="24"/>
        </w:rPr>
        <w:t>maddesinin birinci fıkrası</w:t>
      </w:r>
      <w:r w:rsidR="00A6409F" w:rsidRPr="00A4671B">
        <w:rPr>
          <w:rStyle w:val="citation-16"/>
          <w:rFonts w:ascii="Times New Roman" w:hAnsi="Times New Roman" w:cs="Times New Roman"/>
          <w:sz w:val="24"/>
          <w:szCs w:val="24"/>
        </w:rPr>
        <w:t xml:space="preserve"> </w:t>
      </w:r>
      <w:r w:rsidRPr="00A4671B">
        <w:rPr>
          <w:rStyle w:val="citation-16"/>
          <w:rFonts w:ascii="Times New Roman" w:hAnsi="Times New Roman" w:cs="Times New Roman"/>
          <w:sz w:val="24"/>
          <w:szCs w:val="24"/>
        </w:rPr>
        <w:t>aşağıdaki şekilde değiştirilmiştir.</w:t>
      </w:r>
    </w:p>
    <w:p w14:paraId="339B9658" w14:textId="49E14B4D" w:rsidR="00A6409F" w:rsidRPr="00A4671B" w:rsidRDefault="00A6409F"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“Ömrünü tamamlamış araçların ihracatı ve transit geçişinde, Atık Yönetimi Yönetmeliği hükümleri uygulanır.”</w:t>
      </w:r>
    </w:p>
    <w:p w14:paraId="6FB025DD" w14:textId="77777777" w:rsidR="00E5153C" w:rsidRPr="00A4671B" w:rsidRDefault="00E5153C" w:rsidP="00E5153C">
      <w:pPr>
        <w:spacing w:after="0" w:line="240" w:lineRule="auto"/>
        <w:ind w:firstLine="708"/>
        <w:jc w:val="both"/>
        <w:rPr>
          <w:rStyle w:val="citation-16"/>
          <w:rFonts w:ascii="Times New Roman" w:hAnsi="Times New Roman" w:cs="Times New Roman"/>
          <w:sz w:val="24"/>
          <w:szCs w:val="24"/>
        </w:rPr>
      </w:pPr>
    </w:p>
    <w:p w14:paraId="69D38434" w14:textId="77777777" w:rsidR="0068419D"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235A21" w:rsidRPr="00A4671B">
        <w:rPr>
          <w:rStyle w:val="citation-16"/>
          <w:rFonts w:ascii="Times New Roman" w:hAnsi="Times New Roman" w:cs="Times New Roman"/>
          <w:b/>
          <w:sz w:val="24"/>
          <w:szCs w:val="24"/>
        </w:rPr>
        <w:t>16</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68419D" w:rsidRPr="00A4671B">
        <w:rPr>
          <w:rStyle w:val="citation-16"/>
          <w:rFonts w:ascii="Times New Roman" w:hAnsi="Times New Roman" w:cs="Times New Roman"/>
          <w:sz w:val="24"/>
          <w:szCs w:val="24"/>
        </w:rPr>
        <w:t>Geçici Madde 1 i yürürlükten kaldırılmıştır.</w:t>
      </w:r>
    </w:p>
    <w:p w14:paraId="40FF47A5" w14:textId="77777777" w:rsidR="0068419D" w:rsidRPr="00A4671B" w:rsidRDefault="0068419D" w:rsidP="00E5153C">
      <w:pPr>
        <w:spacing w:after="0" w:line="240" w:lineRule="auto"/>
        <w:ind w:firstLine="708"/>
        <w:jc w:val="both"/>
        <w:rPr>
          <w:rStyle w:val="citation-16"/>
          <w:rFonts w:ascii="Times New Roman" w:hAnsi="Times New Roman" w:cs="Times New Roman"/>
          <w:sz w:val="24"/>
          <w:szCs w:val="24"/>
        </w:rPr>
      </w:pPr>
    </w:p>
    <w:p w14:paraId="27CF2DDD" w14:textId="603AEA2F" w:rsidR="004707B8"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68419D" w:rsidRPr="00A4671B">
        <w:rPr>
          <w:rStyle w:val="citation-16"/>
          <w:rFonts w:ascii="Times New Roman" w:hAnsi="Times New Roman" w:cs="Times New Roman"/>
          <w:b/>
          <w:sz w:val="24"/>
          <w:szCs w:val="24"/>
        </w:rPr>
        <w:t>17</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4707B8" w:rsidRPr="00A4671B">
        <w:rPr>
          <w:rStyle w:val="citation-16"/>
          <w:rFonts w:ascii="Times New Roman" w:hAnsi="Times New Roman" w:cs="Times New Roman"/>
          <w:sz w:val="24"/>
          <w:szCs w:val="24"/>
        </w:rPr>
        <w:t xml:space="preserve">25 inci </w:t>
      </w:r>
      <w:r w:rsidRPr="00A4671B">
        <w:rPr>
          <w:rStyle w:val="citation-16"/>
          <w:rFonts w:ascii="Times New Roman" w:hAnsi="Times New Roman" w:cs="Times New Roman"/>
          <w:sz w:val="24"/>
          <w:szCs w:val="24"/>
        </w:rPr>
        <w:t>maddesinin birinci fıkrasının (</w:t>
      </w:r>
      <w:r w:rsidR="004707B8" w:rsidRPr="00A4671B">
        <w:rPr>
          <w:rStyle w:val="citation-16"/>
          <w:rFonts w:ascii="Times New Roman" w:hAnsi="Times New Roman" w:cs="Times New Roman"/>
          <w:sz w:val="24"/>
          <w:szCs w:val="24"/>
        </w:rPr>
        <w:t>a</w:t>
      </w:r>
      <w:r w:rsidRPr="00A4671B">
        <w:rPr>
          <w:rStyle w:val="citation-16"/>
          <w:rFonts w:ascii="Times New Roman" w:hAnsi="Times New Roman" w:cs="Times New Roman"/>
          <w:sz w:val="24"/>
          <w:szCs w:val="24"/>
        </w:rPr>
        <w:t>), (b)</w:t>
      </w:r>
      <w:r w:rsidR="004707B8" w:rsidRPr="00A4671B">
        <w:rPr>
          <w:rStyle w:val="citation-16"/>
          <w:rFonts w:ascii="Times New Roman" w:hAnsi="Times New Roman" w:cs="Times New Roman"/>
          <w:sz w:val="24"/>
          <w:szCs w:val="24"/>
        </w:rPr>
        <w:t>, (c)</w:t>
      </w:r>
      <w:r w:rsidRPr="00A4671B">
        <w:rPr>
          <w:rStyle w:val="citation-16"/>
          <w:rFonts w:ascii="Times New Roman" w:hAnsi="Times New Roman" w:cs="Times New Roman"/>
          <w:sz w:val="24"/>
          <w:szCs w:val="24"/>
        </w:rPr>
        <w:t xml:space="preserve"> ve (</w:t>
      </w:r>
      <w:r w:rsidR="004707B8" w:rsidRPr="00A4671B">
        <w:rPr>
          <w:rStyle w:val="citation-16"/>
          <w:rFonts w:ascii="Times New Roman" w:hAnsi="Times New Roman" w:cs="Times New Roman"/>
          <w:sz w:val="24"/>
          <w:szCs w:val="24"/>
        </w:rPr>
        <w:t>d</w:t>
      </w:r>
      <w:r w:rsidRPr="00A4671B">
        <w:rPr>
          <w:rStyle w:val="citation-16"/>
          <w:rFonts w:ascii="Times New Roman" w:hAnsi="Times New Roman" w:cs="Times New Roman"/>
          <w:sz w:val="24"/>
          <w:szCs w:val="24"/>
        </w:rPr>
        <w:t xml:space="preserve">) bentleri </w:t>
      </w:r>
      <w:r w:rsidR="004707B8" w:rsidRPr="00A4671B">
        <w:rPr>
          <w:rStyle w:val="citation-16"/>
          <w:rFonts w:ascii="Times New Roman" w:hAnsi="Times New Roman" w:cs="Times New Roman"/>
          <w:sz w:val="24"/>
          <w:szCs w:val="24"/>
        </w:rPr>
        <w:t xml:space="preserve">yürürlükten kaldırılmış, (e) </w:t>
      </w:r>
      <w:r w:rsidR="003970F3">
        <w:rPr>
          <w:rStyle w:val="citation-16"/>
          <w:rFonts w:ascii="Times New Roman" w:hAnsi="Times New Roman" w:cs="Times New Roman"/>
          <w:sz w:val="24"/>
          <w:szCs w:val="24"/>
        </w:rPr>
        <w:t xml:space="preserve">ve (f) bentleri </w:t>
      </w:r>
      <w:r w:rsidR="004707B8" w:rsidRPr="00A4671B">
        <w:rPr>
          <w:rStyle w:val="citation-16"/>
          <w:rFonts w:ascii="Times New Roman" w:hAnsi="Times New Roman" w:cs="Times New Roman"/>
          <w:sz w:val="24"/>
          <w:szCs w:val="24"/>
        </w:rPr>
        <w:t>eklenmiştir.</w:t>
      </w:r>
    </w:p>
    <w:p w14:paraId="21BE116D" w14:textId="3BB6F97A" w:rsidR="004707B8" w:rsidRPr="00A4671B" w:rsidRDefault="00205557"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w:t>
      </w:r>
      <w:r w:rsidR="003970F3">
        <w:rPr>
          <w:rStyle w:val="citation-16"/>
          <w:rFonts w:ascii="Times New Roman" w:hAnsi="Times New Roman" w:cs="Times New Roman"/>
          <w:sz w:val="24"/>
          <w:szCs w:val="24"/>
        </w:rPr>
        <w:t xml:space="preserve">e) </w:t>
      </w:r>
      <w:r w:rsidRPr="00A4671B">
        <w:rPr>
          <w:rStyle w:val="citation-16"/>
          <w:rFonts w:ascii="Times New Roman" w:hAnsi="Times New Roman" w:cs="Times New Roman"/>
          <w:sz w:val="24"/>
          <w:szCs w:val="24"/>
        </w:rPr>
        <w:t>L kategorisindeki araçlar hakkındaki hükümleri yayım tarihini takip eden altıncı ayın sonunda,”</w:t>
      </w:r>
    </w:p>
    <w:p w14:paraId="137B6CB3" w14:textId="37C51ADF" w:rsidR="004707B8" w:rsidRDefault="003970F3" w:rsidP="00E5153C">
      <w:pPr>
        <w:spacing w:after="0" w:line="240" w:lineRule="auto"/>
        <w:ind w:firstLine="708"/>
        <w:jc w:val="both"/>
        <w:rPr>
          <w:rStyle w:val="citation-16"/>
          <w:rFonts w:ascii="Times New Roman" w:hAnsi="Times New Roman" w:cs="Times New Roman"/>
          <w:sz w:val="24"/>
          <w:szCs w:val="24"/>
        </w:rPr>
      </w:pPr>
      <w:r>
        <w:rPr>
          <w:rStyle w:val="citation-16"/>
          <w:rFonts w:ascii="Times New Roman" w:hAnsi="Times New Roman" w:cs="Times New Roman"/>
          <w:sz w:val="24"/>
          <w:szCs w:val="24"/>
        </w:rPr>
        <w:t>“f) Diğer maddeleri ise yayımı tarihinde,”</w:t>
      </w:r>
    </w:p>
    <w:p w14:paraId="1FA4B98D" w14:textId="77777777" w:rsidR="003970F3" w:rsidRPr="00A4671B" w:rsidRDefault="003970F3" w:rsidP="00E5153C">
      <w:pPr>
        <w:spacing w:after="0" w:line="240" w:lineRule="auto"/>
        <w:ind w:firstLine="708"/>
        <w:jc w:val="both"/>
        <w:rPr>
          <w:rStyle w:val="citation-16"/>
          <w:rFonts w:ascii="Times New Roman" w:hAnsi="Times New Roman" w:cs="Times New Roman"/>
          <w:sz w:val="24"/>
          <w:szCs w:val="24"/>
        </w:rPr>
      </w:pPr>
    </w:p>
    <w:p w14:paraId="064405D3" w14:textId="77777777" w:rsidR="00A5577F"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205557" w:rsidRPr="00A4671B">
        <w:rPr>
          <w:rStyle w:val="citation-16"/>
          <w:rFonts w:ascii="Times New Roman" w:hAnsi="Times New Roman" w:cs="Times New Roman"/>
          <w:b/>
          <w:sz w:val="24"/>
          <w:szCs w:val="24"/>
        </w:rPr>
        <w:t>18</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A5577F" w:rsidRPr="00A4671B">
        <w:rPr>
          <w:rStyle w:val="citation-16"/>
          <w:rFonts w:ascii="Times New Roman" w:hAnsi="Times New Roman" w:cs="Times New Roman"/>
          <w:sz w:val="24"/>
          <w:szCs w:val="24"/>
        </w:rPr>
        <w:t xml:space="preserve">26 ncı </w:t>
      </w:r>
      <w:r w:rsidRPr="00A4671B">
        <w:rPr>
          <w:rStyle w:val="citation-16"/>
          <w:rFonts w:ascii="Times New Roman" w:hAnsi="Times New Roman" w:cs="Times New Roman"/>
          <w:sz w:val="24"/>
          <w:szCs w:val="24"/>
        </w:rPr>
        <w:t>maddesinin birinci fıkrası</w:t>
      </w:r>
      <w:r w:rsidR="00A5577F" w:rsidRPr="00A4671B">
        <w:rPr>
          <w:rStyle w:val="citation-16"/>
          <w:rFonts w:ascii="Times New Roman" w:hAnsi="Times New Roman" w:cs="Times New Roman"/>
          <w:sz w:val="24"/>
          <w:szCs w:val="24"/>
        </w:rPr>
        <w:t xml:space="preserve"> aşağıdaki şekilde değiştirilmiştir.</w:t>
      </w:r>
    </w:p>
    <w:p w14:paraId="1FDFC362" w14:textId="03DFA58A" w:rsidR="00E5153C" w:rsidRPr="00A4671B" w:rsidRDefault="007245C5"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“Bu Yönetmelik hükümlerini Çevre, Şehircilik ve İklim Değişikliği Bakanı yürütür.”</w:t>
      </w:r>
    </w:p>
    <w:p w14:paraId="6F6198C6" w14:textId="77777777" w:rsidR="00A5577F" w:rsidRPr="00A4671B" w:rsidRDefault="00A5577F" w:rsidP="00E5153C">
      <w:pPr>
        <w:spacing w:after="0" w:line="240" w:lineRule="auto"/>
        <w:ind w:firstLine="708"/>
        <w:jc w:val="both"/>
        <w:rPr>
          <w:rStyle w:val="citation-16"/>
          <w:rFonts w:ascii="Times New Roman" w:hAnsi="Times New Roman" w:cs="Times New Roman"/>
          <w:sz w:val="24"/>
          <w:szCs w:val="24"/>
        </w:rPr>
      </w:pPr>
    </w:p>
    <w:p w14:paraId="37A6BFCF" w14:textId="77777777" w:rsidR="00E517E2"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lastRenderedPageBreak/>
        <w:t xml:space="preserve">MADDE </w:t>
      </w:r>
      <w:r w:rsidR="007245C5" w:rsidRPr="00A4671B">
        <w:rPr>
          <w:rStyle w:val="citation-16"/>
          <w:rFonts w:ascii="Times New Roman" w:hAnsi="Times New Roman" w:cs="Times New Roman"/>
          <w:b/>
          <w:sz w:val="24"/>
          <w:szCs w:val="24"/>
        </w:rPr>
        <w:t>19</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Aynı Yönetmeliğin </w:t>
      </w:r>
      <w:r w:rsidR="00E517E2" w:rsidRPr="00A4671B">
        <w:rPr>
          <w:rStyle w:val="citation-16"/>
          <w:rFonts w:ascii="Times New Roman" w:hAnsi="Times New Roman" w:cs="Times New Roman"/>
          <w:sz w:val="24"/>
          <w:szCs w:val="24"/>
        </w:rPr>
        <w:t>Ek-1’inde yer alan 5 inci maddenin (1) fıkrası aşağıdaki şekilde değiştirilmiştir.</w:t>
      </w:r>
    </w:p>
    <w:p w14:paraId="4032CB33" w14:textId="0230C0C6" w:rsidR="00E5153C" w:rsidRPr="00A4671B" w:rsidRDefault="008306C1"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“(1) Ömrünü tamamlamış araçlar ile bu araçları geçici depolayan, işleyen, geri kazanan ve bertaraf eden tesislerden kaynaklanan atık sular, atık yağlar, ömrünü tamamlamış lastikler, atık pil ve akümülatörler, poliklorlu bifenilli atıklar ile tehlikeli özellik taşıyan diğer atıkların arıtılması, geri kazanımı ve bertarafı Atık Yönetimi Yönetmeliği ve ilgili diğer Yönetmeliklerde yer alan hükümlere tabidir.”</w:t>
      </w:r>
    </w:p>
    <w:p w14:paraId="1F6972F2" w14:textId="2B6B68A9" w:rsidR="007245C5" w:rsidRPr="00A4671B" w:rsidRDefault="007245C5" w:rsidP="00E5153C">
      <w:pPr>
        <w:spacing w:after="0" w:line="240" w:lineRule="auto"/>
        <w:ind w:firstLine="708"/>
        <w:jc w:val="both"/>
        <w:rPr>
          <w:rStyle w:val="citation-16"/>
          <w:rFonts w:ascii="Times New Roman" w:hAnsi="Times New Roman" w:cs="Times New Roman"/>
          <w:sz w:val="24"/>
          <w:szCs w:val="24"/>
        </w:rPr>
      </w:pPr>
    </w:p>
    <w:p w14:paraId="1C8B7021" w14:textId="7A922B4F" w:rsidR="00AC7AB9" w:rsidRPr="00A4671B" w:rsidRDefault="00E5153C" w:rsidP="00E5153C">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t xml:space="preserve">MADDE </w:t>
      </w:r>
      <w:r w:rsidR="008306C1" w:rsidRPr="00A4671B">
        <w:rPr>
          <w:rStyle w:val="citation-16"/>
          <w:rFonts w:ascii="Times New Roman" w:hAnsi="Times New Roman" w:cs="Times New Roman"/>
          <w:b/>
          <w:sz w:val="24"/>
          <w:szCs w:val="24"/>
        </w:rPr>
        <w:t>20</w:t>
      </w:r>
      <w:r w:rsidRPr="00144A48">
        <w:rPr>
          <w:rStyle w:val="citation-16"/>
          <w:rFonts w:ascii="Times New Roman" w:hAnsi="Times New Roman" w:cs="Times New Roman"/>
          <w:b/>
          <w:sz w:val="24"/>
          <w:szCs w:val="24"/>
        </w:rPr>
        <w:t>-</w:t>
      </w:r>
      <w:r w:rsidRPr="00144A48">
        <w:rPr>
          <w:rStyle w:val="citation-16"/>
          <w:rFonts w:ascii="Times New Roman" w:hAnsi="Times New Roman" w:cs="Times New Roman"/>
          <w:sz w:val="24"/>
          <w:szCs w:val="24"/>
        </w:rPr>
        <w:t xml:space="preserve"> </w:t>
      </w:r>
      <w:r w:rsidR="00144A48" w:rsidRPr="00144A48">
        <w:rPr>
          <w:rStyle w:val="citation-3"/>
          <w:rFonts w:ascii="Times New Roman" w:hAnsi="Times New Roman" w:cs="Times New Roman"/>
          <w:sz w:val="24"/>
          <w:szCs w:val="24"/>
        </w:rPr>
        <w:t>Aynı Yönetmeliğin Ek-2’si aşağıdaki şekilde değiştirilmiştir.</w:t>
      </w:r>
    </w:p>
    <w:p w14:paraId="77AA3173" w14:textId="7EAB744C" w:rsidR="00E5153C" w:rsidRPr="00A4671B" w:rsidRDefault="00E5153C" w:rsidP="00E5153C">
      <w:pPr>
        <w:spacing w:after="0" w:line="240" w:lineRule="auto"/>
        <w:ind w:firstLine="708"/>
        <w:jc w:val="both"/>
        <w:rPr>
          <w:rStyle w:val="citation-16"/>
          <w:rFonts w:ascii="Times New Roman" w:hAnsi="Times New Roman" w:cs="Times New Roman"/>
          <w:color w:val="000000" w:themeColor="text1"/>
          <w:sz w:val="24"/>
          <w:szCs w:val="24"/>
          <w:highlight w:val="yellow"/>
        </w:rPr>
      </w:pPr>
    </w:p>
    <w:p w14:paraId="2A4E3533" w14:textId="77777777" w:rsidR="00580E7E" w:rsidRDefault="00580E7E" w:rsidP="00664EB4">
      <w:pPr>
        <w:shd w:val="clear" w:color="auto" w:fill="FFFFFF"/>
        <w:spacing w:before="120" w:after="120"/>
        <w:jc w:val="cente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3E88CEE" w14:textId="472D276C" w:rsidR="00664EB4" w:rsidRPr="00580E7E" w:rsidRDefault="00664EB4" w:rsidP="00664EB4">
      <w:pPr>
        <w:shd w:val="clear" w:color="auto" w:fill="FFFFFF"/>
        <w:spacing w:before="120" w:after="120"/>
        <w:jc w:val="center"/>
        <w:rPr>
          <w:rFonts w:ascii="Times New Roman" w:hAnsi="Times New Roman" w:cs="Times New Roman"/>
          <w:b/>
          <w:bCs/>
          <w:color w:val="000000" w:themeColor="text1"/>
        </w:rPr>
      </w:pPr>
      <w:r w:rsidRPr="00580E7E">
        <w:rPr>
          <w:rFonts w:ascii="Times New Roman" w:hAnsi="Times New Roman" w:cs="Times New Roman"/>
          <w:b/>
          <w:bCs/>
          <w:color w:val="000000" w:themeColor="text1"/>
        </w:rPr>
        <w:lastRenderedPageBreak/>
        <w:t>Ek-2: Madde 11 den muaf olan malzemeler ve bileşenler</w:t>
      </w:r>
    </w:p>
    <w:p w14:paraId="7B7358BB" w14:textId="77777777" w:rsidR="00664EB4" w:rsidRPr="00A4671B" w:rsidRDefault="00664EB4" w:rsidP="00A4671B">
      <w:pPr>
        <w:shd w:val="clear" w:color="auto" w:fill="FFFFFF"/>
        <w:spacing w:after="150"/>
        <w:ind w:right="-24"/>
        <w:rPr>
          <w:color w:val="000000" w:themeColor="text1"/>
          <w:sz w:val="14"/>
          <w:szCs w:val="14"/>
        </w:rPr>
      </w:pPr>
      <w:r w:rsidRPr="00A4671B">
        <w:rPr>
          <w:color w:val="000000" w:themeColor="text1"/>
          <w:sz w:val="14"/>
          <w:szCs w:val="14"/>
        </w:rPr>
        <w:t>Kurşun, +6 değerlikli krom ve cıva için homojen malzemede ağırlıkça en fazla %0,1 ve kadmiyum için homojen malzemede ağırlıkça en fazla %0,01 konsantrasyon değerine müsamaha gösterilecektir.</w:t>
      </w:r>
    </w:p>
    <w:p w14:paraId="131FE8B6" w14:textId="77777777" w:rsidR="00664EB4" w:rsidRPr="00A4671B" w:rsidRDefault="00664EB4" w:rsidP="00A4671B">
      <w:pPr>
        <w:shd w:val="clear" w:color="auto" w:fill="FFFFFF"/>
        <w:spacing w:after="150"/>
        <w:ind w:right="-24"/>
        <w:rPr>
          <w:color w:val="000000" w:themeColor="text1"/>
          <w:sz w:val="14"/>
          <w:szCs w:val="14"/>
        </w:rPr>
      </w:pPr>
      <w:r w:rsidRPr="00A4671B">
        <w:rPr>
          <w:color w:val="000000" w:themeColor="text1"/>
          <w:sz w:val="14"/>
          <w:szCs w:val="14"/>
        </w:rPr>
        <w:t>Tekerlek balans ağırlıkları, elektrik motorları için karbon fırçalar ve fren balataları hariç olmak üzere, 1 Temmuz 2003 tarihinden önce piyasaya sürülen araçlarda kullanılan ve 1 Temmuz 2003 tarihinden sonra piyasaya sürülen yedek parçalar 11 inci madde hükümlerinden muaf tutulacaktır.</w:t>
      </w:r>
    </w:p>
    <w:tbl>
      <w:tblPr>
        <w:tblW w:w="1064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70"/>
        <w:gridCol w:w="3703"/>
        <w:gridCol w:w="2268"/>
      </w:tblGrid>
      <w:tr w:rsidR="00664EB4" w:rsidRPr="00A4671B" w14:paraId="562E92F1"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F3B73" w14:textId="77777777" w:rsidR="00664EB4" w:rsidRPr="00A4671B" w:rsidRDefault="00664EB4" w:rsidP="002B58CF">
            <w:pPr>
              <w:spacing w:before="60" w:after="60"/>
              <w:rPr>
                <w:rFonts w:ascii="inherit" w:hAnsi="inherit"/>
                <w:b/>
                <w:bCs/>
                <w:color w:val="000000" w:themeColor="text1"/>
                <w:sz w:val="14"/>
                <w:szCs w:val="14"/>
              </w:rPr>
            </w:pPr>
            <w:r w:rsidRPr="00A4671B">
              <w:rPr>
                <w:rFonts w:ascii="inherit" w:hAnsi="inherit"/>
                <w:b/>
                <w:bCs/>
                <w:color w:val="000000" w:themeColor="text1"/>
                <w:sz w:val="14"/>
                <w:szCs w:val="14"/>
              </w:rPr>
              <w:t>Malzemeler ve bileşenler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88080" w14:textId="77777777" w:rsidR="00664EB4" w:rsidRPr="00A4671B" w:rsidRDefault="00664EB4" w:rsidP="002B58CF">
            <w:pPr>
              <w:spacing w:before="60" w:after="60"/>
              <w:rPr>
                <w:rFonts w:ascii="inherit" w:hAnsi="inherit"/>
                <w:b/>
                <w:bCs/>
                <w:color w:val="000000" w:themeColor="text1"/>
                <w:sz w:val="14"/>
                <w:szCs w:val="14"/>
              </w:rPr>
            </w:pPr>
            <w:r w:rsidRPr="00A4671B">
              <w:rPr>
                <w:rFonts w:ascii="inherit" w:hAnsi="inherit"/>
                <w:b/>
                <w:bCs/>
                <w:color w:val="000000" w:themeColor="text1"/>
                <w:sz w:val="14"/>
                <w:szCs w:val="14"/>
              </w:rPr>
              <w:t>Muafiyetin kapsamı ve sona erme tarihi</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365A30" w14:textId="77777777" w:rsidR="00664EB4" w:rsidRPr="00A4671B" w:rsidRDefault="00664EB4" w:rsidP="002B58CF">
            <w:pPr>
              <w:spacing w:before="60" w:after="60"/>
              <w:rPr>
                <w:rFonts w:ascii="inherit" w:hAnsi="inherit"/>
                <w:b/>
                <w:bCs/>
                <w:color w:val="000000" w:themeColor="text1"/>
                <w:sz w:val="14"/>
                <w:szCs w:val="14"/>
              </w:rPr>
            </w:pPr>
            <w:r w:rsidRPr="00A4671B">
              <w:rPr>
                <w:rFonts w:ascii="inherit" w:hAnsi="inherit"/>
                <w:b/>
                <w:bCs/>
                <w:color w:val="000000" w:themeColor="text1"/>
                <w:sz w:val="14"/>
                <w:szCs w:val="14"/>
              </w:rPr>
              <w:t>Y</w:t>
            </w:r>
            <w:r w:rsidRPr="00A4671B">
              <w:rPr>
                <w:rFonts w:ascii="inherit" w:hAnsi="inherit" w:hint="eastAsia"/>
                <w:b/>
                <w:bCs/>
                <w:color w:val="000000" w:themeColor="text1"/>
                <w:sz w:val="14"/>
                <w:szCs w:val="14"/>
              </w:rPr>
              <w:t>ö</w:t>
            </w:r>
            <w:r w:rsidRPr="00A4671B">
              <w:rPr>
                <w:rFonts w:ascii="inherit" w:hAnsi="inherit"/>
                <w:b/>
                <w:bCs/>
                <w:color w:val="000000" w:themeColor="text1"/>
                <w:sz w:val="14"/>
                <w:szCs w:val="14"/>
              </w:rPr>
              <w:t>netmeli</w:t>
            </w:r>
            <w:r w:rsidRPr="00A4671B">
              <w:rPr>
                <w:rFonts w:ascii="inherit" w:hAnsi="inherit" w:hint="eastAsia"/>
                <w:b/>
                <w:bCs/>
                <w:color w:val="000000" w:themeColor="text1"/>
                <w:sz w:val="14"/>
                <w:szCs w:val="14"/>
              </w:rPr>
              <w:t>ğ</w:t>
            </w:r>
            <w:r w:rsidRPr="00A4671B">
              <w:rPr>
                <w:rFonts w:ascii="inherit" w:hAnsi="inherit"/>
                <w:b/>
                <w:bCs/>
                <w:color w:val="000000" w:themeColor="text1"/>
                <w:sz w:val="14"/>
                <w:szCs w:val="14"/>
              </w:rPr>
              <w:t>in 11 inci maddesine göre etiketlenecek veya tanınır hale getirilecek</w:t>
            </w:r>
          </w:p>
        </w:tc>
      </w:tr>
      <w:tr w:rsidR="00664EB4" w:rsidRPr="00A4671B" w14:paraId="3BD5E065" w14:textId="77777777" w:rsidTr="002B58CF">
        <w:trPr>
          <w:jc w:val="center"/>
        </w:trPr>
        <w:tc>
          <w:tcPr>
            <w:tcW w:w="1064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80788" w14:textId="77777777" w:rsidR="00664EB4" w:rsidRPr="00A4671B" w:rsidRDefault="00664EB4" w:rsidP="002B58CF">
            <w:pPr>
              <w:spacing w:before="60" w:after="60"/>
              <w:jc w:val="both"/>
              <w:rPr>
                <w:rFonts w:ascii="inherit" w:hAnsi="inherit"/>
                <w:b/>
                <w:bCs/>
                <w:color w:val="000000" w:themeColor="text1"/>
                <w:sz w:val="14"/>
                <w:szCs w:val="14"/>
              </w:rPr>
            </w:pPr>
            <w:r w:rsidRPr="00A4671B">
              <w:rPr>
                <w:rFonts w:ascii="inherit" w:hAnsi="inherit"/>
                <w:b/>
                <w:bCs/>
                <w:color w:val="000000" w:themeColor="text1"/>
                <w:sz w:val="14"/>
                <w:szCs w:val="14"/>
              </w:rPr>
              <w:t>Alaşım elementi olarak kurşun</w:t>
            </w:r>
          </w:p>
        </w:tc>
      </w:tr>
      <w:tr w:rsidR="00664EB4" w:rsidRPr="00A4671B" w14:paraId="55441CE9"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0E636D"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a) Talaşlı imalat amaçlı çelikler ve ağırlıkça %0,35'e kadar kurşun içeren toplu sıcak daldırma galvanizli çelik bileşenler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09132F"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31A998"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324DE17D"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15F7AE"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1(b) Ağırlıkça %0,35'e kadar kurşun içeren sürekli galvanizli çelik sac</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B8A4E"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Ocak 2016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859FBD"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65D9C3F0"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D04B5A"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2(a) Ağırlıkça %2'ye kadar kurşun içeriğine sahip işleme amaçlı alüminyum</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E7BED3"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2005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905355"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501A1BBD"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3EB9C8"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2(b) Ağırlıkça %1,5'e kadar kurşun içeriğine sahip alüminyum</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A2790"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2008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7CAD88"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29F85008"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A6F9A1"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2(c)(i) Ağırlıkça %0,4'e kadar kurşun içeriğine sahip işleme amaçlı alüminyum alaşımlar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3526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2028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D2D1C"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7EB76BD3"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2319F9"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2(c)(ii) Madde 2(c)(i)'de yer almayan ve kurşun içeriği ağırlıkça %0,4'e kadar olan alüminyum alaşımları (</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A841D7"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1</w:t>
            </w:r>
            <w:r w:rsidRPr="00A4671B">
              <w:rPr>
                <w:rFonts w:ascii="inherit" w:hAnsi="inherit"/>
                <w:color w:val="000000" w:themeColor="text1"/>
                <w:sz w:val="14"/>
                <w:szCs w:val="1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F2D3E3"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14482F16"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B07EFA"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3 Ağırlıkça %4'e kadar kurşun içeren bakır alaşımları</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0435D4"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3</w:t>
            </w:r>
            <w:r w:rsidRPr="00A4671B">
              <w:rPr>
                <w:rFonts w:ascii="inherit" w:hAnsi="inherit"/>
                <w:color w:val="000000" w:themeColor="text1"/>
                <w:sz w:val="14"/>
                <w:szCs w:val="1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91ED44"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7127CF00"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30941"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4(a) Rulman kabukları ve burçlar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C6C72D"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2008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D3C48A"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659BA3B5"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3D3048"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4(b) Motorlarda, şanzımanlarda ve klima kompresörlerinde yatak kovanları ve burçları</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72089C"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2011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C102F7"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34653AAA" w14:textId="77777777" w:rsidTr="002B58CF">
        <w:trPr>
          <w:jc w:val="center"/>
        </w:trPr>
        <w:tc>
          <w:tcPr>
            <w:tcW w:w="1064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E438D6" w14:textId="77777777" w:rsidR="00664EB4" w:rsidRPr="00A4671B" w:rsidRDefault="00664EB4" w:rsidP="002B58CF">
            <w:pPr>
              <w:spacing w:before="60" w:after="60"/>
              <w:jc w:val="both"/>
              <w:rPr>
                <w:rFonts w:ascii="inherit" w:hAnsi="inherit"/>
                <w:b/>
                <w:bCs/>
                <w:color w:val="000000" w:themeColor="text1"/>
                <w:sz w:val="14"/>
                <w:szCs w:val="14"/>
              </w:rPr>
            </w:pPr>
            <w:r w:rsidRPr="00A4671B">
              <w:rPr>
                <w:rFonts w:ascii="inherit" w:hAnsi="inherit"/>
                <w:b/>
                <w:bCs/>
                <w:color w:val="000000" w:themeColor="text1"/>
                <w:sz w:val="14"/>
                <w:szCs w:val="14"/>
              </w:rPr>
              <w:t>Bileşenlerdeki kurşun ve kurşun bileşikleri</w:t>
            </w:r>
          </w:p>
        </w:tc>
      </w:tr>
      <w:tr w:rsidR="00664EB4" w:rsidRPr="00A4671B" w14:paraId="458D516F"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886C31"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5(a) M1 ve N1 araçlarında sadece tahrik için kullanılan yüksek voltajlı sistemlerde (4) kullanılan akülerdeki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B64DF"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2019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49AD62"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5FDC01DD"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79D814"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5(b)(i) Akülerdeki kurşun:</w:t>
            </w:r>
          </w:p>
          <w:p w14:paraId="32635F6B"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 xml:space="preserve">    (1) 12V uygulamalarında kullanılan</w:t>
            </w:r>
          </w:p>
          <w:p w14:paraId="295051C8"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 xml:space="preserve">    (2) Avrupa Parlamentosu ve Konseyinin 2018/858 (1) sayılı Yönetmeliğinin (AB) 3. Maddesinde tanımlanan özel amaçlı araçlarda 24 V uygulamalarında kullanılan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5E2B32" w14:textId="77777777" w:rsidR="00664EB4" w:rsidRPr="00A4671B" w:rsidRDefault="00664EB4" w:rsidP="002B58CF">
            <w:pPr>
              <w:spacing w:before="60" w:after="60"/>
              <w:jc w:val="center"/>
              <w:rPr>
                <w:rFonts w:ascii="inherit" w:hAnsi="inherit"/>
                <w:color w:val="000000" w:themeColor="text1"/>
                <w:sz w:val="14"/>
                <w:szCs w:val="14"/>
              </w:rPr>
            </w:pPr>
          </w:p>
          <w:p w14:paraId="7CABBFDA"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3</w:t>
            </w:r>
            <w:r w:rsidRPr="00A4671B">
              <w:rPr>
                <w:rFonts w:ascii="inherit" w:hAnsi="inherit"/>
                <w:color w:val="000000" w:themeColor="text1"/>
                <w:sz w:val="14"/>
                <w:szCs w:val="1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C1238" w14:textId="77777777" w:rsidR="00664EB4" w:rsidRPr="00A4671B" w:rsidRDefault="00664EB4" w:rsidP="002B58CF">
            <w:pPr>
              <w:spacing w:before="60" w:after="60"/>
              <w:jc w:val="center"/>
              <w:rPr>
                <w:rFonts w:ascii="inherit" w:hAnsi="inherit"/>
                <w:color w:val="000000" w:themeColor="text1"/>
                <w:sz w:val="14"/>
                <w:szCs w:val="14"/>
              </w:rPr>
            </w:pPr>
          </w:p>
          <w:p w14:paraId="7283CA47" w14:textId="77777777" w:rsidR="00664EB4" w:rsidRPr="00A4671B" w:rsidRDefault="00664EB4" w:rsidP="002B58CF">
            <w:pPr>
              <w:spacing w:before="60" w:after="60"/>
              <w:jc w:val="center"/>
              <w:rPr>
                <w:rFonts w:ascii="inherit" w:hAnsi="inherit"/>
                <w:color w:val="000000" w:themeColor="text1"/>
                <w:sz w:val="14"/>
                <w:szCs w:val="14"/>
              </w:rPr>
            </w:pPr>
          </w:p>
          <w:p w14:paraId="44F40120"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4E8989EC"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64061F1"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5(b)(ii) Giriş 5(a) veya giriş 5(b)(i)'de yer almayan uygulamalarda kullanılan akülerdeki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EFA082F"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2024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918BE4E" w14:textId="77777777" w:rsidR="00664EB4" w:rsidRPr="00A4671B" w:rsidRDefault="00664EB4" w:rsidP="002B58CF">
            <w:pPr>
              <w:spacing w:before="60" w:after="60"/>
              <w:jc w:val="center"/>
              <w:rPr>
                <w:rFonts w:ascii="inherit" w:hAnsi="inherit"/>
                <w:color w:val="000000" w:themeColor="text1"/>
                <w:sz w:val="14"/>
                <w:szCs w:val="14"/>
              </w:rPr>
            </w:pPr>
          </w:p>
          <w:p w14:paraId="654977E5"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52447A98"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7CF4A2"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6. Titreşim damperleri</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C1B2C9"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2016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F48AE1" w14:textId="77777777" w:rsidR="00664EB4" w:rsidRPr="00A4671B" w:rsidRDefault="00664EB4" w:rsidP="002B58CF">
            <w:pPr>
              <w:spacing w:before="60" w:after="60"/>
              <w:jc w:val="center"/>
              <w:rPr>
                <w:rFonts w:ascii="inherit" w:hAnsi="inherit"/>
                <w:color w:val="000000" w:themeColor="text1"/>
                <w:sz w:val="14"/>
                <w:szCs w:val="14"/>
              </w:rPr>
            </w:pPr>
          </w:p>
          <w:p w14:paraId="7280CCFA"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2B4EFD4D"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20091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7(a) Fren hortumları, yakıt hortumları, havalandırma hortumları, şasi uygulamalarındaki elastomer/metal parçalar ve motor bağlantılarındaki elastomerler için vulkanize edici maddeler ve stabilizatörler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097219"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Temmuz 2005 tarihinden önce piyasaya sürülen araçlar için yedek parça olarak</w:t>
            </w:r>
          </w:p>
          <w:p w14:paraId="356B1282" w14:textId="77777777" w:rsidR="00664EB4" w:rsidRPr="00A4671B" w:rsidRDefault="00664EB4" w:rsidP="002B58CF">
            <w:pPr>
              <w:spacing w:before="60" w:after="60"/>
              <w:rPr>
                <w:rFonts w:ascii="inherit" w:hAnsi="inherit"/>
                <w:color w:val="000000" w:themeColor="text1"/>
                <w:sz w:val="14"/>
                <w:szCs w:val="14"/>
              </w:rPr>
            </w:pP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B1CE94"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33847454"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583E4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7(b) Fren hortumları, yakıt hortumları, havalandırma hortumları, şasi uygulamalarındaki elastomer/metal parçalar ve motor bağlantılarındaki elastomerler için ağırlıkça %0,5'e kadar kurşun içeren vulkanize edici maddeler ve stabilizatörler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9F253"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Temmuz 2006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B22D66"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47019F76"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6F7EEC"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7(c) Ağırlıkça %0,5'e kadar kurşun içeren güç aktarma organları uygulamalarındaki elastomerler için bağlayıcı maddeler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51DB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Temmuz 2009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31EA97" w14:textId="77777777" w:rsidR="00664EB4" w:rsidRPr="00A4671B" w:rsidRDefault="00664EB4" w:rsidP="002B58CF">
            <w:pPr>
              <w:spacing w:before="120"/>
              <w:jc w:val="center"/>
              <w:rPr>
                <w:rFonts w:ascii="inherit" w:hAnsi="inherit"/>
                <w:color w:val="000000" w:themeColor="text1"/>
                <w:sz w:val="14"/>
                <w:szCs w:val="14"/>
              </w:rPr>
            </w:pPr>
          </w:p>
        </w:tc>
      </w:tr>
      <w:tr w:rsidR="00664EB4" w:rsidRPr="00A4671B" w14:paraId="5DA46275"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4F4E55"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8(a) Elektrikli ve elektronik bileşenleri elektronik devre kartlarına takmak için kullanılan lehimlerdeki kurşun ve elektrolit alüminyum kapasitörler dışındaki bileşenlerin sonlandırmalarında, bileşen pimlerinde ve elektronik devre kartlarında kaplamalarda kullanılan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7CCBE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2016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A71928" w14:textId="77777777" w:rsidR="00664EB4" w:rsidRPr="00A4671B" w:rsidRDefault="00664EB4" w:rsidP="002B58CF">
            <w:pPr>
              <w:spacing w:before="60" w:after="60"/>
              <w:jc w:val="center"/>
              <w:rPr>
                <w:rFonts w:ascii="inherit" w:hAnsi="inherit"/>
                <w:color w:val="000000" w:themeColor="text1"/>
                <w:sz w:val="14"/>
                <w:szCs w:val="14"/>
              </w:rPr>
            </w:pPr>
          </w:p>
          <w:p w14:paraId="547D153B"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440B5B8D"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1FD2C"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8(b) Elektronik devre kartları veya cam üzerine lehimleme dışındaki elektrik uygulamalarında lehimlerdeki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3A2C3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2011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BF32C3"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1A858DC9"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C3FB9B"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8(c) Elektrolit alüminyum kondansatörlerin terminallerinde kaplamalarda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981272"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2013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86E8A"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0DC97953"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9D0FFF"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8(ç) Kütle hava akışı sensörlerinde cam üzerine lehimlemede kullanılan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7B510C"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2015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E12807"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622BAE94"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402465"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lastRenderedPageBreak/>
              <w:t>8(d) Yüksek erime sıcaklığına sahip lehimlerde kurşun (ağırlıkça %85 veya daha fazla kurşun içeren kurşun bazlı alaşımlar gibi)</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C0F5DC"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1</w:t>
            </w:r>
            <w:r w:rsidRPr="00A4671B">
              <w:rPr>
                <w:rFonts w:ascii="inherit" w:hAnsi="inherit"/>
                <w:color w:val="000000" w:themeColor="text1"/>
                <w:sz w:val="14"/>
                <w:szCs w:val="14"/>
              </w:rPr>
              <w:t>)</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A4B11E"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35353EBE"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D54626"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8(e)(i) Uyumlu pin konnektör sistemlerinde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0E63D"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2017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BD821C"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06EC116F"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B4DF4E"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8(e)(ii) Araç kablo demeti konnektörlerinin eşleşme alanı dışındaki uyumlu pin konnektör sistemlerinde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E79CD5"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2024 tarihinden önce tip onayı alınmış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788DFE"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5717194A"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657FBB"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8(f)(i) Entegre devre çevirme çip paketleri içinde yarı iletken kalıp ve taşıyıcı arasında uygun bir elektrik bağlantısını tamamlamak için kullanılan lehimlerde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E1E973"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Ekim 2022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C5A351"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77D01731"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214EF"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8(f)(ii) Elektrik bağlantısının aşağıdakilerden herhangi birini içerdiği entegre devre çevirme çip paketlerinde yarı iletken kalıp ile taşıyıcı arasında uygulanabilir bir elektrik bağlantısını tamamlamak için kullanılan lehimlerde kurşun:</w:t>
            </w:r>
          </w:p>
          <w:p w14:paraId="1859E1A1" w14:textId="77777777" w:rsidR="00664EB4" w:rsidRPr="00A4671B" w:rsidRDefault="00664EB4" w:rsidP="002B58CF">
            <w:pPr>
              <w:spacing w:before="120"/>
              <w:rPr>
                <w:rFonts w:ascii="inherit" w:hAnsi="inherit"/>
                <w:color w:val="000000" w:themeColor="text1"/>
                <w:sz w:val="14"/>
                <w:szCs w:val="14"/>
              </w:rPr>
            </w:pPr>
            <w:r w:rsidRPr="00A4671B">
              <w:rPr>
                <w:rFonts w:ascii="inherit" w:hAnsi="inherit"/>
                <w:color w:val="000000" w:themeColor="text1"/>
                <w:sz w:val="14"/>
                <w:szCs w:val="14"/>
              </w:rPr>
              <w:t>(1) 90 nm veya daha büyük bir yarı iletken teknoloji düğümü;</w:t>
            </w:r>
          </w:p>
          <w:p w14:paraId="4B3197EF" w14:textId="77777777" w:rsidR="00664EB4" w:rsidRPr="00A4671B" w:rsidRDefault="00664EB4" w:rsidP="002B58CF">
            <w:pPr>
              <w:spacing w:before="120"/>
              <w:rPr>
                <w:rFonts w:ascii="inherit" w:hAnsi="inherit"/>
                <w:color w:val="000000" w:themeColor="text1"/>
                <w:sz w:val="14"/>
                <w:szCs w:val="14"/>
              </w:rPr>
            </w:pPr>
            <w:r w:rsidRPr="00A4671B">
              <w:rPr>
                <w:rFonts w:ascii="inherit" w:hAnsi="inherit"/>
                <w:color w:val="000000" w:themeColor="text1"/>
                <w:sz w:val="14"/>
                <w:szCs w:val="14"/>
              </w:rPr>
              <w:t>(2) herhangi bir yarı iletken teknoloji düğümünde 300 mm</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 xml:space="preserve"> veya daha büyük tek bir kalıp;</w:t>
            </w:r>
          </w:p>
          <w:p w14:paraId="489E7960" w14:textId="77777777" w:rsidR="00664EB4" w:rsidRPr="00A4671B" w:rsidRDefault="00664EB4" w:rsidP="002B58CF">
            <w:pPr>
              <w:spacing w:before="120"/>
              <w:rPr>
                <w:rFonts w:ascii="inherit" w:hAnsi="inherit"/>
                <w:color w:val="000000" w:themeColor="text1"/>
                <w:sz w:val="14"/>
                <w:szCs w:val="14"/>
              </w:rPr>
            </w:pPr>
            <w:r w:rsidRPr="00A4671B">
              <w:rPr>
                <w:rFonts w:ascii="inherit" w:hAnsi="inherit"/>
                <w:color w:val="000000" w:themeColor="text1"/>
                <w:sz w:val="14"/>
                <w:szCs w:val="14"/>
              </w:rPr>
              <w:t>(3) 300 mm</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 xml:space="preserve"> veya daha büyük kalıplara sahip istiflenmiş kalıp paketleri veya 300 mm</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 xml:space="preserve"> veya daha büyük silikon interpozerler.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A331A5" w14:textId="77777777" w:rsidR="00664EB4" w:rsidRPr="00A4671B" w:rsidRDefault="00664EB4" w:rsidP="002B58CF">
            <w:pPr>
              <w:spacing w:before="60" w:after="60"/>
              <w:jc w:val="center"/>
              <w:rPr>
                <w:rFonts w:ascii="inherit" w:hAnsi="inherit"/>
                <w:color w:val="000000" w:themeColor="text1"/>
                <w:sz w:val="14"/>
                <w:szCs w:val="14"/>
              </w:rPr>
            </w:pPr>
          </w:p>
          <w:p w14:paraId="49B42B48" w14:textId="77777777" w:rsidR="00664EB4" w:rsidRPr="00A4671B" w:rsidRDefault="00664EB4" w:rsidP="002B58CF">
            <w:pPr>
              <w:spacing w:before="60" w:after="60"/>
              <w:jc w:val="center"/>
              <w:rPr>
                <w:rFonts w:ascii="inherit" w:hAnsi="inherit"/>
                <w:color w:val="000000" w:themeColor="text1"/>
                <w:sz w:val="14"/>
                <w:szCs w:val="14"/>
              </w:rPr>
            </w:pPr>
          </w:p>
          <w:p w14:paraId="1FED46AC"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1</w:t>
            </w:r>
            <w:r w:rsidRPr="00A4671B">
              <w:rPr>
                <w:rFonts w:ascii="inherit" w:hAnsi="inherit"/>
                <w:color w:val="000000" w:themeColor="text1"/>
                <w:sz w:val="14"/>
                <w:szCs w:val="14"/>
              </w:rPr>
              <w:t>)</w:t>
            </w:r>
          </w:p>
          <w:p w14:paraId="6CBCF2F9"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Ekim 2022 tarihinden itibaren tip onaylı araçlar ve bu araçların yedek parçaları</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C22708" w14:textId="77777777" w:rsidR="00664EB4" w:rsidRPr="00A4671B" w:rsidRDefault="00664EB4" w:rsidP="002B58CF">
            <w:pPr>
              <w:spacing w:before="60" w:after="60"/>
              <w:jc w:val="center"/>
              <w:rPr>
                <w:rFonts w:ascii="inherit" w:hAnsi="inherit"/>
                <w:color w:val="000000" w:themeColor="text1"/>
                <w:sz w:val="14"/>
                <w:szCs w:val="14"/>
              </w:rPr>
            </w:pPr>
          </w:p>
          <w:p w14:paraId="5E601906" w14:textId="77777777" w:rsidR="00664EB4" w:rsidRPr="00A4671B" w:rsidRDefault="00664EB4" w:rsidP="002B58CF">
            <w:pPr>
              <w:spacing w:before="60" w:after="60"/>
              <w:jc w:val="center"/>
              <w:rPr>
                <w:rFonts w:ascii="inherit" w:hAnsi="inherit"/>
                <w:color w:val="000000" w:themeColor="text1"/>
                <w:sz w:val="14"/>
                <w:szCs w:val="14"/>
              </w:rPr>
            </w:pPr>
          </w:p>
          <w:p w14:paraId="27ACE115" w14:textId="77777777" w:rsidR="00664EB4" w:rsidRPr="00A4671B" w:rsidRDefault="00664EB4" w:rsidP="002B58CF">
            <w:pPr>
              <w:spacing w:before="60" w:after="60"/>
              <w:jc w:val="center"/>
              <w:rPr>
                <w:rFonts w:ascii="inherit" w:hAnsi="inherit"/>
                <w:color w:val="000000" w:themeColor="text1"/>
                <w:sz w:val="14"/>
                <w:szCs w:val="14"/>
              </w:rPr>
            </w:pPr>
          </w:p>
          <w:p w14:paraId="2E43BDAB"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788242A3"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16BD59"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8(g) Çip boyutu en az 1 cm</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 xml:space="preserve"> projeksiyon alanı ve nominal akım yoğunluğu en az 1 A/mm</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 xml:space="preserve"> silikon çip alanı olan güç yarı iletken tertibatlarında ısı dağıtıcıları ısı emiciye bağlamak için kullanılan lehim içinde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6AAD43"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2016 tarihinden önce tip onaylı araçlar ve bu araçların yedek parçaları</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85CA72" w14:textId="77777777" w:rsidR="00664EB4" w:rsidRPr="00A4671B" w:rsidRDefault="00664EB4" w:rsidP="002B58CF">
            <w:pPr>
              <w:spacing w:before="60" w:after="60"/>
              <w:jc w:val="center"/>
              <w:rPr>
                <w:rFonts w:ascii="inherit" w:hAnsi="inherit"/>
                <w:color w:val="000000" w:themeColor="text1"/>
                <w:sz w:val="14"/>
                <w:szCs w:val="14"/>
              </w:rPr>
            </w:pPr>
          </w:p>
          <w:p w14:paraId="76B4287D"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4CAE7282"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43518A"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8(ğ) Lamine camlarda lehimleme hariç, camdaki elektrik camlama uygulamalarında kullanılan lehimlerde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9BEB62"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2016 tarihinden önce tip onaylı araçlar ve bu araçların yedek parçaları</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A1D6AF" w14:textId="77777777" w:rsidR="00664EB4" w:rsidRPr="00A4671B" w:rsidRDefault="00664EB4" w:rsidP="002B58CF">
            <w:pPr>
              <w:spacing w:before="60" w:after="60"/>
              <w:jc w:val="center"/>
              <w:rPr>
                <w:rFonts w:ascii="inherit" w:hAnsi="inherit"/>
                <w:color w:val="000000" w:themeColor="text1"/>
                <w:sz w:val="14"/>
                <w:szCs w:val="14"/>
              </w:rPr>
            </w:pPr>
          </w:p>
          <w:p w14:paraId="04B5C760"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32F006E7"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6BCDC0"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8(h) Lamine camların lehimlenmesi için kullanılan lehimlerde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C12780"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2020 tarihinden önce tip onaylı araçlar ve bu araçların yedek parçaları</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1530CA" w14:textId="77777777" w:rsidR="00664EB4" w:rsidRPr="00A4671B" w:rsidRDefault="00664EB4" w:rsidP="002B58CF">
            <w:pPr>
              <w:spacing w:before="60" w:after="60"/>
              <w:jc w:val="center"/>
              <w:rPr>
                <w:rFonts w:ascii="inherit" w:hAnsi="inherit"/>
                <w:color w:val="000000" w:themeColor="text1"/>
                <w:sz w:val="14"/>
                <w:szCs w:val="14"/>
              </w:rPr>
            </w:pPr>
          </w:p>
          <w:p w14:paraId="19FDA6AD"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 xml:space="preserve">) </w:t>
            </w:r>
          </w:p>
        </w:tc>
      </w:tr>
      <w:tr w:rsidR="00664EB4" w:rsidRPr="00A4671B" w14:paraId="3E99F12A"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58D68"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8(ı) İlgili lehim bağlantısı başına 0,5 A veya daha fazla ısı akımına sahip ısıtma uygulamalarının 2,1 mm et kalınlığını aşmayan lamine camların tek bölmelerine lehimlenmesi. Bu muafiyet, ara polimer içine gömülü kontaklara lehimlemeyi kapsamaz.</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4E9F2E"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Ocak 2024 tarihinden önce tip onaylı araçlar ve bu araçların yedek parçaları</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D7DBA" w14:textId="77777777" w:rsidR="00664EB4" w:rsidRPr="00A4671B" w:rsidRDefault="00664EB4" w:rsidP="002B58CF">
            <w:pPr>
              <w:spacing w:before="60" w:after="60"/>
              <w:jc w:val="center"/>
              <w:rPr>
                <w:rFonts w:ascii="inherit" w:hAnsi="inherit"/>
                <w:color w:val="000000" w:themeColor="text1"/>
                <w:sz w:val="14"/>
                <w:szCs w:val="14"/>
              </w:rPr>
            </w:pPr>
          </w:p>
          <w:p w14:paraId="790D367D" w14:textId="77777777" w:rsidR="00664EB4" w:rsidRPr="00A4671B" w:rsidRDefault="00664EB4" w:rsidP="002B58CF">
            <w:pPr>
              <w:spacing w:before="60" w:after="60"/>
              <w:jc w:val="center"/>
              <w:rPr>
                <w:rFonts w:ascii="inherit" w:hAnsi="inherit"/>
                <w:color w:val="000000" w:themeColor="text1"/>
                <w:sz w:val="14"/>
                <w:szCs w:val="14"/>
              </w:rPr>
            </w:pPr>
          </w:p>
          <w:p w14:paraId="0AF04529"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w:t>
            </w:r>
          </w:p>
        </w:tc>
      </w:tr>
      <w:tr w:rsidR="00664EB4" w:rsidRPr="00A4671B" w14:paraId="1D988CA2"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5A5BC"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9. Valf yuvaları</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73F017"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 Temmuz 2003 tarihinden önce geliştirilen motor tipleri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CE978A"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2BB98034"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57F44E"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10(a) Cam veya seramikte, cam veya seramik matris bileşiminde, cam-seramik malzemede veya cam-seramik matris bileşiminde kurşun içeren elektrikli ve elektronik bileşenler.</w:t>
            </w:r>
          </w:p>
          <w:p w14:paraId="4943F275" w14:textId="77777777" w:rsidR="00664EB4" w:rsidRPr="00A4671B" w:rsidRDefault="00664EB4" w:rsidP="002B58CF">
            <w:pPr>
              <w:spacing w:before="60" w:after="60"/>
              <w:rPr>
                <w:rFonts w:ascii="inherit" w:hAnsi="inherit"/>
                <w:color w:val="000000" w:themeColor="text1"/>
                <w:sz w:val="14"/>
                <w:szCs w:val="14"/>
              </w:rPr>
            </w:pPr>
            <w:r w:rsidRPr="00A4671B">
              <w:rPr>
                <w:rFonts w:ascii="inherit" w:hAnsi="inherit"/>
                <w:color w:val="000000" w:themeColor="text1"/>
                <w:sz w:val="14"/>
                <w:szCs w:val="14"/>
              </w:rPr>
              <w:t>Bu muafiyet, aşağıdaki durumlarda kurşun kullanımını kapsamaz:</w:t>
            </w:r>
          </w:p>
          <w:p w14:paraId="4EB94D18" w14:textId="77777777" w:rsidR="00664EB4" w:rsidRPr="00A4671B" w:rsidRDefault="00664EB4" w:rsidP="002B58CF">
            <w:pPr>
              <w:spacing w:before="60" w:after="60"/>
              <w:ind w:left="630" w:hanging="240"/>
              <w:rPr>
                <w:rFonts w:ascii="inherit" w:hAnsi="inherit"/>
                <w:color w:val="000000" w:themeColor="text1"/>
                <w:sz w:val="14"/>
                <w:szCs w:val="14"/>
              </w:rPr>
            </w:pPr>
            <w:r w:rsidRPr="00A4671B">
              <w:rPr>
                <w:rFonts w:ascii="inherit" w:hAnsi="inherit"/>
                <w:color w:val="000000" w:themeColor="text1"/>
                <w:sz w:val="14"/>
                <w:szCs w:val="14"/>
              </w:rPr>
              <w:t>(i) ampullerdeki camlar ve bujilerin sırları,</w:t>
            </w:r>
          </w:p>
          <w:p w14:paraId="35CF6ABC" w14:textId="77777777" w:rsidR="00664EB4" w:rsidRPr="00A4671B" w:rsidRDefault="00664EB4" w:rsidP="002B58CF">
            <w:pPr>
              <w:spacing w:before="60" w:after="60"/>
              <w:ind w:left="630" w:hanging="240"/>
              <w:rPr>
                <w:rFonts w:ascii="inherit" w:hAnsi="inherit"/>
                <w:color w:val="000000" w:themeColor="text1"/>
                <w:sz w:val="14"/>
                <w:szCs w:val="14"/>
              </w:rPr>
            </w:pPr>
            <w:r w:rsidRPr="00A4671B">
              <w:rPr>
                <w:rFonts w:ascii="inherit" w:hAnsi="inherit"/>
                <w:color w:val="000000" w:themeColor="text1"/>
                <w:sz w:val="14"/>
                <w:szCs w:val="14"/>
              </w:rPr>
              <w:t>(ii) 10(b), 10(c) ve 10(d) altında listelenen bileşenlerin dielektrik seramik malzemeleri.</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3E800A" w14:textId="77777777" w:rsidR="00664EB4" w:rsidRPr="00A4671B" w:rsidRDefault="00664EB4" w:rsidP="002B58CF">
            <w:pPr>
              <w:spacing w:before="120"/>
              <w:rPr>
                <w:rFonts w:ascii="inherit" w:hAnsi="inherit"/>
                <w:color w:val="000000" w:themeColor="text1"/>
                <w:sz w:val="14"/>
                <w:szCs w:val="14"/>
              </w:rPr>
            </w:pPr>
            <w:r w:rsidRPr="00A4671B">
              <w:rPr>
                <w:rFonts w:ascii="inherit" w:hAnsi="inherit"/>
                <w:color w:val="000000" w:themeColor="text1"/>
                <w:sz w:val="14"/>
                <w:szCs w:val="14"/>
              </w:rPr>
              <w:t> </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C3065C" w14:textId="77777777" w:rsidR="00664EB4" w:rsidRPr="00A4671B" w:rsidRDefault="00664EB4" w:rsidP="002B58CF">
            <w:pPr>
              <w:spacing w:before="60" w:after="60"/>
              <w:jc w:val="center"/>
              <w:rPr>
                <w:rFonts w:ascii="inherit" w:hAnsi="inherit"/>
                <w:color w:val="000000" w:themeColor="text1"/>
                <w:sz w:val="14"/>
                <w:szCs w:val="14"/>
              </w:rPr>
            </w:pPr>
          </w:p>
          <w:p w14:paraId="25D79B51"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 (</w:t>
            </w:r>
            <w:r w:rsidRPr="00A4671B">
              <w:rPr>
                <w:rFonts w:ascii="inherit" w:hAnsi="inherit"/>
                <w:color w:val="000000" w:themeColor="text1"/>
                <w:sz w:val="14"/>
                <w:szCs w:val="14"/>
                <w:vertAlign w:val="superscript"/>
              </w:rPr>
              <w:t>6</w:t>
            </w:r>
            <w:r w:rsidRPr="00A4671B">
              <w:rPr>
                <w:rFonts w:ascii="inherit" w:hAnsi="inherit"/>
                <w:color w:val="000000" w:themeColor="text1"/>
                <w:sz w:val="14"/>
                <w:szCs w:val="14"/>
              </w:rPr>
              <w:t>)</w:t>
            </w:r>
          </w:p>
          <w:p w14:paraId="5B6E2620"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(motorlardaki piezo dışındaki bileşenler için)</w:t>
            </w:r>
          </w:p>
        </w:tc>
      </w:tr>
      <w:tr w:rsidR="00664EB4" w:rsidRPr="00A4671B" w14:paraId="295F7895"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7817EC"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10(b) Entegre devrelerin veya ayrık yarı iletkenlerin parçası olan kapasitörlerin PZT bazlı dielektrik seramik malzemelerinde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3A61B8"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C3B766"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60996054"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A1AC45"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10(c). Anma gerilimi 125 V AC veya 250 V DC'den düşük olan kapasitörlerin dielektrik seramik malzemelerinde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5AB021"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Ocak 2016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23AC64"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7534715B"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1154D9"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10(d). Ultrasonik sonar sistemlerinde sensörlerin sıcaklığa bağlı sapmalarını dengeleyen kapasitörlerin dielektrik seramik malzemelerinde kurşun</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F0FCF8"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Ocak 2017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25A4EA"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4251722A"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EDB3C8"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11. Piroteknik başlatıcılar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16E615"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2006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859929"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7365A9DF"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959EE8"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12. Egzoz ısısının geri kazanılması yoluyla CO</w:t>
            </w:r>
            <w:r w:rsidRPr="00A4671B">
              <w:rPr>
                <w:rFonts w:ascii="inherit" w:hAnsi="inherit"/>
                <w:color w:val="000000" w:themeColor="text1"/>
                <w:sz w:val="14"/>
                <w:szCs w:val="14"/>
                <w:vertAlign w:val="subscript"/>
              </w:rPr>
              <w:t>2</w:t>
            </w:r>
            <w:r w:rsidRPr="00A4671B">
              <w:rPr>
                <w:rFonts w:ascii="inherit" w:hAnsi="inherit"/>
                <w:color w:val="000000" w:themeColor="text1"/>
                <w:sz w:val="14"/>
                <w:szCs w:val="14"/>
              </w:rPr>
              <w:t xml:space="preserve"> emisyonlarını azaltmak için otomotiv elektrik uygulamalarında kurşun içeren termoelektrik malzemeler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FE0878"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Ocak 2019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97A36F"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1A2EF090" w14:textId="77777777" w:rsidTr="002B58CF">
        <w:trPr>
          <w:jc w:val="center"/>
        </w:trPr>
        <w:tc>
          <w:tcPr>
            <w:tcW w:w="1064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32B3F8" w14:textId="77777777" w:rsidR="00664EB4" w:rsidRPr="00A4671B" w:rsidRDefault="00664EB4" w:rsidP="002B58CF">
            <w:pPr>
              <w:spacing w:before="60" w:after="60"/>
              <w:jc w:val="both"/>
              <w:rPr>
                <w:rFonts w:ascii="inherit" w:hAnsi="inherit"/>
                <w:b/>
                <w:bCs/>
                <w:color w:val="000000" w:themeColor="text1"/>
                <w:sz w:val="14"/>
                <w:szCs w:val="14"/>
              </w:rPr>
            </w:pPr>
            <w:r w:rsidRPr="00A4671B">
              <w:rPr>
                <w:rFonts w:ascii="inherit" w:hAnsi="inherit"/>
                <w:b/>
                <w:bCs/>
                <w:color w:val="000000" w:themeColor="text1"/>
                <w:sz w:val="14"/>
                <w:szCs w:val="14"/>
              </w:rPr>
              <w:t>Altı değerlikli krom</w:t>
            </w:r>
          </w:p>
        </w:tc>
      </w:tr>
      <w:tr w:rsidR="00664EB4" w:rsidRPr="00A4671B" w14:paraId="0E5A42F0"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CF7206"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13(a). Korozyon önleyici kaplamalar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55FC03"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2007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B1E2E5"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553553E5"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C69933"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13(b). Şasi uygulamaları için cıvata ve somun tertibatlarıyla ilgili korozyon önleyici kaplamalar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F01337"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2008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1E0F15"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5A69A7A8"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E06C07"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14. Absorbsiyonlu buzdolaplarında karbon çeliği soğutma sisteminin korozyon önleyici maddesi olarak soğutma çözeltisinde ağırlıkça %0,75'e kadar altı değerlikli krom:</w:t>
            </w:r>
          </w:p>
          <w:p w14:paraId="319D41B4"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(a) sabit çalışma koşullarında ortalama kullanılan elektrik güç girişi &lt; 75 W olan, tamamen veya kısmen elektrikli ısıtıcıyla çalışacak şekilde tasarlanmış;</w:t>
            </w:r>
          </w:p>
          <w:p w14:paraId="78EE6549"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(b) sabit çalışma koşullarında ortalama kullanılan elektrik güç girişi ≥ 75 W olan, tamamen veya kısmen elektrikli ısıtıcıyla çalışacak şekilde tasarlanmış;</w:t>
            </w:r>
          </w:p>
          <w:p w14:paraId="6CB0ABFC"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lastRenderedPageBreak/>
              <w:t>(c) tamamen elektrikli olmayan ısıtıcıyla çalışacak şekilde tasarlanmış.</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C2D629"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lastRenderedPageBreak/>
              <w:t>(a) için: 1 Ocak 2020 tarihinden önce tip onaylı araçlar ve bu araçlara ait yedek parçalar</w:t>
            </w:r>
          </w:p>
          <w:p w14:paraId="5D9EC739" w14:textId="77777777" w:rsidR="00664EB4" w:rsidRPr="00A4671B" w:rsidRDefault="00664EB4" w:rsidP="002B58CF">
            <w:pPr>
              <w:spacing w:before="120"/>
              <w:jc w:val="both"/>
              <w:rPr>
                <w:rFonts w:ascii="inherit" w:hAnsi="inherit"/>
                <w:color w:val="000000" w:themeColor="text1"/>
                <w:sz w:val="14"/>
                <w:szCs w:val="14"/>
              </w:rPr>
            </w:pPr>
          </w:p>
          <w:p w14:paraId="2F4DB7DD"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(b) için: 1 Ocak 2026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3712D"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379F55F4" w14:textId="77777777" w:rsidTr="002B58CF">
        <w:trPr>
          <w:jc w:val="center"/>
        </w:trPr>
        <w:tc>
          <w:tcPr>
            <w:tcW w:w="1064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51CFD8" w14:textId="77777777" w:rsidR="00664EB4" w:rsidRPr="00A4671B" w:rsidRDefault="00664EB4" w:rsidP="002B58CF">
            <w:pPr>
              <w:spacing w:before="60" w:after="60"/>
              <w:jc w:val="both"/>
              <w:rPr>
                <w:rFonts w:ascii="inherit" w:hAnsi="inherit"/>
                <w:b/>
                <w:bCs/>
                <w:color w:val="000000" w:themeColor="text1"/>
                <w:sz w:val="14"/>
                <w:szCs w:val="14"/>
              </w:rPr>
            </w:pPr>
            <w:r w:rsidRPr="00A4671B">
              <w:rPr>
                <w:rFonts w:ascii="inherit" w:hAnsi="inherit"/>
                <w:b/>
                <w:bCs/>
                <w:color w:val="000000" w:themeColor="text1"/>
                <w:sz w:val="14"/>
                <w:szCs w:val="14"/>
              </w:rPr>
              <w:t>Cıva</w:t>
            </w:r>
          </w:p>
        </w:tc>
      </w:tr>
      <w:tr w:rsidR="00664EB4" w:rsidRPr="00A4671B" w14:paraId="45F7EF08"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B14C3A"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15(a). Far uygulaması için deşarj lambaları</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C63E11"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2012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47C25A"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327BB522"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99D4F4"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15(b). Gösterge paneli ekranlarında kullanılan floresan tüpler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8B86AE"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 Temmuz 2012 tarihinden önce tip onaylı araçlar ve bu araçlara ait yedek parçalar</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BAAC96" w14:textId="77777777" w:rsidR="00664EB4" w:rsidRPr="00A4671B" w:rsidRDefault="00664EB4" w:rsidP="002B58CF">
            <w:pPr>
              <w:spacing w:before="60" w:after="60"/>
              <w:jc w:val="center"/>
              <w:rPr>
                <w:rFonts w:ascii="inherit" w:hAnsi="inherit"/>
                <w:color w:val="000000" w:themeColor="text1"/>
                <w:sz w:val="14"/>
                <w:szCs w:val="14"/>
              </w:rPr>
            </w:pPr>
            <w:r w:rsidRPr="00A4671B">
              <w:rPr>
                <w:rFonts w:ascii="inherit" w:hAnsi="inherit"/>
                <w:color w:val="000000" w:themeColor="text1"/>
                <w:sz w:val="14"/>
                <w:szCs w:val="14"/>
              </w:rPr>
              <w:t>X</w:t>
            </w:r>
          </w:p>
        </w:tc>
      </w:tr>
      <w:tr w:rsidR="00664EB4" w:rsidRPr="00A4671B" w14:paraId="1C6CBA4E" w14:textId="77777777" w:rsidTr="002B58CF">
        <w:trPr>
          <w:jc w:val="center"/>
        </w:trPr>
        <w:tc>
          <w:tcPr>
            <w:tcW w:w="1064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E0AD7F" w14:textId="77777777" w:rsidR="00664EB4" w:rsidRPr="00A4671B" w:rsidRDefault="00664EB4" w:rsidP="002B58CF">
            <w:pPr>
              <w:spacing w:before="60" w:after="60"/>
              <w:jc w:val="both"/>
              <w:rPr>
                <w:rFonts w:ascii="inherit" w:hAnsi="inherit"/>
                <w:b/>
                <w:bCs/>
                <w:color w:val="000000" w:themeColor="text1"/>
                <w:sz w:val="14"/>
                <w:szCs w:val="14"/>
              </w:rPr>
            </w:pPr>
            <w:r w:rsidRPr="00A4671B">
              <w:rPr>
                <w:rFonts w:ascii="inherit" w:hAnsi="inherit"/>
                <w:b/>
                <w:bCs/>
                <w:color w:val="000000" w:themeColor="text1"/>
                <w:sz w:val="14"/>
                <w:szCs w:val="14"/>
              </w:rPr>
              <w:t>Kadmiyum</w:t>
            </w:r>
          </w:p>
        </w:tc>
      </w:tr>
      <w:tr w:rsidR="00664EB4" w:rsidRPr="00A4671B" w14:paraId="24EBF88E" w14:textId="77777777" w:rsidTr="002B58CF">
        <w:trPr>
          <w:jc w:val="center"/>
        </w:trPr>
        <w:tc>
          <w:tcPr>
            <w:tcW w:w="4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3FBA9"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16. Elektrikli araçlar için piller</w:t>
            </w:r>
          </w:p>
        </w:tc>
        <w:tc>
          <w:tcPr>
            <w:tcW w:w="370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4A3425"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31 Aralık 2008 tarihinden önce piyasaya sürülen araçlar için yedek parça olarak</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CBF60A9" w14:textId="77777777" w:rsidR="00664EB4" w:rsidRPr="00A4671B" w:rsidRDefault="00664EB4" w:rsidP="002B58CF">
            <w:pPr>
              <w:spacing w:before="120"/>
              <w:jc w:val="both"/>
              <w:rPr>
                <w:rFonts w:ascii="inherit" w:hAnsi="inherit"/>
                <w:color w:val="000000" w:themeColor="text1"/>
                <w:sz w:val="14"/>
                <w:szCs w:val="14"/>
              </w:rPr>
            </w:pPr>
            <w:r w:rsidRPr="00A4671B">
              <w:rPr>
                <w:rFonts w:ascii="inherit" w:hAnsi="inherit"/>
                <w:color w:val="000000" w:themeColor="text1"/>
                <w:sz w:val="14"/>
                <w:szCs w:val="14"/>
              </w:rPr>
              <w:t> </w:t>
            </w:r>
          </w:p>
        </w:tc>
      </w:tr>
      <w:tr w:rsidR="00664EB4" w:rsidRPr="00A4671B" w14:paraId="47EACABD" w14:textId="77777777" w:rsidTr="002B58CF">
        <w:trPr>
          <w:jc w:val="center"/>
        </w:trPr>
        <w:tc>
          <w:tcPr>
            <w:tcW w:w="10641"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B2C2B"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Tabloya ilişkin notlar:</w:t>
            </w:r>
          </w:p>
          <w:p w14:paraId="40CA1329"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1</w:t>
            </w:r>
            <w:r w:rsidRPr="00A4671B">
              <w:rPr>
                <w:rFonts w:ascii="inherit" w:hAnsi="inherit"/>
                <w:color w:val="000000" w:themeColor="text1"/>
                <w:sz w:val="14"/>
                <w:szCs w:val="14"/>
              </w:rPr>
              <w:t>) Bu muafiyet 2024 yılında gözden geçirilecektir.</w:t>
            </w:r>
          </w:p>
          <w:p w14:paraId="234DE5D0"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2</w:t>
            </w:r>
            <w:r w:rsidRPr="00A4671B">
              <w:rPr>
                <w:rFonts w:ascii="inherit" w:hAnsi="inherit"/>
                <w:color w:val="000000" w:themeColor="text1"/>
                <w:sz w:val="14"/>
                <w:szCs w:val="14"/>
              </w:rPr>
              <w:t>) Kurşunun kasıtlı olarak katılmadığı, ancak geri dönüştürülmüş alüminyum kullanımı nedeniyle mevcut olduğu alüminyum alaşımlarına uygulanır.</w:t>
            </w:r>
          </w:p>
          <w:p w14:paraId="7E760ED6"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3</w:t>
            </w:r>
            <w:r w:rsidRPr="00A4671B">
              <w:rPr>
                <w:rFonts w:ascii="inherit" w:hAnsi="inherit"/>
                <w:color w:val="000000" w:themeColor="text1"/>
                <w:sz w:val="14"/>
                <w:szCs w:val="14"/>
              </w:rPr>
              <w:t>) Bu muafiyet 2025 yılında gözden geçirilecektir.</w:t>
            </w:r>
          </w:p>
          <w:p w14:paraId="12242361"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4</w:t>
            </w:r>
            <w:r w:rsidRPr="00A4671B">
              <w:rPr>
                <w:rFonts w:ascii="inherit" w:hAnsi="inherit"/>
                <w:color w:val="000000" w:themeColor="text1"/>
                <w:sz w:val="14"/>
                <w:szCs w:val="14"/>
              </w:rPr>
              <w:t>) Belirli voltaj limitleri dahilinde kullanılmak üzere tasarlanmış elektrikli ekipmanların piyasada bulundurulması (RG L 96, 29.3.2014, s. 357) ile ilgili Avrupa Parlamentosu ve Konseyinin 26 Şubat 2014 tarih ve 2014/35/EU sayılı Direktifinin Üye Devletlerin mevzuatlarının uyumlaştırılmasına ilişkin Madde 1'inde öngörüldüğü şekilde &gt; 75 V DC gerilimi olan sistemler.</w:t>
            </w:r>
          </w:p>
          <w:p w14:paraId="0F6DE8A1"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5</w:t>
            </w:r>
            <w:r w:rsidRPr="00A4671B">
              <w:rPr>
                <w:rFonts w:ascii="inherit" w:hAnsi="inherit"/>
                <w:color w:val="000000" w:themeColor="text1"/>
                <w:sz w:val="14"/>
                <w:szCs w:val="14"/>
              </w:rPr>
              <w:t>) Giriş 10(a) ile bağlantılı olarak araç başına ortalama 60 gramlık eşiğin aşılması durumunda söküm. Bu notun amaçları doğrultusunda, imalatçı tarafından üretim hattında kurulmayan elektronik cihazlar dikkate alınmayacaktır.</w:t>
            </w:r>
          </w:p>
          <w:p w14:paraId="0682184C" w14:textId="77777777" w:rsidR="00664EB4" w:rsidRPr="00A4671B" w:rsidRDefault="00664EB4" w:rsidP="002B58CF">
            <w:pPr>
              <w:spacing w:before="60" w:after="60"/>
              <w:jc w:val="both"/>
              <w:rPr>
                <w:rFonts w:ascii="inherit" w:hAnsi="inherit"/>
                <w:color w:val="000000" w:themeColor="text1"/>
                <w:sz w:val="14"/>
                <w:szCs w:val="14"/>
              </w:rPr>
            </w:pPr>
            <w:r w:rsidRPr="00A4671B">
              <w:rPr>
                <w:rFonts w:ascii="inherit" w:hAnsi="inherit"/>
                <w:color w:val="000000" w:themeColor="text1"/>
                <w:sz w:val="14"/>
                <w:szCs w:val="14"/>
              </w:rPr>
              <w:t>(</w:t>
            </w:r>
            <w:r w:rsidRPr="00A4671B">
              <w:rPr>
                <w:rFonts w:ascii="inherit" w:hAnsi="inherit"/>
                <w:color w:val="000000" w:themeColor="text1"/>
                <w:sz w:val="14"/>
                <w:szCs w:val="14"/>
                <w:vertAlign w:val="superscript"/>
              </w:rPr>
              <w:t>6</w:t>
            </w:r>
            <w:r w:rsidRPr="00A4671B">
              <w:rPr>
                <w:rFonts w:ascii="inherit" w:hAnsi="inherit"/>
                <w:color w:val="000000" w:themeColor="text1"/>
                <w:sz w:val="14"/>
                <w:szCs w:val="14"/>
              </w:rPr>
              <w:t>) 8(a)'dan 8(k)'ye kadar olan kayıtlarla bağlantılı olarak araç başına ortalama 60 gramlık eşiğin aşılması durumunda söküm. Bu notun amaçları doğrultusunda, imalatçı tarafından üretim hattında kurulmayan elektronik cihazlar dikkate alınmayacaktır.</w:t>
            </w:r>
          </w:p>
        </w:tc>
      </w:tr>
    </w:tbl>
    <w:p w14:paraId="1570982B" w14:textId="77777777" w:rsidR="00664EB4" w:rsidRPr="00A4671B" w:rsidRDefault="00664EB4" w:rsidP="00664EB4">
      <w:pPr>
        <w:shd w:val="clear" w:color="auto" w:fill="FFFFFF"/>
        <w:spacing w:after="150"/>
        <w:rPr>
          <w:color w:val="000000" w:themeColor="text1"/>
          <w:sz w:val="14"/>
          <w:szCs w:val="14"/>
        </w:rPr>
      </w:pPr>
    </w:p>
    <w:p w14:paraId="2DB5A215" w14:textId="640DD995" w:rsidR="00AC7AB9" w:rsidRPr="00A4671B" w:rsidRDefault="00AC7AB9" w:rsidP="00E5153C">
      <w:pPr>
        <w:spacing w:after="0" w:line="240" w:lineRule="auto"/>
        <w:ind w:firstLine="708"/>
        <w:jc w:val="both"/>
        <w:rPr>
          <w:rStyle w:val="citation-16"/>
          <w:rFonts w:ascii="Times New Roman" w:hAnsi="Times New Roman" w:cs="Times New Roman"/>
          <w:color w:val="000000" w:themeColor="text1"/>
          <w:sz w:val="24"/>
          <w:szCs w:val="24"/>
          <w:highlight w:val="yellow"/>
        </w:rPr>
      </w:pPr>
    </w:p>
    <w:p w14:paraId="02611F38" w14:textId="62F76502" w:rsidR="00006701" w:rsidRPr="00A4671B" w:rsidRDefault="00006701" w:rsidP="00E5153C">
      <w:pPr>
        <w:spacing w:after="0" w:line="240" w:lineRule="auto"/>
        <w:ind w:firstLine="708"/>
        <w:jc w:val="both"/>
        <w:rPr>
          <w:rStyle w:val="citation-16"/>
          <w:rFonts w:ascii="Times New Roman" w:hAnsi="Times New Roman" w:cs="Times New Roman"/>
          <w:sz w:val="24"/>
          <w:szCs w:val="24"/>
        </w:rPr>
      </w:pPr>
    </w:p>
    <w:p w14:paraId="47EAEA60" w14:textId="1A2E3DE4" w:rsidR="00006701" w:rsidRPr="00A4671B" w:rsidRDefault="00006701" w:rsidP="00E5153C">
      <w:pPr>
        <w:spacing w:after="0" w:line="240" w:lineRule="auto"/>
        <w:ind w:firstLine="708"/>
        <w:jc w:val="both"/>
        <w:rPr>
          <w:rStyle w:val="citation-16"/>
          <w:rFonts w:ascii="Times New Roman" w:hAnsi="Times New Roman" w:cs="Times New Roman"/>
          <w:sz w:val="24"/>
          <w:szCs w:val="24"/>
        </w:rPr>
      </w:pPr>
    </w:p>
    <w:p w14:paraId="7B092592" w14:textId="28F358C3" w:rsidR="00006701" w:rsidRPr="00A4671B" w:rsidRDefault="00006701" w:rsidP="00E5153C">
      <w:pPr>
        <w:spacing w:after="0" w:line="240" w:lineRule="auto"/>
        <w:ind w:firstLine="708"/>
        <w:jc w:val="both"/>
        <w:rPr>
          <w:rStyle w:val="citation-16"/>
          <w:rFonts w:ascii="Times New Roman" w:hAnsi="Times New Roman" w:cs="Times New Roman"/>
          <w:sz w:val="24"/>
          <w:szCs w:val="24"/>
        </w:rPr>
      </w:pPr>
    </w:p>
    <w:p w14:paraId="1AA0FB19" w14:textId="2CCDA1C9" w:rsidR="00006701" w:rsidRPr="00A4671B" w:rsidRDefault="00006701" w:rsidP="00E5153C">
      <w:pPr>
        <w:spacing w:after="0" w:line="240" w:lineRule="auto"/>
        <w:ind w:firstLine="708"/>
        <w:jc w:val="both"/>
        <w:rPr>
          <w:rStyle w:val="citation-16"/>
          <w:rFonts w:ascii="Times New Roman" w:hAnsi="Times New Roman" w:cs="Times New Roman"/>
          <w:sz w:val="24"/>
          <w:szCs w:val="24"/>
        </w:rPr>
      </w:pPr>
    </w:p>
    <w:p w14:paraId="67C45C3B" w14:textId="731336D2" w:rsidR="00006701" w:rsidRPr="00A4671B" w:rsidRDefault="00006701" w:rsidP="00E5153C">
      <w:pPr>
        <w:spacing w:after="0" w:line="240" w:lineRule="auto"/>
        <w:ind w:firstLine="708"/>
        <w:jc w:val="both"/>
        <w:rPr>
          <w:rStyle w:val="citation-16"/>
          <w:rFonts w:ascii="Times New Roman" w:hAnsi="Times New Roman" w:cs="Times New Roman"/>
          <w:sz w:val="24"/>
          <w:szCs w:val="24"/>
        </w:rPr>
      </w:pPr>
    </w:p>
    <w:p w14:paraId="432B0C00" w14:textId="77777777" w:rsidR="00006701" w:rsidRPr="00A4671B" w:rsidRDefault="00006701" w:rsidP="00E5153C">
      <w:pPr>
        <w:spacing w:after="0" w:line="240" w:lineRule="auto"/>
        <w:ind w:firstLine="708"/>
        <w:jc w:val="both"/>
        <w:rPr>
          <w:rStyle w:val="citation-16"/>
          <w:rFonts w:ascii="Times New Roman" w:hAnsi="Times New Roman" w:cs="Times New Roman"/>
          <w:sz w:val="24"/>
          <w:szCs w:val="24"/>
        </w:rPr>
      </w:pPr>
    </w:p>
    <w:p w14:paraId="4384CB03" w14:textId="77777777" w:rsidR="00580E7E" w:rsidRDefault="00580E7E" w:rsidP="007245C5">
      <w:pPr>
        <w:spacing w:after="0" w:line="240" w:lineRule="auto"/>
        <w:ind w:firstLine="708"/>
        <w:jc w:val="both"/>
        <w:rPr>
          <w:rStyle w:val="citation-16"/>
          <w:rFonts w:ascii="Times New Roman" w:hAnsi="Times New Roman" w:cs="Times New Roman"/>
          <w:b/>
          <w:sz w:val="24"/>
          <w:szCs w:val="24"/>
        </w:rPr>
      </w:pPr>
      <w:r>
        <w:rPr>
          <w:rStyle w:val="citation-16"/>
          <w:rFonts w:ascii="Times New Roman" w:hAnsi="Times New Roman" w:cs="Times New Roman"/>
          <w:b/>
          <w:sz w:val="24"/>
          <w:szCs w:val="24"/>
        </w:rPr>
        <w:br w:type="page"/>
      </w:r>
    </w:p>
    <w:p w14:paraId="144199FF" w14:textId="78FAAB26" w:rsidR="007245C5" w:rsidRPr="00A4671B" w:rsidRDefault="007245C5" w:rsidP="007245C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lastRenderedPageBreak/>
        <w:t xml:space="preserve">MADDE </w:t>
      </w:r>
      <w:r w:rsidR="00914A7E" w:rsidRPr="00144A48">
        <w:rPr>
          <w:rStyle w:val="citation-16"/>
          <w:rFonts w:ascii="Times New Roman" w:hAnsi="Times New Roman" w:cs="Times New Roman"/>
          <w:b/>
          <w:sz w:val="24"/>
          <w:szCs w:val="24"/>
        </w:rPr>
        <w:t>21</w:t>
      </w:r>
      <w:r w:rsidRPr="00144A48">
        <w:rPr>
          <w:rStyle w:val="citation-16"/>
          <w:rFonts w:ascii="Times New Roman" w:hAnsi="Times New Roman" w:cs="Times New Roman"/>
          <w:b/>
          <w:sz w:val="24"/>
          <w:szCs w:val="24"/>
        </w:rPr>
        <w:t>-</w:t>
      </w:r>
      <w:r w:rsidRPr="00144A48">
        <w:rPr>
          <w:rStyle w:val="citation-16"/>
          <w:rFonts w:ascii="Times New Roman" w:hAnsi="Times New Roman" w:cs="Times New Roman"/>
          <w:sz w:val="24"/>
          <w:szCs w:val="24"/>
        </w:rPr>
        <w:t xml:space="preserve"> </w:t>
      </w:r>
      <w:r w:rsidR="00144A48" w:rsidRPr="00144A48">
        <w:rPr>
          <w:rStyle w:val="citation-3"/>
          <w:rFonts w:ascii="Times New Roman" w:hAnsi="Times New Roman" w:cs="Times New Roman"/>
          <w:sz w:val="24"/>
          <w:szCs w:val="24"/>
        </w:rPr>
        <w:t>Aynı Yönetmeliğin Ek-3’ü aşağıdaki şekilde değiştirilmiştir.</w:t>
      </w:r>
    </w:p>
    <w:p w14:paraId="50BEAC93" w14:textId="3DEF7538" w:rsidR="00914A7E" w:rsidRPr="00914A7E" w:rsidRDefault="00914A7E" w:rsidP="007245C5">
      <w:pPr>
        <w:spacing w:after="0" w:line="240" w:lineRule="auto"/>
        <w:ind w:firstLine="708"/>
        <w:jc w:val="both"/>
        <w:rPr>
          <w:rStyle w:val="citation-16"/>
          <w:rFonts w:ascii="Times New Roman" w:hAnsi="Times New Roman" w:cs="Times New Roman"/>
          <w:sz w:val="24"/>
          <w:szCs w:val="24"/>
          <w:highlight w:val="yellow"/>
        </w:rPr>
      </w:pPr>
    </w:p>
    <w:p w14:paraId="1A1FBB81" w14:textId="5CFD9A23" w:rsidR="00006701" w:rsidRPr="00580E7E" w:rsidRDefault="00006701" w:rsidP="00006701">
      <w:pPr>
        <w:spacing w:after="0"/>
        <w:jc w:val="center"/>
        <w:rPr>
          <w:rFonts w:ascii="Times New Roman" w:hAnsi="Times New Roman" w:cs="Times New Roman"/>
          <w:b/>
          <w:bCs/>
          <w:color w:val="000000" w:themeColor="text1"/>
        </w:rPr>
      </w:pPr>
      <w:r w:rsidRPr="00580E7E">
        <w:rPr>
          <w:rFonts w:ascii="Times New Roman" w:hAnsi="Times New Roman" w:cs="Times New Roman"/>
          <w:b/>
          <w:bCs/>
          <w:color w:val="000000" w:themeColor="text1"/>
        </w:rPr>
        <w:t>Ek-3</w:t>
      </w:r>
      <w:r w:rsidR="00CC161A">
        <w:rPr>
          <w:rFonts w:ascii="Times New Roman" w:hAnsi="Times New Roman" w:cs="Times New Roman"/>
          <w:b/>
          <w:bCs/>
          <w:color w:val="000000" w:themeColor="text1"/>
        </w:rPr>
        <w:t xml:space="preserve">: </w:t>
      </w:r>
      <w:r w:rsidRPr="00580E7E">
        <w:rPr>
          <w:rFonts w:ascii="Times New Roman" w:hAnsi="Times New Roman" w:cs="Times New Roman"/>
          <w:b/>
          <w:bCs/>
          <w:color w:val="000000" w:themeColor="text1"/>
        </w:rPr>
        <w:t>Araç Kayıttan Düşme ve Bertaraf Formu</w:t>
      </w:r>
    </w:p>
    <w:tbl>
      <w:tblPr>
        <w:tblStyle w:val="TableNormal"/>
        <w:tblW w:w="105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6"/>
        <w:gridCol w:w="2031"/>
        <w:gridCol w:w="1495"/>
        <w:gridCol w:w="34"/>
        <w:gridCol w:w="1110"/>
        <w:gridCol w:w="43"/>
        <w:gridCol w:w="203"/>
        <w:gridCol w:w="1613"/>
        <w:gridCol w:w="13"/>
        <w:gridCol w:w="987"/>
        <w:gridCol w:w="70"/>
        <w:gridCol w:w="2535"/>
      </w:tblGrid>
      <w:tr w:rsidR="00A4671B" w:rsidRPr="00A4671B" w14:paraId="27D4FEB2" w14:textId="77777777" w:rsidTr="00CC161A">
        <w:trPr>
          <w:trHeight w:val="367"/>
          <w:jc w:val="center"/>
        </w:trPr>
        <w:tc>
          <w:tcPr>
            <w:tcW w:w="416" w:type="dxa"/>
            <w:tcBorders>
              <w:bottom w:val="single" w:sz="8" w:space="0" w:color="000000"/>
            </w:tcBorders>
          </w:tcPr>
          <w:p w14:paraId="4E68F0D2" w14:textId="77777777" w:rsidR="00006701" w:rsidRPr="00A4671B" w:rsidRDefault="00006701" w:rsidP="00CC161A">
            <w:pPr>
              <w:pStyle w:val="TableParagraph"/>
              <w:spacing w:before="0"/>
              <w:ind w:left="47" w:right="1"/>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pacing w:val="-10"/>
                <w:sz w:val="20"/>
              </w:rPr>
              <w:t>A</w:t>
            </w:r>
          </w:p>
        </w:tc>
        <w:tc>
          <w:tcPr>
            <w:tcW w:w="10134" w:type="dxa"/>
            <w:gridSpan w:val="11"/>
            <w:tcBorders>
              <w:bottom w:val="single" w:sz="8" w:space="0" w:color="000000"/>
              <w:right w:val="single" w:sz="4" w:space="0" w:color="000000"/>
            </w:tcBorders>
          </w:tcPr>
          <w:p w14:paraId="2AEB8188" w14:textId="77777777" w:rsidR="00006701" w:rsidRPr="00A4671B" w:rsidRDefault="00006701" w:rsidP="00CC161A">
            <w:pPr>
              <w:pStyle w:val="TableParagraph"/>
              <w:spacing w:before="0"/>
              <w:ind w:left="74" w:right="460"/>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ARACI TESLİM ALANIN </w:t>
            </w:r>
            <w:r w:rsidRPr="00A4671B">
              <w:rPr>
                <w:rFonts w:ascii="Times New Roman" w:hAnsi="Times New Roman" w:cs="Times New Roman"/>
                <w:b/>
                <w:bCs/>
                <w:color w:val="000000" w:themeColor="text1"/>
                <w:spacing w:val="-2"/>
                <w:sz w:val="20"/>
              </w:rPr>
              <w:t>BEYANI</w:t>
            </w:r>
          </w:p>
        </w:tc>
      </w:tr>
      <w:tr w:rsidR="00A4671B" w:rsidRPr="00A4671B" w14:paraId="238E17B0" w14:textId="77777777" w:rsidTr="00CC161A">
        <w:trPr>
          <w:trHeight w:val="265"/>
          <w:jc w:val="center"/>
        </w:trPr>
        <w:tc>
          <w:tcPr>
            <w:tcW w:w="416" w:type="dxa"/>
            <w:vMerge w:val="restart"/>
            <w:tcBorders>
              <w:top w:val="single" w:sz="8" w:space="0" w:color="000000"/>
            </w:tcBorders>
          </w:tcPr>
          <w:p w14:paraId="313BC6A9" w14:textId="77777777" w:rsidR="00006701" w:rsidRPr="00A4671B" w:rsidRDefault="00006701" w:rsidP="00CC161A">
            <w:pPr>
              <w:pStyle w:val="TableParagraph"/>
              <w:spacing w:before="0"/>
              <w:rPr>
                <w:rFonts w:ascii="Times New Roman" w:hAnsi="Times New Roman" w:cs="Times New Roman"/>
                <w:color w:val="000000" w:themeColor="text1"/>
                <w:sz w:val="16"/>
              </w:rPr>
            </w:pPr>
          </w:p>
        </w:tc>
        <w:tc>
          <w:tcPr>
            <w:tcW w:w="10134" w:type="dxa"/>
            <w:gridSpan w:val="11"/>
            <w:tcBorders>
              <w:top w:val="single" w:sz="8" w:space="0" w:color="000000"/>
              <w:right w:val="single" w:sz="4" w:space="0" w:color="000000"/>
            </w:tcBorders>
          </w:tcPr>
          <w:p w14:paraId="5D410C9F" w14:textId="77777777" w:rsidR="00006701" w:rsidRPr="00A4671B" w:rsidRDefault="00006701" w:rsidP="00CC161A">
            <w:pPr>
              <w:pStyle w:val="TableParagraph"/>
              <w:spacing w:before="0"/>
              <w:ind w:left="414" w:right="403"/>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Araç Hakkında </w:t>
            </w:r>
            <w:r w:rsidRPr="00A4671B">
              <w:rPr>
                <w:rFonts w:ascii="Times New Roman" w:hAnsi="Times New Roman" w:cs="Times New Roman"/>
                <w:b/>
                <w:bCs/>
                <w:color w:val="000000" w:themeColor="text1"/>
                <w:spacing w:val="-2"/>
                <w:sz w:val="20"/>
              </w:rPr>
              <w:t>Bilgiler</w:t>
            </w:r>
          </w:p>
        </w:tc>
      </w:tr>
      <w:tr w:rsidR="00A4671B" w:rsidRPr="00A4671B" w14:paraId="24BE3553" w14:textId="77777777" w:rsidTr="00CC161A">
        <w:trPr>
          <w:trHeight w:val="325"/>
          <w:jc w:val="center"/>
        </w:trPr>
        <w:tc>
          <w:tcPr>
            <w:tcW w:w="416" w:type="dxa"/>
            <w:vMerge/>
            <w:tcBorders>
              <w:top w:val="nil"/>
            </w:tcBorders>
          </w:tcPr>
          <w:p w14:paraId="1D2F924E" w14:textId="77777777" w:rsidR="00006701" w:rsidRPr="00A4671B" w:rsidRDefault="00006701" w:rsidP="00CC161A">
            <w:pPr>
              <w:rPr>
                <w:color w:val="000000" w:themeColor="text1"/>
                <w:sz w:val="2"/>
                <w:szCs w:val="2"/>
              </w:rPr>
            </w:pPr>
          </w:p>
        </w:tc>
        <w:tc>
          <w:tcPr>
            <w:tcW w:w="2031" w:type="dxa"/>
          </w:tcPr>
          <w:p w14:paraId="450C8C3C" w14:textId="77777777" w:rsidR="00006701" w:rsidRPr="00A4671B" w:rsidRDefault="00006701" w:rsidP="00CC161A">
            <w:pPr>
              <w:pStyle w:val="TableParagraph"/>
              <w:spacing w:before="0"/>
              <w:ind w:left="63"/>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Araç</w:t>
            </w:r>
            <w:r w:rsidRPr="00A4671B">
              <w:rPr>
                <w:rFonts w:ascii="Times New Roman" w:hAnsi="Times New Roman" w:cs="Times New Roman"/>
                <w:color w:val="000000" w:themeColor="text1"/>
                <w:spacing w:val="-4"/>
                <w:sz w:val="18"/>
              </w:rPr>
              <w:t xml:space="preserve"> </w:t>
            </w:r>
            <w:r w:rsidRPr="00A4671B">
              <w:rPr>
                <w:rFonts w:ascii="Times New Roman" w:hAnsi="Times New Roman" w:cs="Times New Roman"/>
                <w:color w:val="000000" w:themeColor="text1"/>
                <w:spacing w:val="-2"/>
                <w:sz w:val="18"/>
              </w:rPr>
              <w:t>Kategorisi</w:t>
            </w:r>
          </w:p>
        </w:tc>
        <w:tc>
          <w:tcPr>
            <w:tcW w:w="2884" w:type="dxa"/>
            <w:gridSpan w:val="5"/>
          </w:tcPr>
          <w:p w14:paraId="0D6CA1BB" w14:textId="77777777" w:rsidR="00006701" w:rsidRPr="00A4671B" w:rsidRDefault="00006701" w:rsidP="00CC161A">
            <w:pPr>
              <w:pStyle w:val="TableParagraph"/>
              <w:spacing w:before="0"/>
              <w:ind w:left="61"/>
              <w:rPr>
                <w:rFonts w:ascii="Times New Roman" w:hAnsi="Times New Roman" w:cs="Times New Roman"/>
                <w:color w:val="000000" w:themeColor="text1"/>
                <w:sz w:val="14"/>
              </w:rPr>
            </w:pPr>
          </w:p>
        </w:tc>
        <w:tc>
          <w:tcPr>
            <w:tcW w:w="1626" w:type="dxa"/>
            <w:gridSpan w:val="2"/>
          </w:tcPr>
          <w:p w14:paraId="1B8544CC" w14:textId="77777777" w:rsidR="00006701" w:rsidRPr="00A4671B" w:rsidRDefault="00006701" w:rsidP="00CC161A">
            <w:pPr>
              <w:pStyle w:val="TableParagraph"/>
              <w:spacing w:before="0"/>
              <w:ind w:left="71"/>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Marka</w:t>
            </w:r>
          </w:p>
        </w:tc>
        <w:tc>
          <w:tcPr>
            <w:tcW w:w="3591" w:type="dxa"/>
            <w:gridSpan w:val="3"/>
            <w:tcBorders>
              <w:right w:val="single" w:sz="4" w:space="0" w:color="000000"/>
            </w:tcBorders>
          </w:tcPr>
          <w:p w14:paraId="62AD12FC" w14:textId="77777777" w:rsidR="00006701" w:rsidRPr="00A4671B" w:rsidRDefault="00006701" w:rsidP="00CC161A">
            <w:pPr>
              <w:pStyle w:val="TableParagraph"/>
              <w:spacing w:before="0"/>
              <w:ind w:left="31"/>
              <w:rPr>
                <w:rFonts w:ascii="Times New Roman" w:hAnsi="Times New Roman" w:cs="Times New Roman"/>
                <w:color w:val="000000" w:themeColor="text1"/>
                <w:sz w:val="16"/>
              </w:rPr>
            </w:pPr>
          </w:p>
        </w:tc>
      </w:tr>
      <w:tr w:rsidR="00A4671B" w:rsidRPr="00A4671B" w14:paraId="0D5A65F1" w14:textId="77777777" w:rsidTr="00CC161A">
        <w:trPr>
          <w:trHeight w:val="311"/>
          <w:jc w:val="center"/>
        </w:trPr>
        <w:tc>
          <w:tcPr>
            <w:tcW w:w="416" w:type="dxa"/>
            <w:vMerge/>
            <w:tcBorders>
              <w:top w:val="nil"/>
            </w:tcBorders>
          </w:tcPr>
          <w:p w14:paraId="30107A95" w14:textId="77777777" w:rsidR="00006701" w:rsidRPr="00A4671B" w:rsidRDefault="00006701" w:rsidP="00CC161A">
            <w:pPr>
              <w:rPr>
                <w:color w:val="000000" w:themeColor="text1"/>
                <w:sz w:val="2"/>
                <w:szCs w:val="2"/>
              </w:rPr>
            </w:pPr>
          </w:p>
        </w:tc>
        <w:tc>
          <w:tcPr>
            <w:tcW w:w="2031" w:type="dxa"/>
          </w:tcPr>
          <w:p w14:paraId="033B8046" w14:textId="77777777" w:rsidR="00006701" w:rsidRPr="00A4671B" w:rsidRDefault="00006701" w:rsidP="00CC161A">
            <w:pPr>
              <w:pStyle w:val="TableParagraph"/>
              <w:spacing w:before="0"/>
              <w:ind w:left="63"/>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Plaka</w:t>
            </w:r>
            <w:r w:rsidRPr="00A4671B">
              <w:rPr>
                <w:rFonts w:ascii="Times New Roman" w:hAnsi="Times New Roman" w:cs="Times New Roman"/>
                <w:color w:val="000000" w:themeColor="text1"/>
                <w:spacing w:val="-5"/>
                <w:sz w:val="18"/>
              </w:rPr>
              <w:t xml:space="preserve"> No</w:t>
            </w:r>
          </w:p>
        </w:tc>
        <w:tc>
          <w:tcPr>
            <w:tcW w:w="2884" w:type="dxa"/>
            <w:gridSpan w:val="5"/>
          </w:tcPr>
          <w:p w14:paraId="1CB49E40" w14:textId="77777777" w:rsidR="00006701" w:rsidRPr="00A4671B" w:rsidRDefault="00006701" w:rsidP="00CC161A">
            <w:pPr>
              <w:pStyle w:val="TableParagraph"/>
              <w:spacing w:before="0"/>
              <w:ind w:left="61"/>
              <w:rPr>
                <w:rFonts w:ascii="Times New Roman" w:hAnsi="Times New Roman" w:cs="Times New Roman"/>
                <w:color w:val="000000" w:themeColor="text1"/>
                <w:sz w:val="16"/>
              </w:rPr>
            </w:pPr>
          </w:p>
        </w:tc>
        <w:tc>
          <w:tcPr>
            <w:tcW w:w="1626" w:type="dxa"/>
            <w:gridSpan w:val="2"/>
          </w:tcPr>
          <w:p w14:paraId="5827C628" w14:textId="77777777" w:rsidR="00006701" w:rsidRPr="00A4671B" w:rsidRDefault="00006701" w:rsidP="00CC161A">
            <w:pPr>
              <w:pStyle w:val="TableParagraph"/>
              <w:spacing w:before="0"/>
              <w:ind w:left="71"/>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Model</w:t>
            </w:r>
          </w:p>
        </w:tc>
        <w:tc>
          <w:tcPr>
            <w:tcW w:w="3591" w:type="dxa"/>
            <w:gridSpan w:val="3"/>
            <w:tcBorders>
              <w:right w:val="single" w:sz="4" w:space="0" w:color="000000"/>
            </w:tcBorders>
          </w:tcPr>
          <w:p w14:paraId="08E9D343" w14:textId="77777777" w:rsidR="00006701" w:rsidRPr="00A4671B" w:rsidRDefault="00006701" w:rsidP="00CC161A">
            <w:pPr>
              <w:pStyle w:val="TableParagraph"/>
              <w:spacing w:before="0"/>
              <w:ind w:left="127"/>
              <w:rPr>
                <w:rFonts w:ascii="Times New Roman" w:hAnsi="Times New Roman" w:cs="Times New Roman"/>
                <w:color w:val="000000" w:themeColor="text1"/>
                <w:sz w:val="16"/>
              </w:rPr>
            </w:pPr>
          </w:p>
        </w:tc>
      </w:tr>
      <w:tr w:rsidR="00A4671B" w:rsidRPr="00A4671B" w14:paraId="0E5CF2FA" w14:textId="77777777" w:rsidTr="00CC161A">
        <w:trPr>
          <w:trHeight w:val="325"/>
          <w:jc w:val="center"/>
        </w:trPr>
        <w:tc>
          <w:tcPr>
            <w:tcW w:w="416" w:type="dxa"/>
            <w:vMerge/>
            <w:tcBorders>
              <w:top w:val="nil"/>
            </w:tcBorders>
          </w:tcPr>
          <w:p w14:paraId="600595A8" w14:textId="77777777" w:rsidR="00006701" w:rsidRPr="00A4671B" w:rsidRDefault="00006701" w:rsidP="00CC161A">
            <w:pPr>
              <w:rPr>
                <w:color w:val="000000" w:themeColor="text1"/>
                <w:sz w:val="2"/>
                <w:szCs w:val="2"/>
              </w:rPr>
            </w:pPr>
          </w:p>
        </w:tc>
        <w:tc>
          <w:tcPr>
            <w:tcW w:w="2031" w:type="dxa"/>
          </w:tcPr>
          <w:p w14:paraId="514B3655" w14:textId="77777777" w:rsidR="00006701" w:rsidRPr="00A4671B" w:rsidRDefault="00006701" w:rsidP="00CC161A">
            <w:pPr>
              <w:pStyle w:val="TableParagraph"/>
              <w:spacing w:before="0"/>
              <w:ind w:left="63"/>
              <w:rPr>
                <w:rFonts w:ascii="Times New Roman" w:hAnsi="Times New Roman" w:cs="Times New Roman"/>
                <w:color w:val="000000" w:themeColor="text1"/>
                <w:sz w:val="18"/>
              </w:rPr>
            </w:pPr>
            <w:r w:rsidRPr="00A4671B">
              <w:rPr>
                <w:rFonts w:ascii="Times New Roman" w:hAnsi="Times New Roman" w:cs="Times New Roman"/>
                <w:color w:val="000000" w:themeColor="text1"/>
                <w:w w:val="105"/>
                <w:sz w:val="18"/>
              </w:rPr>
              <w:t>Şasi</w:t>
            </w:r>
            <w:r w:rsidRPr="00A4671B">
              <w:rPr>
                <w:rFonts w:ascii="Times New Roman" w:hAnsi="Times New Roman" w:cs="Times New Roman"/>
                <w:color w:val="000000" w:themeColor="text1"/>
                <w:spacing w:val="2"/>
                <w:w w:val="105"/>
                <w:sz w:val="18"/>
              </w:rPr>
              <w:t xml:space="preserve"> </w:t>
            </w:r>
            <w:r w:rsidRPr="00A4671B">
              <w:rPr>
                <w:rFonts w:ascii="Times New Roman" w:hAnsi="Times New Roman" w:cs="Times New Roman"/>
                <w:color w:val="000000" w:themeColor="text1"/>
                <w:spacing w:val="-5"/>
                <w:w w:val="105"/>
                <w:sz w:val="18"/>
              </w:rPr>
              <w:t>No</w:t>
            </w:r>
          </w:p>
        </w:tc>
        <w:tc>
          <w:tcPr>
            <w:tcW w:w="2884" w:type="dxa"/>
            <w:gridSpan w:val="5"/>
          </w:tcPr>
          <w:p w14:paraId="4D702EB9" w14:textId="77777777" w:rsidR="00006701" w:rsidRPr="00A4671B" w:rsidRDefault="00006701" w:rsidP="00CC161A">
            <w:pPr>
              <w:pStyle w:val="TableParagraph"/>
              <w:spacing w:before="0"/>
              <w:ind w:left="61"/>
              <w:rPr>
                <w:rFonts w:ascii="Times New Roman" w:hAnsi="Times New Roman" w:cs="Times New Roman"/>
                <w:color w:val="000000" w:themeColor="text1"/>
                <w:sz w:val="16"/>
              </w:rPr>
            </w:pPr>
          </w:p>
        </w:tc>
        <w:tc>
          <w:tcPr>
            <w:tcW w:w="1626" w:type="dxa"/>
            <w:gridSpan w:val="2"/>
          </w:tcPr>
          <w:p w14:paraId="63BD52DC" w14:textId="77777777" w:rsidR="00006701" w:rsidRPr="00A4671B" w:rsidRDefault="00006701" w:rsidP="00CC161A">
            <w:pPr>
              <w:pStyle w:val="TableParagraph"/>
              <w:spacing w:before="0"/>
              <w:ind w:left="71"/>
              <w:rPr>
                <w:rFonts w:ascii="Times New Roman" w:hAnsi="Times New Roman" w:cs="Times New Roman"/>
                <w:color w:val="000000" w:themeColor="text1"/>
                <w:sz w:val="18"/>
              </w:rPr>
            </w:pPr>
            <w:r w:rsidRPr="00A4671B">
              <w:rPr>
                <w:rFonts w:ascii="Times New Roman" w:hAnsi="Times New Roman" w:cs="Times New Roman"/>
                <w:color w:val="000000" w:themeColor="text1"/>
                <w:spacing w:val="-4"/>
                <w:sz w:val="18"/>
              </w:rPr>
              <w:t>Renk</w:t>
            </w:r>
          </w:p>
        </w:tc>
        <w:tc>
          <w:tcPr>
            <w:tcW w:w="3591" w:type="dxa"/>
            <w:gridSpan w:val="3"/>
            <w:tcBorders>
              <w:right w:val="single" w:sz="4" w:space="0" w:color="000000"/>
            </w:tcBorders>
          </w:tcPr>
          <w:p w14:paraId="7120B216" w14:textId="77777777" w:rsidR="00006701" w:rsidRPr="00A4671B" w:rsidRDefault="00006701" w:rsidP="00CC161A">
            <w:pPr>
              <w:pStyle w:val="TableParagraph"/>
              <w:spacing w:before="0"/>
              <w:ind w:left="31"/>
              <w:rPr>
                <w:rFonts w:ascii="Times New Roman" w:hAnsi="Times New Roman" w:cs="Times New Roman"/>
                <w:color w:val="000000" w:themeColor="text1"/>
                <w:sz w:val="16"/>
              </w:rPr>
            </w:pPr>
          </w:p>
        </w:tc>
      </w:tr>
      <w:tr w:rsidR="00A4671B" w:rsidRPr="00A4671B" w14:paraId="2E6D6C7D" w14:textId="77777777" w:rsidTr="00CC161A">
        <w:trPr>
          <w:trHeight w:val="302"/>
          <w:jc w:val="center"/>
        </w:trPr>
        <w:tc>
          <w:tcPr>
            <w:tcW w:w="416" w:type="dxa"/>
            <w:vMerge/>
            <w:tcBorders>
              <w:top w:val="nil"/>
            </w:tcBorders>
          </w:tcPr>
          <w:p w14:paraId="1EE21366" w14:textId="77777777" w:rsidR="00006701" w:rsidRPr="00A4671B" w:rsidRDefault="00006701" w:rsidP="00CC161A">
            <w:pPr>
              <w:rPr>
                <w:color w:val="000000" w:themeColor="text1"/>
                <w:sz w:val="2"/>
                <w:szCs w:val="2"/>
              </w:rPr>
            </w:pPr>
          </w:p>
        </w:tc>
        <w:tc>
          <w:tcPr>
            <w:tcW w:w="2031" w:type="dxa"/>
          </w:tcPr>
          <w:p w14:paraId="620EFAD5" w14:textId="77777777" w:rsidR="00006701" w:rsidRPr="00A4671B" w:rsidRDefault="00006701" w:rsidP="00CC161A">
            <w:pPr>
              <w:pStyle w:val="TableParagraph"/>
              <w:spacing w:before="0"/>
              <w:ind w:left="63"/>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Motor</w:t>
            </w:r>
            <w:r w:rsidRPr="00A4671B">
              <w:rPr>
                <w:rFonts w:ascii="Times New Roman" w:hAnsi="Times New Roman" w:cs="Times New Roman"/>
                <w:color w:val="000000" w:themeColor="text1"/>
                <w:spacing w:val="-5"/>
                <w:sz w:val="18"/>
              </w:rPr>
              <w:t xml:space="preserve"> No</w:t>
            </w:r>
          </w:p>
        </w:tc>
        <w:tc>
          <w:tcPr>
            <w:tcW w:w="2884" w:type="dxa"/>
            <w:gridSpan w:val="5"/>
          </w:tcPr>
          <w:p w14:paraId="73B9A1DB" w14:textId="77777777" w:rsidR="00006701" w:rsidRPr="00A4671B" w:rsidRDefault="00006701" w:rsidP="00CC161A">
            <w:pPr>
              <w:pStyle w:val="TableParagraph"/>
              <w:spacing w:before="0"/>
              <w:ind w:left="61"/>
              <w:rPr>
                <w:rFonts w:ascii="Times New Roman" w:hAnsi="Times New Roman" w:cs="Times New Roman"/>
                <w:color w:val="000000" w:themeColor="text1"/>
                <w:sz w:val="16"/>
              </w:rPr>
            </w:pPr>
          </w:p>
        </w:tc>
        <w:tc>
          <w:tcPr>
            <w:tcW w:w="1626" w:type="dxa"/>
            <w:gridSpan w:val="2"/>
          </w:tcPr>
          <w:p w14:paraId="33833EA7" w14:textId="77777777" w:rsidR="00006701" w:rsidRPr="00A4671B" w:rsidRDefault="00006701" w:rsidP="00CC161A">
            <w:pPr>
              <w:pStyle w:val="TableParagraph"/>
              <w:spacing w:before="0"/>
              <w:ind w:left="71"/>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 xml:space="preserve">Net Ağırlık </w:t>
            </w:r>
            <w:r w:rsidRPr="00A4671B">
              <w:rPr>
                <w:rFonts w:ascii="Times New Roman" w:hAnsi="Times New Roman" w:cs="Times New Roman"/>
                <w:color w:val="000000" w:themeColor="text1"/>
                <w:spacing w:val="-4"/>
                <w:sz w:val="18"/>
              </w:rPr>
              <w:t>(kg)</w:t>
            </w:r>
          </w:p>
        </w:tc>
        <w:tc>
          <w:tcPr>
            <w:tcW w:w="3591" w:type="dxa"/>
            <w:gridSpan w:val="3"/>
            <w:tcBorders>
              <w:right w:val="single" w:sz="4" w:space="0" w:color="000000"/>
            </w:tcBorders>
          </w:tcPr>
          <w:p w14:paraId="4D075C51" w14:textId="77777777" w:rsidR="00006701" w:rsidRPr="00A4671B" w:rsidRDefault="00006701" w:rsidP="00CC161A">
            <w:pPr>
              <w:pStyle w:val="TableParagraph"/>
              <w:spacing w:before="0"/>
              <w:ind w:left="127"/>
              <w:rPr>
                <w:rFonts w:ascii="Times New Roman" w:hAnsi="Times New Roman" w:cs="Times New Roman"/>
                <w:color w:val="000000" w:themeColor="text1"/>
                <w:sz w:val="16"/>
              </w:rPr>
            </w:pPr>
          </w:p>
        </w:tc>
      </w:tr>
      <w:tr w:rsidR="00A4671B" w:rsidRPr="00A4671B" w14:paraId="396AE2A6" w14:textId="77777777" w:rsidTr="00CC161A">
        <w:trPr>
          <w:trHeight w:val="402"/>
          <w:jc w:val="center"/>
        </w:trPr>
        <w:tc>
          <w:tcPr>
            <w:tcW w:w="416" w:type="dxa"/>
            <w:vMerge/>
            <w:tcBorders>
              <w:top w:val="nil"/>
            </w:tcBorders>
          </w:tcPr>
          <w:p w14:paraId="36E7C1D1" w14:textId="77777777" w:rsidR="00006701" w:rsidRPr="00A4671B" w:rsidRDefault="00006701" w:rsidP="00CC161A">
            <w:pPr>
              <w:rPr>
                <w:color w:val="000000" w:themeColor="text1"/>
                <w:sz w:val="2"/>
                <w:szCs w:val="2"/>
              </w:rPr>
            </w:pPr>
          </w:p>
        </w:tc>
        <w:tc>
          <w:tcPr>
            <w:tcW w:w="10134" w:type="dxa"/>
            <w:gridSpan w:val="11"/>
            <w:tcBorders>
              <w:right w:val="single" w:sz="4" w:space="0" w:color="000000"/>
            </w:tcBorders>
          </w:tcPr>
          <w:p w14:paraId="7403308F" w14:textId="77777777" w:rsidR="00006701" w:rsidRPr="00A4671B" w:rsidRDefault="00006701" w:rsidP="00CC161A">
            <w:pPr>
              <w:pStyle w:val="TableParagraph"/>
              <w:spacing w:before="0"/>
              <w:ind w:left="470" w:right="403"/>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Araç Sahibi Hakkında </w:t>
            </w:r>
            <w:r w:rsidRPr="00A4671B">
              <w:rPr>
                <w:rFonts w:ascii="Times New Roman" w:hAnsi="Times New Roman" w:cs="Times New Roman"/>
                <w:b/>
                <w:bCs/>
                <w:color w:val="000000" w:themeColor="text1"/>
                <w:spacing w:val="-2"/>
                <w:sz w:val="20"/>
              </w:rPr>
              <w:t>Bilgiler</w:t>
            </w:r>
          </w:p>
        </w:tc>
      </w:tr>
      <w:tr w:rsidR="00A4671B" w:rsidRPr="00A4671B" w14:paraId="115427E2" w14:textId="77777777" w:rsidTr="00CC161A">
        <w:trPr>
          <w:trHeight w:val="325"/>
          <w:jc w:val="center"/>
        </w:trPr>
        <w:tc>
          <w:tcPr>
            <w:tcW w:w="416" w:type="dxa"/>
            <w:vMerge/>
            <w:tcBorders>
              <w:top w:val="nil"/>
            </w:tcBorders>
          </w:tcPr>
          <w:p w14:paraId="5485C827" w14:textId="77777777" w:rsidR="00006701" w:rsidRPr="00A4671B" w:rsidRDefault="00006701" w:rsidP="00CC161A">
            <w:pPr>
              <w:rPr>
                <w:color w:val="000000" w:themeColor="text1"/>
                <w:sz w:val="2"/>
                <w:szCs w:val="2"/>
              </w:rPr>
            </w:pPr>
          </w:p>
        </w:tc>
        <w:tc>
          <w:tcPr>
            <w:tcW w:w="2031" w:type="dxa"/>
          </w:tcPr>
          <w:p w14:paraId="2B5C75CF" w14:textId="77777777" w:rsidR="00006701" w:rsidRPr="00A4671B" w:rsidRDefault="00006701" w:rsidP="00CC161A">
            <w:pPr>
              <w:pStyle w:val="TableParagraph"/>
              <w:spacing w:before="0"/>
              <w:ind w:left="54"/>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TC</w:t>
            </w:r>
            <w:r w:rsidRPr="00A4671B">
              <w:rPr>
                <w:rFonts w:ascii="Times New Roman" w:hAnsi="Times New Roman" w:cs="Times New Roman"/>
                <w:color w:val="000000" w:themeColor="text1"/>
                <w:spacing w:val="-6"/>
                <w:sz w:val="18"/>
              </w:rPr>
              <w:t xml:space="preserve"> </w:t>
            </w:r>
            <w:r w:rsidRPr="00A4671B">
              <w:rPr>
                <w:rFonts w:ascii="Times New Roman" w:hAnsi="Times New Roman" w:cs="Times New Roman"/>
                <w:color w:val="000000" w:themeColor="text1"/>
                <w:sz w:val="18"/>
              </w:rPr>
              <w:t>Kimlik</w:t>
            </w:r>
            <w:r w:rsidRPr="00A4671B">
              <w:rPr>
                <w:rFonts w:ascii="Times New Roman" w:hAnsi="Times New Roman" w:cs="Times New Roman"/>
                <w:color w:val="000000" w:themeColor="text1"/>
                <w:spacing w:val="-5"/>
                <w:sz w:val="18"/>
              </w:rPr>
              <w:t xml:space="preserve"> </w:t>
            </w:r>
            <w:r w:rsidRPr="00A4671B">
              <w:rPr>
                <w:rFonts w:ascii="Times New Roman" w:hAnsi="Times New Roman" w:cs="Times New Roman"/>
                <w:color w:val="000000" w:themeColor="text1"/>
                <w:sz w:val="18"/>
              </w:rPr>
              <w:t>No/Vergi</w:t>
            </w:r>
            <w:r w:rsidRPr="00A4671B">
              <w:rPr>
                <w:rFonts w:ascii="Times New Roman" w:hAnsi="Times New Roman" w:cs="Times New Roman"/>
                <w:color w:val="000000" w:themeColor="text1"/>
                <w:spacing w:val="-5"/>
                <w:sz w:val="18"/>
              </w:rPr>
              <w:t xml:space="preserve"> No</w:t>
            </w:r>
          </w:p>
        </w:tc>
        <w:tc>
          <w:tcPr>
            <w:tcW w:w="8102" w:type="dxa"/>
            <w:gridSpan w:val="10"/>
            <w:tcBorders>
              <w:right w:val="single" w:sz="4" w:space="0" w:color="000000"/>
            </w:tcBorders>
          </w:tcPr>
          <w:p w14:paraId="1520406C" w14:textId="77777777" w:rsidR="00006701" w:rsidRPr="00A4671B" w:rsidRDefault="00006701" w:rsidP="00CC161A">
            <w:pPr>
              <w:pStyle w:val="TableParagraph"/>
              <w:spacing w:before="0"/>
              <w:ind w:left="50"/>
              <w:rPr>
                <w:rFonts w:ascii="Times New Roman" w:hAnsi="Times New Roman" w:cs="Times New Roman"/>
                <w:color w:val="000000" w:themeColor="text1"/>
                <w:sz w:val="16"/>
              </w:rPr>
            </w:pPr>
          </w:p>
        </w:tc>
      </w:tr>
      <w:tr w:rsidR="00A4671B" w:rsidRPr="00A4671B" w14:paraId="2B15EBBF" w14:textId="77777777" w:rsidTr="00CC161A">
        <w:trPr>
          <w:trHeight w:val="323"/>
          <w:jc w:val="center"/>
        </w:trPr>
        <w:tc>
          <w:tcPr>
            <w:tcW w:w="416" w:type="dxa"/>
            <w:vMerge/>
            <w:tcBorders>
              <w:top w:val="nil"/>
            </w:tcBorders>
          </w:tcPr>
          <w:p w14:paraId="648AC8DD" w14:textId="77777777" w:rsidR="00006701" w:rsidRPr="00A4671B" w:rsidRDefault="00006701" w:rsidP="00CC161A">
            <w:pPr>
              <w:rPr>
                <w:color w:val="000000" w:themeColor="text1"/>
                <w:sz w:val="2"/>
                <w:szCs w:val="2"/>
              </w:rPr>
            </w:pPr>
          </w:p>
        </w:tc>
        <w:tc>
          <w:tcPr>
            <w:tcW w:w="2031" w:type="dxa"/>
          </w:tcPr>
          <w:p w14:paraId="3B48B63B" w14:textId="77777777" w:rsidR="00006701" w:rsidRPr="00A4671B" w:rsidRDefault="00006701" w:rsidP="00CC161A">
            <w:pPr>
              <w:pStyle w:val="TableParagraph"/>
              <w:spacing w:before="0"/>
              <w:ind w:left="54"/>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Adı/Unvanı</w:t>
            </w:r>
          </w:p>
        </w:tc>
        <w:tc>
          <w:tcPr>
            <w:tcW w:w="8102" w:type="dxa"/>
            <w:gridSpan w:val="10"/>
            <w:tcBorders>
              <w:right w:val="single" w:sz="4" w:space="0" w:color="000000"/>
            </w:tcBorders>
          </w:tcPr>
          <w:p w14:paraId="6F83B725" w14:textId="77777777" w:rsidR="00006701" w:rsidRPr="00A4671B" w:rsidRDefault="00006701" w:rsidP="00CC161A">
            <w:pPr>
              <w:pStyle w:val="TableParagraph"/>
              <w:tabs>
                <w:tab w:val="left" w:pos="2418"/>
              </w:tabs>
              <w:spacing w:before="0"/>
              <w:ind w:left="50"/>
              <w:rPr>
                <w:rFonts w:ascii="Times New Roman" w:hAnsi="Times New Roman" w:cs="Times New Roman"/>
                <w:color w:val="000000" w:themeColor="text1"/>
                <w:sz w:val="16"/>
              </w:rPr>
            </w:pPr>
            <w:r w:rsidRPr="00A4671B">
              <w:rPr>
                <w:rFonts w:ascii="Times New Roman" w:hAnsi="Times New Roman" w:cs="Times New Roman"/>
                <w:color w:val="000000" w:themeColor="text1"/>
                <w:sz w:val="16"/>
              </w:rPr>
              <w:tab/>
            </w:r>
          </w:p>
        </w:tc>
      </w:tr>
      <w:tr w:rsidR="00A4671B" w:rsidRPr="00A4671B" w14:paraId="7D8E2FEF" w14:textId="77777777" w:rsidTr="00CC161A">
        <w:trPr>
          <w:trHeight w:val="312"/>
          <w:jc w:val="center"/>
        </w:trPr>
        <w:tc>
          <w:tcPr>
            <w:tcW w:w="416" w:type="dxa"/>
            <w:vMerge/>
            <w:tcBorders>
              <w:top w:val="nil"/>
            </w:tcBorders>
          </w:tcPr>
          <w:p w14:paraId="0301C80C" w14:textId="77777777" w:rsidR="00006701" w:rsidRPr="00A4671B" w:rsidRDefault="00006701" w:rsidP="00CC161A">
            <w:pPr>
              <w:rPr>
                <w:color w:val="000000" w:themeColor="text1"/>
                <w:sz w:val="2"/>
                <w:szCs w:val="2"/>
              </w:rPr>
            </w:pPr>
          </w:p>
        </w:tc>
        <w:tc>
          <w:tcPr>
            <w:tcW w:w="2031" w:type="dxa"/>
          </w:tcPr>
          <w:p w14:paraId="766416AC" w14:textId="77777777" w:rsidR="00006701" w:rsidRPr="00A4671B" w:rsidRDefault="00006701" w:rsidP="00CC161A">
            <w:pPr>
              <w:pStyle w:val="TableParagraph"/>
              <w:spacing w:before="0"/>
              <w:ind w:left="54"/>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Soyadı/Unvanı</w:t>
            </w:r>
          </w:p>
        </w:tc>
        <w:tc>
          <w:tcPr>
            <w:tcW w:w="8102" w:type="dxa"/>
            <w:gridSpan w:val="10"/>
            <w:tcBorders>
              <w:right w:val="single" w:sz="4" w:space="0" w:color="000000"/>
            </w:tcBorders>
          </w:tcPr>
          <w:p w14:paraId="78C6CC07" w14:textId="77777777" w:rsidR="00006701" w:rsidRPr="00A4671B" w:rsidRDefault="00006701" w:rsidP="00CC161A">
            <w:pPr>
              <w:pStyle w:val="TableParagraph"/>
              <w:spacing w:before="0"/>
              <w:ind w:left="51"/>
              <w:rPr>
                <w:rFonts w:ascii="Times New Roman" w:hAnsi="Times New Roman" w:cs="Times New Roman"/>
                <w:color w:val="000000" w:themeColor="text1"/>
                <w:sz w:val="16"/>
              </w:rPr>
            </w:pPr>
          </w:p>
        </w:tc>
      </w:tr>
      <w:tr w:rsidR="00A4671B" w:rsidRPr="00A4671B" w14:paraId="210BE927" w14:textId="77777777" w:rsidTr="00CC161A">
        <w:trPr>
          <w:trHeight w:val="488"/>
          <w:jc w:val="center"/>
        </w:trPr>
        <w:tc>
          <w:tcPr>
            <w:tcW w:w="416" w:type="dxa"/>
            <w:vMerge/>
            <w:tcBorders>
              <w:top w:val="nil"/>
            </w:tcBorders>
          </w:tcPr>
          <w:p w14:paraId="52D1ECB8" w14:textId="77777777" w:rsidR="00006701" w:rsidRPr="00A4671B" w:rsidRDefault="00006701" w:rsidP="00CC161A">
            <w:pPr>
              <w:rPr>
                <w:color w:val="000000" w:themeColor="text1"/>
                <w:sz w:val="2"/>
                <w:szCs w:val="2"/>
              </w:rPr>
            </w:pPr>
          </w:p>
        </w:tc>
        <w:tc>
          <w:tcPr>
            <w:tcW w:w="2031" w:type="dxa"/>
            <w:tcBorders>
              <w:bottom w:val="single" w:sz="8" w:space="0" w:color="000000"/>
            </w:tcBorders>
          </w:tcPr>
          <w:p w14:paraId="5A732349" w14:textId="77777777" w:rsidR="00006701" w:rsidRPr="00A4671B" w:rsidRDefault="00006701" w:rsidP="00CC161A">
            <w:pPr>
              <w:pStyle w:val="TableParagraph"/>
              <w:spacing w:before="0"/>
              <w:ind w:left="54"/>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Adresi</w:t>
            </w:r>
          </w:p>
        </w:tc>
        <w:tc>
          <w:tcPr>
            <w:tcW w:w="8102" w:type="dxa"/>
            <w:gridSpan w:val="10"/>
            <w:tcBorders>
              <w:bottom w:val="single" w:sz="8" w:space="0" w:color="000000"/>
              <w:right w:val="single" w:sz="4" w:space="0" w:color="000000"/>
            </w:tcBorders>
          </w:tcPr>
          <w:p w14:paraId="0E1D9C90" w14:textId="77777777" w:rsidR="00006701" w:rsidRPr="00A4671B" w:rsidRDefault="00006701" w:rsidP="00CC161A">
            <w:pPr>
              <w:pStyle w:val="TableParagraph"/>
              <w:spacing w:before="0"/>
              <w:ind w:left="66"/>
              <w:rPr>
                <w:rFonts w:ascii="Times New Roman" w:hAnsi="Times New Roman" w:cs="Times New Roman"/>
                <w:color w:val="000000" w:themeColor="text1"/>
                <w:sz w:val="16"/>
              </w:rPr>
            </w:pPr>
          </w:p>
        </w:tc>
      </w:tr>
      <w:tr w:rsidR="00A4671B" w:rsidRPr="00A4671B" w14:paraId="7FF40F51" w14:textId="77777777" w:rsidTr="00CC161A">
        <w:trPr>
          <w:trHeight w:val="316"/>
          <w:jc w:val="center"/>
        </w:trPr>
        <w:tc>
          <w:tcPr>
            <w:tcW w:w="416" w:type="dxa"/>
            <w:vMerge/>
            <w:tcBorders>
              <w:top w:val="nil"/>
            </w:tcBorders>
          </w:tcPr>
          <w:p w14:paraId="60FC306B" w14:textId="77777777" w:rsidR="00006701" w:rsidRPr="00A4671B" w:rsidRDefault="00006701" w:rsidP="00CC161A">
            <w:pPr>
              <w:rPr>
                <w:color w:val="000000" w:themeColor="text1"/>
                <w:sz w:val="2"/>
                <w:szCs w:val="2"/>
              </w:rPr>
            </w:pPr>
          </w:p>
        </w:tc>
        <w:tc>
          <w:tcPr>
            <w:tcW w:w="2031" w:type="dxa"/>
            <w:tcBorders>
              <w:bottom w:val="single" w:sz="8" w:space="0" w:color="000000"/>
            </w:tcBorders>
          </w:tcPr>
          <w:p w14:paraId="45DA5C00" w14:textId="77777777" w:rsidR="00006701" w:rsidRPr="00A4671B" w:rsidRDefault="00006701" w:rsidP="00CC161A">
            <w:pPr>
              <w:pStyle w:val="TableParagraph"/>
              <w:spacing w:before="0"/>
              <w:ind w:left="66"/>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Posta</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pacing w:val="-4"/>
                <w:sz w:val="18"/>
                <w:szCs w:val="18"/>
              </w:rPr>
              <w:t>Kodu</w:t>
            </w:r>
          </w:p>
        </w:tc>
        <w:tc>
          <w:tcPr>
            <w:tcW w:w="1495" w:type="dxa"/>
            <w:tcBorders>
              <w:bottom w:val="single" w:sz="8" w:space="0" w:color="000000"/>
              <w:right w:val="single" w:sz="8" w:space="0" w:color="000000"/>
            </w:tcBorders>
          </w:tcPr>
          <w:p w14:paraId="650851C0" w14:textId="77777777" w:rsidR="00006701" w:rsidRPr="00A4671B" w:rsidRDefault="00006701" w:rsidP="00CC161A">
            <w:pPr>
              <w:pStyle w:val="TableParagraph"/>
              <w:tabs>
                <w:tab w:val="left" w:pos="4446"/>
                <w:tab w:val="left" w:pos="5287"/>
              </w:tabs>
              <w:spacing w:before="0"/>
              <w:ind w:left="1203"/>
              <w:rPr>
                <w:rFonts w:ascii="Times New Roman" w:hAnsi="Times New Roman" w:cs="Times New Roman"/>
                <w:color w:val="000000" w:themeColor="text1"/>
                <w:sz w:val="18"/>
                <w:szCs w:val="18"/>
              </w:rPr>
            </w:pPr>
          </w:p>
        </w:tc>
        <w:tc>
          <w:tcPr>
            <w:tcW w:w="1144" w:type="dxa"/>
            <w:gridSpan w:val="2"/>
            <w:tcBorders>
              <w:bottom w:val="single" w:sz="8" w:space="0" w:color="000000"/>
              <w:right w:val="single" w:sz="8" w:space="0" w:color="000000"/>
            </w:tcBorders>
          </w:tcPr>
          <w:p w14:paraId="0B352638" w14:textId="77777777" w:rsidR="00006701" w:rsidRPr="00A4671B" w:rsidRDefault="00006701" w:rsidP="00CC161A">
            <w:pPr>
              <w:pStyle w:val="TableParagraph"/>
              <w:tabs>
                <w:tab w:val="left" w:pos="4446"/>
                <w:tab w:val="left" w:pos="5287"/>
              </w:tabs>
              <w:spacing w:before="0"/>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 xml:space="preserve"> İlçe</w:t>
            </w:r>
          </w:p>
        </w:tc>
        <w:tc>
          <w:tcPr>
            <w:tcW w:w="1859" w:type="dxa"/>
            <w:gridSpan w:val="3"/>
            <w:tcBorders>
              <w:bottom w:val="single" w:sz="8" w:space="0" w:color="000000"/>
              <w:right w:val="single" w:sz="8" w:space="0" w:color="000000"/>
            </w:tcBorders>
          </w:tcPr>
          <w:p w14:paraId="1107E24D" w14:textId="77777777" w:rsidR="00006701" w:rsidRPr="00A4671B" w:rsidRDefault="00006701" w:rsidP="00CC161A">
            <w:pPr>
              <w:pStyle w:val="TableParagraph"/>
              <w:tabs>
                <w:tab w:val="left" w:pos="4446"/>
                <w:tab w:val="left" w:pos="5287"/>
              </w:tabs>
              <w:spacing w:before="0"/>
              <w:ind w:left="1203"/>
              <w:rPr>
                <w:rFonts w:ascii="Times New Roman" w:hAnsi="Times New Roman" w:cs="Times New Roman"/>
                <w:color w:val="000000" w:themeColor="text1"/>
                <w:sz w:val="18"/>
                <w:szCs w:val="18"/>
              </w:rPr>
            </w:pPr>
          </w:p>
        </w:tc>
        <w:tc>
          <w:tcPr>
            <w:tcW w:w="1000" w:type="dxa"/>
            <w:gridSpan w:val="2"/>
            <w:tcBorders>
              <w:bottom w:val="single" w:sz="8" w:space="0" w:color="000000"/>
              <w:right w:val="single" w:sz="8" w:space="0" w:color="000000"/>
            </w:tcBorders>
          </w:tcPr>
          <w:p w14:paraId="76816109" w14:textId="77777777" w:rsidR="00006701" w:rsidRPr="00A4671B" w:rsidRDefault="00006701" w:rsidP="00CC161A">
            <w:pPr>
              <w:pStyle w:val="TableParagraph"/>
              <w:tabs>
                <w:tab w:val="left" w:pos="4446"/>
                <w:tab w:val="left" w:pos="5287"/>
              </w:tabs>
              <w:spacing w:before="0"/>
              <w:ind w:left="146"/>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İl</w:t>
            </w:r>
          </w:p>
        </w:tc>
        <w:tc>
          <w:tcPr>
            <w:tcW w:w="2602" w:type="dxa"/>
            <w:gridSpan w:val="2"/>
            <w:tcBorders>
              <w:bottom w:val="single" w:sz="8" w:space="0" w:color="000000"/>
              <w:right w:val="single" w:sz="8" w:space="0" w:color="000000"/>
            </w:tcBorders>
          </w:tcPr>
          <w:p w14:paraId="5C7497E5" w14:textId="77777777" w:rsidR="00006701" w:rsidRPr="00A4671B" w:rsidRDefault="00006701" w:rsidP="00CC161A">
            <w:pPr>
              <w:pStyle w:val="TableParagraph"/>
              <w:tabs>
                <w:tab w:val="left" w:pos="4446"/>
                <w:tab w:val="left" w:pos="5287"/>
              </w:tabs>
              <w:spacing w:before="0"/>
              <w:ind w:left="1203"/>
              <w:rPr>
                <w:rFonts w:ascii="Times New Roman" w:hAnsi="Times New Roman" w:cs="Times New Roman"/>
                <w:color w:val="000000" w:themeColor="text1"/>
                <w:sz w:val="18"/>
                <w:szCs w:val="18"/>
              </w:rPr>
            </w:pPr>
          </w:p>
        </w:tc>
      </w:tr>
      <w:tr w:rsidR="00A4671B" w:rsidRPr="00A4671B" w14:paraId="6C3C32A3" w14:textId="77777777" w:rsidTr="00CC161A">
        <w:trPr>
          <w:trHeight w:val="418"/>
          <w:jc w:val="center"/>
        </w:trPr>
        <w:tc>
          <w:tcPr>
            <w:tcW w:w="416" w:type="dxa"/>
            <w:vMerge/>
            <w:tcBorders>
              <w:top w:val="nil"/>
            </w:tcBorders>
          </w:tcPr>
          <w:p w14:paraId="50FCA28A" w14:textId="77777777" w:rsidR="00006701" w:rsidRPr="00A4671B" w:rsidRDefault="00006701" w:rsidP="00CC161A">
            <w:pPr>
              <w:rPr>
                <w:color w:val="000000" w:themeColor="text1"/>
                <w:sz w:val="2"/>
                <w:szCs w:val="2"/>
              </w:rPr>
            </w:pPr>
          </w:p>
        </w:tc>
        <w:tc>
          <w:tcPr>
            <w:tcW w:w="10134" w:type="dxa"/>
            <w:gridSpan w:val="11"/>
            <w:tcBorders>
              <w:bottom w:val="single" w:sz="8" w:space="0" w:color="000000"/>
              <w:right w:val="single" w:sz="4" w:space="0" w:color="000000"/>
            </w:tcBorders>
          </w:tcPr>
          <w:p w14:paraId="06F47BC0" w14:textId="77777777" w:rsidR="00006701" w:rsidRPr="00A4671B" w:rsidRDefault="00006701" w:rsidP="00CC161A">
            <w:pPr>
              <w:pStyle w:val="TableParagraph"/>
              <w:spacing w:before="0"/>
              <w:ind w:left="437" w:right="403"/>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Aracı Teslim Alan Hakkında </w:t>
            </w:r>
            <w:r w:rsidRPr="00A4671B">
              <w:rPr>
                <w:rFonts w:ascii="Times New Roman" w:hAnsi="Times New Roman" w:cs="Times New Roman"/>
                <w:b/>
                <w:bCs/>
                <w:color w:val="000000" w:themeColor="text1"/>
                <w:spacing w:val="-2"/>
                <w:sz w:val="20"/>
              </w:rPr>
              <w:t>Bilgiler</w:t>
            </w:r>
          </w:p>
        </w:tc>
      </w:tr>
      <w:tr w:rsidR="00A4671B" w:rsidRPr="00A4671B" w14:paraId="176942C0" w14:textId="77777777" w:rsidTr="00CC161A">
        <w:trPr>
          <w:trHeight w:val="308"/>
          <w:jc w:val="center"/>
        </w:trPr>
        <w:tc>
          <w:tcPr>
            <w:tcW w:w="416" w:type="dxa"/>
            <w:vMerge/>
            <w:tcBorders>
              <w:top w:val="nil"/>
            </w:tcBorders>
          </w:tcPr>
          <w:p w14:paraId="5C6F98C4" w14:textId="77777777" w:rsidR="00006701" w:rsidRPr="00A4671B" w:rsidRDefault="00006701" w:rsidP="00CC161A">
            <w:pPr>
              <w:rPr>
                <w:color w:val="000000" w:themeColor="text1"/>
                <w:sz w:val="2"/>
                <w:szCs w:val="2"/>
              </w:rPr>
            </w:pPr>
          </w:p>
        </w:tc>
        <w:tc>
          <w:tcPr>
            <w:tcW w:w="2031" w:type="dxa"/>
            <w:tcBorders>
              <w:top w:val="single" w:sz="8" w:space="0" w:color="000000"/>
            </w:tcBorders>
          </w:tcPr>
          <w:p w14:paraId="4044734A" w14:textId="77777777" w:rsidR="00006701" w:rsidRPr="00A4671B" w:rsidRDefault="00006701" w:rsidP="00CC161A">
            <w:pPr>
              <w:pStyle w:val="TableParagraph"/>
              <w:spacing w:before="0"/>
              <w:ind w:left="40"/>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Vergi</w:t>
            </w:r>
            <w:r w:rsidRPr="00A4671B">
              <w:rPr>
                <w:rFonts w:ascii="Times New Roman" w:hAnsi="Times New Roman" w:cs="Times New Roman"/>
                <w:color w:val="000000" w:themeColor="text1"/>
                <w:spacing w:val="-5"/>
                <w:sz w:val="18"/>
              </w:rPr>
              <w:t xml:space="preserve"> No</w:t>
            </w:r>
          </w:p>
        </w:tc>
        <w:tc>
          <w:tcPr>
            <w:tcW w:w="2639" w:type="dxa"/>
            <w:gridSpan w:val="3"/>
            <w:tcBorders>
              <w:top w:val="single" w:sz="8" w:space="0" w:color="000000"/>
            </w:tcBorders>
          </w:tcPr>
          <w:p w14:paraId="1D07C0CA" w14:textId="77777777" w:rsidR="00006701" w:rsidRPr="00A4671B" w:rsidRDefault="00006701" w:rsidP="00CC161A">
            <w:pPr>
              <w:pStyle w:val="TableParagraph"/>
              <w:spacing w:before="0"/>
              <w:ind w:left="35"/>
              <w:rPr>
                <w:rFonts w:ascii="Times New Roman" w:hAnsi="Times New Roman" w:cs="Times New Roman"/>
                <w:color w:val="000000" w:themeColor="text1"/>
                <w:sz w:val="16"/>
              </w:rPr>
            </w:pPr>
          </w:p>
        </w:tc>
        <w:tc>
          <w:tcPr>
            <w:tcW w:w="1859" w:type="dxa"/>
            <w:gridSpan w:val="3"/>
            <w:tcBorders>
              <w:top w:val="single" w:sz="8" w:space="0" w:color="000000"/>
            </w:tcBorders>
          </w:tcPr>
          <w:p w14:paraId="4D7BD63B" w14:textId="77777777" w:rsidR="00006701" w:rsidRPr="00A4671B" w:rsidRDefault="00006701" w:rsidP="00CC161A">
            <w:pPr>
              <w:pStyle w:val="TableParagraph"/>
              <w:spacing w:before="0"/>
              <w:ind w:left="40"/>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 xml:space="preserve">Lisans/İzin </w:t>
            </w:r>
            <w:r w:rsidRPr="00A4671B">
              <w:rPr>
                <w:rFonts w:ascii="Times New Roman" w:hAnsi="Times New Roman" w:cs="Times New Roman"/>
                <w:color w:val="000000" w:themeColor="text1"/>
                <w:spacing w:val="-5"/>
                <w:sz w:val="18"/>
              </w:rPr>
              <w:t>No</w:t>
            </w:r>
          </w:p>
        </w:tc>
        <w:tc>
          <w:tcPr>
            <w:tcW w:w="3603" w:type="dxa"/>
            <w:gridSpan w:val="4"/>
            <w:tcBorders>
              <w:top w:val="single" w:sz="8" w:space="0" w:color="000000"/>
              <w:right w:val="single" w:sz="4" w:space="0" w:color="000000"/>
            </w:tcBorders>
          </w:tcPr>
          <w:p w14:paraId="22D66EE6" w14:textId="77777777" w:rsidR="00006701" w:rsidRPr="00A4671B" w:rsidRDefault="00006701" w:rsidP="00CC161A">
            <w:pPr>
              <w:pStyle w:val="TableParagraph"/>
              <w:spacing w:before="0"/>
              <w:ind w:left="39"/>
              <w:rPr>
                <w:rFonts w:ascii="Times New Roman" w:hAnsi="Times New Roman" w:cs="Times New Roman"/>
                <w:color w:val="000000" w:themeColor="text1"/>
                <w:sz w:val="16"/>
              </w:rPr>
            </w:pPr>
          </w:p>
        </w:tc>
      </w:tr>
      <w:tr w:rsidR="00A4671B" w:rsidRPr="00A4671B" w14:paraId="152D126E" w14:textId="77777777" w:rsidTr="00CC161A">
        <w:trPr>
          <w:trHeight w:val="656"/>
          <w:jc w:val="center"/>
        </w:trPr>
        <w:tc>
          <w:tcPr>
            <w:tcW w:w="416" w:type="dxa"/>
            <w:vMerge/>
            <w:tcBorders>
              <w:top w:val="nil"/>
            </w:tcBorders>
          </w:tcPr>
          <w:p w14:paraId="3C328762" w14:textId="77777777" w:rsidR="00006701" w:rsidRPr="00A4671B" w:rsidRDefault="00006701" w:rsidP="00CC161A">
            <w:pPr>
              <w:rPr>
                <w:color w:val="000000" w:themeColor="text1"/>
                <w:sz w:val="2"/>
                <w:szCs w:val="2"/>
              </w:rPr>
            </w:pPr>
          </w:p>
        </w:tc>
        <w:tc>
          <w:tcPr>
            <w:tcW w:w="2031" w:type="dxa"/>
          </w:tcPr>
          <w:p w14:paraId="798086F3" w14:textId="77777777" w:rsidR="00006701" w:rsidRPr="00A4671B" w:rsidRDefault="00006701" w:rsidP="00CC161A">
            <w:pPr>
              <w:pStyle w:val="TableParagraph"/>
              <w:spacing w:before="0"/>
              <w:ind w:left="40"/>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Unvanı</w:t>
            </w:r>
          </w:p>
        </w:tc>
        <w:tc>
          <w:tcPr>
            <w:tcW w:w="8102" w:type="dxa"/>
            <w:gridSpan w:val="10"/>
            <w:tcBorders>
              <w:right w:val="single" w:sz="4" w:space="0" w:color="000000"/>
            </w:tcBorders>
          </w:tcPr>
          <w:p w14:paraId="52C61C00" w14:textId="77777777" w:rsidR="00006701" w:rsidRPr="00A4671B" w:rsidRDefault="00006701" w:rsidP="00CC161A">
            <w:pPr>
              <w:pStyle w:val="TableParagraph"/>
              <w:spacing w:before="0"/>
              <w:ind w:left="35"/>
              <w:rPr>
                <w:rFonts w:ascii="Times New Roman" w:hAnsi="Times New Roman" w:cs="Times New Roman"/>
                <w:color w:val="000000" w:themeColor="text1"/>
                <w:sz w:val="16"/>
              </w:rPr>
            </w:pPr>
          </w:p>
        </w:tc>
      </w:tr>
      <w:tr w:rsidR="00A4671B" w:rsidRPr="00A4671B" w14:paraId="2F5FCA17" w14:textId="77777777" w:rsidTr="00CC161A">
        <w:trPr>
          <w:trHeight w:val="504"/>
          <w:jc w:val="center"/>
        </w:trPr>
        <w:tc>
          <w:tcPr>
            <w:tcW w:w="416" w:type="dxa"/>
            <w:vMerge/>
            <w:tcBorders>
              <w:top w:val="nil"/>
            </w:tcBorders>
          </w:tcPr>
          <w:p w14:paraId="7D28C50C" w14:textId="77777777" w:rsidR="00006701" w:rsidRPr="00A4671B" w:rsidRDefault="00006701" w:rsidP="00CC161A">
            <w:pPr>
              <w:rPr>
                <w:color w:val="000000" w:themeColor="text1"/>
                <w:sz w:val="2"/>
                <w:szCs w:val="2"/>
              </w:rPr>
            </w:pPr>
          </w:p>
        </w:tc>
        <w:tc>
          <w:tcPr>
            <w:tcW w:w="2031" w:type="dxa"/>
          </w:tcPr>
          <w:p w14:paraId="201C5B51" w14:textId="77777777" w:rsidR="00006701" w:rsidRPr="00A4671B" w:rsidRDefault="00006701" w:rsidP="00CC161A">
            <w:pPr>
              <w:pStyle w:val="TableParagraph"/>
              <w:spacing w:before="0"/>
              <w:ind w:left="40"/>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Adresi</w:t>
            </w:r>
          </w:p>
        </w:tc>
        <w:tc>
          <w:tcPr>
            <w:tcW w:w="8102" w:type="dxa"/>
            <w:gridSpan w:val="10"/>
            <w:tcBorders>
              <w:right w:val="single" w:sz="4" w:space="0" w:color="000000"/>
            </w:tcBorders>
          </w:tcPr>
          <w:p w14:paraId="7AE7F2F0" w14:textId="77777777" w:rsidR="00006701" w:rsidRPr="00A4671B" w:rsidRDefault="00006701" w:rsidP="00CC161A">
            <w:pPr>
              <w:pStyle w:val="TableParagraph"/>
              <w:spacing w:before="0"/>
              <w:ind w:left="51"/>
              <w:rPr>
                <w:rFonts w:ascii="Times New Roman" w:hAnsi="Times New Roman" w:cs="Times New Roman"/>
                <w:color w:val="000000" w:themeColor="text1"/>
                <w:sz w:val="16"/>
              </w:rPr>
            </w:pPr>
          </w:p>
        </w:tc>
      </w:tr>
      <w:tr w:rsidR="00A4671B" w:rsidRPr="00A4671B" w14:paraId="050D9090" w14:textId="77777777" w:rsidTr="00CC161A">
        <w:trPr>
          <w:trHeight w:val="318"/>
          <w:jc w:val="center"/>
        </w:trPr>
        <w:tc>
          <w:tcPr>
            <w:tcW w:w="416" w:type="dxa"/>
            <w:vMerge/>
            <w:tcBorders>
              <w:top w:val="nil"/>
            </w:tcBorders>
          </w:tcPr>
          <w:p w14:paraId="08D89339" w14:textId="77777777" w:rsidR="00006701" w:rsidRPr="00A4671B" w:rsidRDefault="00006701" w:rsidP="00CC161A">
            <w:pPr>
              <w:rPr>
                <w:color w:val="000000" w:themeColor="text1"/>
                <w:sz w:val="2"/>
                <w:szCs w:val="2"/>
              </w:rPr>
            </w:pPr>
          </w:p>
        </w:tc>
        <w:tc>
          <w:tcPr>
            <w:tcW w:w="2031" w:type="dxa"/>
          </w:tcPr>
          <w:p w14:paraId="7794B464" w14:textId="77777777" w:rsidR="00006701" w:rsidRPr="00A4671B" w:rsidRDefault="00006701" w:rsidP="00CC161A">
            <w:pPr>
              <w:pStyle w:val="TableParagraph"/>
              <w:spacing w:before="0"/>
              <w:ind w:left="50"/>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Posta</w:t>
            </w:r>
            <w:r w:rsidRPr="00A4671B">
              <w:rPr>
                <w:rFonts w:ascii="Times New Roman" w:hAnsi="Times New Roman" w:cs="Times New Roman"/>
                <w:color w:val="000000" w:themeColor="text1"/>
                <w:spacing w:val="-5"/>
                <w:sz w:val="18"/>
              </w:rPr>
              <w:t xml:space="preserve"> </w:t>
            </w:r>
            <w:r w:rsidRPr="00A4671B">
              <w:rPr>
                <w:rFonts w:ascii="Times New Roman" w:hAnsi="Times New Roman" w:cs="Times New Roman"/>
                <w:color w:val="000000" w:themeColor="text1"/>
                <w:spacing w:val="-4"/>
                <w:sz w:val="18"/>
              </w:rPr>
              <w:t>Kodu</w:t>
            </w:r>
          </w:p>
        </w:tc>
        <w:tc>
          <w:tcPr>
            <w:tcW w:w="1529" w:type="dxa"/>
            <w:gridSpan w:val="2"/>
          </w:tcPr>
          <w:p w14:paraId="1ED9537F" w14:textId="77777777" w:rsidR="00006701" w:rsidRPr="00A4671B" w:rsidRDefault="00006701" w:rsidP="00CC161A">
            <w:pPr>
              <w:pStyle w:val="TableParagraph"/>
              <w:spacing w:before="0"/>
              <w:rPr>
                <w:rFonts w:ascii="Times New Roman" w:hAnsi="Times New Roman" w:cs="Times New Roman"/>
                <w:color w:val="000000" w:themeColor="text1"/>
                <w:sz w:val="16"/>
              </w:rPr>
            </w:pPr>
          </w:p>
        </w:tc>
        <w:tc>
          <w:tcPr>
            <w:tcW w:w="1153" w:type="dxa"/>
            <w:gridSpan w:val="2"/>
          </w:tcPr>
          <w:p w14:paraId="1264E9A9" w14:textId="77777777" w:rsidR="00006701" w:rsidRPr="00A4671B" w:rsidRDefault="00006701" w:rsidP="00CC161A">
            <w:pPr>
              <w:pStyle w:val="TableParagraph"/>
              <w:spacing w:before="0"/>
              <w:ind w:left="55"/>
              <w:rPr>
                <w:rFonts w:ascii="Times New Roman" w:hAnsi="Times New Roman" w:cs="Times New Roman"/>
                <w:color w:val="000000" w:themeColor="text1"/>
                <w:sz w:val="18"/>
              </w:rPr>
            </w:pPr>
            <w:r w:rsidRPr="00A4671B">
              <w:rPr>
                <w:rFonts w:ascii="Times New Roman" w:hAnsi="Times New Roman" w:cs="Times New Roman"/>
                <w:color w:val="000000" w:themeColor="text1"/>
                <w:spacing w:val="-4"/>
                <w:sz w:val="18"/>
              </w:rPr>
              <w:t>İlçe</w:t>
            </w:r>
          </w:p>
        </w:tc>
        <w:tc>
          <w:tcPr>
            <w:tcW w:w="1828" w:type="dxa"/>
            <w:gridSpan w:val="3"/>
          </w:tcPr>
          <w:p w14:paraId="4464A68D" w14:textId="77777777" w:rsidR="00006701" w:rsidRPr="00A4671B" w:rsidRDefault="00006701" w:rsidP="00CC161A">
            <w:pPr>
              <w:pStyle w:val="TableParagraph"/>
              <w:spacing w:before="0"/>
              <w:ind w:left="41"/>
              <w:rPr>
                <w:rFonts w:ascii="Times New Roman" w:hAnsi="Times New Roman" w:cs="Times New Roman"/>
                <w:color w:val="000000" w:themeColor="text1"/>
                <w:sz w:val="16"/>
              </w:rPr>
            </w:pPr>
          </w:p>
        </w:tc>
        <w:tc>
          <w:tcPr>
            <w:tcW w:w="1057" w:type="dxa"/>
            <w:gridSpan w:val="2"/>
          </w:tcPr>
          <w:p w14:paraId="645644DD" w14:textId="77777777" w:rsidR="00006701" w:rsidRPr="00A4671B" w:rsidRDefault="00006701" w:rsidP="00CC161A">
            <w:pPr>
              <w:pStyle w:val="TableParagraph"/>
              <w:spacing w:before="0"/>
              <w:rPr>
                <w:rFonts w:ascii="Times New Roman" w:hAnsi="Times New Roman" w:cs="Times New Roman"/>
                <w:color w:val="000000" w:themeColor="text1"/>
                <w:sz w:val="18"/>
              </w:rPr>
            </w:pPr>
            <w:r w:rsidRPr="00A4671B">
              <w:rPr>
                <w:rFonts w:ascii="Times New Roman" w:hAnsi="Times New Roman" w:cs="Times New Roman"/>
                <w:color w:val="000000" w:themeColor="text1"/>
                <w:spacing w:val="-5"/>
                <w:sz w:val="18"/>
              </w:rPr>
              <w:t xml:space="preserve">   İl</w:t>
            </w:r>
          </w:p>
        </w:tc>
        <w:tc>
          <w:tcPr>
            <w:tcW w:w="2534" w:type="dxa"/>
            <w:tcBorders>
              <w:right w:val="single" w:sz="4" w:space="0" w:color="000000"/>
            </w:tcBorders>
          </w:tcPr>
          <w:p w14:paraId="5C9CC3BA" w14:textId="77777777" w:rsidR="00006701" w:rsidRPr="00A4671B" w:rsidRDefault="00006701" w:rsidP="00CC161A">
            <w:pPr>
              <w:pStyle w:val="TableParagraph"/>
              <w:spacing w:before="0"/>
              <w:ind w:left="65"/>
              <w:rPr>
                <w:rFonts w:ascii="Times New Roman" w:hAnsi="Times New Roman" w:cs="Times New Roman"/>
                <w:color w:val="000000" w:themeColor="text1"/>
                <w:sz w:val="16"/>
              </w:rPr>
            </w:pPr>
          </w:p>
        </w:tc>
      </w:tr>
      <w:tr w:rsidR="00A4671B" w:rsidRPr="00A4671B" w14:paraId="60C25D9A" w14:textId="77777777" w:rsidTr="00CC161A">
        <w:trPr>
          <w:trHeight w:val="302"/>
          <w:jc w:val="center"/>
        </w:trPr>
        <w:tc>
          <w:tcPr>
            <w:tcW w:w="416" w:type="dxa"/>
            <w:vMerge/>
            <w:tcBorders>
              <w:top w:val="nil"/>
            </w:tcBorders>
          </w:tcPr>
          <w:p w14:paraId="746F9D8E" w14:textId="77777777" w:rsidR="00006701" w:rsidRPr="00A4671B" w:rsidRDefault="00006701" w:rsidP="00CC161A">
            <w:pPr>
              <w:rPr>
                <w:color w:val="000000" w:themeColor="text1"/>
                <w:sz w:val="2"/>
                <w:szCs w:val="2"/>
              </w:rPr>
            </w:pPr>
          </w:p>
        </w:tc>
        <w:tc>
          <w:tcPr>
            <w:tcW w:w="2031" w:type="dxa"/>
          </w:tcPr>
          <w:p w14:paraId="78FC4818" w14:textId="77777777" w:rsidR="00006701" w:rsidRPr="00A4671B" w:rsidRDefault="00006701" w:rsidP="00CC161A">
            <w:pPr>
              <w:pStyle w:val="TableParagraph"/>
              <w:spacing w:before="0"/>
              <w:ind w:left="53"/>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Telefon</w:t>
            </w:r>
          </w:p>
        </w:tc>
        <w:tc>
          <w:tcPr>
            <w:tcW w:w="1529" w:type="dxa"/>
            <w:gridSpan w:val="2"/>
          </w:tcPr>
          <w:p w14:paraId="0166B623" w14:textId="77777777" w:rsidR="00006701" w:rsidRPr="00A4671B" w:rsidRDefault="00006701" w:rsidP="00CC161A">
            <w:pPr>
              <w:pStyle w:val="TableParagraph"/>
              <w:spacing w:before="0"/>
              <w:ind w:left="56"/>
              <w:rPr>
                <w:rFonts w:ascii="Times New Roman" w:hAnsi="Times New Roman" w:cs="Times New Roman"/>
                <w:color w:val="000000" w:themeColor="text1"/>
                <w:sz w:val="16"/>
              </w:rPr>
            </w:pPr>
          </w:p>
        </w:tc>
        <w:tc>
          <w:tcPr>
            <w:tcW w:w="1153" w:type="dxa"/>
            <w:gridSpan w:val="2"/>
          </w:tcPr>
          <w:p w14:paraId="5C66021A" w14:textId="77777777" w:rsidR="00006701" w:rsidRPr="00A4671B" w:rsidRDefault="00006701" w:rsidP="00CC161A">
            <w:pPr>
              <w:pStyle w:val="TableParagraph"/>
              <w:spacing w:before="0"/>
              <w:ind w:left="57"/>
              <w:rPr>
                <w:rFonts w:ascii="Times New Roman" w:hAnsi="Times New Roman" w:cs="Times New Roman"/>
                <w:color w:val="000000" w:themeColor="text1"/>
                <w:sz w:val="18"/>
              </w:rPr>
            </w:pPr>
            <w:r w:rsidRPr="00A4671B">
              <w:rPr>
                <w:rFonts w:ascii="Times New Roman" w:hAnsi="Times New Roman" w:cs="Times New Roman"/>
                <w:color w:val="000000" w:themeColor="text1"/>
                <w:spacing w:val="-4"/>
                <w:sz w:val="18"/>
              </w:rPr>
              <w:t>Faks</w:t>
            </w:r>
          </w:p>
        </w:tc>
        <w:tc>
          <w:tcPr>
            <w:tcW w:w="1828" w:type="dxa"/>
            <w:gridSpan w:val="3"/>
          </w:tcPr>
          <w:p w14:paraId="506B91C9" w14:textId="77777777" w:rsidR="00006701" w:rsidRPr="00A4671B" w:rsidRDefault="00006701" w:rsidP="00CC161A">
            <w:pPr>
              <w:pStyle w:val="TableParagraph"/>
              <w:spacing w:before="0"/>
              <w:rPr>
                <w:rFonts w:ascii="Times New Roman" w:hAnsi="Times New Roman" w:cs="Times New Roman"/>
                <w:color w:val="000000" w:themeColor="text1"/>
                <w:sz w:val="16"/>
              </w:rPr>
            </w:pPr>
          </w:p>
        </w:tc>
        <w:tc>
          <w:tcPr>
            <w:tcW w:w="1057" w:type="dxa"/>
            <w:gridSpan w:val="2"/>
          </w:tcPr>
          <w:p w14:paraId="49C4B85E" w14:textId="77777777" w:rsidR="00006701" w:rsidRPr="00A4671B" w:rsidRDefault="00006701" w:rsidP="00CC161A">
            <w:pPr>
              <w:pStyle w:val="TableParagraph"/>
              <w:spacing w:before="0"/>
              <w:ind w:left="106"/>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Firma</w:t>
            </w:r>
            <w:r w:rsidRPr="00A4671B">
              <w:rPr>
                <w:rFonts w:ascii="Times New Roman" w:hAnsi="Times New Roman" w:cs="Times New Roman"/>
                <w:color w:val="000000" w:themeColor="text1"/>
                <w:spacing w:val="-5"/>
                <w:sz w:val="18"/>
              </w:rPr>
              <w:t xml:space="preserve"> </w:t>
            </w:r>
            <w:r w:rsidRPr="00A4671B">
              <w:rPr>
                <w:rFonts w:ascii="Times New Roman" w:hAnsi="Times New Roman" w:cs="Times New Roman"/>
                <w:color w:val="000000" w:themeColor="text1"/>
                <w:spacing w:val="-4"/>
                <w:sz w:val="18"/>
              </w:rPr>
              <w:t>Tipi</w:t>
            </w:r>
          </w:p>
        </w:tc>
        <w:tc>
          <w:tcPr>
            <w:tcW w:w="2534" w:type="dxa"/>
            <w:tcBorders>
              <w:right w:val="single" w:sz="4" w:space="0" w:color="000000"/>
            </w:tcBorders>
          </w:tcPr>
          <w:p w14:paraId="1AE1BAA7" w14:textId="77777777" w:rsidR="00006701" w:rsidRPr="00A4671B" w:rsidRDefault="00006701" w:rsidP="00CC161A">
            <w:pPr>
              <w:pStyle w:val="TableParagraph"/>
              <w:spacing w:before="0"/>
              <w:ind w:left="53"/>
              <w:rPr>
                <w:rFonts w:ascii="Times New Roman" w:hAnsi="Times New Roman" w:cs="Times New Roman"/>
                <w:color w:val="000000" w:themeColor="text1"/>
                <w:sz w:val="16"/>
              </w:rPr>
            </w:pPr>
          </w:p>
        </w:tc>
      </w:tr>
      <w:tr w:rsidR="00A4671B" w:rsidRPr="00A4671B" w14:paraId="04699F92" w14:textId="77777777" w:rsidTr="00CC161A">
        <w:trPr>
          <w:trHeight w:val="397"/>
          <w:jc w:val="center"/>
        </w:trPr>
        <w:tc>
          <w:tcPr>
            <w:tcW w:w="416" w:type="dxa"/>
            <w:vMerge/>
            <w:tcBorders>
              <w:top w:val="nil"/>
            </w:tcBorders>
          </w:tcPr>
          <w:p w14:paraId="1B8DBAFC" w14:textId="77777777" w:rsidR="00006701" w:rsidRPr="00A4671B" w:rsidRDefault="00006701" w:rsidP="00CC161A">
            <w:pPr>
              <w:rPr>
                <w:color w:val="000000" w:themeColor="text1"/>
                <w:sz w:val="2"/>
                <w:szCs w:val="2"/>
              </w:rPr>
            </w:pPr>
          </w:p>
        </w:tc>
        <w:tc>
          <w:tcPr>
            <w:tcW w:w="10134" w:type="dxa"/>
            <w:gridSpan w:val="11"/>
            <w:tcBorders>
              <w:right w:val="single" w:sz="4" w:space="0" w:color="000000"/>
            </w:tcBorders>
          </w:tcPr>
          <w:p w14:paraId="274B0773" w14:textId="77777777" w:rsidR="00006701" w:rsidRPr="00A4671B" w:rsidRDefault="00006701" w:rsidP="00CC161A">
            <w:pPr>
              <w:pStyle w:val="TableParagraph"/>
              <w:spacing w:before="0"/>
              <w:ind w:left="474" w:right="403"/>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Aracın Gönderileceği Yer </w:t>
            </w:r>
            <w:r w:rsidRPr="00A4671B">
              <w:rPr>
                <w:rFonts w:ascii="Times New Roman" w:hAnsi="Times New Roman" w:cs="Times New Roman"/>
                <w:b/>
                <w:bCs/>
                <w:color w:val="000000" w:themeColor="text1"/>
                <w:spacing w:val="-2"/>
                <w:sz w:val="20"/>
              </w:rPr>
              <w:t>Bilgileri</w:t>
            </w:r>
          </w:p>
        </w:tc>
      </w:tr>
      <w:tr w:rsidR="00A4671B" w:rsidRPr="00A4671B" w14:paraId="10243A87" w14:textId="77777777" w:rsidTr="00CC161A">
        <w:trPr>
          <w:trHeight w:val="377"/>
          <w:jc w:val="center"/>
        </w:trPr>
        <w:tc>
          <w:tcPr>
            <w:tcW w:w="416" w:type="dxa"/>
            <w:vMerge/>
            <w:tcBorders>
              <w:top w:val="nil"/>
            </w:tcBorders>
          </w:tcPr>
          <w:p w14:paraId="631B60E1" w14:textId="77777777" w:rsidR="00006701" w:rsidRPr="00A4671B" w:rsidRDefault="00006701" w:rsidP="00CC161A">
            <w:pPr>
              <w:rPr>
                <w:color w:val="000000" w:themeColor="text1"/>
                <w:sz w:val="2"/>
                <w:szCs w:val="2"/>
              </w:rPr>
            </w:pPr>
          </w:p>
        </w:tc>
        <w:tc>
          <w:tcPr>
            <w:tcW w:w="2031" w:type="dxa"/>
          </w:tcPr>
          <w:p w14:paraId="2C608476" w14:textId="77777777" w:rsidR="00006701" w:rsidRPr="00A4671B" w:rsidRDefault="00006701" w:rsidP="00CC161A">
            <w:pPr>
              <w:pStyle w:val="TableParagraph"/>
              <w:spacing w:before="0"/>
              <w:ind w:left="57"/>
              <w:rPr>
                <w:rFonts w:ascii="Times New Roman" w:hAnsi="Times New Roman" w:cs="Times New Roman"/>
                <w:color w:val="000000" w:themeColor="text1"/>
                <w:sz w:val="18"/>
              </w:rPr>
            </w:pPr>
            <w:r w:rsidRPr="00A4671B">
              <w:rPr>
                <w:rFonts w:ascii="Times New Roman" w:hAnsi="Times New Roman" w:cs="Times New Roman"/>
                <w:color w:val="000000" w:themeColor="text1"/>
                <w:spacing w:val="-2"/>
                <w:sz w:val="18"/>
              </w:rPr>
              <w:t>Unvanı</w:t>
            </w:r>
          </w:p>
        </w:tc>
        <w:tc>
          <w:tcPr>
            <w:tcW w:w="8102" w:type="dxa"/>
            <w:gridSpan w:val="10"/>
            <w:tcBorders>
              <w:right w:val="single" w:sz="4" w:space="0" w:color="000000"/>
            </w:tcBorders>
          </w:tcPr>
          <w:p w14:paraId="0DC66BDA" w14:textId="77777777" w:rsidR="00006701" w:rsidRPr="00A4671B" w:rsidRDefault="00006701" w:rsidP="00CC161A">
            <w:pPr>
              <w:pStyle w:val="TableParagraph"/>
              <w:spacing w:before="0"/>
              <w:ind w:left="53"/>
              <w:rPr>
                <w:rFonts w:ascii="Times New Roman" w:hAnsi="Times New Roman" w:cs="Times New Roman"/>
                <w:color w:val="000000" w:themeColor="text1"/>
                <w:sz w:val="16"/>
              </w:rPr>
            </w:pPr>
          </w:p>
        </w:tc>
      </w:tr>
      <w:tr w:rsidR="00A4671B" w:rsidRPr="00A4671B" w14:paraId="77D7869E" w14:textId="77777777" w:rsidTr="00CC161A">
        <w:trPr>
          <w:trHeight w:val="382"/>
          <w:jc w:val="center"/>
        </w:trPr>
        <w:tc>
          <w:tcPr>
            <w:tcW w:w="416" w:type="dxa"/>
            <w:vMerge/>
            <w:tcBorders>
              <w:top w:val="nil"/>
            </w:tcBorders>
          </w:tcPr>
          <w:p w14:paraId="58E60696" w14:textId="77777777" w:rsidR="00006701" w:rsidRPr="00A4671B" w:rsidRDefault="00006701" w:rsidP="00CC161A">
            <w:pPr>
              <w:rPr>
                <w:color w:val="000000" w:themeColor="text1"/>
                <w:sz w:val="2"/>
                <w:szCs w:val="2"/>
              </w:rPr>
            </w:pPr>
          </w:p>
        </w:tc>
        <w:tc>
          <w:tcPr>
            <w:tcW w:w="2031" w:type="dxa"/>
          </w:tcPr>
          <w:p w14:paraId="0B979584" w14:textId="77777777" w:rsidR="00006701" w:rsidRPr="00A4671B" w:rsidRDefault="00006701" w:rsidP="00CC161A">
            <w:pPr>
              <w:pStyle w:val="TableParagraph"/>
              <w:spacing w:before="0"/>
              <w:ind w:left="57"/>
              <w:rPr>
                <w:rFonts w:ascii="Times New Roman" w:hAnsi="Times New Roman" w:cs="Times New Roman"/>
                <w:color w:val="000000" w:themeColor="text1"/>
                <w:sz w:val="18"/>
              </w:rPr>
            </w:pPr>
            <w:r w:rsidRPr="00A4671B">
              <w:rPr>
                <w:rFonts w:ascii="Times New Roman" w:hAnsi="Times New Roman" w:cs="Times New Roman"/>
                <w:color w:val="000000" w:themeColor="text1"/>
                <w:sz w:val="18"/>
              </w:rPr>
              <w:t xml:space="preserve">Lisans/İzin </w:t>
            </w:r>
            <w:r w:rsidRPr="00A4671B">
              <w:rPr>
                <w:rFonts w:ascii="Times New Roman" w:hAnsi="Times New Roman" w:cs="Times New Roman"/>
                <w:color w:val="000000" w:themeColor="text1"/>
                <w:spacing w:val="-5"/>
                <w:sz w:val="18"/>
              </w:rPr>
              <w:t>No</w:t>
            </w:r>
          </w:p>
        </w:tc>
        <w:tc>
          <w:tcPr>
            <w:tcW w:w="8102" w:type="dxa"/>
            <w:gridSpan w:val="10"/>
            <w:tcBorders>
              <w:right w:val="single" w:sz="4" w:space="0" w:color="000000"/>
            </w:tcBorders>
          </w:tcPr>
          <w:p w14:paraId="514FA771" w14:textId="77777777" w:rsidR="00006701" w:rsidRPr="00A4671B" w:rsidRDefault="00006701" w:rsidP="00CC161A">
            <w:pPr>
              <w:pStyle w:val="TableParagraph"/>
              <w:spacing w:before="0"/>
              <w:ind w:left="45"/>
              <w:rPr>
                <w:rFonts w:ascii="Times New Roman" w:hAnsi="Times New Roman" w:cs="Times New Roman"/>
                <w:color w:val="000000" w:themeColor="text1"/>
                <w:sz w:val="16"/>
              </w:rPr>
            </w:pPr>
          </w:p>
        </w:tc>
      </w:tr>
      <w:tr w:rsidR="00A4671B" w:rsidRPr="00A4671B" w14:paraId="5CF833A5" w14:textId="77777777" w:rsidTr="00CC161A">
        <w:trPr>
          <w:trHeight w:val="1561"/>
          <w:jc w:val="center"/>
        </w:trPr>
        <w:tc>
          <w:tcPr>
            <w:tcW w:w="416" w:type="dxa"/>
            <w:vMerge/>
            <w:tcBorders>
              <w:top w:val="nil"/>
            </w:tcBorders>
          </w:tcPr>
          <w:p w14:paraId="2254632C" w14:textId="77777777" w:rsidR="00006701" w:rsidRPr="00A4671B" w:rsidRDefault="00006701" w:rsidP="00CC161A">
            <w:pPr>
              <w:rPr>
                <w:color w:val="000000" w:themeColor="text1"/>
                <w:sz w:val="2"/>
                <w:szCs w:val="2"/>
              </w:rPr>
            </w:pPr>
          </w:p>
        </w:tc>
        <w:tc>
          <w:tcPr>
            <w:tcW w:w="10134" w:type="dxa"/>
            <w:gridSpan w:val="11"/>
            <w:tcBorders>
              <w:right w:val="single" w:sz="4" w:space="0" w:color="000000"/>
            </w:tcBorders>
          </w:tcPr>
          <w:p w14:paraId="1A6D478F" w14:textId="77777777" w:rsidR="00006701" w:rsidRPr="00A4671B" w:rsidRDefault="00006701" w:rsidP="00CC161A">
            <w:pPr>
              <w:pStyle w:val="TableParagraph"/>
              <w:spacing w:before="0"/>
              <w:ind w:left="79" w:right="132"/>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Yukarıda</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bilgileri</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verilen</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aracı</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"Ömrünü</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Tamamlamış</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Araçların</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Kontrolü</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Hakkında</w:t>
            </w:r>
            <w:r w:rsidRPr="00A4671B">
              <w:rPr>
                <w:rFonts w:ascii="Times New Roman" w:hAnsi="Times New Roman" w:cs="Times New Roman"/>
                <w:color w:val="000000" w:themeColor="text1"/>
                <w:spacing w:val="-5"/>
                <w:sz w:val="18"/>
                <w:szCs w:val="18"/>
              </w:rPr>
              <w:t xml:space="preserve"> </w:t>
            </w:r>
            <w:r w:rsidRPr="00A4671B">
              <w:rPr>
                <w:rFonts w:ascii="Times New Roman" w:hAnsi="Times New Roman" w:cs="Times New Roman"/>
                <w:color w:val="000000" w:themeColor="text1"/>
                <w:sz w:val="18"/>
                <w:szCs w:val="18"/>
              </w:rPr>
              <w:t>Yönetmelik" hükümlerine göre yukarıda belirtilen tesis(ler)e teslim etmek üzere kabul ettim.</w:t>
            </w:r>
          </w:p>
          <w:p w14:paraId="6D5EF1BE" w14:textId="77777777" w:rsidR="00006701" w:rsidRPr="00A4671B" w:rsidRDefault="00006701" w:rsidP="00CC161A">
            <w:pPr>
              <w:pStyle w:val="TableParagraph"/>
              <w:spacing w:before="0"/>
              <w:rPr>
                <w:rFonts w:ascii="Times New Roman" w:hAnsi="Times New Roman" w:cs="Times New Roman"/>
                <w:color w:val="000000" w:themeColor="text1"/>
                <w:sz w:val="18"/>
                <w:szCs w:val="18"/>
              </w:rPr>
            </w:pPr>
          </w:p>
          <w:p w14:paraId="6E6CFA16" w14:textId="77777777" w:rsidR="00006701" w:rsidRPr="00A4671B" w:rsidRDefault="00006701" w:rsidP="00CC161A">
            <w:pPr>
              <w:pStyle w:val="TableParagraph"/>
              <w:spacing w:before="0"/>
              <w:ind w:left="70"/>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Tarih</w:t>
            </w:r>
            <w:r w:rsidRPr="00A4671B">
              <w:rPr>
                <w:rFonts w:ascii="Times New Roman" w:hAnsi="Times New Roman" w:cs="Times New Roman"/>
                <w:color w:val="000000" w:themeColor="text1"/>
                <w:spacing w:val="48"/>
                <w:w w:val="150"/>
                <w:sz w:val="18"/>
                <w:szCs w:val="18"/>
              </w:rPr>
              <w:t xml:space="preserve">  </w:t>
            </w:r>
            <w:r w:rsidRPr="00A4671B">
              <w:rPr>
                <w:rFonts w:ascii="Times New Roman" w:hAnsi="Times New Roman" w:cs="Times New Roman"/>
                <w:color w:val="000000" w:themeColor="text1"/>
                <w:sz w:val="18"/>
                <w:szCs w:val="18"/>
              </w:rPr>
              <w:t xml:space="preserve">: </w:t>
            </w:r>
          </w:p>
          <w:p w14:paraId="65C305C4" w14:textId="77777777" w:rsidR="00006701" w:rsidRPr="00A4671B" w:rsidRDefault="00006701" w:rsidP="00CC161A">
            <w:pPr>
              <w:pStyle w:val="TableParagraph"/>
              <w:tabs>
                <w:tab w:val="left" w:pos="742"/>
              </w:tabs>
              <w:spacing w:before="0"/>
              <w:ind w:left="70"/>
              <w:rPr>
                <w:rFonts w:ascii="Times New Roman" w:hAnsi="Times New Roman" w:cs="Times New Roman"/>
                <w:color w:val="000000" w:themeColor="text1"/>
                <w:sz w:val="18"/>
                <w:szCs w:val="18"/>
              </w:rPr>
            </w:pPr>
            <w:r w:rsidRPr="00A4671B">
              <w:rPr>
                <w:rFonts w:ascii="Times New Roman" w:hAnsi="Times New Roman" w:cs="Times New Roman"/>
                <w:color w:val="000000" w:themeColor="text1"/>
                <w:spacing w:val="-4"/>
                <w:sz w:val="18"/>
                <w:szCs w:val="18"/>
              </w:rPr>
              <w:t>İmza</w:t>
            </w:r>
            <w:r w:rsidRPr="00A4671B">
              <w:rPr>
                <w:rFonts w:ascii="Times New Roman" w:hAnsi="Times New Roman" w:cs="Times New Roman"/>
                <w:color w:val="000000" w:themeColor="text1"/>
                <w:sz w:val="18"/>
                <w:szCs w:val="18"/>
              </w:rPr>
              <w:tab/>
            </w:r>
            <w:r w:rsidRPr="00A4671B">
              <w:rPr>
                <w:rFonts w:ascii="Times New Roman" w:hAnsi="Times New Roman" w:cs="Times New Roman"/>
                <w:color w:val="000000" w:themeColor="text1"/>
                <w:spacing w:val="-10"/>
                <w:sz w:val="18"/>
                <w:szCs w:val="18"/>
              </w:rPr>
              <w:t>:</w:t>
            </w:r>
          </w:p>
          <w:p w14:paraId="05C12013" w14:textId="77777777" w:rsidR="00006701" w:rsidRPr="00A4671B" w:rsidRDefault="00006701" w:rsidP="00CC161A">
            <w:pPr>
              <w:pStyle w:val="TableParagraph"/>
              <w:tabs>
                <w:tab w:val="left" w:pos="742"/>
              </w:tabs>
              <w:spacing w:before="0"/>
              <w:ind w:left="70"/>
              <w:rPr>
                <w:rFonts w:ascii="Times New Roman" w:hAnsi="Times New Roman" w:cs="Times New Roman"/>
                <w:color w:val="000000" w:themeColor="text1"/>
                <w:sz w:val="16"/>
              </w:rPr>
            </w:pPr>
            <w:r w:rsidRPr="00A4671B">
              <w:rPr>
                <w:rFonts w:ascii="Times New Roman" w:hAnsi="Times New Roman" w:cs="Times New Roman"/>
                <w:color w:val="000000" w:themeColor="text1"/>
                <w:spacing w:val="-4"/>
                <w:sz w:val="18"/>
                <w:szCs w:val="18"/>
              </w:rPr>
              <w:t>Kaşe</w:t>
            </w:r>
            <w:r w:rsidRPr="00A4671B">
              <w:rPr>
                <w:rFonts w:ascii="Times New Roman" w:hAnsi="Times New Roman" w:cs="Times New Roman"/>
                <w:color w:val="000000" w:themeColor="text1"/>
                <w:sz w:val="18"/>
                <w:szCs w:val="18"/>
              </w:rPr>
              <w:tab/>
            </w:r>
            <w:r w:rsidRPr="00A4671B">
              <w:rPr>
                <w:rFonts w:ascii="Times New Roman" w:hAnsi="Times New Roman" w:cs="Times New Roman"/>
                <w:color w:val="000000" w:themeColor="text1"/>
                <w:spacing w:val="-10"/>
                <w:sz w:val="18"/>
                <w:szCs w:val="18"/>
              </w:rPr>
              <w:t>:</w:t>
            </w:r>
          </w:p>
        </w:tc>
      </w:tr>
      <w:tr w:rsidR="00A4671B" w:rsidRPr="00A4671B" w14:paraId="698F4529" w14:textId="77777777" w:rsidTr="00CC161A">
        <w:trPr>
          <w:trHeight w:val="371"/>
          <w:jc w:val="center"/>
        </w:trPr>
        <w:tc>
          <w:tcPr>
            <w:tcW w:w="416" w:type="dxa"/>
          </w:tcPr>
          <w:p w14:paraId="38E22A5E" w14:textId="77777777" w:rsidR="00006701" w:rsidRPr="00A4671B" w:rsidRDefault="00006701" w:rsidP="00CC161A">
            <w:pPr>
              <w:pStyle w:val="TableParagraph"/>
              <w:spacing w:before="0"/>
              <w:ind w:left="46" w:right="27"/>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pacing w:val="-10"/>
                <w:sz w:val="20"/>
              </w:rPr>
              <w:t>B</w:t>
            </w:r>
          </w:p>
        </w:tc>
        <w:tc>
          <w:tcPr>
            <w:tcW w:w="10134" w:type="dxa"/>
            <w:gridSpan w:val="11"/>
            <w:tcBorders>
              <w:right w:val="single" w:sz="4" w:space="0" w:color="000000"/>
            </w:tcBorders>
          </w:tcPr>
          <w:p w14:paraId="5780216D" w14:textId="77777777" w:rsidR="00006701" w:rsidRPr="00A4671B" w:rsidRDefault="00006701" w:rsidP="00CC161A">
            <w:pPr>
              <w:pStyle w:val="TableParagraph"/>
              <w:spacing w:before="0"/>
              <w:ind w:left="400" w:right="400"/>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Araç Sahibinin </w:t>
            </w:r>
            <w:r w:rsidRPr="00A4671B">
              <w:rPr>
                <w:rFonts w:ascii="Times New Roman" w:hAnsi="Times New Roman" w:cs="Times New Roman"/>
                <w:b/>
                <w:bCs/>
                <w:color w:val="000000" w:themeColor="text1"/>
                <w:spacing w:val="-2"/>
                <w:sz w:val="20"/>
              </w:rPr>
              <w:t>Beyanı</w:t>
            </w:r>
          </w:p>
        </w:tc>
      </w:tr>
      <w:tr w:rsidR="00A4671B" w:rsidRPr="00A4671B" w14:paraId="4DD91227" w14:textId="77777777" w:rsidTr="00CC161A">
        <w:trPr>
          <w:trHeight w:val="1138"/>
          <w:jc w:val="center"/>
        </w:trPr>
        <w:tc>
          <w:tcPr>
            <w:tcW w:w="416" w:type="dxa"/>
          </w:tcPr>
          <w:p w14:paraId="385D2BAF" w14:textId="77777777" w:rsidR="00006701" w:rsidRPr="00A4671B" w:rsidRDefault="00006701" w:rsidP="00CC161A">
            <w:pPr>
              <w:pStyle w:val="TableParagraph"/>
              <w:spacing w:before="0"/>
              <w:rPr>
                <w:rFonts w:ascii="Times New Roman" w:hAnsi="Times New Roman" w:cs="Times New Roman"/>
                <w:color w:val="000000" w:themeColor="text1"/>
                <w:sz w:val="16"/>
              </w:rPr>
            </w:pPr>
          </w:p>
        </w:tc>
        <w:tc>
          <w:tcPr>
            <w:tcW w:w="10134" w:type="dxa"/>
            <w:gridSpan w:val="11"/>
            <w:tcBorders>
              <w:right w:val="single" w:sz="4" w:space="0" w:color="000000"/>
            </w:tcBorders>
          </w:tcPr>
          <w:p w14:paraId="6961A0BA" w14:textId="77777777" w:rsidR="00006701" w:rsidRPr="00A4671B" w:rsidRDefault="00006701" w:rsidP="00CC161A">
            <w:pPr>
              <w:pStyle w:val="TableParagraph"/>
              <w:spacing w:before="0"/>
              <w:ind w:left="64"/>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 xml:space="preserve">Yukarıda motor ve şasi numarası belirtilmiş aracımı, "Ömrünü Tamamlamış Araçların Kontrolü </w:t>
            </w:r>
            <w:r w:rsidRPr="00A4671B">
              <w:rPr>
                <w:rFonts w:ascii="Times New Roman" w:hAnsi="Times New Roman" w:cs="Times New Roman"/>
                <w:color w:val="000000" w:themeColor="text1"/>
                <w:spacing w:val="-2"/>
                <w:sz w:val="18"/>
                <w:szCs w:val="18"/>
              </w:rPr>
              <w:t>Hakkında</w:t>
            </w:r>
          </w:p>
          <w:p w14:paraId="615FFCB3" w14:textId="77777777" w:rsidR="00006701" w:rsidRPr="00A4671B" w:rsidRDefault="00006701" w:rsidP="00CC161A">
            <w:pPr>
              <w:pStyle w:val="TableParagraph"/>
              <w:spacing w:before="0"/>
              <w:ind w:left="54" w:right="4659" w:firstLine="10"/>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Yönetmelik"</w:t>
            </w:r>
            <w:r w:rsidRPr="00A4671B">
              <w:rPr>
                <w:rFonts w:ascii="Times New Roman" w:hAnsi="Times New Roman" w:cs="Times New Roman"/>
                <w:color w:val="000000" w:themeColor="text1"/>
                <w:spacing w:val="-8"/>
                <w:sz w:val="18"/>
                <w:szCs w:val="18"/>
              </w:rPr>
              <w:t xml:space="preserve"> </w:t>
            </w:r>
            <w:r w:rsidRPr="00A4671B">
              <w:rPr>
                <w:rFonts w:ascii="Times New Roman" w:hAnsi="Times New Roman" w:cs="Times New Roman"/>
                <w:color w:val="000000" w:themeColor="text1"/>
                <w:sz w:val="18"/>
                <w:szCs w:val="18"/>
              </w:rPr>
              <w:t>hükümlerine</w:t>
            </w:r>
            <w:r w:rsidRPr="00A4671B">
              <w:rPr>
                <w:rFonts w:ascii="Times New Roman" w:hAnsi="Times New Roman" w:cs="Times New Roman"/>
                <w:color w:val="000000" w:themeColor="text1"/>
                <w:spacing w:val="-8"/>
                <w:sz w:val="18"/>
                <w:szCs w:val="18"/>
              </w:rPr>
              <w:t xml:space="preserve"> </w:t>
            </w:r>
            <w:r w:rsidRPr="00A4671B">
              <w:rPr>
                <w:rFonts w:ascii="Times New Roman" w:hAnsi="Times New Roman" w:cs="Times New Roman"/>
                <w:color w:val="000000" w:themeColor="text1"/>
                <w:sz w:val="18"/>
                <w:szCs w:val="18"/>
              </w:rPr>
              <w:t>uygun</w:t>
            </w:r>
            <w:r w:rsidRPr="00A4671B">
              <w:rPr>
                <w:rFonts w:ascii="Times New Roman" w:hAnsi="Times New Roman" w:cs="Times New Roman"/>
                <w:color w:val="000000" w:themeColor="text1"/>
                <w:spacing w:val="-8"/>
                <w:sz w:val="18"/>
                <w:szCs w:val="18"/>
              </w:rPr>
              <w:t xml:space="preserve"> </w:t>
            </w:r>
            <w:r w:rsidRPr="00A4671B">
              <w:rPr>
                <w:rFonts w:ascii="Times New Roman" w:hAnsi="Times New Roman" w:cs="Times New Roman"/>
                <w:color w:val="000000" w:themeColor="text1"/>
                <w:sz w:val="18"/>
                <w:szCs w:val="18"/>
              </w:rPr>
              <w:t>olarak</w:t>
            </w:r>
            <w:r w:rsidRPr="00A4671B">
              <w:rPr>
                <w:rFonts w:ascii="Times New Roman" w:hAnsi="Times New Roman" w:cs="Times New Roman"/>
                <w:color w:val="000000" w:themeColor="text1"/>
                <w:spacing w:val="-8"/>
                <w:sz w:val="18"/>
                <w:szCs w:val="18"/>
              </w:rPr>
              <w:t xml:space="preserve"> </w:t>
            </w:r>
            <w:r w:rsidRPr="00A4671B">
              <w:rPr>
                <w:rFonts w:ascii="Times New Roman" w:hAnsi="Times New Roman" w:cs="Times New Roman"/>
                <w:color w:val="000000" w:themeColor="text1"/>
                <w:sz w:val="18"/>
                <w:szCs w:val="18"/>
              </w:rPr>
              <w:t>teslim</w:t>
            </w:r>
            <w:r w:rsidRPr="00A4671B">
              <w:rPr>
                <w:rFonts w:ascii="Times New Roman" w:hAnsi="Times New Roman" w:cs="Times New Roman"/>
                <w:color w:val="000000" w:themeColor="text1"/>
                <w:spacing w:val="-8"/>
                <w:sz w:val="18"/>
                <w:szCs w:val="18"/>
              </w:rPr>
              <w:t xml:space="preserve"> </w:t>
            </w:r>
            <w:r w:rsidRPr="00A4671B">
              <w:rPr>
                <w:rFonts w:ascii="Times New Roman" w:hAnsi="Times New Roman" w:cs="Times New Roman"/>
                <w:color w:val="000000" w:themeColor="text1"/>
                <w:sz w:val="18"/>
                <w:szCs w:val="18"/>
              </w:rPr>
              <w:t xml:space="preserve">ettim. </w:t>
            </w:r>
          </w:p>
          <w:p w14:paraId="3A6E45E8" w14:textId="77777777" w:rsidR="00006701" w:rsidRPr="00A4671B" w:rsidRDefault="00006701" w:rsidP="00CC161A">
            <w:pPr>
              <w:pStyle w:val="TableParagraph"/>
              <w:spacing w:before="0"/>
              <w:ind w:left="54" w:right="4659" w:firstLine="10"/>
              <w:rPr>
                <w:rFonts w:ascii="Times New Roman" w:hAnsi="Times New Roman" w:cs="Times New Roman"/>
                <w:color w:val="000000" w:themeColor="text1"/>
                <w:sz w:val="18"/>
                <w:szCs w:val="18"/>
              </w:rPr>
            </w:pPr>
            <w:r w:rsidRPr="00A4671B">
              <w:rPr>
                <w:rFonts w:ascii="Times New Roman" w:hAnsi="Times New Roman" w:cs="Times New Roman"/>
                <w:color w:val="000000" w:themeColor="text1"/>
                <w:sz w:val="18"/>
                <w:szCs w:val="18"/>
              </w:rPr>
              <w:t>Tarih</w:t>
            </w:r>
            <w:r w:rsidRPr="00A4671B">
              <w:rPr>
                <w:rFonts w:ascii="Times New Roman" w:hAnsi="Times New Roman" w:cs="Times New Roman"/>
                <w:color w:val="000000" w:themeColor="text1"/>
                <w:spacing w:val="40"/>
                <w:sz w:val="18"/>
                <w:szCs w:val="18"/>
              </w:rPr>
              <w:t xml:space="preserve">   </w:t>
            </w:r>
            <w:r w:rsidRPr="00A4671B">
              <w:rPr>
                <w:rFonts w:ascii="Times New Roman" w:hAnsi="Times New Roman" w:cs="Times New Roman"/>
                <w:color w:val="000000" w:themeColor="text1"/>
                <w:sz w:val="18"/>
                <w:szCs w:val="18"/>
              </w:rPr>
              <w:t>:</w:t>
            </w:r>
          </w:p>
          <w:p w14:paraId="337C97D2" w14:textId="77777777" w:rsidR="00006701" w:rsidRPr="00A4671B" w:rsidRDefault="00006701" w:rsidP="00CC161A">
            <w:pPr>
              <w:pStyle w:val="TableParagraph"/>
              <w:tabs>
                <w:tab w:val="left" w:pos="726"/>
              </w:tabs>
              <w:spacing w:before="0"/>
              <w:ind w:left="54"/>
              <w:rPr>
                <w:rFonts w:ascii="Times New Roman" w:hAnsi="Times New Roman" w:cs="Times New Roman"/>
                <w:color w:val="000000" w:themeColor="text1"/>
                <w:sz w:val="16"/>
              </w:rPr>
            </w:pPr>
            <w:r w:rsidRPr="00A4671B">
              <w:rPr>
                <w:rFonts w:ascii="Times New Roman" w:hAnsi="Times New Roman" w:cs="Times New Roman"/>
                <w:color w:val="000000" w:themeColor="text1"/>
                <w:spacing w:val="-4"/>
                <w:sz w:val="18"/>
                <w:szCs w:val="18"/>
              </w:rPr>
              <w:t>İmza</w:t>
            </w:r>
            <w:r w:rsidRPr="00A4671B">
              <w:rPr>
                <w:rFonts w:ascii="Times New Roman" w:hAnsi="Times New Roman" w:cs="Times New Roman"/>
                <w:color w:val="000000" w:themeColor="text1"/>
                <w:sz w:val="18"/>
                <w:szCs w:val="18"/>
              </w:rPr>
              <w:tab/>
            </w:r>
            <w:r w:rsidRPr="00A4671B">
              <w:rPr>
                <w:rFonts w:ascii="Times New Roman" w:hAnsi="Times New Roman" w:cs="Times New Roman"/>
                <w:color w:val="000000" w:themeColor="text1"/>
                <w:spacing w:val="-10"/>
                <w:sz w:val="18"/>
                <w:szCs w:val="18"/>
              </w:rPr>
              <w:t>:</w:t>
            </w:r>
          </w:p>
        </w:tc>
      </w:tr>
      <w:tr w:rsidR="00A4671B" w:rsidRPr="00A4671B" w14:paraId="218F1C40" w14:textId="77777777" w:rsidTr="00CC161A">
        <w:trPr>
          <w:trHeight w:val="393"/>
          <w:jc w:val="center"/>
        </w:trPr>
        <w:tc>
          <w:tcPr>
            <w:tcW w:w="416" w:type="dxa"/>
          </w:tcPr>
          <w:p w14:paraId="1B9A4B38" w14:textId="77777777" w:rsidR="00006701" w:rsidRPr="00A4671B" w:rsidRDefault="00006701" w:rsidP="00CC161A">
            <w:pPr>
              <w:pStyle w:val="TableParagraph"/>
              <w:spacing w:before="0"/>
              <w:ind w:left="46" w:right="27"/>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pacing w:val="-10"/>
                <w:sz w:val="20"/>
              </w:rPr>
              <w:t>C</w:t>
            </w:r>
          </w:p>
        </w:tc>
        <w:tc>
          <w:tcPr>
            <w:tcW w:w="10134" w:type="dxa"/>
            <w:gridSpan w:val="11"/>
            <w:tcBorders>
              <w:right w:val="single" w:sz="4" w:space="0" w:color="000000"/>
            </w:tcBorders>
          </w:tcPr>
          <w:p w14:paraId="09447026" w14:textId="77777777" w:rsidR="00006701" w:rsidRPr="00A4671B" w:rsidRDefault="00006701" w:rsidP="00CC161A">
            <w:pPr>
              <w:pStyle w:val="TableParagraph"/>
              <w:spacing w:before="0"/>
              <w:ind w:left="375" w:right="400"/>
              <w:jc w:val="center"/>
              <w:rPr>
                <w:rFonts w:ascii="Times New Roman" w:hAnsi="Times New Roman" w:cs="Times New Roman"/>
                <w:b/>
                <w:bCs/>
                <w:color w:val="000000" w:themeColor="text1"/>
                <w:sz w:val="20"/>
              </w:rPr>
            </w:pPr>
            <w:r w:rsidRPr="00A4671B">
              <w:rPr>
                <w:rFonts w:ascii="Times New Roman" w:hAnsi="Times New Roman" w:cs="Times New Roman"/>
                <w:b/>
                <w:bCs/>
                <w:color w:val="000000" w:themeColor="text1"/>
                <w:sz w:val="20"/>
              </w:rPr>
              <w:t xml:space="preserve">Trafik Kaydından Düşme </w:t>
            </w:r>
            <w:r w:rsidRPr="00A4671B">
              <w:rPr>
                <w:rFonts w:ascii="Times New Roman" w:hAnsi="Times New Roman" w:cs="Times New Roman"/>
                <w:b/>
                <w:bCs/>
                <w:color w:val="000000" w:themeColor="text1"/>
                <w:spacing w:val="-2"/>
                <w:sz w:val="20"/>
              </w:rPr>
              <w:t>Onayı</w:t>
            </w:r>
          </w:p>
        </w:tc>
      </w:tr>
      <w:tr w:rsidR="00A4671B" w:rsidRPr="00A4671B" w14:paraId="59086AA4" w14:textId="77777777" w:rsidTr="00CC161A">
        <w:trPr>
          <w:trHeight w:val="1105"/>
          <w:jc w:val="center"/>
        </w:trPr>
        <w:tc>
          <w:tcPr>
            <w:tcW w:w="416" w:type="dxa"/>
            <w:tcBorders>
              <w:bottom w:val="single" w:sz="4" w:space="0" w:color="000000"/>
            </w:tcBorders>
          </w:tcPr>
          <w:p w14:paraId="0A3B90CE" w14:textId="77777777" w:rsidR="00006701" w:rsidRPr="00A4671B" w:rsidRDefault="00006701" w:rsidP="00CC161A">
            <w:pPr>
              <w:pStyle w:val="TableParagraph"/>
              <w:spacing w:before="0"/>
              <w:rPr>
                <w:rFonts w:ascii="Times New Roman" w:hAnsi="Times New Roman" w:cs="Times New Roman"/>
                <w:color w:val="000000" w:themeColor="text1"/>
                <w:sz w:val="16"/>
              </w:rPr>
            </w:pPr>
          </w:p>
        </w:tc>
        <w:tc>
          <w:tcPr>
            <w:tcW w:w="4916" w:type="dxa"/>
            <w:gridSpan w:val="6"/>
            <w:tcBorders>
              <w:bottom w:val="single" w:sz="4" w:space="0" w:color="000000"/>
            </w:tcBorders>
          </w:tcPr>
          <w:p w14:paraId="2A2EE23D" w14:textId="77777777" w:rsidR="00006701" w:rsidRPr="00A4671B" w:rsidRDefault="00006701" w:rsidP="00CC161A">
            <w:pPr>
              <w:pStyle w:val="TableParagraph"/>
              <w:spacing w:before="0"/>
              <w:ind w:left="106" w:right="28"/>
              <w:rPr>
                <w:rFonts w:ascii="Times New Roman" w:hAnsi="Times New Roman" w:cs="Times New Roman"/>
                <w:color w:val="000000" w:themeColor="text1"/>
                <w:sz w:val="18"/>
                <w:szCs w:val="24"/>
              </w:rPr>
            </w:pPr>
            <w:r w:rsidRPr="00A4671B">
              <w:rPr>
                <w:rFonts w:ascii="Times New Roman" w:hAnsi="Times New Roman" w:cs="Times New Roman"/>
                <w:color w:val="000000" w:themeColor="text1"/>
                <w:sz w:val="18"/>
                <w:szCs w:val="24"/>
              </w:rPr>
              <w:t>Formun</w:t>
            </w:r>
            <w:r w:rsidRPr="00A4671B">
              <w:rPr>
                <w:rFonts w:ascii="Times New Roman" w:hAnsi="Times New Roman" w:cs="Times New Roman"/>
                <w:color w:val="000000" w:themeColor="text1"/>
                <w:spacing w:val="-7"/>
                <w:sz w:val="18"/>
                <w:szCs w:val="24"/>
              </w:rPr>
              <w:t xml:space="preserve"> </w:t>
            </w:r>
            <w:r w:rsidRPr="00A4671B">
              <w:rPr>
                <w:rFonts w:ascii="Times New Roman" w:hAnsi="Times New Roman" w:cs="Times New Roman"/>
                <w:color w:val="000000" w:themeColor="text1"/>
                <w:sz w:val="18"/>
                <w:szCs w:val="24"/>
              </w:rPr>
              <w:t>A</w:t>
            </w:r>
            <w:r w:rsidRPr="00A4671B">
              <w:rPr>
                <w:rFonts w:ascii="Times New Roman" w:hAnsi="Times New Roman" w:cs="Times New Roman"/>
                <w:color w:val="000000" w:themeColor="text1"/>
                <w:spacing w:val="-7"/>
                <w:sz w:val="18"/>
                <w:szCs w:val="24"/>
              </w:rPr>
              <w:t xml:space="preserve"> </w:t>
            </w:r>
            <w:r w:rsidRPr="00A4671B">
              <w:rPr>
                <w:rFonts w:ascii="Times New Roman" w:hAnsi="Times New Roman" w:cs="Times New Roman"/>
                <w:color w:val="000000" w:themeColor="text1"/>
                <w:sz w:val="18"/>
                <w:szCs w:val="24"/>
              </w:rPr>
              <w:t>kısmında</w:t>
            </w:r>
            <w:r w:rsidRPr="00A4671B">
              <w:rPr>
                <w:rFonts w:ascii="Times New Roman" w:hAnsi="Times New Roman" w:cs="Times New Roman"/>
                <w:color w:val="000000" w:themeColor="text1"/>
                <w:spacing w:val="-7"/>
                <w:sz w:val="18"/>
                <w:szCs w:val="24"/>
              </w:rPr>
              <w:t xml:space="preserve"> </w:t>
            </w:r>
            <w:r w:rsidRPr="00A4671B">
              <w:rPr>
                <w:rFonts w:ascii="Times New Roman" w:hAnsi="Times New Roman" w:cs="Times New Roman"/>
                <w:color w:val="000000" w:themeColor="text1"/>
                <w:sz w:val="18"/>
                <w:szCs w:val="24"/>
              </w:rPr>
              <w:t>plakası,</w:t>
            </w:r>
            <w:r w:rsidRPr="00A4671B">
              <w:rPr>
                <w:rFonts w:ascii="Times New Roman" w:hAnsi="Times New Roman" w:cs="Times New Roman"/>
                <w:color w:val="000000" w:themeColor="text1"/>
                <w:spacing w:val="-7"/>
                <w:sz w:val="18"/>
                <w:szCs w:val="24"/>
              </w:rPr>
              <w:t xml:space="preserve"> </w:t>
            </w:r>
            <w:r w:rsidRPr="00A4671B">
              <w:rPr>
                <w:rFonts w:ascii="Times New Roman" w:hAnsi="Times New Roman" w:cs="Times New Roman"/>
                <w:color w:val="000000" w:themeColor="text1"/>
                <w:sz w:val="18"/>
                <w:szCs w:val="24"/>
              </w:rPr>
              <w:t>teknik</w:t>
            </w:r>
            <w:r w:rsidRPr="00A4671B">
              <w:rPr>
                <w:rFonts w:ascii="Times New Roman" w:hAnsi="Times New Roman" w:cs="Times New Roman"/>
                <w:color w:val="000000" w:themeColor="text1"/>
                <w:spacing w:val="-7"/>
                <w:sz w:val="18"/>
                <w:szCs w:val="24"/>
              </w:rPr>
              <w:t xml:space="preserve"> </w:t>
            </w:r>
            <w:r w:rsidRPr="00A4671B">
              <w:rPr>
                <w:rFonts w:ascii="Times New Roman" w:hAnsi="Times New Roman" w:cs="Times New Roman"/>
                <w:color w:val="000000" w:themeColor="text1"/>
                <w:sz w:val="18"/>
                <w:szCs w:val="24"/>
              </w:rPr>
              <w:t>özellikleri</w:t>
            </w:r>
            <w:r w:rsidRPr="00A4671B">
              <w:rPr>
                <w:rFonts w:ascii="Times New Roman" w:hAnsi="Times New Roman" w:cs="Times New Roman"/>
                <w:color w:val="000000" w:themeColor="text1"/>
                <w:spacing w:val="-7"/>
                <w:sz w:val="18"/>
                <w:szCs w:val="24"/>
              </w:rPr>
              <w:t xml:space="preserve"> </w:t>
            </w:r>
            <w:r w:rsidRPr="00A4671B">
              <w:rPr>
                <w:rFonts w:ascii="Times New Roman" w:hAnsi="Times New Roman" w:cs="Times New Roman"/>
                <w:color w:val="000000" w:themeColor="text1"/>
                <w:sz w:val="18"/>
                <w:szCs w:val="24"/>
              </w:rPr>
              <w:t>ve araç sahibi bilgileri ile teslim bilgileri bulunan araç hurdaya ayrılmıştır.</w:t>
            </w:r>
          </w:p>
        </w:tc>
        <w:tc>
          <w:tcPr>
            <w:tcW w:w="5217" w:type="dxa"/>
            <w:gridSpan w:val="5"/>
            <w:tcBorders>
              <w:bottom w:val="single" w:sz="4" w:space="0" w:color="000000"/>
              <w:right w:val="single" w:sz="4" w:space="0" w:color="000000"/>
            </w:tcBorders>
          </w:tcPr>
          <w:p w14:paraId="63AA08DD" w14:textId="77777777" w:rsidR="00006701" w:rsidRPr="00A4671B" w:rsidRDefault="00006701" w:rsidP="00CC161A">
            <w:pPr>
              <w:pStyle w:val="TableParagraph"/>
              <w:spacing w:before="0"/>
              <w:ind w:left="45"/>
              <w:rPr>
                <w:rFonts w:ascii="Times New Roman" w:hAnsi="Times New Roman" w:cs="Times New Roman"/>
                <w:color w:val="000000" w:themeColor="text1"/>
                <w:sz w:val="18"/>
                <w:szCs w:val="24"/>
              </w:rPr>
            </w:pPr>
            <w:r w:rsidRPr="00A4671B">
              <w:rPr>
                <w:rFonts w:ascii="Times New Roman" w:hAnsi="Times New Roman" w:cs="Times New Roman"/>
                <w:color w:val="000000" w:themeColor="text1"/>
                <w:sz w:val="18"/>
                <w:szCs w:val="24"/>
              </w:rPr>
              <w:t xml:space="preserve">Yetkili </w:t>
            </w:r>
            <w:r w:rsidRPr="00A4671B">
              <w:rPr>
                <w:rFonts w:ascii="Times New Roman" w:hAnsi="Times New Roman" w:cs="Times New Roman"/>
                <w:color w:val="000000" w:themeColor="text1"/>
                <w:spacing w:val="-2"/>
                <w:sz w:val="18"/>
                <w:szCs w:val="24"/>
              </w:rPr>
              <w:t>Kişi:</w:t>
            </w:r>
          </w:p>
          <w:p w14:paraId="0D22E3CD" w14:textId="77777777" w:rsidR="00006701" w:rsidRPr="00A4671B" w:rsidRDefault="00006701" w:rsidP="00CC161A">
            <w:pPr>
              <w:pStyle w:val="TableParagraph"/>
              <w:spacing w:before="0"/>
              <w:ind w:left="45"/>
              <w:rPr>
                <w:rFonts w:ascii="Times New Roman" w:hAnsi="Times New Roman" w:cs="Times New Roman"/>
                <w:color w:val="000000" w:themeColor="text1"/>
                <w:sz w:val="18"/>
                <w:szCs w:val="24"/>
              </w:rPr>
            </w:pPr>
            <w:r w:rsidRPr="00A4671B">
              <w:rPr>
                <w:rFonts w:ascii="Times New Roman" w:hAnsi="Times New Roman" w:cs="Times New Roman"/>
                <w:color w:val="000000" w:themeColor="text1"/>
                <w:sz w:val="18"/>
                <w:szCs w:val="24"/>
              </w:rPr>
              <w:t>Tarih</w:t>
            </w:r>
            <w:r w:rsidRPr="00A4671B">
              <w:rPr>
                <w:rFonts w:ascii="Times New Roman" w:hAnsi="Times New Roman" w:cs="Times New Roman"/>
                <w:color w:val="000000" w:themeColor="text1"/>
                <w:spacing w:val="48"/>
                <w:w w:val="150"/>
                <w:sz w:val="18"/>
                <w:szCs w:val="24"/>
              </w:rPr>
              <w:t xml:space="preserve">  </w:t>
            </w:r>
            <w:r w:rsidRPr="00A4671B">
              <w:rPr>
                <w:rFonts w:ascii="Times New Roman" w:hAnsi="Times New Roman" w:cs="Times New Roman"/>
                <w:color w:val="000000" w:themeColor="text1"/>
                <w:sz w:val="18"/>
                <w:szCs w:val="24"/>
              </w:rPr>
              <w:t xml:space="preserve">: </w:t>
            </w:r>
            <w:r w:rsidRPr="00A4671B">
              <w:rPr>
                <w:rFonts w:ascii="Times New Roman" w:hAnsi="Times New Roman" w:cs="Times New Roman"/>
                <w:color w:val="000000" w:themeColor="text1"/>
                <w:spacing w:val="-2"/>
                <w:sz w:val="18"/>
                <w:szCs w:val="24"/>
              </w:rPr>
              <w:t>../../....</w:t>
            </w:r>
          </w:p>
          <w:p w14:paraId="0E89D6F7" w14:textId="77777777" w:rsidR="00006701" w:rsidRPr="00A4671B" w:rsidRDefault="00006701" w:rsidP="00CC161A">
            <w:pPr>
              <w:pStyle w:val="TableParagraph"/>
              <w:tabs>
                <w:tab w:val="left" w:pos="716"/>
              </w:tabs>
              <w:spacing w:before="0"/>
              <w:ind w:left="44"/>
              <w:rPr>
                <w:rFonts w:ascii="Times New Roman" w:hAnsi="Times New Roman" w:cs="Times New Roman"/>
                <w:color w:val="000000" w:themeColor="text1"/>
                <w:sz w:val="18"/>
                <w:szCs w:val="24"/>
              </w:rPr>
            </w:pPr>
            <w:r w:rsidRPr="00A4671B">
              <w:rPr>
                <w:rFonts w:ascii="Times New Roman" w:hAnsi="Times New Roman" w:cs="Times New Roman"/>
                <w:color w:val="000000" w:themeColor="text1"/>
                <w:spacing w:val="-4"/>
                <w:sz w:val="18"/>
                <w:szCs w:val="24"/>
              </w:rPr>
              <w:t>İmza</w:t>
            </w:r>
            <w:r w:rsidRPr="00A4671B">
              <w:rPr>
                <w:rFonts w:ascii="Times New Roman" w:hAnsi="Times New Roman" w:cs="Times New Roman"/>
                <w:color w:val="000000" w:themeColor="text1"/>
                <w:sz w:val="18"/>
                <w:szCs w:val="24"/>
              </w:rPr>
              <w:tab/>
            </w:r>
            <w:r w:rsidRPr="00A4671B">
              <w:rPr>
                <w:rFonts w:ascii="Times New Roman" w:hAnsi="Times New Roman" w:cs="Times New Roman"/>
                <w:color w:val="000000" w:themeColor="text1"/>
                <w:spacing w:val="-10"/>
                <w:sz w:val="18"/>
                <w:szCs w:val="24"/>
              </w:rPr>
              <w:t>:</w:t>
            </w:r>
          </w:p>
        </w:tc>
      </w:tr>
    </w:tbl>
    <w:p w14:paraId="32EFF629" w14:textId="77777777" w:rsidR="00006701" w:rsidRPr="00DF16DA" w:rsidRDefault="00006701" w:rsidP="00006701">
      <w:pPr>
        <w:rPr>
          <w:b/>
          <w:bCs/>
          <w:sz w:val="14"/>
          <w:szCs w:val="14"/>
        </w:rPr>
        <w:sectPr w:rsidR="00006701" w:rsidRPr="00DF16DA" w:rsidSect="00CC161A">
          <w:headerReference w:type="default" r:id="rId6"/>
          <w:pgSz w:w="11906" w:h="16838"/>
          <w:pgMar w:top="1134" w:right="1134" w:bottom="1134" w:left="1134" w:header="709" w:footer="357" w:gutter="0"/>
          <w:cols w:space="708"/>
          <w:docGrid w:linePitch="326"/>
        </w:sectPr>
      </w:pPr>
    </w:p>
    <w:p w14:paraId="3D29809B" w14:textId="7E600198" w:rsidR="00914A7E" w:rsidRPr="00A4671B" w:rsidRDefault="007245C5" w:rsidP="007245C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b/>
          <w:sz w:val="24"/>
          <w:szCs w:val="24"/>
        </w:rPr>
        <w:lastRenderedPageBreak/>
        <w:t xml:space="preserve">MADDE </w:t>
      </w:r>
      <w:r w:rsidR="00914A7E" w:rsidRPr="00A4671B">
        <w:rPr>
          <w:rStyle w:val="citation-16"/>
          <w:rFonts w:ascii="Times New Roman" w:hAnsi="Times New Roman" w:cs="Times New Roman"/>
          <w:b/>
          <w:sz w:val="24"/>
          <w:szCs w:val="24"/>
        </w:rPr>
        <w:t>22</w:t>
      </w:r>
      <w:r w:rsidRPr="00A4671B">
        <w:rPr>
          <w:rStyle w:val="citation-16"/>
          <w:rFonts w:ascii="Times New Roman" w:hAnsi="Times New Roman" w:cs="Times New Roman"/>
          <w:b/>
          <w:sz w:val="24"/>
          <w:szCs w:val="24"/>
        </w:rPr>
        <w:t>-</w:t>
      </w:r>
      <w:r w:rsidRPr="00A4671B">
        <w:rPr>
          <w:rStyle w:val="citation-16"/>
          <w:rFonts w:ascii="Times New Roman" w:hAnsi="Times New Roman" w:cs="Times New Roman"/>
          <w:sz w:val="24"/>
          <w:szCs w:val="24"/>
        </w:rPr>
        <w:t xml:space="preserve"> </w:t>
      </w:r>
      <w:r w:rsidR="00144A48" w:rsidRPr="00144A48">
        <w:rPr>
          <w:rStyle w:val="citation-3"/>
          <w:rFonts w:ascii="Times New Roman" w:hAnsi="Times New Roman" w:cs="Times New Roman"/>
          <w:sz w:val="24"/>
          <w:szCs w:val="24"/>
        </w:rPr>
        <w:t>Aynı Yönetmeliğin Ek-4’ünün 1 nolu dipnotu aşağıdaki şekliyle değiştirilmiştir.</w:t>
      </w:r>
    </w:p>
    <w:p w14:paraId="4585A997" w14:textId="37B8E2BE" w:rsidR="00914A7E" w:rsidRDefault="00914A7E" w:rsidP="007245C5">
      <w:pPr>
        <w:spacing w:after="0" w:line="240" w:lineRule="auto"/>
        <w:ind w:firstLine="708"/>
        <w:jc w:val="both"/>
        <w:rPr>
          <w:rStyle w:val="citation-16"/>
          <w:rFonts w:ascii="Times New Roman" w:hAnsi="Times New Roman" w:cs="Times New Roman"/>
          <w:sz w:val="24"/>
          <w:szCs w:val="24"/>
        </w:rPr>
      </w:pPr>
      <w:r w:rsidRPr="00A4671B">
        <w:rPr>
          <w:rStyle w:val="citation-16"/>
          <w:rFonts w:ascii="Times New Roman" w:hAnsi="Times New Roman" w:cs="Times New Roman"/>
          <w:sz w:val="24"/>
          <w:szCs w:val="24"/>
        </w:rPr>
        <w:t>“</w:t>
      </w:r>
      <w:r w:rsidRPr="00A4671B">
        <w:rPr>
          <w:rStyle w:val="citation-16"/>
          <w:rFonts w:ascii="Times New Roman" w:hAnsi="Times New Roman" w:cs="Times New Roman"/>
          <w:sz w:val="24"/>
          <w:szCs w:val="24"/>
          <w:vertAlign w:val="superscript"/>
        </w:rPr>
        <w:t>1</w:t>
      </w:r>
      <w:r w:rsidRPr="00A4671B">
        <w:rPr>
          <w:rStyle w:val="citation-16"/>
          <w:rFonts w:ascii="Times New Roman" w:hAnsi="Times New Roman" w:cs="Times New Roman"/>
          <w:sz w:val="24"/>
          <w:szCs w:val="24"/>
        </w:rPr>
        <w:t xml:space="preserve"> Atık Kodları için 02/04/2015 tarih ve 29314 sayılı Resmi Gazete’de yayımlanan Atık Yönetimi Yönetmeliği’ne bakınız.”</w:t>
      </w:r>
    </w:p>
    <w:sectPr w:rsidR="00914A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B9E3" w14:textId="77777777" w:rsidR="009C222A" w:rsidRDefault="009C222A" w:rsidP="00CC161A">
      <w:pPr>
        <w:spacing w:after="0" w:line="240" w:lineRule="auto"/>
      </w:pPr>
      <w:r>
        <w:separator/>
      </w:r>
    </w:p>
  </w:endnote>
  <w:endnote w:type="continuationSeparator" w:id="0">
    <w:p w14:paraId="3F24BDE7" w14:textId="77777777" w:rsidR="009C222A" w:rsidRDefault="009C222A" w:rsidP="00CC1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FEE5" w14:textId="77777777" w:rsidR="009C222A" w:rsidRDefault="009C222A" w:rsidP="00CC161A">
      <w:pPr>
        <w:spacing w:after="0" w:line="240" w:lineRule="auto"/>
      </w:pPr>
      <w:r>
        <w:separator/>
      </w:r>
    </w:p>
  </w:footnote>
  <w:footnote w:type="continuationSeparator" w:id="0">
    <w:p w14:paraId="75A6CD3C" w14:textId="77777777" w:rsidR="009C222A" w:rsidRDefault="009C222A" w:rsidP="00CC1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FF6" w14:textId="77777777" w:rsidR="00CC161A" w:rsidRPr="00A4671B" w:rsidRDefault="00CC161A" w:rsidP="00CC161A">
    <w:pPr>
      <w:jc w:val="center"/>
      <w:rPr>
        <w:rFonts w:ascii="Times New Roman" w:eastAsia="Times New Roman" w:hAnsi="Times New Roman" w:cs="Times New Roman"/>
        <w:b/>
        <w:sz w:val="24"/>
        <w:szCs w:val="24"/>
        <w:lang w:eastAsia="tr-TR"/>
      </w:rPr>
    </w:pPr>
    <w:r w:rsidRPr="00A4671B">
      <w:rPr>
        <w:rFonts w:ascii="Times New Roman" w:eastAsia="Times New Roman" w:hAnsi="Times New Roman" w:cs="Times New Roman"/>
        <w:b/>
        <w:sz w:val="24"/>
        <w:szCs w:val="24"/>
        <w:lang w:eastAsia="tr-TR"/>
      </w:rPr>
      <w:t>ÖMRÜNÜ TAMAMLAMIŞ ARAÇLARIN KONTROLÜ HAKKINDA YÖNETMELİKTE DEĞİŞİKLİK YAPILMASINA DAİR YÖNETMELİK TASLAĞI</w:t>
    </w:r>
  </w:p>
  <w:p w14:paraId="5CE56A1A" w14:textId="77777777" w:rsidR="00CC161A" w:rsidRDefault="00CC16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B8"/>
    <w:rsid w:val="00006701"/>
    <w:rsid w:val="000222B6"/>
    <w:rsid w:val="000712C0"/>
    <w:rsid w:val="00075278"/>
    <w:rsid w:val="000C04F2"/>
    <w:rsid w:val="00123CAD"/>
    <w:rsid w:val="00132542"/>
    <w:rsid w:val="00136C15"/>
    <w:rsid w:val="00144A48"/>
    <w:rsid w:val="0014623E"/>
    <w:rsid w:val="00154CC3"/>
    <w:rsid w:val="00155C78"/>
    <w:rsid w:val="00196834"/>
    <w:rsid w:val="001A3E35"/>
    <w:rsid w:val="001C0FBF"/>
    <w:rsid w:val="00205557"/>
    <w:rsid w:val="00214AB3"/>
    <w:rsid w:val="00222A96"/>
    <w:rsid w:val="00231876"/>
    <w:rsid w:val="0023274B"/>
    <w:rsid w:val="00235A21"/>
    <w:rsid w:val="0024499B"/>
    <w:rsid w:val="0024568D"/>
    <w:rsid w:val="0025388B"/>
    <w:rsid w:val="00256692"/>
    <w:rsid w:val="00276C04"/>
    <w:rsid w:val="002A37ED"/>
    <w:rsid w:val="002B4CAC"/>
    <w:rsid w:val="002C2A62"/>
    <w:rsid w:val="002D077D"/>
    <w:rsid w:val="00300F27"/>
    <w:rsid w:val="0030379B"/>
    <w:rsid w:val="003331A4"/>
    <w:rsid w:val="0037224B"/>
    <w:rsid w:val="00385687"/>
    <w:rsid w:val="00390E2C"/>
    <w:rsid w:val="003970F3"/>
    <w:rsid w:val="003A3AA1"/>
    <w:rsid w:val="003C2BFC"/>
    <w:rsid w:val="003C5AD8"/>
    <w:rsid w:val="003C5E69"/>
    <w:rsid w:val="004135F9"/>
    <w:rsid w:val="00415070"/>
    <w:rsid w:val="00430C8B"/>
    <w:rsid w:val="00463916"/>
    <w:rsid w:val="004707B8"/>
    <w:rsid w:val="004B0AB2"/>
    <w:rsid w:val="004D191E"/>
    <w:rsid w:val="004F52A0"/>
    <w:rsid w:val="0055601D"/>
    <w:rsid w:val="00566731"/>
    <w:rsid w:val="00580E7E"/>
    <w:rsid w:val="00584418"/>
    <w:rsid w:val="005A03A7"/>
    <w:rsid w:val="005C45B6"/>
    <w:rsid w:val="005C48F9"/>
    <w:rsid w:val="005D31F3"/>
    <w:rsid w:val="005D5D78"/>
    <w:rsid w:val="005E104E"/>
    <w:rsid w:val="00607A69"/>
    <w:rsid w:val="0061407E"/>
    <w:rsid w:val="00664EB4"/>
    <w:rsid w:val="0068419D"/>
    <w:rsid w:val="006907E4"/>
    <w:rsid w:val="006920C7"/>
    <w:rsid w:val="006B2E02"/>
    <w:rsid w:val="006B3CA3"/>
    <w:rsid w:val="006D4B82"/>
    <w:rsid w:val="006D6AA8"/>
    <w:rsid w:val="00720FB8"/>
    <w:rsid w:val="007245C5"/>
    <w:rsid w:val="00730133"/>
    <w:rsid w:val="007616E4"/>
    <w:rsid w:val="00793A24"/>
    <w:rsid w:val="007A0880"/>
    <w:rsid w:val="007C155C"/>
    <w:rsid w:val="007E0117"/>
    <w:rsid w:val="007E0485"/>
    <w:rsid w:val="007F06E6"/>
    <w:rsid w:val="00810F59"/>
    <w:rsid w:val="00813FC5"/>
    <w:rsid w:val="008306C1"/>
    <w:rsid w:val="00844B40"/>
    <w:rsid w:val="0086294E"/>
    <w:rsid w:val="00875283"/>
    <w:rsid w:val="008C5106"/>
    <w:rsid w:val="008E27F0"/>
    <w:rsid w:val="00914A7E"/>
    <w:rsid w:val="009A6100"/>
    <w:rsid w:val="009C222A"/>
    <w:rsid w:val="009D0C01"/>
    <w:rsid w:val="00A01880"/>
    <w:rsid w:val="00A4671B"/>
    <w:rsid w:val="00A5577F"/>
    <w:rsid w:val="00A6409F"/>
    <w:rsid w:val="00A67ED2"/>
    <w:rsid w:val="00A94020"/>
    <w:rsid w:val="00AB5976"/>
    <w:rsid w:val="00AC4A4E"/>
    <w:rsid w:val="00AC7AB9"/>
    <w:rsid w:val="00B23A4C"/>
    <w:rsid w:val="00B271AB"/>
    <w:rsid w:val="00B27E00"/>
    <w:rsid w:val="00B532DC"/>
    <w:rsid w:val="00BA7393"/>
    <w:rsid w:val="00BB37BB"/>
    <w:rsid w:val="00BB4199"/>
    <w:rsid w:val="00BC5D45"/>
    <w:rsid w:val="00BD34CD"/>
    <w:rsid w:val="00BD57B9"/>
    <w:rsid w:val="00C40F28"/>
    <w:rsid w:val="00C94197"/>
    <w:rsid w:val="00CC161A"/>
    <w:rsid w:val="00CC1EC2"/>
    <w:rsid w:val="00CD2D36"/>
    <w:rsid w:val="00CD46E6"/>
    <w:rsid w:val="00CD53F5"/>
    <w:rsid w:val="00CF2AF1"/>
    <w:rsid w:val="00D679A3"/>
    <w:rsid w:val="00DB14DE"/>
    <w:rsid w:val="00DD645A"/>
    <w:rsid w:val="00DD6E0F"/>
    <w:rsid w:val="00DE4DF4"/>
    <w:rsid w:val="00DF229C"/>
    <w:rsid w:val="00E074D8"/>
    <w:rsid w:val="00E47456"/>
    <w:rsid w:val="00E5153C"/>
    <w:rsid w:val="00E517E2"/>
    <w:rsid w:val="00E9309E"/>
    <w:rsid w:val="00EB0EB0"/>
    <w:rsid w:val="00EC16EA"/>
    <w:rsid w:val="00ED06C0"/>
    <w:rsid w:val="00ED3006"/>
    <w:rsid w:val="00EE2B5B"/>
    <w:rsid w:val="00EF2788"/>
    <w:rsid w:val="00EF2F5F"/>
    <w:rsid w:val="00F063CD"/>
    <w:rsid w:val="00F36815"/>
    <w:rsid w:val="00FA2734"/>
    <w:rsid w:val="00FB2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C8E2"/>
  <w15:chartTrackingRefBased/>
  <w15:docId w15:val="{BFAD71E0-15E2-4FC8-989F-293C4C9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itation-16">
    <w:name w:val="citation-16"/>
    <w:basedOn w:val="VarsaylanParagrafYazTipi"/>
    <w:rsid w:val="00720FB8"/>
  </w:style>
  <w:style w:type="character" w:customStyle="1" w:styleId="citation-14">
    <w:name w:val="citation-14"/>
    <w:basedOn w:val="VarsaylanParagrafYazTipi"/>
    <w:rsid w:val="00720FB8"/>
  </w:style>
  <w:style w:type="character" w:customStyle="1" w:styleId="citation-13">
    <w:name w:val="citation-13"/>
    <w:basedOn w:val="VarsaylanParagrafYazTipi"/>
    <w:rsid w:val="00720FB8"/>
  </w:style>
  <w:style w:type="character" w:customStyle="1" w:styleId="citation-110">
    <w:name w:val="citation-110"/>
    <w:basedOn w:val="VarsaylanParagrafYazTipi"/>
    <w:rsid w:val="00720FB8"/>
  </w:style>
  <w:style w:type="character" w:customStyle="1" w:styleId="citation-12">
    <w:name w:val="citation-12"/>
    <w:basedOn w:val="VarsaylanParagrafYazTipi"/>
    <w:rsid w:val="00720FB8"/>
  </w:style>
  <w:style w:type="paragraph" w:styleId="NormalWeb">
    <w:name w:val="Normal (Web)"/>
    <w:basedOn w:val="Normal"/>
    <w:uiPriority w:val="99"/>
    <w:unhideWhenUsed/>
    <w:rsid w:val="00720F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106">
    <w:name w:val="citation-106"/>
    <w:basedOn w:val="VarsaylanParagrafYazTipi"/>
    <w:rsid w:val="00720FB8"/>
  </w:style>
  <w:style w:type="character" w:customStyle="1" w:styleId="citation-8">
    <w:name w:val="citation-8"/>
    <w:basedOn w:val="VarsaylanParagrafYazTipi"/>
    <w:rsid w:val="00720FB8"/>
  </w:style>
  <w:style w:type="character" w:customStyle="1" w:styleId="citation-89">
    <w:name w:val="citation-89"/>
    <w:basedOn w:val="VarsaylanParagrafYazTipi"/>
    <w:rsid w:val="00720FB8"/>
  </w:style>
  <w:style w:type="character" w:customStyle="1" w:styleId="citation-9">
    <w:name w:val="citation-9"/>
    <w:basedOn w:val="VarsaylanParagrafYazTipi"/>
    <w:rsid w:val="00720FB8"/>
  </w:style>
  <w:style w:type="character" w:customStyle="1" w:styleId="citation-85">
    <w:name w:val="citation-85"/>
    <w:basedOn w:val="VarsaylanParagrafYazTipi"/>
    <w:rsid w:val="00720FB8"/>
  </w:style>
  <w:style w:type="character" w:customStyle="1" w:styleId="citation-5">
    <w:name w:val="citation-5"/>
    <w:basedOn w:val="VarsaylanParagrafYazTipi"/>
    <w:rsid w:val="00720FB8"/>
  </w:style>
  <w:style w:type="character" w:customStyle="1" w:styleId="citation-71">
    <w:name w:val="citation-71"/>
    <w:basedOn w:val="VarsaylanParagrafYazTipi"/>
    <w:rsid w:val="00720FB8"/>
  </w:style>
  <w:style w:type="character" w:customStyle="1" w:styleId="citation-70">
    <w:name w:val="citation-70"/>
    <w:basedOn w:val="VarsaylanParagrafYazTipi"/>
    <w:rsid w:val="00720FB8"/>
  </w:style>
  <w:style w:type="character" w:customStyle="1" w:styleId="citation-3">
    <w:name w:val="citation-3"/>
    <w:basedOn w:val="VarsaylanParagrafYazTipi"/>
    <w:rsid w:val="00720FB8"/>
  </w:style>
  <w:style w:type="character" w:customStyle="1" w:styleId="citation-62">
    <w:name w:val="citation-62"/>
    <w:basedOn w:val="VarsaylanParagrafYazTipi"/>
    <w:rsid w:val="00720FB8"/>
  </w:style>
  <w:style w:type="character" w:customStyle="1" w:styleId="citation-61">
    <w:name w:val="citation-61"/>
    <w:basedOn w:val="VarsaylanParagrafYazTipi"/>
    <w:rsid w:val="00720FB8"/>
  </w:style>
  <w:style w:type="character" w:customStyle="1" w:styleId="citation-60">
    <w:name w:val="citation-60"/>
    <w:basedOn w:val="VarsaylanParagrafYazTipi"/>
    <w:rsid w:val="00720FB8"/>
  </w:style>
  <w:style w:type="character" w:customStyle="1" w:styleId="citation-73">
    <w:name w:val="citation-73"/>
    <w:basedOn w:val="VarsaylanParagrafYazTipi"/>
    <w:rsid w:val="00F36815"/>
  </w:style>
  <w:style w:type="paragraph" w:styleId="BalonMetni">
    <w:name w:val="Balloon Text"/>
    <w:basedOn w:val="Normal"/>
    <w:link w:val="BalonMetniChar"/>
    <w:uiPriority w:val="99"/>
    <w:semiHidden/>
    <w:unhideWhenUsed/>
    <w:rsid w:val="000C04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04F2"/>
    <w:rPr>
      <w:rFonts w:ascii="Segoe UI" w:hAnsi="Segoe UI" w:cs="Segoe UI"/>
      <w:sz w:val="18"/>
      <w:szCs w:val="18"/>
    </w:rPr>
  </w:style>
  <w:style w:type="character" w:styleId="AklamaBavurusu">
    <w:name w:val="annotation reference"/>
    <w:basedOn w:val="VarsaylanParagrafYazTipi"/>
    <w:uiPriority w:val="99"/>
    <w:semiHidden/>
    <w:unhideWhenUsed/>
    <w:rsid w:val="00BB37BB"/>
    <w:rPr>
      <w:sz w:val="16"/>
      <w:szCs w:val="16"/>
    </w:rPr>
  </w:style>
  <w:style w:type="paragraph" w:styleId="AklamaMetni">
    <w:name w:val="annotation text"/>
    <w:basedOn w:val="Normal"/>
    <w:link w:val="AklamaMetniChar"/>
    <w:uiPriority w:val="99"/>
    <w:unhideWhenUsed/>
    <w:rsid w:val="00BB37BB"/>
    <w:pPr>
      <w:spacing w:line="240" w:lineRule="auto"/>
    </w:pPr>
    <w:rPr>
      <w:sz w:val="20"/>
      <w:szCs w:val="20"/>
    </w:rPr>
  </w:style>
  <w:style w:type="character" w:customStyle="1" w:styleId="AklamaMetniChar">
    <w:name w:val="Açıklama Metni Char"/>
    <w:basedOn w:val="VarsaylanParagrafYazTipi"/>
    <w:link w:val="AklamaMetni"/>
    <w:uiPriority w:val="99"/>
    <w:rsid w:val="00BB37BB"/>
    <w:rPr>
      <w:sz w:val="20"/>
      <w:szCs w:val="20"/>
    </w:rPr>
  </w:style>
  <w:style w:type="paragraph" w:styleId="AklamaKonusu">
    <w:name w:val="annotation subject"/>
    <w:basedOn w:val="AklamaMetni"/>
    <w:next w:val="AklamaMetni"/>
    <w:link w:val="AklamaKonusuChar"/>
    <w:uiPriority w:val="99"/>
    <w:semiHidden/>
    <w:unhideWhenUsed/>
    <w:rsid w:val="00BB37BB"/>
    <w:rPr>
      <w:b/>
      <w:bCs/>
    </w:rPr>
  </w:style>
  <w:style w:type="character" w:customStyle="1" w:styleId="AklamaKonusuChar">
    <w:name w:val="Açıklama Konusu Char"/>
    <w:basedOn w:val="AklamaMetniChar"/>
    <w:link w:val="AklamaKonusu"/>
    <w:uiPriority w:val="99"/>
    <w:semiHidden/>
    <w:rsid w:val="00BB37BB"/>
    <w:rPr>
      <w:b/>
      <w:bCs/>
      <w:sz w:val="20"/>
      <w:szCs w:val="20"/>
    </w:rPr>
  </w:style>
  <w:style w:type="table" w:customStyle="1" w:styleId="TableNormal">
    <w:name w:val="Table Normal"/>
    <w:uiPriority w:val="2"/>
    <w:semiHidden/>
    <w:unhideWhenUsed/>
    <w:qFormat/>
    <w:rsid w:val="00006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6701"/>
    <w:pPr>
      <w:widowControl w:val="0"/>
      <w:autoSpaceDE w:val="0"/>
      <w:autoSpaceDN w:val="0"/>
      <w:spacing w:before="30" w:after="0" w:line="240" w:lineRule="auto"/>
    </w:pPr>
    <w:rPr>
      <w:rFonts w:ascii="Courier New" w:eastAsia="Courier New" w:hAnsi="Courier New" w:cs="Courier New"/>
    </w:rPr>
  </w:style>
  <w:style w:type="paragraph" w:styleId="stBilgi">
    <w:name w:val="header"/>
    <w:basedOn w:val="Normal"/>
    <w:link w:val="stBilgiChar"/>
    <w:uiPriority w:val="99"/>
    <w:unhideWhenUsed/>
    <w:rsid w:val="00390E2C"/>
    <w:pPr>
      <w:tabs>
        <w:tab w:val="center" w:pos="4536"/>
        <w:tab w:val="right" w:pos="9072"/>
      </w:tabs>
      <w:spacing w:after="0" w:line="240" w:lineRule="auto"/>
    </w:pPr>
    <w:rPr>
      <w:rFonts w:ascii="Times New Roman" w:hAnsi="Times New Roman"/>
      <w:sz w:val="24"/>
    </w:rPr>
  </w:style>
  <w:style w:type="character" w:customStyle="1" w:styleId="stBilgiChar">
    <w:name w:val="Üst Bilgi Char"/>
    <w:basedOn w:val="VarsaylanParagrafYazTipi"/>
    <w:link w:val="stBilgi"/>
    <w:uiPriority w:val="99"/>
    <w:rsid w:val="00390E2C"/>
    <w:rPr>
      <w:rFonts w:ascii="Times New Roman" w:hAnsi="Times New Roman"/>
      <w:sz w:val="24"/>
    </w:rPr>
  </w:style>
  <w:style w:type="character" w:customStyle="1" w:styleId="citation-143">
    <w:name w:val="citation-143"/>
    <w:basedOn w:val="VarsaylanParagrafYazTipi"/>
    <w:rsid w:val="00390E2C"/>
  </w:style>
  <w:style w:type="paragraph" w:styleId="AltBilgi">
    <w:name w:val="footer"/>
    <w:basedOn w:val="Normal"/>
    <w:link w:val="AltBilgiChar"/>
    <w:uiPriority w:val="99"/>
    <w:unhideWhenUsed/>
    <w:rsid w:val="00CC161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3509">
      <w:bodyDiv w:val="1"/>
      <w:marLeft w:val="0"/>
      <w:marRight w:val="0"/>
      <w:marTop w:val="0"/>
      <w:marBottom w:val="0"/>
      <w:divBdr>
        <w:top w:val="none" w:sz="0" w:space="0" w:color="auto"/>
        <w:left w:val="none" w:sz="0" w:space="0" w:color="auto"/>
        <w:bottom w:val="none" w:sz="0" w:space="0" w:color="auto"/>
        <w:right w:val="none" w:sz="0" w:space="0" w:color="auto"/>
      </w:divBdr>
    </w:div>
    <w:div w:id="5979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3320</Words>
  <Characters>18926</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Yavuz Soysal</cp:lastModifiedBy>
  <cp:revision>4</cp:revision>
  <cp:lastPrinted>2025-09-12T07:56:00Z</cp:lastPrinted>
  <dcterms:created xsi:type="dcterms:W3CDTF">2025-11-25T14:28:00Z</dcterms:created>
  <dcterms:modified xsi:type="dcterms:W3CDTF">2025-12-02T07:03:00Z</dcterms:modified>
</cp:coreProperties>
</file>