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AC" w:rsidRPr="007671C9" w:rsidRDefault="004231AC" w:rsidP="004231AC">
      <w:pPr>
        <w:jc w:val="center"/>
        <w:rPr>
          <w:rFonts w:ascii="Times New Roman" w:hAnsi="Times New Roman" w:cs="Times New Roman"/>
          <w:b/>
          <w:sz w:val="24"/>
          <w:szCs w:val="24"/>
        </w:rPr>
      </w:pPr>
      <w:bookmarkStart w:id="0" w:name="_GoBack"/>
      <w:bookmarkEnd w:id="0"/>
      <w:r w:rsidRPr="007671C9">
        <w:rPr>
          <w:rFonts w:ascii="Times New Roman" w:hAnsi="Times New Roman" w:cs="Times New Roman"/>
          <w:b/>
          <w:sz w:val="24"/>
          <w:szCs w:val="24"/>
        </w:rPr>
        <w:t>SERA GAZI EMİSYONLARININ İZLENMESİ VE RAPORLANMASI HAKKINDA TEBLİĞ</w:t>
      </w:r>
      <w:r w:rsidR="0031733D">
        <w:rPr>
          <w:rFonts w:ascii="Times New Roman" w:hAnsi="Times New Roman" w:cs="Times New Roman"/>
          <w:b/>
          <w:sz w:val="24"/>
          <w:szCs w:val="24"/>
        </w:rPr>
        <w:t xml:space="preserve"> TASLAĞI</w:t>
      </w:r>
    </w:p>
    <w:p w:rsidR="004231AC" w:rsidRPr="007671C9" w:rsidRDefault="004231AC" w:rsidP="004231AC">
      <w:pPr>
        <w:jc w:val="center"/>
        <w:rPr>
          <w:rFonts w:ascii="Times New Roman" w:hAnsi="Times New Roman" w:cs="Times New Roman"/>
          <w:b/>
          <w:sz w:val="24"/>
          <w:szCs w:val="24"/>
        </w:rPr>
      </w:pPr>
      <w:r w:rsidRPr="007671C9">
        <w:rPr>
          <w:rFonts w:ascii="Times New Roman" w:hAnsi="Times New Roman" w:cs="Times New Roman"/>
          <w:b/>
          <w:sz w:val="24"/>
          <w:szCs w:val="24"/>
        </w:rPr>
        <w:t>BİRİNCİ BÖLÜM</w:t>
      </w:r>
    </w:p>
    <w:p w:rsidR="004231AC" w:rsidRPr="007671C9" w:rsidRDefault="004231AC" w:rsidP="004231AC">
      <w:pPr>
        <w:jc w:val="center"/>
        <w:rPr>
          <w:rFonts w:ascii="Times New Roman" w:hAnsi="Times New Roman" w:cs="Times New Roman"/>
          <w:b/>
          <w:sz w:val="24"/>
          <w:szCs w:val="24"/>
        </w:rPr>
      </w:pPr>
      <w:r w:rsidRPr="007671C9">
        <w:rPr>
          <w:rFonts w:ascii="Times New Roman" w:hAnsi="Times New Roman" w:cs="Times New Roman"/>
          <w:b/>
          <w:sz w:val="24"/>
          <w:szCs w:val="24"/>
        </w:rPr>
        <w:t>Amaç, Kapsam, Dayanak ve Tanımlar</w:t>
      </w:r>
    </w:p>
    <w:p w:rsidR="004231AC" w:rsidRPr="007671C9" w:rsidRDefault="004231AC" w:rsidP="004231AC">
      <w:pPr>
        <w:spacing w:after="0" w:line="276" w:lineRule="auto"/>
        <w:rPr>
          <w:rFonts w:ascii="Times New Roman" w:hAnsi="Times New Roman" w:cs="Times New Roman"/>
          <w:b/>
          <w:sz w:val="24"/>
          <w:szCs w:val="24"/>
        </w:rPr>
      </w:pPr>
      <w:r w:rsidRPr="007671C9">
        <w:rPr>
          <w:rFonts w:ascii="Times New Roman" w:hAnsi="Times New Roman" w:cs="Times New Roman"/>
          <w:b/>
          <w:sz w:val="24"/>
          <w:szCs w:val="24"/>
        </w:rPr>
        <w:t>Amaç</w:t>
      </w:r>
    </w:p>
    <w:p w:rsidR="004231AC" w:rsidRPr="007671C9" w:rsidRDefault="00C97A1A"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 xml:space="preserve">MADDE 1 – </w:t>
      </w:r>
      <w:r w:rsidRPr="007671C9">
        <w:rPr>
          <w:rFonts w:ascii="Times New Roman" w:hAnsi="Times New Roman" w:cs="Times New Roman"/>
          <w:sz w:val="24"/>
          <w:szCs w:val="24"/>
        </w:rPr>
        <w:t>(1) Bu Tebliğin amacı; 17/5/2014 tarihli ve 29003 sayılı Resmî Gazete’de yayımlanan Sera Gazı Emisyonlarının Takibi Hakkında Yönetmelik kapsamında sera gazı emisyonlarının ve ilgili faaliyet verilerinin izlenmesi ve raporlanmasına dair usul ve esasları düzenlemektir.</w:t>
      </w:r>
    </w:p>
    <w:p w:rsidR="00C97A1A" w:rsidRPr="007671C9" w:rsidRDefault="00C97A1A"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Kapsam</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Bu Tebliğ; 17/5/2014 tarihli ve 29003 sayılı Resmî Gazete’de yayımlanan Sera Gazı Emisyonlarının Takibi Hakkında Yönetmeliğin ek-1’inde yer alan faaliyetlerden kaynaklanan sera gazı emisyonlarının ve ilgili faaliyet verilerinin izlenmesi ve raporlanmasına dair usul ve esasları kapsar.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Dayanak</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Bu Tebliğ, 29/6/2011 tarihli ve 644 sayılı Çevre ve Şehircilik Bakanlığının Teşkilat ve Görevleri Hakkında Kanun Hükmünde Kararnamenin 2 nci maddesi ile 17/5/2014 tarihli ve 29003 sayılı Resmî Gazete’de yayımlanan Sera Gazı Emisyonlarının Takibi Hakkında Yönetmeliğe dayanılarak hazırlanmıştır.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Tanımlar ve kısaltmalar</w:t>
      </w:r>
    </w:p>
    <w:p w:rsidR="00C97A1A" w:rsidRPr="007671C9" w:rsidRDefault="004231AC" w:rsidP="00C97A1A">
      <w:pPr>
        <w:spacing w:after="0" w:line="276" w:lineRule="auto"/>
        <w:jc w:val="both"/>
      </w:pPr>
      <w:r w:rsidRPr="007671C9">
        <w:rPr>
          <w:rFonts w:ascii="Times New Roman" w:hAnsi="Times New Roman" w:cs="Times New Roman"/>
          <w:b/>
          <w:sz w:val="24"/>
          <w:szCs w:val="24"/>
        </w:rPr>
        <w:t>MADDE 4</w:t>
      </w:r>
      <w:r w:rsidRPr="007671C9">
        <w:rPr>
          <w:rFonts w:ascii="Times New Roman" w:hAnsi="Times New Roman" w:cs="Times New Roman"/>
          <w:sz w:val="24"/>
          <w:szCs w:val="24"/>
        </w:rPr>
        <w:t xml:space="preserve"> – (1) Bu Tebliğde geçen;</w:t>
      </w:r>
      <w:r w:rsidR="00C97A1A" w:rsidRPr="007671C9">
        <w:t xml:space="preserve"> </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Azami izin verilebilir hata: 29/06/2016 tarihli ve 29757 sayılı Resmî Gazete’de yayımlanan Ölçü Aletleri Yönetmeliğinin eklerinde veya uygunsa, yasal metrolojik kontrole ilişkin ulusal mevzuatta belirtilen izin verilen ölçüm hatasını,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b) Bakanlık: </w:t>
      </w:r>
      <w:r w:rsidR="0040225F">
        <w:rPr>
          <w:rFonts w:ascii="Times New Roman" w:hAnsi="Times New Roman" w:cs="Times New Roman"/>
          <w:sz w:val="24"/>
          <w:szCs w:val="24"/>
        </w:rPr>
        <w:t>Çevre ve Şehircilik Bakanlığını,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Belirsizlik: Yüzde olarak ifade edilen, sistematik ve rastgele faktörlerin etkilerini de içerecek şekilde, değerlerin dağılımındaki olası bir asimetriyi dikkate alarak ve elde edilen değerlerin %95’ini kapsayan ortalama değerin çevresindeki güven aralığını tanımlayan, belirli bir miktara makul ölçüde atfedilebilecek değerlerin dağılımını karakterize eden büyüklük tayininin sonuçları ile ilişkili parametreyi,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ç) Biyokütle: </w:t>
      </w:r>
      <w:r w:rsidR="00165DCC" w:rsidRPr="00165DCC">
        <w:rPr>
          <w:rFonts w:ascii="Times New Roman" w:hAnsi="Times New Roman" w:cs="Times New Roman"/>
          <w:sz w:val="24"/>
          <w:szCs w:val="24"/>
        </w:rPr>
        <w:t>Tarım veya ormancılık ürünü olan ve tamamı veya bir kısmı içindeki enerjiyi geri kazanmak amacı ile yakıt olarak kullanılabilen bitkisel maddelerin tamamı veya bir kısmından oluşan ürünleri, tarım ve ormancılıktan kaynaklanan bitkisel atıkları, ortaya çıkan ısı geri kazanılabiliyorsa gıda işleme sanayisinden kaynaklanan bitkisel atığı, üretim mahallinde birlikte yakılıyorsa ve ortaya çıkan enerji geri kazanılıyorsa kağıt hamuru üretimi ve kağıt hamurundan kağıt üretimi sırasında oluşan lifli bitkisel atıkları, mantar atığını, ahşap koruyucuları ve kaplamaları ile muamele neticesi halojenli organik bileşikler veya ağır metaller ihtiva eden ve özellikle inşaat veya yıkım atıklarından kaynaklanan atıkları içerenler hariç olmak üzere odun atıklarını, sanayi ile belediye atıklarının biyolojik olarak ayrışabilen kısımlarını, biyosıvıları ve biyoyakıtları,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 Biyokütle oranı: Bir yakıt veya malzemenin biyokütle kaynaklı karbon içeriğinin toplam karbon içeriğine oranını,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e) CO2(eşd): Yönetmeliğin ek-2’sinde listelenen CO2 dışındaki sera gazının CO2’nin küresel ısınma potansiyeli üzerinden eşdeğer olarak ifade edilen değeri</w:t>
      </w:r>
    </w:p>
    <w:p w:rsidR="0040225F"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f) </w:t>
      </w:r>
      <w:r w:rsidR="0040225F">
        <w:rPr>
          <w:rFonts w:ascii="Times New Roman" w:hAnsi="Times New Roman" w:cs="Times New Roman"/>
          <w:sz w:val="24"/>
          <w:szCs w:val="24"/>
        </w:rPr>
        <w:t xml:space="preserve">Çevre ve Şehircilik </w:t>
      </w:r>
      <w:r w:rsidR="0040225F" w:rsidRPr="0040225F">
        <w:rPr>
          <w:rFonts w:ascii="Times New Roman" w:hAnsi="Times New Roman" w:cs="Times New Roman"/>
          <w:sz w:val="24"/>
          <w:szCs w:val="24"/>
        </w:rPr>
        <w:t>İl Müdürlüğü: Çevre ve Şehircilik Bakanlığı taşra teşkilatını,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g) </w:t>
      </w:r>
      <w:r w:rsidR="00C97A1A" w:rsidRPr="007671C9">
        <w:rPr>
          <w:rFonts w:ascii="Times New Roman" w:hAnsi="Times New Roman" w:cs="Times New Roman"/>
          <w:sz w:val="24"/>
          <w:szCs w:val="24"/>
        </w:rPr>
        <w:t>Dâhili CO2: Bir kaynak akışının parçası olan CO2’yi,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ğ) </w:t>
      </w:r>
      <w:r w:rsidR="00C97A1A" w:rsidRPr="007671C9">
        <w:rPr>
          <w:rFonts w:ascii="Times New Roman" w:hAnsi="Times New Roman" w:cs="Times New Roman"/>
          <w:sz w:val="24"/>
          <w:szCs w:val="24"/>
        </w:rPr>
        <w:t>Dahili risk: Yıllık emisyon raporundaki bir parametrenin, herhangi bir kontrol faaliyetinin etkisi dikkate alınmadan önce, tek başına veya diğer yanlış bildirimlerle bir arada oluşabilecek önemli hatalara duyarlılığını,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h) </w:t>
      </w:r>
      <w:r w:rsidR="00C97A1A" w:rsidRPr="007671C9">
        <w:rPr>
          <w:rFonts w:ascii="Times New Roman" w:hAnsi="Times New Roman" w:cs="Times New Roman"/>
          <w:sz w:val="24"/>
          <w:szCs w:val="24"/>
        </w:rPr>
        <w:t>Doğrulama: İşletmeci tarafından hazırlanan sera gazı emisyon raporunun, doğrulama ve akreditasyona ilişkin mevzuat kapsamında doğrulanması amacıyla belirlenen ilkeler çerçevesinde, doğrulama amacıyla doğrulayıcı kuruluş tarafından yapılan tüm iş ve işlemleri,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ı) </w:t>
      </w:r>
      <w:r w:rsidR="00C97A1A" w:rsidRPr="007671C9">
        <w:rPr>
          <w:rFonts w:ascii="Times New Roman" w:hAnsi="Times New Roman" w:cs="Times New Roman"/>
          <w:sz w:val="24"/>
          <w:szCs w:val="24"/>
        </w:rPr>
        <w:t>Doğrulayıcı kuruluş: Doğrulama işleminin tüm aşamalarını yürütmek üzere akredite edilmiş veya edilecek kurum veya kuruluşu,</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i) </w:t>
      </w:r>
      <w:r w:rsidR="00C97A1A" w:rsidRPr="007671C9">
        <w:rPr>
          <w:rFonts w:ascii="Times New Roman" w:hAnsi="Times New Roman" w:cs="Times New Roman"/>
          <w:sz w:val="24"/>
          <w:szCs w:val="24"/>
        </w:rPr>
        <w:t xml:space="preserve">Doğruluk: Ölçüm sonuçları ile belli bir miktarın gerçek değeri veya uluslararası kabul edilmiş ve izlenebilir kalibrasyon malzemeleri ve metotları ile belirlenen, rastgele ve sistematik faktörlerin dikkate alındığı referans değer arasındaki yakınlığı,  </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j) </w:t>
      </w:r>
      <w:r w:rsidR="00C97A1A" w:rsidRPr="007671C9">
        <w:rPr>
          <w:rFonts w:ascii="Times New Roman" w:hAnsi="Times New Roman" w:cs="Times New Roman"/>
          <w:sz w:val="24"/>
          <w:szCs w:val="24"/>
        </w:rPr>
        <w:t xml:space="preserve">Dönüşüm faktörü: Atmosfere CO2 olarak salınan karbonun, emisyon gerçekleşmeden önce kaynak akışında bulunan toplam karbona oranını, (kaynak akışından atmosfere salınan CO, CO2’nin molar eşdeğeri olarak alınır) </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k) </w:t>
      </w:r>
      <w:r w:rsidR="00C97A1A" w:rsidRPr="007671C9">
        <w:rPr>
          <w:rFonts w:ascii="Times New Roman" w:hAnsi="Times New Roman" w:cs="Times New Roman"/>
          <w:sz w:val="24"/>
          <w:szCs w:val="24"/>
        </w:rPr>
        <w:t>Emisyon faktörü: Tam yanmanın ve diğer tüm kimyasal reaksiyonların tamamlandığının varsayıldığı bir kaynak akışındaki faaliyet verisine ait sera gazının ortalama emisyon oranını,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l) </w:t>
      </w:r>
      <w:r w:rsidR="00C97A1A" w:rsidRPr="007671C9">
        <w:rPr>
          <w:rFonts w:ascii="Times New Roman" w:hAnsi="Times New Roman" w:cs="Times New Roman"/>
          <w:sz w:val="24"/>
          <w:szCs w:val="24"/>
        </w:rPr>
        <w:t>Emisyon kaynağı: Sera gazı emisyonlarının çıktığı, bir tesisin ayrı olarak tanımlanabilir parçasını veya tesisin bir prosesini,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m) </w:t>
      </w:r>
      <w:r w:rsidR="00C97A1A" w:rsidRPr="007671C9">
        <w:rPr>
          <w:rFonts w:ascii="Times New Roman" w:hAnsi="Times New Roman" w:cs="Times New Roman"/>
          <w:sz w:val="24"/>
          <w:szCs w:val="24"/>
        </w:rPr>
        <w:t>Enerji dengesi yöntemi: Yakıtın yararlanılan ısı enerjisi ile ışıma, iletim ve baca gazı yoluyla kaybolan ısı enerjilerinin toplamıyla hesaplanan, kazanda yakıt olarak kullanılan enerjinin miktarını öngörmek için kullanılan yöntemi,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n) </w:t>
      </w:r>
      <w:r w:rsidR="00C97A1A" w:rsidRPr="007671C9">
        <w:rPr>
          <w:rFonts w:ascii="Times New Roman" w:hAnsi="Times New Roman" w:cs="Times New Roman"/>
          <w:sz w:val="24"/>
          <w:szCs w:val="24"/>
        </w:rPr>
        <w:t>Faaliyet verisi: Hesaplama temelli yöntemler kapsamında, terajul cinsinden enerji, ton cinsinden kütle veya gazlar için normal metre küp cinsinden hacim şeklinde ifade edilen, bir proses tarafından tüketilen veya üretilen yakıt veya maddelere ilişkin veriyi,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o) </w:t>
      </w:r>
      <w:r w:rsidR="00C97A1A" w:rsidRPr="007671C9">
        <w:rPr>
          <w:rFonts w:ascii="Times New Roman" w:hAnsi="Times New Roman" w:cs="Times New Roman"/>
          <w:sz w:val="24"/>
          <w:szCs w:val="24"/>
        </w:rPr>
        <w:t>Fosil karbon: Biyokütle olmayan inorganik ve organik karbonu,</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ö) </w:t>
      </w:r>
      <w:r w:rsidR="00C97A1A" w:rsidRPr="007671C9">
        <w:rPr>
          <w:rFonts w:ascii="Times New Roman" w:hAnsi="Times New Roman" w:cs="Times New Roman"/>
          <w:sz w:val="24"/>
          <w:szCs w:val="24"/>
        </w:rPr>
        <w:t>Fosil karbon oranı: Bir yakıt veya malzemenin fosil karbon içeriğinin toplam karbon içeriğine oranını,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p) </w:t>
      </w:r>
      <w:r w:rsidR="00C97A1A" w:rsidRPr="007671C9">
        <w:rPr>
          <w:rFonts w:ascii="Times New Roman" w:hAnsi="Times New Roman" w:cs="Times New Roman"/>
          <w:sz w:val="24"/>
          <w:szCs w:val="24"/>
        </w:rPr>
        <w:t>Hesaplama faktörleri: Net kalorifik değeri, emisyon faktörünü, ön emisyon faktörünü, yükseltgenme faktörünü, dönüştürme faktörünü, karbon içeriğini veya biyokütle oranını,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r) </w:t>
      </w:r>
      <w:r w:rsidR="00C97A1A" w:rsidRPr="007671C9">
        <w:rPr>
          <w:rFonts w:ascii="Times New Roman" w:hAnsi="Times New Roman" w:cs="Times New Roman"/>
          <w:sz w:val="24"/>
          <w:szCs w:val="24"/>
        </w:rPr>
        <w:t>İkame veri: İşletmenin, uygulanabilir izleme yönteminde gerekli faaliyet verisini veya hesaplama faktörlerini üretmek mümkün olmadığı durumlarda raporlamanın eksiksiz yapılabilmesi amacı ile faaliyet verisinin veya hesaplama faktörlerinin yerine kullandığı, kabul edilmiş kaynaklardan elde edilmiş veya deneysel olarak doğrulanmış verileri,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s) </w:t>
      </w:r>
      <w:r w:rsidR="00C97A1A" w:rsidRPr="007671C9">
        <w:rPr>
          <w:rFonts w:ascii="Times New Roman" w:hAnsi="Times New Roman" w:cs="Times New Roman"/>
          <w:sz w:val="24"/>
          <w:szCs w:val="24"/>
        </w:rPr>
        <w:t>İşletme: Yönetmeliğin ek-1’inde yer alan tesis ve faaliyetlerin bütününü,</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ş) </w:t>
      </w:r>
      <w:r w:rsidR="00C97A1A" w:rsidRPr="007671C9">
        <w:rPr>
          <w:rFonts w:ascii="Times New Roman" w:hAnsi="Times New Roman" w:cs="Times New Roman"/>
          <w:sz w:val="24"/>
          <w:szCs w:val="24"/>
        </w:rPr>
        <w:t>İşletmeci:  EK-1’de yer alan faaliyeti yürüten veya tesisi işleten ve mülkiyet hakkı, kiralama veya diğer hukukî yollarla kullanma hakkına sahip bulunan sorumlu gerçek kişiler ve özel hukuk tüzel kişileri ile kamu kurum ve kuruluşlarını,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t) </w:t>
      </w:r>
      <w:r w:rsidR="00C97A1A" w:rsidRPr="007671C9">
        <w:rPr>
          <w:rFonts w:ascii="Times New Roman" w:hAnsi="Times New Roman" w:cs="Times New Roman"/>
          <w:sz w:val="24"/>
          <w:szCs w:val="24"/>
        </w:rPr>
        <w:t>İzleme Planı: Veri ve toplama ve işleme faaliyetleri ile izleme metodolojisinin detaylı, eksiksiz ve şeffaf olarak belgelendirilmesine dair dokümanı,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u) </w:t>
      </w:r>
      <w:r w:rsidR="00C97A1A" w:rsidRPr="007671C9">
        <w:rPr>
          <w:rFonts w:ascii="Times New Roman" w:hAnsi="Times New Roman" w:cs="Times New Roman"/>
          <w:sz w:val="24"/>
          <w:szCs w:val="24"/>
        </w:rPr>
        <w:t>Kaçak emisyonlar: Belirlenmiş bir emisyon noktası olmayan veya münferit olarak izlenemeyecek kadar çok çeşitli veya çok küçük kaynaklardan çıkan, düzensiz veya istenmeyen emisyonları,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ü) </w:t>
      </w:r>
      <w:r w:rsidR="00C97A1A" w:rsidRPr="007671C9">
        <w:rPr>
          <w:rFonts w:ascii="Times New Roman" w:hAnsi="Times New Roman" w:cs="Times New Roman"/>
          <w:sz w:val="24"/>
          <w:szCs w:val="24"/>
        </w:rPr>
        <w:t>Kademe: Faaliyet verilerinin, hesaplama faktörlerinin, yıllık emisyonların ve yıllık ortalama saatlik emisyonların belirlemesine yönelik koşulları,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v) </w:t>
      </w:r>
      <w:r w:rsidR="00C97A1A" w:rsidRPr="007671C9">
        <w:rPr>
          <w:rFonts w:ascii="Times New Roman" w:hAnsi="Times New Roman" w:cs="Times New Roman"/>
          <w:sz w:val="24"/>
          <w:szCs w:val="24"/>
        </w:rPr>
        <w:t>Kalibrasyon: Belirtilen koşullar altında, bir ölçüm cihazı veya ölçüm sistemi tarafından gösterilen değerler veya bir malzeme ölçüsü ile temsil edilen değerler veya bir referans malzeme ile bir referans standartla gerçekleştirilen bir niceliğin tekabül eden değerleri arasındaki ilişkileri ortaya koyan işlemleri,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y) </w:t>
      </w:r>
      <w:r w:rsidR="00C97A1A" w:rsidRPr="007671C9">
        <w:rPr>
          <w:rFonts w:ascii="Times New Roman" w:hAnsi="Times New Roman" w:cs="Times New Roman"/>
          <w:sz w:val="24"/>
          <w:szCs w:val="24"/>
        </w:rPr>
        <w:t>Karışık malzeme: Hem biyokütle hem de fosil karbon içeren malzemeyi,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z) </w:t>
      </w:r>
      <w:r w:rsidR="00C97A1A" w:rsidRPr="007671C9">
        <w:rPr>
          <w:rFonts w:ascii="Times New Roman" w:hAnsi="Times New Roman" w:cs="Times New Roman"/>
          <w:sz w:val="24"/>
          <w:szCs w:val="24"/>
        </w:rPr>
        <w:t>Karışık yakıt: Hem biyokütle hem de fosil karbon içeren yakıtı,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aa) </w:t>
      </w:r>
      <w:r w:rsidR="00C97A1A" w:rsidRPr="007671C9">
        <w:rPr>
          <w:rFonts w:ascii="Times New Roman" w:hAnsi="Times New Roman" w:cs="Times New Roman"/>
          <w:sz w:val="24"/>
          <w:szCs w:val="24"/>
        </w:rPr>
        <w:t>Kaynak akışı: Tüketimi veya üretimi sonucunda bir veya daha fazla emisyon kaynağında sera gazı emisyonlarına sebep olan veya karbon içeren ve kütle dengesi yöntemi ile sera gazı emisyon hesaplarında kullanılan belli bir tür yakıtı, ham maddeyi veya ürünü,</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bb) </w:t>
      </w:r>
      <w:r w:rsidR="00C97A1A" w:rsidRPr="007671C9">
        <w:rPr>
          <w:rFonts w:ascii="Times New Roman" w:hAnsi="Times New Roman" w:cs="Times New Roman"/>
          <w:sz w:val="24"/>
          <w:szCs w:val="24"/>
        </w:rPr>
        <w:t>Kontrol riski: Sera gazı emisyon raporundaki bir parametrenin, kontrol sistemi tarafından belirli bir zamanda önlenmemiş veya tespit edilerek düzeltilmemiş, tek başına veya diğer hatalı bildirimlerle bir arada önemli hatalı bildirim oluşturmaya yatkınlığı</w:t>
      </w:r>
      <w:r w:rsidR="00205961">
        <w:rPr>
          <w:rFonts w:ascii="Times New Roman" w:hAnsi="Times New Roman" w:cs="Times New Roman"/>
          <w:sz w:val="24"/>
          <w:szCs w:val="24"/>
        </w:rPr>
        <w:t>,</w:t>
      </w:r>
      <w:r w:rsidR="00C97A1A" w:rsidRPr="007671C9">
        <w:rPr>
          <w:rFonts w:ascii="Times New Roman" w:hAnsi="Times New Roman" w:cs="Times New Roman"/>
          <w:sz w:val="24"/>
          <w:szCs w:val="24"/>
        </w:rPr>
        <w:t xml:space="preserve"> </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cc) </w:t>
      </w:r>
      <w:r w:rsidR="00C97A1A" w:rsidRPr="007671C9">
        <w:rPr>
          <w:rFonts w:ascii="Times New Roman" w:hAnsi="Times New Roman" w:cs="Times New Roman"/>
          <w:sz w:val="24"/>
          <w:szCs w:val="24"/>
        </w:rPr>
        <w:t>Lot: Sevkiyatı temsil edecek şekilde örneklenmiş ve karakterize edilmiş, bir kerede veya belirli zaman zarfında sürekli şekilde sevk edilen yakıt ve malzeme miktarını,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çç) </w:t>
      </w:r>
      <w:r w:rsidR="00C97A1A" w:rsidRPr="007671C9">
        <w:rPr>
          <w:rFonts w:ascii="Times New Roman" w:hAnsi="Times New Roman" w:cs="Times New Roman"/>
          <w:sz w:val="24"/>
          <w:szCs w:val="24"/>
        </w:rPr>
        <w:t>Net kalorifik değer (NKD): Bir yakıt veya malzemenin standart koşullar altında oksijen ile tam yanması sonucunda, oluşan suyun buharlaşma ısısı hariç tutularak, ısı olarak açığa çıkan net enerji miktarını,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dd) </w:t>
      </w:r>
      <w:r w:rsidR="00C97A1A" w:rsidRPr="007671C9">
        <w:rPr>
          <w:rFonts w:ascii="Times New Roman" w:hAnsi="Times New Roman" w:cs="Times New Roman"/>
          <w:sz w:val="24"/>
          <w:szCs w:val="24"/>
        </w:rPr>
        <w:t>Ölçüm noktası: Sürekli emisyon ölçüm sistemlerinin (SEÖS) emisyon ölçmek için kullanıldığı emisyon kaynağı veya CO2 akışının sürekli ölçüm sistemleri kullanılarak belirlendiği bir boru hattı sisteminin kesitini,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ee) </w:t>
      </w:r>
      <w:r w:rsidR="00C97A1A" w:rsidRPr="007671C9">
        <w:rPr>
          <w:rFonts w:ascii="Times New Roman" w:hAnsi="Times New Roman" w:cs="Times New Roman"/>
          <w:sz w:val="24"/>
          <w:szCs w:val="24"/>
        </w:rPr>
        <w:t>Ölçüm sistemi: Faaliyet verisi, karbon içeriği, kalorifik değer veya sera gazı emisyonlarının emisyon faktörü gibi değişkenlerin belirlenmesi için kullanılan, ölçüm aletlerinin ve diğer ekipmanların (örnekleme ve veri işleme ekipmanı gibi) bütününü</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ff) </w:t>
      </w:r>
      <w:r w:rsidR="00C97A1A" w:rsidRPr="007671C9">
        <w:rPr>
          <w:rFonts w:ascii="Times New Roman" w:hAnsi="Times New Roman" w:cs="Times New Roman"/>
          <w:sz w:val="24"/>
          <w:szCs w:val="24"/>
        </w:rPr>
        <w:t>Ön emisyon faktörü: Emisyon faktörünü elde etmek için fosil karbon oranı ile çarpılmadan önce, bir yakıt veya malzemenin, biyokütle oranının ve fosil karbon oranının karbon içeriğine dayalı varsayılan toplam emisyon faktörünü,</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gg) </w:t>
      </w:r>
      <w:r w:rsidR="00C97A1A" w:rsidRPr="007671C9">
        <w:rPr>
          <w:rFonts w:ascii="Times New Roman" w:hAnsi="Times New Roman" w:cs="Times New Roman"/>
          <w:sz w:val="24"/>
          <w:szCs w:val="24"/>
        </w:rPr>
        <w:t>Proses emisyonları: Maden cevherlerinin kimyasal veya elektrolitik indirgenmesi, maddelerin ısıl ayrışması, ürün veya hammadde olarak kullanmak için maddelerin oluşumu da dâhil olmak üzere, maddeler arasındaki reaksiyonlar veya maddelerin dönüşümleri sonucunda oluşan, yanma emisyonları haricindeki sera gazı emisyonlarını,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ğğ) </w:t>
      </w:r>
      <w:r w:rsidR="00C97A1A" w:rsidRPr="007671C9">
        <w:rPr>
          <w:rFonts w:ascii="Times New Roman" w:hAnsi="Times New Roman" w:cs="Times New Roman"/>
          <w:sz w:val="24"/>
          <w:szCs w:val="24"/>
        </w:rPr>
        <w:t>Raporlama dönemi: Emisyonların izlenmesi ve raporlanması gereken bir takvim yılını,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hh) </w:t>
      </w:r>
      <w:r w:rsidR="00C97A1A" w:rsidRPr="007671C9">
        <w:rPr>
          <w:rFonts w:ascii="Times New Roman" w:hAnsi="Times New Roman" w:cs="Times New Roman"/>
          <w:sz w:val="24"/>
          <w:szCs w:val="24"/>
        </w:rPr>
        <w:t>Sera gazı emisyonu: Kızıl ötesi radyasyon emen ve yeniden salan, hem tabii ve hem de beşeri kaynaklı olabilen ve EK-2’deki listede belirtilen gazları ve gaz benzeri diğe</w:t>
      </w:r>
      <w:r w:rsidR="00205961">
        <w:rPr>
          <w:rFonts w:ascii="Times New Roman" w:hAnsi="Times New Roman" w:cs="Times New Roman"/>
          <w:sz w:val="24"/>
          <w:szCs w:val="24"/>
        </w:rPr>
        <w:t>r atmosfer bileşenlerinin atmos</w:t>
      </w:r>
      <w:r w:rsidR="00C97A1A" w:rsidRPr="007671C9">
        <w:rPr>
          <w:rFonts w:ascii="Times New Roman" w:hAnsi="Times New Roman" w:cs="Times New Roman"/>
          <w:sz w:val="24"/>
          <w:szCs w:val="24"/>
        </w:rPr>
        <w:t>fere verilmesini,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ıı) </w:t>
      </w:r>
      <w:r w:rsidR="00C97A1A" w:rsidRPr="007671C9">
        <w:rPr>
          <w:rFonts w:ascii="Times New Roman" w:hAnsi="Times New Roman" w:cs="Times New Roman"/>
          <w:sz w:val="24"/>
          <w:szCs w:val="24"/>
        </w:rPr>
        <w:t>Standart koşullar: Normal metre küp (Nm3) olarak tanımlanan 273,15 Kelvin (K) sıcaklık ve 101.325 Pascal (Pa) basınç koşullarını,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ii) </w:t>
      </w:r>
      <w:r w:rsidR="00C97A1A" w:rsidRPr="007671C9">
        <w:rPr>
          <w:rFonts w:ascii="Times New Roman" w:hAnsi="Times New Roman" w:cs="Times New Roman"/>
          <w:sz w:val="24"/>
          <w:szCs w:val="24"/>
        </w:rPr>
        <w:t xml:space="preserve">Sürekli emisyon ölçümü: Doğrudan baca içinden numune alınarak, baca yakınındaki veya baca içindeki bir ölçüm cihazı kullanılarak, periyodik ölçümler vasıtasıyla bir niceliği belirlemek için gerçekleştirilen işlemler bütününü </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jj) </w:t>
      </w:r>
      <w:r w:rsidR="00C97A1A" w:rsidRPr="007671C9">
        <w:rPr>
          <w:rFonts w:ascii="Times New Roman" w:hAnsi="Times New Roman" w:cs="Times New Roman"/>
          <w:sz w:val="24"/>
          <w:szCs w:val="24"/>
        </w:rPr>
        <w:t>Tesis: Yönetmeliğin ek-1’indeki listede belirtilen faaliyetlerin veya bu faaliyetler ile teknik bir bağlantısı olan, emisyonlar ve kirlilik üzerinde etkiye sahip olabilecek doğrudan ilişkili diğer faaliyetlerden herhangi birinin veya daha fazlasının yürütüldüğü sabit teknik üniteyi,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kk) </w:t>
      </w:r>
      <w:r w:rsidR="00C97A1A" w:rsidRPr="007671C9">
        <w:rPr>
          <w:rFonts w:ascii="Times New Roman" w:hAnsi="Times New Roman" w:cs="Times New Roman"/>
          <w:sz w:val="24"/>
          <w:szCs w:val="24"/>
        </w:rPr>
        <w:t>Ticari standart yakıt: Akaryakıt ve LPG dahil olmak üzere, belirlenmiş kalorifik değerinden %95 güven aralığında %1’den fazla sapma göstermeyen uluslararası standart haline gelmiş ticari yakıtı,</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ll) </w:t>
      </w:r>
      <w:r w:rsidR="00C97A1A" w:rsidRPr="007671C9">
        <w:rPr>
          <w:rFonts w:ascii="Times New Roman" w:hAnsi="Times New Roman" w:cs="Times New Roman"/>
          <w:sz w:val="24"/>
          <w:szCs w:val="24"/>
        </w:rPr>
        <w:t>Ton CO2(eşd): Metrik ton CO2 veya CO2(eşd)’yi,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mm) </w:t>
      </w:r>
      <w:r w:rsidR="00C97A1A" w:rsidRPr="007671C9">
        <w:rPr>
          <w:rFonts w:ascii="Times New Roman" w:hAnsi="Times New Roman" w:cs="Times New Roman"/>
          <w:sz w:val="24"/>
          <w:szCs w:val="24"/>
        </w:rPr>
        <w:t>Veri akış faaliyetleri: Birincil kaynak verileri kullanılarak hazırlanacak bir emisyon raporu için gerekli olan verilerin elde edilmesi, işlenmesi ve kullanılması ile ilgili faaliyetleri,</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nn) </w:t>
      </w:r>
      <w:r w:rsidR="00C97A1A" w:rsidRPr="007671C9">
        <w:rPr>
          <w:rFonts w:ascii="Times New Roman" w:hAnsi="Times New Roman" w:cs="Times New Roman"/>
          <w:sz w:val="24"/>
          <w:szCs w:val="24"/>
        </w:rPr>
        <w:t>Yanma emisyonları: Bir yakıtın oksijen ile ekzotermik reaksiyonu sırasında ortaya çıkan sera gazı emisyonunu,</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oo) </w:t>
      </w:r>
      <w:r w:rsidR="00C97A1A" w:rsidRPr="007671C9">
        <w:rPr>
          <w:rFonts w:ascii="Times New Roman" w:hAnsi="Times New Roman" w:cs="Times New Roman"/>
          <w:sz w:val="24"/>
          <w:szCs w:val="24"/>
        </w:rPr>
        <w:t>Yasal metrolojik kontrol: Kamu menfaati, kamu sağlığı, kamu güvenliği, kamu düzeni, tüketicilerin ve çevrenin korunması, vergi ve harçların toplanması, adil ticaret gibi sebeplerle bir ölçü aletinin ölçme işlemlerinin kontrolünü,</w:t>
      </w:r>
    </w:p>
    <w:p w:rsidR="00C97A1A" w:rsidRPr="007671C9" w:rsidRDefault="0040225F"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öö) </w:t>
      </w:r>
      <w:r w:rsidR="00C97A1A" w:rsidRPr="007671C9">
        <w:rPr>
          <w:rFonts w:ascii="Times New Roman" w:hAnsi="Times New Roman" w:cs="Times New Roman"/>
          <w:sz w:val="24"/>
          <w:szCs w:val="24"/>
        </w:rPr>
        <w:t>Yönetmelik: 17/5/2014 tarihli ve 29003 sayılı Resmî Gazete’de yayımlanan Sera Gazı Emisyonlarının Takibi Hakkında Yönetmeliği,</w:t>
      </w:r>
    </w:p>
    <w:p w:rsidR="00C97A1A" w:rsidRPr="007671C9" w:rsidRDefault="0040225F" w:rsidP="00C97A1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pp) </w:t>
      </w:r>
      <w:r w:rsidR="00C97A1A" w:rsidRPr="007671C9">
        <w:rPr>
          <w:rFonts w:ascii="Times New Roman" w:hAnsi="Times New Roman" w:cs="Times New Roman"/>
          <w:sz w:val="24"/>
          <w:szCs w:val="24"/>
        </w:rPr>
        <w:t xml:space="preserve">Yükseltgenme faktörü: Yanma sonucunda karbondioksite yükseltgenen karbonun, yakıt içerisindeki toplam karbona olan oranını,  (atmosfere salınan CO, CO2’nin molar eşdeğeri olarak alınır) </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ifade eder.</w:t>
      </w: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İKİNCİ BÖLÜM</w:t>
      </w: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Temel Prensipler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Eksiksizlik</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5</w:t>
      </w:r>
      <w:r w:rsidRPr="007671C9">
        <w:rPr>
          <w:rFonts w:ascii="Times New Roman" w:hAnsi="Times New Roman" w:cs="Times New Roman"/>
          <w:sz w:val="24"/>
          <w:szCs w:val="24"/>
        </w:rPr>
        <w:t xml:space="preserve"> – </w:t>
      </w:r>
      <w:r w:rsidR="007C34E5" w:rsidRPr="007671C9">
        <w:rPr>
          <w:rFonts w:ascii="Times New Roman" w:hAnsi="Times New Roman" w:cs="Times New Roman"/>
          <w:sz w:val="24"/>
          <w:szCs w:val="24"/>
        </w:rPr>
        <w:t>(1) İzleme ve raporlama eksiksiz yapılır ve Yönetmeliğin ek-1’inde listelenen faaliyetlere ait bütün emisyon kaynaklarından ve kaynak akışlarından gelen tüm proses ve yanma emisyonlarını ve mükerrer hesabı engelleyerek bu faaliyetler ile ilgili belirtilen bütün sera gazlarını kapsar. İşletme, raporlama döneminde veri kaybını engellemek için gerekli tedbirleri almakla yükümlüdür.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Tutarlılık, karşılaştırılabilirlik ve şeffaflık</w:t>
      </w:r>
    </w:p>
    <w:p w:rsidR="007C34E5" w:rsidRPr="007671C9" w:rsidRDefault="004231AC" w:rsidP="007C34E5">
      <w:pPr>
        <w:jc w:val="both"/>
        <w:rPr>
          <w:rFonts w:ascii="Times New Roman" w:hAnsi="Times New Roman" w:cs="Times New Roman"/>
          <w:sz w:val="24"/>
          <w:szCs w:val="24"/>
        </w:rPr>
      </w:pPr>
      <w:r w:rsidRPr="007671C9">
        <w:rPr>
          <w:rFonts w:ascii="Times New Roman" w:hAnsi="Times New Roman" w:cs="Times New Roman"/>
          <w:b/>
          <w:sz w:val="24"/>
          <w:szCs w:val="24"/>
        </w:rPr>
        <w:t>MADDE 6</w:t>
      </w:r>
      <w:r w:rsidRPr="007671C9">
        <w:rPr>
          <w:rFonts w:ascii="Times New Roman" w:hAnsi="Times New Roman" w:cs="Times New Roman"/>
          <w:sz w:val="24"/>
          <w:szCs w:val="24"/>
        </w:rPr>
        <w:t xml:space="preserve"> – (1) </w:t>
      </w:r>
      <w:r w:rsidR="007C34E5" w:rsidRPr="007671C9">
        <w:rPr>
          <w:rFonts w:ascii="Times New Roman" w:hAnsi="Times New Roman" w:cs="Times New Roman"/>
          <w:sz w:val="24"/>
          <w:szCs w:val="24"/>
        </w:rPr>
        <w:t>İzleme ve raporlama her zaman tutarlı ve karşılaştırılabilir esaslar çerçevesinde oluşturulur. Bu amaçla, işletme, Bakanlık tarafından onaylanan değişikliklere ve istisnalara bağlı olarak, aynı izleme yöntemini ve veri gruplarını kullanmakla yükümlüdür.</w:t>
      </w:r>
    </w:p>
    <w:p w:rsidR="00C97A1A" w:rsidRPr="007671C9" w:rsidRDefault="007C34E5" w:rsidP="007C34E5">
      <w:pPr>
        <w:jc w:val="both"/>
        <w:rPr>
          <w:rFonts w:ascii="Times New Roman" w:hAnsi="Times New Roman" w:cs="Times New Roman"/>
          <w:sz w:val="24"/>
          <w:szCs w:val="24"/>
        </w:rPr>
      </w:pPr>
      <w:r w:rsidRPr="007671C9">
        <w:rPr>
          <w:rFonts w:ascii="Times New Roman" w:hAnsi="Times New Roman" w:cs="Times New Roman"/>
          <w:sz w:val="24"/>
          <w:szCs w:val="24"/>
        </w:rPr>
        <w:t>(2) İşletme, tahminlerini, referanslarını, faaliyet verisini, emisyon faktörlerini, yükseltgenme faktörlerini ve dönüşüm faktörlerini içeren izleme verilerini doğrulayıcı kuruluş ve Bakanlık tarafından emisyonların verisinin yeniden üretilmesini mümkün kılacak şeffaflıkta toplar, kaydeder, analiz eder ve belgelendirir.</w:t>
      </w: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Doğruluk</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7</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emisyonların belirlenmesinde sistematik veya kasıtlı hatalar olmasını engeller, mümkün olduğunca hata kaynaklarını tanımlar ve azaltır. Emisyon hesaplarının ve ölçümlerinin erişilebilir en yüksek doğrulukta olmasını sağlar.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Sera gazı izleme ve raporlama yönteminin bütünlüğü</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8</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raporlanacak emisyon verisinin bütünlüğünü sağlamak için, bu Tebliğde ortaya konan uygun izleme yöntemlerini kullanarak emisyonları belirler.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(2) Raporlanmış emisyon verisi ve ilgili açıklamalar önemli hata içermez, bilgi tarafsız bir şekilde seçilir ve sunulur, tesis emisyonları hakkında güvenilir ve dengeli bir hesaplama sağlanır.</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Emisyonların izlenmesi ve raporlanmasında, teknik olarak uygulanabilir olmadığı sürece ulaşılabilecek en yüksek doğruluk hedeflenir.</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Sürekli gelişim</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9</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izleme ve raporlamada Yönetmeliğin 8 inci maddesi kapsamında hazırlanan doğrulama raporlarında yer alan tavsiyeleri dikkate alır.</w:t>
      </w:r>
    </w:p>
    <w:p w:rsidR="00C97A1A" w:rsidRPr="007671C9" w:rsidRDefault="00C97A1A"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ÜÇÜNCÜ BÖLÜM</w:t>
      </w: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İzleme Planına İlişkin Genel ve Teknik Hususlar</w:t>
      </w:r>
    </w:p>
    <w:p w:rsidR="004231AC" w:rsidRPr="007671C9" w:rsidRDefault="004231AC" w:rsidP="004231AC">
      <w:pPr>
        <w:spacing w:after="0" w:line="276" w:lineRule="auto"/>
        <w:jc w:val="center"/>
        <w:rPr>
          <w:rFonts w:ascii="Times New Roman" w:hAnsi="Times New Roman" w:cs="Times New Roman"/>
          <w:b/>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Genel yükümlülük</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10</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Her bir işletme, Bakanlık tarafından tesis özelinde onaylanan izleme planını dikkate alarak sera gazı emisyonlarını izler. İzleme planı, gerektiği hallerde izleme planı kapsamındaki faaliyetler için işletme tarafından oluşturulan, belgelenen, uyarlanan ve sürdürülen yazılı prosedürler ile desteklenir.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İzleme planı, tesiste mevcut bulunan veya işletme tarafından kullanılan mevcut sistemleri dikkate alarak, iş tekrarlarını önleyerek talimatları mantıklı ve basit bir şekilde tarif eder.</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14. Madde kapsamında Bakanlığın onayına sunması gereken izleme planındaki değişiklikleri 1 Eylül ile bir sonraki yılın 30 Haziran tarihleri arasında bildirmek zorundadır.</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planının içeriği ve sunulması</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11</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hazırladığı izleme planını onaylanmak üzere Bakanlığa gönderir. İzleme planı, belirli bir tesisin izleme yönteminin detaylı, tam ve şeffaf bir şekilde gerekli belge yönetimini ve asgari düzeyde ek-1’de belirtilmiş olan hususları içerir. İzleme planı ile birlikte, işletme aşağıdaki belgeleri sunar: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Hesaplama temelli yönteme ilişkin her bir büyük ve küçük kaynak akışı ve emisyon kaynağı için, faaliyet verilerinin belirsizliğinin ve hesaplama faktörlerinin ek-2’de ve ek-3’de  tanımlanmış ve uygulanan kademelere uyumlu olduğuna;  ölçüm temelli yöntem için her bir emisyon kaynağının ek-7’de tanımlanmış ve uygulanan kademelerdeki belirsizlik eşikleri ile uyumlu olduğuna ilişkin bilgi ve belgeleri,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Kontrol için önerilen kontrol faaliyetlerinin ve prosedürlerinin dâhili riskler ve tanımlanmış kontrol riskleri ile tutarlı ve uygun olduğunu belgeleyen risk değerlendirmesi sonuçlarını.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(2) İşletme izleme planından bağımsız olarak, ek-1’de atıfta bulunulan prosedürleri oluşturur, belgeler, uygular ve devamlılığını sağlar. Bakanlıkça talep edilmesi halinde prosedüre ilişkin bilgileri yazılı olarak Bakanlığa sunar ve doğrulama için bunları erişilebilir hale getirir. İşletme, prosedüre ilişkin olarak;</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Prosedürün adı,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Prosedürün tanımlanması için izlenebilir ve doğrulanabilir bir referans,</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Prosedürün uygulanmasından ve prosedür tarafından üretilen veya yönetilen veriden sorumlu olan birimler,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 İşletmenin ve Bakanlığın prosedüre ilişkin gerekli parametreleri ve yapılan işlemleri anlamalarını sağlayacak açıklamalar,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 İlgili kayıtların ve bilgilerin yerleri,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e) Varsa, kullanılan yazılımın adı,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f) İlgili olduğu yerde, uygulanan Türk Standartları ve uluslararası kabul görmüş diğer standartların listesi,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gibi bilgileri izleme planında sunar.</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Basitleştirilmiş izleme planları</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12</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Bakanlık, 45 inci madde kapsamında işletmelere basitleştirilmiş izleme planlarını kullanmaları için izin verebilir, bu amaçla 48 inci ve 49 uncu maddeler kapsamında belirtilen veri akışı tanımı ve kontrol prosedürlerini de içeren şablonlar ve kılavuzlar yayımlayabilir.</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Birinci fıkrada bahsedilen basitleştirilmiş izleme planının onayından önce, Bakanlık, teklif edilen kontrol faaliyetlerinin ve kontrol faaliyetleri için teklif edilen prosedürlerin dâhili riskler ve tanımlanmış kontrol riskleri ile orantılı olup olmadıklarını değerlendirmek için işletmeden basit bir risk değerlendirmesi yürütmesini talep edebilir.</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planında değişiklikler</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13</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izleme planının tesis tipi ve işleyişini yansıttığının ve izleme yönteminin geliştirilebilirliğinin düzenli olarak kontrolünü yapar.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(2) İşletme aşağıda belirtilen herhangi durumun ortaya çıkması halinde Bakanlığın onayı gerekmeksizin izleme planını günceller: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Emisyonların belirlenmesinde daha yüksek doğruluğu sağlamak üzere, yeni tip ölçüm cihazlarının, örnekleme ve analiz yöntemlerinin kullanımına veya diğer sebeplere bağlı olarak verilerin elde edilme şeklinin değişmesi,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Daha önce uygulanmış izleme yöntemi ile elde edilen verinin yanlış olduğunun tespit edilmesi,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Raporlanmış verinin doğruluğunun artması,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 Doğrulama raporunda izleme planının geliştirilmesine yönelik önerilere bağlı olarak değişiklik gerekmesi,</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 İzleme planında yer alan hesaplama faktörü için varsayılan değerde değişiklik olması.</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planı değişikliklerinin onaylanması</w:t>
      </w:r>
    </w:p>
    <w:p w:rsidR="004231AC" w:rsidRPr="007671C9" w:rsidRDefault="004231AC" w:rsidP="004231A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14</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Bu maddenin 2 inci fıkrası kapsamında izleme planındaki herhangi bir önemli değişiklik Bakanlığın onayına tabidir. Bu değişiklikler en geç 2 ay içerisinde Bakanlığa bildirilir. Bakanlık değerlendirmesi sonucunda değişikliğin önemli olmadığına kanaat getirirse, kararını ivedilikle işletmeye bildirir.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İzleme planındaki önemli değişiklikler aşağıdaki hususları içerir: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a)Yeni faaliyetler nedeniyle veya izleme planına henüz dahil edilmemiş ve toplam emisyon miktarına %5’ten daha yüksek oranda etki eden yeni yakıtların veya malzemelerin kullanımı ile yeni emisyonların oluşması,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b)İzleme planının, Yönetmeliğin ve bu Tebliğin gereksinimleri ile uyumlu olmaması halinde Bakanlığın işletmeden izleme planını değiştirmesini talep etmesi,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c)İzleme yönteminde veya Sera Gazı Emisyon Raporlarının Doğrulanması Ve Doğrulayıcı Kuruluşların Akreditasyonu Tebliği 21 nci maddesi gereğince önemlilik seviyesinde farklılığa neden olacak şekilde tesis kategorisinde değişiklikler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ç)İşletmenin, düşük emisyonlu tesis olarak değerlendirilmesi ile ilgili değişiklikler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d)Emisyon kaynaklarında değişiklikler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e)Emisyonları hesaplamak için kullanılan yöntemlerde değişiklik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f)Uygulanan kademede değişiklik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g)Büyük ve küçük kaynak akışlarının eklenmesi,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h)İzleme yönteminde değişikliğe neden olacak şekilde, mevcut büyük, küçük veya önemsiz kaynak akışları sınıflandırmasında değişiklik olması,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i)Emisyon verileri üzerinde doğrudan bir etkisi olan yeni yöntemlerin kullanılması veya örnekleme, analiz, kalibrasyona yönelik mevcut yöntemlerde değişiklik olması,</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j)Depolama alanlarından kaynaklı kaçak emisyonların ölçüm yönteminde değişiklik olması veya bunun uygulanması.</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Değişikliklerin uygulanması ve kayıtlarının tutulması</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15</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İşletme, 14 üncü maddenin birinci fıkrası kapsamındaki onayın alınmasından önce, orijinal izleme planına uygun izlemenin eksik emisyon verisine sebep olacağı hallerde değiştirilmiş izleme planını kullanarak izleme ve raporlamayı yapar. İşletme bütün izleme ve raporlamayı, hem güncellenmiş hem de orijinal planı kullanarak, gerekli tüm bilgi ve belgelerle beraber eş zamanlı yürütür.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14 üncü maddenin ikinci fıkrası kapsamındaki onayın alınmasından sonra, işletme sadece değiştirilmiş izleme planı ile ilgili veriyi kullanır ve bu izleme planını kullanarak bütün izlemeyi ve raporlamayı yürütür.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izleme planında yapılan bütün değişikliklerin kayıtlarını tutar. Her bir değişikliğe ilişkin kayıtta aşağıda yer alan hususlar belirtilir: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Değişikliğin detaylı tanımı,</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Değişikliğin gerekçesi,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Değişikliğin Bakanlığa bildirilme tarihi,</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 14 üncü madde kapsamındaki bildirimin Bakanlıkça onay tarihi,</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 İkinci fıkraya uygun olarak, değiştirilmiş izleme planının uygulanmaya başlandığı tarih.</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Teknik olarak uygulanabilirlik</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16</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 xml:space="preserve">İşletme, izleme yönteminin teknik olarak uygulanmasının mümkün olmadığı durumlarda teknik olarak uygulanabilirliğini, yeni yöntemin gereksinimlerini karşılayacak kapasiteye sahip olup olmadığını, yöntemin bu Tebliğin hükümleri kapsamında zamanında uygulandığını ve gerekli tekniklerin ve teknolojilerin uygunluğuna göre değerlendirir. </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(2) Alternatif yöntemin uygulandığı raporlama döneminde söz konusu değişikliğe ilişkin teknik ayrıntıları içeren belgeler tesis tarafından hazır bulundurulur. Doğrulama sırasında uygunluğunun değerlendirilmesi için, tesis bu belgeleri doğrulayıcı kuruluşa sunar.  </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w:t>
      </w: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Makul olmayan maliyetler</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17</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 xml:space="preserve">Makul olmayan maliyete ilişkin hükümler, Bakanlığın yayımladığı Analize Dayalı Kademe Uygulamalarına İlişkin Rehber ile belirlenmiştir.  İşletme belirli bir izleme metodolojisinin uygulanmasının makul olmayan bir maliyete yol açacağını iddia ettiği durumlarda, bu rehberde geçen hususlar çerçevesinde değerlendirme yapar. </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Bir izleme dönemi boyunca analiz gerektiren yöntem veya kademe uygulanmasına analiz ve/veya yatırım maliyetlerinin tesisin bir yıllık asgari doğrulama maliyetinin 1.5 katından fazla olması makul olmayan maliyet olarak değerlendirilir.</w:t>
      </w:r>
    </w:p>
    <w:p w:rsidR="00C97A1A" w:rsidRPr="007671C9" w:rsidRDefault="00C97A1A"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DÖRDÜNCÜ BÖLÜM</w:t>
      </w: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lastRenderedPageBreak/>
        <w:t>Emisyonlarının İzlenmesine Dair Usul ve Esaslar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Tesislerin, kaynak akışlarının ve emisyon kaynaklarının sınıflandırılması</w:t>
      </w:r>
    </w:p>
    <w:p w:rsidR="00C97A1A" w:rsidRPr="007671C9" w:rsidRDefault="004231AC"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18</w:t>
      </w:r>
      <w:r w:rsidRPr="007671C9">
        <w:rPr>
          <w:rFonts w:ascii="Times New Roman" w:hAnsi="Times New Roman" w:cs="Times New Roman"/>
          <w:sz w:val="24"/>
          <w:szCs w:val="24"/>
        </w:rPr>
        <w:t xml:space="preserve"> – (1) </w:t>
      </w:r>
      <w:r w:rsidR="00C97A1A" w:rsidRPr="007671C9">
        <w:rPr>
          <w:rFonts w:ascii="Times New Roman" w:hAnsi="Times New Roman" w:cs="Times New Roman"/>
          <w:sz w:val="24"/>
          <w:szCs w:val="24"/>
        </w:rPr>
        <w:t>Her bir işletme emisyonların izlenmesi ve kademeler için asgari gereksinimlerin belirlenmesi amacıyla ikinci fıkraya göre kendi tesisinin ve geçerli olan durumlarda üçüncü fıkraya göre her bir kaynak akışının kategorisini belirler.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tesisini aşağıdaki kategorilere göre sınıflandırır: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Kategori A: Biyokütleden kaynaklanan CO2 hariç, transfer edilen CO2 dahil, raporlama dönemindeki doğrulanmış yıllık emisyonu 50.000 ton CO2(eşd)’ye eşit veya daha az olan tesis,</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Kategori B: Biyokütleden kaynaklanan CO2 hariç, transfer edilen CO2 dahil, raporlama dönemindeki doğrulanmış yıllık emisyonu 50.000 ton CO2(eşd)’den fazla ve 500.000 ton CO2(eşd)’ye eşit veya daha az olan tesis,</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Kategori C: Biyokütleden kaynaklanan CO2 hariç, transfer edilen CO2 dahil, raporlama dönemindeki doğrulanmış yıllık emisyonu 500.000 ton CO2(eşd)’den fazla olan tesis.</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(3) İşletme, her bir kaynak akışını aşağıdaki kategorilere göre sınıflandırır. İşletme, bu sınıflandırmayı her bir kaynak akışını, transfer edilen CO2’i dahil ederek, hesaplama temelli yöntemler ile hesaplanan bütün kaynak akışlarının neden olduğu fosil CO2 ve CO2(eşd) emisyonlarının ve ölçüm temelli yöntemler ile izlenen bütün emisyon kaynaklarından çıkan emisyonların mutlak değerlerinin toplamı ile karşılaştırarak yapar.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Küçük Kaynak Akışı: Mutlak değer olarak hangisi daha yüksekse, işletme tarafından seçilen kaynak akışlarının emisyonlara olan katkısının toplamı yılda 5.000 ton fosil CO2’den daha düşük veya yılda 100.000 ton toplam fosil CO2’i aşmamak kaydıyla toplam emisyonların %10’undan daha düşük olması durumunda,</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Önemsiz Kaynak Akışı: Mutlak değer olarak hangisi daha yüksekse, işletme tarafından seçilen kaynak akışlarının emisyonlara olan katkısının toplamı yılda 1.000 ton fosil CO2’den daha düşük veya yılda 20.000 ton toplam fosil CO2’i aşmamak kaydıyla toplam emisyonların %2’sinden daha düşük olması durumunda,</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Büyük Kaynak Akışı: Kaynak akışlarının (a) ve (b) bentleri kapsamındaki kategoriler içinde sınıflandırılmadığı durumda.</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Tesisler için, mevcut izleme döneminden bir önceki izleme döneminde yıllık doğrulanmış emisyonların mevcut olmadığı veya hatalı olduğu durumda, işletme tesisin kategorisini belirlemek için, biyokütleden kaynaklanan CO2’i hariç tutarak ve transfer edilen CO2’i dâhil ederek yıllık emisyonların ihtiyatlı bir tahminini kullanır.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(5) İşletme, ölçüm temelli yöntemin uygulandığı her bir emisyon kaynağını aşağıdaki kategorilere göre sınıflandırmalıdır:</w:t>
      </w:r>
    </w:p>
    <w:p w:rsidR="00C97A1A"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w:t>
      </w:r>
      <w:r w:rsidRPr="007671C9">
        <w:rPr>
          <w:rFonts w:ascii="Times New Roman" w:hAnsi="Times New Roman" w:cs="Times New Roman"/>
          <w:sz w:val="24"/>
          <w:szCs w:val="24"/>
        </w:rPr>
        <w:tab/>
        <w:t>küçük emisyon kaynağı: Yılda 5000 ton fosil CO2 (e) veya mutlak değer olarak hangisi daha yüksekse, yılda en fazla 100.000 fosil CO2(e)  tona kadar, tesisin toplam emisyonlarının %10’nundan az olan kaynak</w:t>
      </w:r>
    </w:p>
    <w:p w:rsidR="004231AC" w:rsidRPr="007671C9" w:rsidRDefault="00C97A1A" w:rsidP="00C97A1A">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w:t>
      </w:r>
      <w:r w:rsidRPr="007671C9">
        <w:rPr>
          <w:rFonts w:ascii="Times New Roman" w:hAnsi="Times New Roman" w:cs="Times New Roman"/>
          <w:sz w:val="24"/>
          <w:szCs w:val="24"/>
        </w:rPr>
        <w:tab/>
        <w:t xml:space="preserve">büyük emisyon kaynağı: küçük emisyon kaynağı olarak tanımlanmamış kaynak   </w:t>
      </w:r>
    </w:p>
    <w:p w:rsidR="00193D59" w:rsidRPr="007671C9" w:rsidRDefault="00193D59" w:rsidP="00C97A1A">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sınırları</w:t>
      </w:r>
    </w:p>
    <w:p w:rsidR="007C34E5" w:rsidRPr="007671C9" w:rsidRDefault="004231AC" w:rsidP="007C34E5">
      <w:pPr>
        <w:spacing w:after="0"/>
        <w:jc w:val="both"/>
        <w:rPr>
          <w:rFonts w:ascii="Times New Roman" w:hAnsi="Times New Roman" w:cs="Times New Roman"/>
          <w:sz w:val="24"/>
          <w:szCs w:val="24"/>
        </w:rPr>
      </w:pPr>
      <w:r w:rsidRPr="007671C9">
        <w:rPr>
          <w:rFonts w:ascii="Times New Roman" w:hAnsi="Times New Roman" w:cs="Times New Roman"/>
          <w:b/>
          <w:sz w:val="24"/>
          <w:szCs w:val="24"/>
        </w:rPr>
        <w:t>MADDE 19</w:t>
      </w:r>
      <w:r w:rsidRPr="007671C9">
        <w:rPr>
          <w:rFonts w:ascii="Times New Roman" w:hAnsi="Times New Roman" w:cs="Times New Roman"/>
          <w:sz w:val="24"/>
          <w:szCs w:val="24"/>
        </w:rPr>
        <w:t xml:space="preserve"> – </w:t>
      </w:r>
      <w:r w:rsidR="007C34E5" w:rsidRPr="007671C9">
        <w:rPr>
          <w:rFonts w:ascii="Times New Roman" w:hAnsi="Times New Roman" w:cs="Times New Roman"/>
          <w:sz w:val="24"/>
          <w:szCs w:val="24"/>
        </w:rPr>
        <w:t xml:space="preserve">(1) İşletme, tesisinin izleme sınırlarını tanımlar. İşletme, tesiste yürütülen ve Yönetmeliğin ek-1’inde listelenen faaliyetlere ait emisyon kaynakları ve kaynak akışlarının sebep olduğu ilgili sera gazlarını izleme sınırına dahil eder. Ayrıca, raporlama dönemi süresince olağan faaliyetler ile birlikte devreye alma–devre dışı bırakma ve acil durumları içeren olağan </w:t>
      </w:r>
      <w:r w:rsidR="007C34E5" w:rsidRPr="007671C9">
        <w:rPr>
          <w:rFonts w:ascii="Times New Roman" w:hAnsi="Times New Roman" w:cs="Times New Roman"/>
          <w:sz w:val="24"/>
          <w:szCs w:val="24"/>
        </w:rPr>
        <w:lastRenderedPageBreak/>
        <w:t>dışı durumlardan kaynaklanan emisyonları da izleme sınırına dâhil eder. Taşıma amaçlı kullanılan hareketli makinalardan kaynaklanan emisyonlar hariç tutulur.</w:t>
      </w:r>
    </w:p>
    <w:p w:rsidR="00193D59" w:rsidRPr="007671C9" w:rsidRDefault="007C34E5" w:rsidP="007C34E5">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İzleme ve raporlama süreci tanımlanırken, işletme ek-3’te belirtilmiş olan sektörlere özgü hususları da dâhil eder.</w:t>
      </w:r>
    </w:p>
    <w:p w:rsidR="007C34E5" w:rsidRPr="007671C9" w:rsidRDefault="007C34E5" w:rsidP="007C34E5">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yöntemlerinin seçimi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20</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 xml:space="preserve">Bu Tebliğin hükümlerine uygun olarak işletme, her bir tesisinden kaynaklanan emisyonların izlenmesi için hesaplama veya ölçüm temelli yöntemi seçer.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Hesaplama temelli yöntem; ölçüm sistemleri vasıtasıyla kaynak akışlarından elde edilen faaliyet verilerinin, laboratuvar analizlerinden elde edilen veya varsayılan ilave parametreleri kullanılarak emisyonların belirlenmesi anlamına gelir. Bu yöntem, 23 üncü maddede belirtilen standart yöntem veya 24 üncü maddede belirtilen kütle denge yöntemine göre uygulanabilir. Hesaplama temelli yöntemin uygulandığı durumda, işletme her bir kaynak akışı için standart veya kütle denge yöntemlerinden hangi yöntemi ve ek-2’ye uygun olarak hangi kademeleri kullanacağını tespit eder ve izleme planında belirtir. Ölçüm temelli yöntem; CO2 konsantrasyonunun ve transfer edilen gazların akışının ölçüldüğü ve tesisler arasında CO2 transferinin izlendiği durumlar da dahil olmak üzere, baca gazında ilgili sera gazı konsantrasyonunun ve baca gazı akış hızının sürekli ölçülmesi ile emisyon kaynaklarından emisyonların belirlenmesi anlamına gelir.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emisyon ile ilgili veri eksikliklerinin veya mükerrer sayımın oluşmasını önleyecek şekilde, tesise ait farklı emisyon kaynakları ve kaynak akışları için standart, kütle dengesi ve ölçüm temelli yöntemleri birleştirebilir.</w:t>
      </w:r>
    </w:p>
    <w:p w:rsidR="004231A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ölçüm temelli bir yöntemi seçmediği durumda, ek-3’ün ilgili bölümlerinde yer alan yöntemi seçer. İşletme, söz konusu yöntemin kullanılmasının teknik olarak elverişli olmadığı veya başka yöntemin emisyon verilerini daha yüksek doğruluğa ulaştırdığı durumlarda Bakanlığa başvurur. Bakanlığın uygun görüşü ile alternatif bir yöntem kullanılır.</w:t>
      </w:r>
    </w:p>
    <w:p w:rsidR="00193D59" w:rsidRPr="007671C9" w:rsidRDefault="00193D59" w:rsidP="00193D59">
      <w:pPr>
        <w:spacing w:after="0" w:line="276" w:lineRule="auto"/>
        <w:jc w:val="both"/>
        <w:rPr>
          <w:rFonts w:ascii="Times New Roman" w:hAnsi="Times New Roman" w:cs="Times New Roman"/>
          <w:sz w:val="24"/>
          <w:szCs w:val="24"/>
        </w:rPr>
      </w:pPr>
    </w:p>
    <w:p w:rsidR="00B90FC5" w:rsidRPr="007671C9" w:rsidRDefault="00B90FC5" w:rsidP="00B90FC5">
      <w:pPr>
        <w:spacing w:after="0"/>
        <w:jc w:val="both"/>
        <w:rPr>
          <w:rFonts w:ascii="Times New Roman" w:hAnsi="Times New Roman" w:cs="Times New Roman"/>
          <w:b/>
          <w:sz w:val="24"/>
          <w:szCs w:val="24"/>
        </w:rPr>
      </w:pPr>
      <w:r w:rsidRPr="007671C9">
        <w:rPr>
          <w:rFonts w:ascii="Times New Roman" w:hAnsi="Times New Roman" w:cs="Times New Roman"/>
          <w:b/>
          <w:sz w:val="24"/>
          <w:szCs w:val="24"/>
        </w:rPr>
        <w:t xml:space="preserve">Asgari yöntem </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b/>
          <w:sz w:val="24"/>
          <w:szCs w:val="24"/>
        </w:rPr>
        <w:t>MADDE 21</w:t>
      </w:r>
      <w:r w:rsidRPr="007671C9">
        <w:rPr>
          <w:rFonts w:ascii="Times New Roman" w:hAnsi="Times New Roman" w:cs="Times New Roman"/>
          <w:sz w:val="24"/>
          <w:szCs w:val="24"/>
        </w:rPr>
        <w:t xml:space="preserve"> – (1) 20 inci madde hükümlerinden farklı olarak, işletme, aşağıdaki bütün koşulların karşılanması şartı ile seçilmiş kaynak akışları veya emisyon kaynakları için kademelere dayanmayan bir izleme yöntemi olan asgari yöntemi de kullanabilir. Bu şartlar;</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a) Hesaplama temelli yöntem altında bir veya daha fazla ana kaynak akışları veya küçük kaynak akışları için en az kademe 1’i uygulamanın ve aynı kaynak akışları ile ilgili olarak en az bir emisyon kaynağı için ölçüm temelli yöntemi uygulamanın teknik olarak uygun olmadığı,</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b) İşletme, ulusal veya uluslararası kabul görmüş eşdeğer standartlara uygun olarak yıllık emisyonların belirlenmesinde kullanılan bütün parametrelerin belirsizliklerini her yıl değerlendirip nitelediği ve sonuçları yıllık emisyon raporuna dahil ettiği,</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c) İşletmenin, söz konusu asgari yöntemi uygulayarak, bütün tesis için sera gazı emisyonlarının yıllık seviyesine ilişkin toplam belirsizlik eşiğinin kategori A tesisleri için %7,5’i, kategori B tesisleri için %5,0’ı ve kategori C tesisleri için %2,5’i aşmadığını gösterdiği,</w:t>
      </w:r>
    </w:p>
    <w:p w:rsidR="00193D59" w:rsidRPr="007671C9" w:rsidRDefault="00B90FC5" w:rsidP="00B90FC5">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durumlardır.</w:t>
      </w:r>
    </w:p>
    <w:p w:rsidR="00B90FC5" w:rsidRPr="007671C9" w:rsidRDefault="00B90FC5" w:rsidP="00B90FC5">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yöntemine ilişkin geçici değişiklikler</w:t>
      </w:r>
    </w:p>
    <w:p w:rsidR="00B90FC5" w:rsidRPr="007671C9" w:rsidRDefault="004231AC" w:rsidP="00B90FC5">
      <w:pPr>
        <w:spacing w:after="0"/>
        <w:jc w:val="both"/>
        <w:rPr>
          <w:rFonts w:ascii="Calibri" w:eastAsia="Times New Roman" w:hAnsi="Calibri" w:cs="Calibri"/>
          <w:b/>
          <w:bCs/>
          <w:lang w:eastAsia="tr-TR"/>
        </w:rPr>
      </w:pPr>
      <w:r w:rsidRPr="007671C9">
        <w:rPr>
          <w:rFonts w:ascii="Times New Roman" w:hAnsi="Times New Roman" w:cs="Times New Roman"/>
          <w:b/>
          <w:sz w:val="24"/>
          <w:szCs w:val="24"/>
        </w:rPr>
        <w:t>MADDE 22</w:t>
      </w:r>
      <w:r w:rsidRPr="007671C9">
        <w:rPr>
          <w:rFonts w:ascii="Times New Roman" w:hAnsi="Times New Roman" w:cs="Times New Roman"/>
          <w:sz w:val="24"/>
          <w:szCs w:val="24"/>
        </w:rPr>
        <w:t xml:space="preserve"> – </w:t>
      </w:r>
      <w:r w:rsidR="00B90FC5" w:rsidRPr="007671C9">
        <w:rPr>
          <w:rFonts w:ascii="Times New Roman" w:hAnsi="Times New Roman" w:cs="Times New Roman"/>
          <w:sz w:val="24"/>
          <w:szCs w:val="24"/>
        </w:rPr>
        <w:t xml:space="preserve">(1) Bakanlık tarafından onaylanmış izleme planında yer alan, yakıt veya madde akışına ilişkin faaliyet verisi veya hesaplama faktörü için belirtilen kademenin uygulanmasının teknik sebepler nedeniyle geçici olarak uygun olmadığı durumda, işletme izleme planında onaylanmış kademenin uygulanmasına yönelik olarak koşullar düzelene kadar erişilebilir en </w:t>
      </w:r>
      <w:r w:rsidR="00B90FC5" w:rsidRPr="007671C9">
        <w:rPr>
          <w:rFonts w:ascii="Times New Roman" w:hAnsi="Times New Roman" w:cs="Times New Roman"/>
          <w:sz w:val="24"/>
          <w:szCs w:val="24"/>
        </w:rPr>
        <w:lastRenderedPageBreak/>
        <w:t>yüksek kademeyi uygular. İşletme, Bakanlığın onayladığı izleme planında belirtilen kademenin acil olarak yeniden uygulanması için gerekli bütün önlemleri alır.</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(2) İşletme, aşağıda verilen bilgi ve belgeleri de içerecek şekilde birinci fıkra kapsamında yapılacak izleme yöntemindeki geçici değişiklikleri ivedilikle Bakanlığa bildirir:</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a) Kademeden sapmanın sebepleri,</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b) İzleme planında yer alan kademenin uygulanması için koşullar düzelene kadar emisyonların belirlenmesinde kullanılan geçici izleme yöntemine ilişkin detayları,</w:t>
      </w:r>
    </w:p>
    <w:p w:rsidR="00B90FC5" w:rsidRPr="007671C9" w:rsidRDefault="00B90FC5" w:rsidP="00B90FC5">
      <w:pPr>
        <w:spacing w:after="0"/>
        <w:jc w:val="both"/>
        <w:rPr>
          <w:rFonts w:ascii="Times New Roman" w:hAnsi="Times New Roman" w:cs="Times New Roman"/>
          <w:sz w:val="24"/>
          <w:szCs w:val="24"/>
        </w:rPr>
      </w:pPr>
      <w:r w:rsidRPr="007671C9">
        <w:rPr>
          <w:rFonts w:ascii="Times New Roman" w:hAnsi="Times New Roman" w:cs="Times New Roman"/>
          <w:sz w:val="24"/>
          <w:szCs w:val="24"/>
        </w:rPr>
        <w:t>c) Bakanlık tarafından onaylanan izleme planında yer alan kademenin uygulanmasına yönelik koşulların düzeltilmesi için alınan önlemleri,</w:t>
      </w:r>
    </w:p>
    <w:p w:rsidR="004231AC" w:rsidRPr="007671C9" w:rsidRDefault="00B90FC5" w:rsidP="00B90FC5">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 Bakanlık tarafından onaylanan kademenin tekrar uygulanmasına ne zaman başlanacağına dair öngörülen zamanı.</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BEŞİNCİ BÖLÜM</w:t>
      </w:r>
    </w:p>
    <w:p w:rsidR="004231AC" w:rsidRPr="007671C9" w:rsidRDefault="004231AC" w:rsidP="004231A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Hesaplama Temelli Yöntem</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Emisyonların standart yöntemle hesaplanması</w:t>
      </w:r>
    </w:p>
    <w:p w:rsidR="002053C6" w:rsidRPr="007671C9" w:rsidRDefault="004231AC" w:rsidP="002053C6">
      <w:pPr>
        <w:spacing w:after="0"/>
        <w:jc w:val="both"/>
        <w:rPr>
          <w:rFonts w:ascii="Times New Roman" w:hAnsi="Times New Roman" w:cs="Times New Roman"/>
          <w:sz w:val="24"/>
          <w:szCs w:val="24"/>
        </w:rPr>
      </w:pPr>
      <w:r w:rsidRPr="007671C9">
        <w:rPr>
          <w:rFonts w:ascii="Times New Roman" w:hAnsi="Times New Roman" w:cs="Times New Roman"/>
          <w:b/>
          <w:sz w:val="24"/>
          <w:szCs w:val="24"/>
        </w:rPr>
        <w:t>MADDE 23</w:t>
      </w:r>
      <w:r w:rsidR="002053C6" w:rsidRPr="007671C9">
        <w:rPr>
          <w:rFonts w:ascii="Times New Roman" w:hAnsi="Times New Roman" w:cs="Times New Roman"/>
          <w:sz w:val="24"/>
          <w:szCs w:val="24"/>
        </w:rPr>
        <w:t xml:space="preserve"> – (1) Standart yöntemde, işletme kaynak akışı başına yanma emisyonlarını, NKD’nin terajul olarak ifade edildiği yanan yakıt miktarı ile ilgili faaliyet verisini, NKD kullanımı ile tutarlı olan ve terajul başına ton CO2 (t CO2/TJ) olarak ifade edilen ilgili emisyon faktörü ve ilgili yükseltgenme faktörü ile çarparak hesaplar. Bakanlık, yakıtlar için t CO2/t veya t CO2/Nm3 olarak ifade edilen emisyon faktörlerinin kullanımına izin verebilir. Bu durumda işletme ton veya normal metre küp olarak ifade edilen yanan yakıt miktarına ilişkin faaliyet verisini, ilgili emisyon faktörü ve ilgili yükseltgenme faktörü ile çarparak yanma emisyonlarını hesaplar.</w:t>
      </w:r>
    </w:p>
    <w:p w:rsidR="002053C6" w:rsidRPr="007671C9" w:rsidRDefault="002053C6" w:rsidP="002053C6">
      <w:pPr>
        <w:spacing w:after="0"/>
        <w:jc w:val="both"/>
        <w:rPr>
          <w:rFonts w:ascii="Times New Roman" w:hAnsi="Times New Roman" w:cs="Times New Roman"/>
          <w:sz w:val="24"/>
          <w:szCs w:val="24"/>
        </w:rPr>
      </w:pPr>
      <w:r w:rsidRPr="007671C9">
        <w:rPr>
          <w:rFonts w:ascii="Times New Roman" w:hAnsi="Times New Roman" w:cs="Times New Roman"/>
          <w:sz w:val="24"/>
          <w:szCs w:val="24"/>
        </w:rPr>
        <w:t>(2) İşletme kaynak akışı başına proses emisyonlarını ton veya normal metre küp olarak ifade edilen malzeme tüketimi, hammadde miktarı veya üretim çıktısı ile ilgili faaliyet verisini t CO2/t veya t CO2/Nm3 olarak ifade edilen ilgili emisyon faktörü ve ilgili dönüşüm faktörü ile çarparak belirler.</w:t>
      </w:r>
    </w:p>
    <w:p w:rsidR="004231AC" w:rsidRPr="007671C9" w:rsidRDefault="002053C6" w:rsidP="002053C6">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Kademe 1 veya kademe 2 emisyon faktörünün, tamamlanmamış kimyasal reaksiyonların etkisini içerdiği durumlarda, yükseltgenme faktörü veya dönüşüm faktörü 1 kabul edilir.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Emisyonların kütle denge yöntemiyle hesaplanması</w:t>
      </w:r>
    </w:p>
    <w:p w:rsidR="002053C6" w:rsidRPr="007671C9" w:rsidRDefault="004231AC" w:rsidP="002053C6">
      <w:pPr>
        <w:spacing w:after="0"/>
        <w:jc w:val="both"/>
        <w:rPr>
          <w:rFonts w:ascii="Times New Roman" w:hAnsi="Times New Roman" w:cs="Times New Roman"/>
          <w:sz w:val="24"/>
          <w:szCs w:val="24"/>
        </w:rPr>
      </w:pPr>
      <w:r w:rsidRPr="007671C9">
        <w:rPr>
          <w:rFonts w:ascii="Times New Roman" w:hAnsi="Times New Roman" w:cs="Times New Roman"/>
          <w:b/>
          <w:sz w:val="24"/>
          <w:szCs w:val="24"/>
        </w:rPr>
        <w:t>MADDE 24</w:t>
      </w:r>
      <w:r w:rsidRPr="007671C9">
        <w:rPr>
          <w:rFonts w:ascii="Times New Roman" w:hAnsi="Times New Roman" w:cs="Times New Roman"/>
          <w:sz w:val="24"/>
          <w:szCs w:val="24"/>
        </w:rPr>
        <w:t xml:space="preserve"> – (1) </w:t>
      </w:r>
      <w:r w:rsidR="002053C6" w:rsidRPr="007671C9">
        <w:rPr>
          <w:rFonts w:ascii="Times New Roman" w:hAnsi="Times New Roman" w:cs="Times New Roman"/>
          <w:sz w:val="24"/>
          <w:szCs w:val="24"/>
        </w:rPr>
        <w:t>Kütle denge yönteminde, işletme, ek-2’nin üçüncü bölümünde yer alan yöntemi uygulayarak kütle dengesinin sınırlarına giren veya kütle dengesi sınırlarını terk eden malzeme miktarı ile ilgili faaliyet verisini, malzemenin karbon içeriğini ve 3,664 t CO2/t C değerini çarparak kütle dengesinde yer alan her bir kaynak akışına karşılık gelen CO2 miktarını hesaplar.</w:t>
      </w:r>
    </w:p>
    <w:p w:rsidR="004231AC" w:rsidRPr="007671C9" w:rsidRDefault="002053C6" w:rsidP="002053C6">
      <w:pPr>
        <w:spacing w:after="0"/>
        <w:jc w:val="both"/>
        <w:rPr>
          <w:rFonts w:ascii="Times New Roman" w:hAnsi="Times New Roman" w:cs="Times New Roman"/>
          <w:sz w:val="24"/>
          <w:szCs w:val="24"/>
        </w:rPr>
      </w:pPr>
      <w:r w:rsidRPr="007671C9">
        <w:rPr>
          <w:rFonts w:ascii="Times New Roman" w:hAnsi="Times New Roman" w:cs="Times New Roman"/>
          <w:sz w:val="24"/>
          <w:szCs w:val="24"/>
        </w:rPr>
        <w:t>(2) 48 nci madde hükümlerine bakılmaksızın, kütle dengesi kullanılarak hesaplanan toplam prosesin emisyonları, kütle dengesi tarafından kapsanan tüm kaynak akışlarına karşılık gelen CO2 miktarlarının toplamıdır. Atmosfere salınan CO, CO2 molar eşdeğer miktarı olarak kütle dengesinde hesaplanır.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Uygulanabilir kademeler</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25</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Faaliyet verisini ve her bir hesaplama faktörünü belirlemek için, 20 inci (İzleme yönteminin seçimi) maddenin birinci fıkrasına göre büyük ve küçük kaynak akışları için ilgili kademeler tanımlanırken, işletme:</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Kategori A tesisleri için veya kaynak akışının ticari standart yakıt olması halinde bir hesaplama faktörünün gerekli olduğu durumlarda en düşük ek-4’te listelenen kademeleri,</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b) (a) bendi dışındaki durumlarda ise ek-2’de tanımlanan en yüksek kademeyi uygular.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Ancak, büyük kaynak akışları için işletme (a) bendine göre uygulanması gereken kademenin teknik olarak uygun olmadığını veya makul olmayan maliyete yol açtığı durumda Bakanlığa belgelemesi durumunda, en düşük kademe 1 olmak koşuluyla, kategori C tesisleri için gerekenden bir seviye daha düşük kademeyi, kategori A ve B tesisleri için ise gerekenden en fazla iki seviye daha düşük kademeyi uygulayabilir.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Bakanlık işletmeye, (b) bendine göre gereken kademeden daha düşük bir kademe uygulanmasına yönelik olarak, en düşük kademe 1 olması ve aşağıdaki koşulların karşılanması şartı ile üç yıla kadar işletme ile üzerinde anlaştığı bir geçiş dönemi için izin verebilir: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1) Uygulanması gereken kademenin teknik olarak elverişli olmadığının tespit edilmesi,</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Uygulanması gereken kademeye nasıl ve ne zaman erişilebileceği ile ilgili bir planının sunulması.</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küçük kaynak akışları için, birinci fıkra kapsamında belirlenen kademenin teknik olarak uygulanabilir olmadığını veya makul olmayan bir maliyete sebep olduğunu Bakanlığa kanıtlaması durumunda uygulanan kademenin en düşük kademe 1 olması koşuluyla, gerekli kademeden daha düşük bir kademeyi uygulayabilir.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önemsiz kaynak akışlarına ilişkin faaliyet verisi ve her bir hesaplama faktörü için, ilave bir çaba olmadan herhangi bir kademeye ulaşamıyorsa, kademe kullanmak yerine ihtiyatlı tahminler yaparak faaliyet verisini ve her bir hesaplama faktörünü belirler.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Yükseltgenme faktörü ve dönüşüm faktörü için, işletme, asgari olarak, ek-2’de listelenen en düşük kademeleri uygular.</w:t>
      </w:r>
    </w:p>
    <w:p w:rsidR="004231A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(5) 24 üncü madde çerçevesinde proses girdisi olarak kullanılan veya kütle dengesinde kullanılan yakıtlar ve Bakanlığın t CO2/t veya t CO2/Nm3 olarak ifade edilen emisyon faktörlerinin kullanılmasına izin verdiği yakıtlar için NKD, ilave bir çaba olmadan herhangi bir kademeye ulaşamıyorsa, kademe kullanmak yerine ihtiyatlı tahminler kullanılarak izlenir.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Faaliyet verisinin belirlenmesi</w:t>
      </w:r>
    </w:p>
    <w:p w:rsidR="0030011F" w:rsidRPr="007671C9" w:rsidRDefault="004231AC" w:rsidP="0030011F">
      <w:pPr>
        <w:spacing w:after="0"/>
        <w:jc w:val="both"/>
        <w:rPr>
          <w:rFonts w:ascii="Calibri" w:eastAsia="Times New Roman" w:hAnsi="Calibri" w:cs="Calibri"/>
          <w:b/>
          <w:bCs/>
          <w:lang w:eastAsia="tr-TR"/>
        </w:rPr>
      </w:pPr>
      <w:r w:rsidRPr="007671C9">
        <w:rPr>
          <w:rFonts w:ascii="Times New Roman" w:hAnsi="Times New Roman" w:cs="Times New Roman"/>
          <w:b/>
          <w:sz w:val="24"/>
          <w:szCs w:val="24"/>
        </w:rPr>
        <w:t>MADDE 26</w:t>
      </w:r>
      <w:r w:rsidR="0030011F" w:rsidRPr="007671C9">
        <w:rPr>
          <w:rFonts w:ascii="Times New Roman" w:hAnsi="Times New Roman" w:cs="Times New Roman"/>
          <w:sz w:val="24"/>
          <w:szCs w:val="24"/>
        </w:rPr>
        <w:t xml:space="preserve"> – (1)</w:t>
      </w:r>
      <w:r w:rsidR="0030011F" w:rsidRPr="007671C9">
        <w:rPr>
          <w:rFonts w:ascii="Calibri" w:eastAsia="Times New Roman" w:hAnsi="Calibri" w:cs="Calibri"/>
          <w:bCs/>
          <w:lang w:eastAsia="tr-TR"/>
        </w:rPr>
        <w:t xml:space="preserve"> </w:t>
      </w:r>
      <w:r w:rsidR="0030011F" w:rsidRPr="007671C9">
        <w:rPr>
          <w:rFonts w:ascii="Times New Roman" w:hAnsi="Times New Roman" w:cs="Times New Roman"/>
          <w:sz w:val="24"/>
          <w:szCs w:val="24"/>
        </w:rPr>
        <w:t>İşletme aşağıdaki yollardan biri ile bir kaynak akışına ilişkin faaliyet verisini belirler:</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a) Emisyona sebep olan proseste sürekli ölçüm,</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b) İlgili stok değişikliklerini dikkate alarak ayrı ayrı ölçülen miktarların toplanması.</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(2) Birinci fıkranın (b) bendi kapsamında yapılacak olan işlemler için, raporlama dönemi süresince kullanılan yakıt veya malzeme miktarının hesaplanmasında; raporlama dönemi süresince satın alınan yakıt veya malzeme miktarından, tesisten gönderilen miktar çıkartılır, raporlama döneminin başlangıcında stokta bulunan miktar eklenir, raporlama döneminin sonunda stokta bulunan miktar çıkartılır.</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(3) Stokta bulunan miktarların doğrudan ölçüm ile belirlenmesinin teknik olarak elverişli olmadığı durumlarda, işletme aşağıdaki yöntemler ile bu miktarları tahmin edebilir:</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a) Geçmiş yıllara ait veriler ve raporlama dönemine ait üretim verileri arasında korelasyon,</w:t>
      </w:r>
    </w:p>
    <w:p w:rsidR="0030011F" w:rsidRPr="007671C9" w:rsidRDefault="0030011F" w:rsidP="0030011F">
      <w:pPr>
        <w:spacing w:after="0"/>
        <w:jc w:val="both"/>
        <w:rPr>
          <w:rFonts w:ascii="Times New Roman" w:hAnsi="Times New Roman" w:cs="Times New Roman"/>
          <w:sz w:val="24"/>
          <w:szCs w:val="24"/>
        </w:rPr>
      </w:pPr>
      <w:r w:rsidRPr="007671C9">
        <w:rPr>
          <w:rFonts w:ascii="Times New Roman" w:hAnsi="Times New Roman" w:cs="Times New Roman"/>
          <w:sz w:val="24"/>
          <w:szCs w:val="24"/>
        </w:rPr>
        <w:t>b) Belgelendirilmiş prosedürler ve raporlama dönemi için denetlenmiş mali tablolardaki ilgili veriler.</w:t>
      </w:r>
    </w:p>
    <w:p w:rsidR="00193D59" w:rsidRPr="007671C9" w:rsidRDefault="0030011F" w:rsidP="0030011F">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Bir takvim yılı için faaliyet verisinin belirlenmesinin teknik olarak elverişli olmadığı durumlarda işletme, bir raporlama yılını müteakip yıldan ayırmak için bir sonraki en uygun günü seçebilir ve gerekli takvim yılına göre düzenleyebilir. Bir veya birden fazla kaynak akışının dâhil olduğu sapmalar takvim yılı için temsili bir değer tabanı oluşturarak açıkça kaydedilir ve gelecek yıl ile bağlantılı olarak tutarlı şekilde değerlendirilir.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193D59">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lastRenderedPageBreak/>
        <w:t>İşletmenin kontrolü altındaki ölçüm sistemleri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27</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26 ıncı madde kapsamında faaliyet verisinin belirlenmesi için işletme, aşağıdaki tüm koşulların karşılanması şartı ile tesiste kendi kontrolü altındaki ölçüm sistemlerine dayanan ölçüm sonuçlarını kullanabilir: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İşletme bir belirsizlik değerlendirmesi yaparak ilgili kademe seviyesinin belirsizlik eşiğinin karşılanmasını temin eder.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İşletme yılda en az bir defa ve ölçüm ekipmanının her kalibrasyonundan sonra ihtiyatlı düzeltme faktörü ile çarpılan kalibrasyon sonuçlarını ilgili belirsizlik eşiği ile karşılaştırır. İhtiyatlı düzeltme faktörü, mevcut belirsizliğin etkilerini dikkate alan önceki kalibrasyonların uygun bir zaman serisini veya benzer ölçüm cihazlarını temel alır.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Madde 11’e uygun olarak onaylanan kademe eşiklerinin aşılması veya cihazların diğer gerekliliklere uygun olmaması durumunda, işletme gecikmeden düzeltici faaliyetleri başlatır ve Bakanlığa en geç 15 gün içinde bilgi verir.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(3) İşletme yeni bir izleme planı bildirirken veya onaylanmış izleme planında bir değişiklik yapması halinde, birinci fıkranın (a) bendi kapsamında belirsizlik değerlendirmesini Bakanlığa sunmakla yükümlüdür. Bu değerlendirme, kullanılan ölçüm cihazları, kalibrasyon ve ölçüm cihazlarının kullanımı ile ilgili belirsizlikleri içerir. Söz konusu değerlendirme, yıllık kullanılan ilgili yakıt veya malzeme miktarının en az %5’ine sahip depolama tesislerini kapsar. Değerlendirme yapılırken, Ek-2’de yer alan kademe belirsizlik eşik değerlerinin tüm raporlama dönemindeki belirsizliği tanımladığı dikkate alınır. İşletme, kullanılmakta olan ölçüm aletlerinin belirsizlik değerlendirmesini basitleştirmek amacıyla; ölçüm cihazları için belirlenen azami izin verilebilir hataları veya kalibrasyondan gelen belirsizliği, kullanımdan kaynaklanan belirsizliğin etkisini dikkate almak için ihtiyatlı ayarlama faktörü ile çarpar. Ancak bu değerlendirme için ölçüm cihazlarının kullanım talimatları doğrultusunda monte edilmesi şarttır. Elde edilen değer, ek-2’de belirtilen kademe tanımlarına uygun olarak tüm raporlama dönemi boyunca geçerli olur.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(4) 2.fıkraya bağlı kalmaksızın Bakanlık, işletmeye tesiste kendi kontrolü altındaki ölçüm sistemlerine dayanan ölçüm sonuçlarını kullanmasına ancak kullanılan ölçüm cihazlarının metrolojik kontrole ilişkin mevzuata uygun olduğuna dair belge sunduğunda izin verir. Bu durumda üçüncü fıkrada yer alan hükümler uygulanmaz.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Bu amaçla, ilgili ölçüm için metrolojik kontrole ilişkin mevzuatta yer alan azami izin verilebilir hata, ilave belge sunulmadan belirsizlik değeri olarak kullanılır.</w:t>
      </w:r>
    </w:p>
    <w:p w:rsidR="00193D59" w:rsidRPr="007671C9" w:rsidRDefault="00193D59"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İşletmenin kontrolü dışındaki ölçüm sistemleri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28</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 xml:space="preserve">Basitleştirilmiş belirsizlik değerlendirmesine dayanarak, 27 inci madde kapsamında işletmenin kendi kontrolündeki ölçüm sistemlerinin kullanımı ile karşılaştırıldığında, işletmenin kontrolü dışındaki ölçüm sistemlerinin kullanımının işletmeye en az bir yüksek kademeyi sağladığı, daha güvenilir sonuçlar verdiği ve kontrol risklerine daha az açık olduğu durumlarda, işletme kendi kontrolü dışındaki ölçüm sistemlerinden faaliyet verilerini belirler.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Bu bağlamda, işletme aşağıdaki veri kaynaklarından birini kullanır: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İki bağımsız ticari ortak arasında ticari ilişkinin bulunması şartı ile bir ticari ortağın verdiği faturalardaki miktarlar,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Ölçüm cihazlarından doğrudan okunan değerler.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(2) İşletme, 25 inci madde çerçevesinde uygulanabilir kademe ile uygunluğu sağlamak zorundadır. Bu bağlamda, ilgili ticari işlem için metrolojik kontrole ilişkin mevzuatta yer alan </w:t>
      </w:r>
      <w:r w:rsidRPr="007671C9">
        <w:rPr>
          <w:rFonts w:ascii="Times New Roman" w:hAnsi="Times New Roman" w:cs="Times New Roman"/>
          <w:sz w:val="24"/>
          <w:szCs w:val="24"/>
        </w:rPr>
        <w:lastRenderedPageBreak/>
        <w:t>azami izin verilebilir hata, ilave belge sunulmadan belirsizlik değeri olarak kullanılır. Metrolojik kontrole ilişkin mevzuatta yer alan gereklilikler, 25 inci madde kapsamında belirtilen uygulanabilir kademeden daha düşük ise işletme ölçüm sisteminden sorumlu ticari ortağından şirketten uygulanabilir belirsizlik ile ilgili gerekli bilgi ve belgeleri temin eder.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Hesaplama faktörlerinin belirlenmesi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29</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hesaplama faktörlerini uygulanabilir kademeye bağlı olarak, ya varsayılan değerler ya da analize dayanan değerler olarak belirler.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 (2) İşletme, emisyona sebep olan proses için satın alınan veya kullanılan yakıt veya malzemenin kurutulmadan veya laboratuvar analizi için işlem görmeden önceki halini referans alarak ilgili faaliyet verisi için kullanılan hali ile tutarlı hesaplama faktörlerini belirler ve raporlar. </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Bu yaklaşım ile daha yüksek doğruluğun elde edilebileceği  veya makul olmayan maliyete neden olduğu durumlarda, işletme faaliyet verisini ve laboratuvar analizleriyle elde edilen hesaplama faktörlerini sürekli olarak raporlayabilir.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İşletmeden sadece karışık yakıtlar veya malzemeler için biyokütle oranını belirlemesi talep edilir. Diğer yakıt veya malzemeler için, fosil yakıtlar veya malzemelerde varsayılan değer olarak %0 biyokütle oranı kullanılır. Biyokütle yakıtları veya yalnızca biyokütleden oluşan malzemeler için varsayılan değer olarak %100 biyokütle oranı kullanılır.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Hesaplama faktörleri için varsayılan değerler</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30</w:t>
      </w:r>
      <w:r w:rsidRPr="007671C9">
        <w:rPr>
          <w:rFonts w:ascii="Times New Roman" w:hAnsi="Times New Roman" w:cs="Times New Roman"/>
          <w:sz w:val="24"/>
          <w:szCs w:val="24"/>
        </w:rPr>
        <w:t xml:space="preserve"> – (1)</w:t>
      </w:r>
      <w:r w:rsidR="00193D59" w:rsidRPr="007671C9">
        <w:rPr>
          <w:rFonts w:ascii="Times New Roman" w:hAnsi="Times New Roman" w:cs="Times New Roman"/>
          <w:sz w:val="24"/>
          <w:szCs w:val="24"/>
        </w:rPr>
        <w:t xml:space="preserve"> Hesaplama faktörlerini varsayılan değer olarak belirlediği durumda işletme, ek-2 ve ek-3’te belirtildiği gibi, uygulanabilir kademenin gereksinimleri ile uyumlu olarak, aşağıdaki değerlerden birini kullanır: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Ek-5’te listelenen standart faktörler ve stokiyometrik değerler,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Birleşmiş Milletler İklim Değişikliği Çerçeve Sözleşmesi kapsamında hazırlanan ulusal sera gazı envanteri için kullanılan standart faktörler,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%95’lik güven aralığında karbon içeriğinin %1’den daha fazla olmadığı yakıt veya malzeme tedarikçisi tarafından garanti edilen ve işletme tarafından Bakanlığa sunulabilen değerler,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ç) Bir yakıtın veya malzemenin gelecekte kullanılacak lotları için temsil niteliği taşıdığına dair bilgi ve belgenin Bakanlığa sunulması durumunda, geçmiş analizlere dayanan değerler.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izleme planında, kullanılan bütün varsayılan değerleri belirtir. Varsayılan değerlerin yıllık olarak değiştiği durumlarda, işletme izleme planında bu değerin doğruluk kaynağını belirtir.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İşletmenin, yeni varsayılan değerin, emisyonların daha doğru belirlenmesini sağladığına dair başvuru yapması halinde, Bakanlık 14 üncü maddenin ikinci fıkrası kapsamında, izleme planında varsayılan değerin değiştirilmesini onaylayabilir.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İşletmenin, en az üç yılda bir, bir önceki üç yıllık süre için belirtilmiş olan NKD’nin ±%1 aralığında olduğunu göstermesi durumunda Bakanlık, hem NKD hem de emisyon faktörlerinin ticari standart yakıtlar için belirlenmiş kademeleri kullanmasına izin verir.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(5) Bakanlık, işletmenin başvurması halinde, saf bir kimyasal maddenin stokiyometrik karbon içeriğinin normalde analiz gerektiren kademe gereksinimini karşıladığını kabul edebilir. İşletmeci başvurusunda, analizin makul olmayan maliyete yol açacağını ve stokiyometrik değeri kullanmanın emisyonların eksik tahminine neden olmayacağını göstermelidir.</w:t>
      </w:r>
    </w:p>
    <w:p w:rsidR="00193D59" w:rsidRPr="007671C9" w:rsidRDefault="00193D59"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Analize dayanan hesaplama faktörleri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lastRenderedPageBreak/>
        <w:t>MADDE 31</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Hesaplama faktörlerinin belirlenmesi için kullanılan analiz, örnekleme, kalibrasyon ve doğrulama, ilgili TS EN standartlarınca uygulanan yöntemler ile yapılır. Bu tip standartların olmadığı durumlarda, ilgili ISO Standartları dikkate alınır. Uygulanabilir yayımlanmış standartların olmadığı durumlarda, örnekleme ve ölçüm belirsizliklerini sınırlandıran uygun taslak standartlar, sanayide en iyi uygulama kılavuzları veya bilimsel olarak ispat edilmiş diğer yöntemler kullanılır.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Emisyonun belirlenmesi için çevrimiçi gaz kromatografları veya baca içi veya baca dışı gaz analizörleri sadece gaz halindeki yakıtların ve malzemelerin kompozisyonunun belirlenmesi için kullanılabilir. Asgari kalite güvence tedbirleri olarak, işletme cihazın ilk doğrulama ölçümleri ve düzenli yıllık tekrarlanan doğrulama ölçümlerini yaptırır.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Herhangi bir analizin sonucu, sadece alınan örneklerin karakterize edeceği dönem veya yakıt veya malzeme lotu için kullanılır. Belirli bir parametrenin belirlenmesi için işletme bu parametre ile bağlantılı olan bütün analizlerin sonuçlarını kullanır.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Örnekleme planı</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32</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Hesaplama faktörlerinin analizler ile belirlendiği durumlarda, işletme her bir yakıt veya malzeme için yazılı bir prosedür halinde hazırladığı örnekleme planını onaylaması için Bakanlığa sunar. Söz konusu örnekleme planında, örneklerin hazırlanmasına ilişkin yöntemler, sorumluluklar, konumlar, sıklıklar ve miktarlar, örneklerin depolanması ve taşınmasına ilişkin yöntemler hakkında bilgiler yer alır. İşletme, alınan örneklerin ilgili lot veya teslimat sevkiyat dönemi için temsil edici olmasını ve sapma olmamasını temin eder. Örnekleme planı çerçevesinde ilgili yakıt veya malzeme için analiz yürüten laboratuvar ile işletme arasında tam bir mutabakat sağlanır ve bu anlaşmaya dair belgeler plana eklenir. İşletme doğrulama faaliyetleri için bu planı hazır bulundurur.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Belirlibir yakıt veya malzeme için temel alınan orijinal örnekleme planındaki heterojenlik bilgisinin analitik sonuçlardan önemli biçimde farklı olduğu durumlarda, işletme örnekleme planını bu durumu yansıtacak şekilde değiştirir. Bu işlem, ilgili yakıt veya malzemenin analizini yürüten laboratuvar ile mutabık kalarak yapılır ve doğrulayıcı kuruluşa bildirilir.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Laboratuvarların kullanımı</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33</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hesaplama faktörlerinin belirlenmesine yönelik analizler için analitik yöntemle ilgili standartlara göre akredite laboratuvarları kullanır.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(2) </w:t>
      </w:r>
      <w:r w:rsidR="00B917E4" w:rsidRPr="00B917E4">
        <w:rPr>
          <w:rFonts w:ascii="Times New Roman" w:hAnsi="Times New Roman" w:cs="Times New Roman"/>
          <w:sz w:val="24"/>
          <w:szCs w:val="24"/>
        </w:rPr>
        <w:t>İşletmenin hesaplama faktörlerinin belirlenmesine yönelik akredite olmayan kendi laboratuvarını kullanabilmesi için, iki yılda en az bir kez TS EN 17025 standardından akredite bir laboratuvar ile sonuçlarını karşılaştırır. Ölçümler açısından en az % 90 oranında yakın sonuç elde eder. İşletme kullandığı analiz yöntemine ilişkin karşılaştırma yapacağı herhangi bir akredite laboratuvar bulunmaması durumunda, analiz yöntemini standart referans malzeme ile doğrulayarak, karşılaştırma gerekliliğini yerine getirir.</w:t>
      </w: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Analiz sıklığı</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34</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ilgili yakıt ve malzemeler için ek-6’da listelenen asgari analiz sıklıklarını uygular.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Asgari sıklıkların elverişli olmadığı veya aşağıdaki durumlardan birinin işletme tarafından kanıtlandığı hallerde Bakanlık ek-6’da listelenenlerden farklı bir analiz sıklığı kullanılmasına izin verebilir: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w:t>
      </w:r>
      <w:r w:rsidRPr="007671C9">
        <w:rPr>
          <w:rFonts w:ascii="Times New Roman" w:hAnsi="Times New Roman" w:cs="Times New Roman"/>
          <w:sz w:val="24"/>
          <w:szCs w:val="24"/>
        </w:rPr>
        <w:tab/>
        <w:t xml:space="preserve">Geçmiş veriye dayanarak, mevcut raporlama döneminden bir önceki raporlama dönemine ait analitik değerleri de içeren, söz konusu yakıt veya malzemenin analitik </w:t>
      </w:r>
      <w:r w:rsidRPr="007671C9">
        <w:rPr>
          <w:rFonts w:ascii="Times New Roman" w:hAnsi="Times New Roman" w:cs="Times New Roman"/>
          <w:sz w:val="24"/>
          <w:szCs w:val="24"/>
        </w:rPr>
        <w:lastRenderedPageBreak/>
        <w:t>değerlerindeki sapmanın, faaliyet verisinin belirlenmesi ile bağlantılı belirsizlik değerinin 1/3’ünü geçmediği koşullarda,</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w:t>
      </w:r>
      <w:r w:rsidRPr="007671C9">
        <w:rPr>
          <w:rFonts w:ascii="Times New Roman" w:hAnsi="Times New Roman" w:cs="Times New Roman"/>
          <w:sz w:val="24"/>
          <w:szCs w:val="24"/>
        </w:rPr>
        <w:tab/>
        <w:t xml:space="preserve"> Halihazırda uygulanan analiz sıklığının makul olmayan maliyete yol açtığı durumlarda</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işletmenin yılın yalnızca bir kısmında çalıştığı veya lotlar halinde sevk edilen yakıt veya malzemenin bir takvim yılından daha uzun sürede tüketildiği durumlarda, analizlere ilişkin (a) fıkrasında verilen belirsizlik hesaplaması ile karşılaştırılabilir sonuçlar içeren daha az sıklıkları içeren uygun bir takvim için Bakanlık izin verebilir.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193D59">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CO2 için emisyon faktörleri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35</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(1) İşletme CO2 emisyonları için faaliyet bazlı emisyon faktörleri belirler.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Yakıtlar için emisyon faktörleri t CO2/TJ olarak ifade edilir. Bakanlık, t CO2/TJ olarak ifade edilen bir emisyon faktörünün kullanımının teknik olarak mümkün olmadığı durumlarda veya hesaplanmış emisyonların en az eşdeğer doğruluğunu bu tip bir emisyon faktörü kullanılarak elde edildiği durumda, yanma emisyonları için t CO2/t veya t CO2/Nm3 olarak ifade edilen bir yakıt için emisyon faktörünü kullanmasına yönelik işletmeye izin verebilir.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Karbon içeriğinin, CO2 ile ilgili bir emisyon faktörüne dönüştürülmesi veya tersi için işletme 3,664 t CO2/t C katsayısını kullanır.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Yükseltgenme ve dönüşüm faktörleri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36</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yükseltgenme veya dönüşüm faktörleri için en az kademe 1 kullanır. İşletme emisyon faktörünün tamamlanmamış yükseltgenme veya dönüşüm etkisini içerdiği durumda yükseltgenme veya dönüşüm faktörünü 1 olarak kullanır.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Bir tesiste çeşitli yakıtların kullanıldığı ve belirli yükseltgenme faktörü için kademe 3’ün kullanılması gerektiğinde, işletme aşağıdaki durumlar için Bakanlığın onayını alır: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Bütün yanma süreci için bir birleşik yükseltgenme faktörünün belirlenmesi ve bütün yakıtlara uygulanması,</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Büyük kaynak akışında tamamlanmamış yükseltgenme olduğunun kabulü ve diğer kaynak akışlarında yükseltgenme faktörü olarak 1 değerinin kullanılması.</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Biyokütlenin veya karışık yakıtların kullanıldığı durumlarda işletme, ikinci fıkranın (a) veya (b) bentlerinin uygulanması sonucunda emisyonlarda eksik tahmine yol açılmayacağına dair bilgi ve belgeleri Bakanlığa gönderir.</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4231A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Biyokütle kaynak akışları</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37</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bir kaynak akışının yalnızca biyokütleyi içerdiği durumda, kademeleri kullanmadan biyokütle içeriği ile ilgili analitik kanıt sunarak, biyokütle kaynak akışlarının faaliyet verisini belirleyebilir. İşletme söz konusu kaynak akışının diğer malzemeler veya yakıtlar ile karışmadığından emin olur.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Biyokütlenin emisyon faktörü sıfır olarak kabul edilir. Karışık bir yakıt veya malzemenin emisyon faktörü, 29 uncu madde (hesaplama faktörlerinin belirlenmesi) kapsamında belirlenen ön emisyon faktörünün, yakıt veya malzemenin fosil karbon oranı ile çarpılmasıyla hesaplanır ve raporlanır.</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Her bir karışık yakıt veya malzemenin turba (kömürden önceki faz), ksilit (kalorisi daha düşük biyokütle-fosil arası bir yakıt) ve fosil karbon oranları biyokütle olarak değerlendirilmez.</w:t>
      </w:r>
    </w:p>
    <w:p w:rsidR="00193D59"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(4) Karışık yakıtların veya malzemelerin biyokütle oranının %97’ye eşit veya daha yüksek olduğu durumlarda veya yakıt veya malzemenin fosil oranından kaynaklı emisyon miktarına bağlı olarak, kaynak akışının küçük önemsiz kaynak akışı olarak nitelendiği durumlarda, </w:t>
      </w:r>
      <w:r w:rsidRPr="007671C9">
        <w:rPr>
          <w:rFonts w:ascii="Times New Roman" w:hAnsi="Times New Roman" w:cs="Times New Roman"/>
          <w:sz w:val="24"/>
          <w:szCs w:val="24"/>
        </w:rPr>
        <w:lastRenderedPageBreak/>
        <w:t xml:space="preserve">faaliyet verisini ve ilgili hesaplama faktörlerini belirlemek için, enerji denge yöntemini dahil ederek asgari yöntem kullanılabilir. </w:t>
      </w:r>
    </w:p>
    <w:p w:rsidR="00193D59" w:rsidRPr="007671C9" w:rsidRDefault="00193D59" w:rsidP="00193D59">
      <w:pPr>
        <w:spacing w:after="0" w:line="276" w:lineRule="auto"/>
        <w:jc w:val="both"/>
        <w:rPr>
          <w:rFonts w:ascii="Times New Roman" w:hAnsi="Times New Roman" w:cs="Times New Roman"/>
          <w:sz w:val="24"/>
          <w:szCs w:val="24"/>
        </w:rPr>
      </w:pPr>
    </w:p>
    <w:p w:rsidR="004231AC" w:rsidRPr="007671C9" w:rsidRDefault="004231AC" w:rsidP="00193D59">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Biyokütle ve fosil karbon oranının belirlenmesi</w:t>
      </w:r>
    </w:p>
    <w:p w:rsidR="00193D59" w:rsidRPr="007671C9" w:rsidRDefault="004231A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38</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karışık yakıt ve malzemeler için, biyokütle yokmuş gibi kabul ederek fosil oranı %100 olarak hesaplayabilir veya Ek2’de tanımlanan kademeleri uygulayarak 2.paragrafa göre biyokütle oranını hesaplar.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kademe gerekliliklerine bağlı olarak, biyokütle oranını belirlemek için analiz yapar. Kademe seviyesinin gerekliliklerine bağlı olarak, işletme biyokütle oranını belirlemek için analiz yapar, ancak ilk paragrafın uygulanması teknik olarak uygulanabilir değilse veya makul olmayan bir maliyete yol açıyorsa, işletme biyokütlenin belirlenmesi için alternatif bir tahmin metodunu kullanabilir. Tanımlanmış ve izlenebilir girdi akışları ile bir üretim prosesi kaynaklı yakıtlar ve malzemeler için, işletme sürece giren ve çıkan fosil ve biyokütle karbonunun kütle dengesi üzerine bu tahmini dayandırır.</w:t>
      </w:r>
    </w:p>
    <w:p w:rsidR="00193D59" w:rsidRPr="007671C9" w:rsidRDefault="00193D59" w:rsidP="00193D59">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ALTINCI BÖLÜM</w:t>
      </w: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Ölçüm Temelli Yöntem</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Ölçüm temelli izleme yönteminin kullanımı</w:t>
      </w:r>
    </w:p>
    <w:p w:rsidR="00193D59" w:rsidRPr="007671C9" w:rsidRDefault="005F1C2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39</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 xml:space="preserve">İşletme ek-3’te yer alan diazot oksit (N2O) emisyonları ve 48inci madde (Karbon Yakalama ve Tutma Amaçlı Transfer edilen CO2) uyarınca transfer edilmiş CO2’nin miktarını belirlemek için ölçüm temelli yöntemler kullanır. </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Ayrıca, 40 ıncı madde (kademe gereksinimleriyle ilgili) kapsamında işletme her bir emisyon kaynağı için istenen kademelerin karşılandığına dair belgeleri sağlaması halinde CO2 emisyon kaynakları için de ölçüm temelli yöntemleri kullanabilir.</w:t>
      </w:r>
    </w:p>
    <w:p w:rsidR="00193D59" w:rsidRPr="007671C9" w:rsidRDefault="00193D59" w:rsidP="00193D59">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Kademe gereksinimleri</w:t>
      </w:r>
    </w:p>
    <w:p w:rsidR="00193D59" w:rsidRPr="007671C9" w:rsidRDefault="005F1C2C"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40</w:t>
      </w:r>
      <w:r w:rsidRPr="007671C9">
        <w:rPr>
          <w:rFonts w:ascii="Times New Roman" w:hAnsi="Times New Roman" w:cs="Times New Roman"/>
          <w:sz w:val="24"/>
          <w:szCs w:val="24"/>
        </w:rPr>
        <w:t xml:space="preserve"> – (1) </w:t>
      </w:r>
      <w:r w:rsidR="00193D59" w:rsidRPr="007671C9">
        <w:rPr>
          <w:rFonts w:ascii="Times New Roman" w:hAnsi="Times New Roman" w:cs="Times New Roman"/>
          <w:sz w:val="24"/>
          <w:szCs w:val="24"/>
        </w:rPr>
        <w:t>İşletme, yılda 5000 ton CO2(eşd)’den fazla salım yapan veya tesisin toplam yıllık emisyonuna %10’dan fazla katkıda bulunan her bir emisyon kaynağı için, mutlak emisyon açısından hangisi daha yüksek ise, ek-7’nin birinci bölümünde (ölçüm temelli yöntemler için kademe tanımları) listelenen en yüksek kademeyi uygular. Diğer emisyon kaynakları için, işletme en yüksek kademeden en az bir kademe daha düşük olanı uygular.</w:t>
      </w:r>
    </w:p>
    <w:p w:rsidR="005F1C2C" w:rsidRPr="007671C9" w:rsidRDefault="00193D59" w:rsidP="00193D59">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birinci fıkra kapsamındaki kademe uygulanmasının veya 25 inci madde kapsamındaki kademe seviyelerini kullanarak bir hesaplama yönteminin uygulanmasının teknik olarak elverişli olmadığına veya makul olmayan bir maliyete yol açtığına dair Bakanlığın uygun görüşünü alarak, ilgili emisyon kaynakları için asgari düzeyde kademe 1 olmak üzere en az bir kademe daha düşük olanı uygulayabilir.</w:t>
      </w:r>
    </w:p>
    <w:p w:rsidR="003F6354" w:rsidRPr="007671C9" w:rsidRDefault="003F6354" w:rsidP="00193D59">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Ölçüm standartları ve laboratuvarlar</w:t>
      </w:r>
    </w:p>
    <w:p w:rsidR="005F1C2C" w:rsidRPr="007671C9" w:rsidRDefault="005F1C2C" w:rsidP="005F1C2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41</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Bütün ölçümler, 12/10/2011 tarihli ve 28082 sayılı Resmî Gazete’de yayımlanarak yürürlüğe giren Sürekli Emisyon Ölçüm Sistemleri Tebliği ve TS EN 14181 standardı hükümleri uyarınca yürütülür. İşletme, SEÖS’ün uluslararası standartlarca belirlenmiş (TS EN 15259) bacadaki yeri, kalibrasyonu, ölçümü, kalite güvencesi ve kalite kontrolünü de dâhil ederek sürekli ölçüm sisteminin bütün yönlerini dikkate alır.</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Emisyonların belirlenmesi</w:t>
      </w:r>
    </w:p>
    <w:p w:rsidR="003F6354" w:rsidRPr="007671C9" w:rsidRDefault="005F1C2C" w:rsidP="005F1C2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lastRenderedPageBreak/>
        <w:t>MADDE 42</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İşletme, ortalaması alınmış saatlik sera gazı konsantrasyonları ve gaz akış değerlerini çarparak bulduğu bütün saatlik değerlerin toplamını almak suretiyle raporlama dönemi boyunca sera gazı emisyon kaynaklarının yıllık emisyonlarını belirler. CO2 emisyonları için, işletme bu Tebliğin ek-7’sindeki 1 inci denklemini (yıllık emisyonların hesaplanması) kullanarak yıllık sera gazı emisyon miktarını belirler. Atmosfere salınan CO, CO2’nin molar eşdeğer miktarı olarak değerlendirilir. N2O (diazot monoksit) için, işletme ek-3’ün onaltıncı bölümünün B.1 alt paragrafındaki denklemi (yıllık N2O emisyonları) kullanarak yıllık sera gazı emisyonlarını belirler.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Bir tesiste çeşitli emisyon kaynaklarının olduğu ve bunların tek bir emisyon kaynağı olarak ölçülemeyeceği durumda, işletme bu kaynaklardan gelen emisyonları ayrı ayrı ölçer ve raporlama dönemi boyunca söz konusu gazın toplam emisyonlarını elde etmek için sonuçları toplar.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aşağıdaki yöntemlerden biri ile temsili bir noktada sürekli ölçüm yoluyla baca gazındaki sera gazı konsantrasyonunu belirler: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Doğrudan ölçüm,</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Baca gazında yüksek konsantrasyon olması (kullanılan SEÖS’ün ölçüm saptama limitinden yüksek olması) durumunda, ek-7’de yer alan 3 üncü denklemi (dolaylı konsantrasyon hesaplanması) kullanarak ve işletmenin izleme planında yer alan gaz akışının diğer bileşenlerinin ölçülmüş konsantrasyon değerlerini dikkate alarak hesaplama.</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İşletme, ilgili olduğu durumlarda, hesaplama temelli izleme yöntemlerini kullanarak biyokütleden kaynaklı CO2 miktarını ayrı ayrı her bir gaz akışı için ayrı olarak belirler ve toplam ölçülmüş CO2 emisyonlarından çıkartır.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(5) İşletme aşağıdaki yöntemlerden birini kullanarak bu maddenin birinci fıkrası kapsamındaki hesaplama için baca gazı akışını tespit eder: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İşletme, kütle dengesi yöntemi ile hesaplamada, çıktı tarafında asgari olarak ürüne ilişkin bileşenleri ve O2, SO2 ve NOx konsantrasyonlarının dahil eder. Ayrıca, CO2 emisyonları için girdi tarafında da asgari olarak malzeme yükleri (yakıt, hammadde, vs.), girdideki hava akışı ve proses verimini de içerecek şekilde bütün önemli parametreler dikkate alınır.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İşletme, SEÖS’ün uluslararası standartlarca belirlenmiş (TS EN 15259) bacadaki temsil edilebilir bir noktadan sürekli akış ölçümünü yapar.</w:t>
      </w:r>
    </w:p>
    <w:p w:rsidR="003F6354" w:rsidRPr="007671C9" w:rsidRDefault="003F6354"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Veri toplanması</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43</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 xml:space="preserve">İşletme, ölçüm temelli yöntemleri kullanarak emisyonları belirlemek amacıyla, ilgili ölçüm saatinde mevcut olan bütün verileri kullanır. Ayrıca, konsantrasyon ve baca gazı akışını içeren her bir parametre için saatlik ortalamaları hesaplar. </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İşletme, ilave maliyet getirmemesi halinde, daha kısa referans aralıkları için veri üretebildiğinde, 42 nci maddenin (Emisyonların belirlenmesi) birinci fıkrası kapsamında yıllık emisyonların belirlenmesi için bu aralıkları kullanabilir.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Herhangi bir parametre için sürekli ölçüm sisteminin, birinci fıkra kapsamındaki ölçüm saatinin bir kısmı veya referans aralığında; kontrol dışı, kapsam dışı veya işletim dışı olduğu durumlarda, işletme söz konusu parametre için ürettiği veri dizisinin en az %80’inin sağlaması kaydı ile bu ölçüm saati veya daha kısa referans aralığında, kalan veri noktasına orantılı saatlik ortalama emisyon miktarını hesaplar. Diğer taraftan işletme, en az %80 veri dizisinin sağlanamadığı durumlarda, 44 üncü maddenin (kayıp veri) ikinci, üçüncü ve dördüncü fıkralarını uygular.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lastRenderedPageBreak/>
        <w:t>Kayıp veri</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 xml:space="preserve">MADDE 44 </w:t>
      </w:r>
      <w:r w:rsidRPr="007671C9">
        <w:rPr>
          <w:rFonts w:ascii="Times New Roman" w:hAnsi="Times New Roman" w:cs="Times New Roman"/>
          <w:sz w:val="24"/>
          <w:szCs w:val="24"/>
        </w:rPr>
        <w:t xml:space="preserve">– (1) </w:t>
      </w:r>
      <w:r w:rsidR="003F6354" w:rsidRPr="007671C9">
        <w:rPr>
          <w:rFonts w:ascii="Times New Roman" w:hAnsi="Times New Roman" w:cs="Times New Roman"/>
          <w:sz w:val="24"/>
          <w:szCs w:val="24"/>
        </w:rPr>
        <w:t>Sürekli emisyon izleme sistemindeki ölçüm ekipmanının bir kısmının, bir takvim yılı içinde beş ardışık gün boyunca işletim dışı kaldığı durumlarda, işletme bağlı bulunduğu Çevre ve Şehircilik İl Müdürlüğünü derhal bilgilendirir ve söz konusu sürekli emisyon izleme sistemin kalitesini artırmak için uygun önlemleri alır.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SEÖS’ün kontrol dışı, aralık dışı veya işletim dışı olması durumunda, bir veya daha fazla parametreye yönelik 43 üncü maddenin (Veri toplanması) birinci fıkrası kapsamındaki veri için geçerli bir saat veya daha kısa bir referans aralığı sağlanamadığında, her kayıp saat verisi için ikame değerler belirler.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doğrudan konsantrasyon olarak ölçülen bir parametre için verinin geçerli saati veya daha kısa bir referans aralığı sağlayamadığı durumlarda, ek-7’de yer alan 4 üncü denklemi (dolaylı konstrasyon hesaplanması) kullanarak, ortalama bir konsantrasyon ve bu ortalama ile bağlantılı standart sapmanın iki katını toplayarak ikame değer hesaplar. Tesiste önemli teknik değişikliklerden ötürü, söz konusu ikame değerler raporlama dönemi içerisinde elde edilemiyorsa, işletme, mümkün olduğu durumda bir yıllık süre ile ortalama ve standart sapmaya yönelik temsili bir zaman zarfı belirler.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İşletme; konsantrasyon dışında herhangi bir parametre için (debi, vs.) bir saatlik geçerli verinin temin edilemediği durumda, söz konusu parametrenin ikame değerlerini, uygun bir kütle denge modelinden veya prosesin enerji dengesinden elde eder. İşletme, veri boşluğu ile aynı süreli bir zaman periyodundaki düzenli çalışma koşullarındaki veriyi ve ölçüm temelli yöntemin geriye kalan ölçülmüş parametrelerini kullanarak sonuçları doğrular.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Emisyon hesaplamasının teyidi</w:t>
      </w:r>
    </w:p>
    <w:p w:rsidR="005F1C2C" w:rsidRPr="007671C9" w:rsidRDefault="005F1C2C" w:rsidP="005F1C2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45</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İşletme, nitrik asit üretiminden kaynaklanan N2O emisyonları ve taşıma ağı veya depolama sahasına transfer edilen sera gazları hariç olmak üzere, aynı emisyon kaynakları ve kaynak akışları için değerlendirilen her bir sera gazının yıllık emisyonlarını hesaplayarak, ölçüm temelli yöntem ile belirlenen emisyonlar ile karşılaştırarak kontrolünü yapar. Kademe yönteminin kullanımı gerekli değildir.</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YEDİNCİ BÖLÜM</w:t>
      </w: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Özel Hükümler</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Düşük emisyona sahip tesisler</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46</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Bakanlık, 12 nci madde kapsamında düşük emisyona sahip bir tesise, basitleştirilmiş izleme planı göndermesi için izin verebilir. Ancak bu muafiyet, Yönetmeliğin ek-1’inde yer alan N2O emisyonuna neden olan faaliyetleri yürüten tesisler için uygulanmaz.</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Birinci fıkra kapsamında, bir tesis aşağıdaki koşullardan en az birini sağlaması halinde düşük emisyona sahip tesis olarak değerlendirilir: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a) Biyokütleden kaynaklanan CO2 hariç ve transfer edilen CO2 dahil, bir önceki izleme dönemine ait doğrulanmış emisyon raporundaki ortalama yıllık emisyonları 25000 ton CO2(eşd)’den az olması, </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b) (a) bendi kapsamındaki ortalama yıllık emisyon hesaplarının mevcut olmaması veya tesisin sınırlarındaki değişiklikler veya tesisin işletim koşullarındaki değişiklikler nedeniyle geçerli olmaması halinde, biyokütleden kaynaklanan CO2 hariç ve transfer edilen CO2 dâhil, ihtiyatlı tahmin yöntemine göre gelecek beş yıl için yıllık emisyonları 25000 ton CO2(eşd)’den az olması. </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(3) Düşük emisyona sahip bir tesis, 11 inci maddenin birinci fıkrası kapsamındaki destekleyici belgeleri sunma zorunluluğundan iyileştirmeye dair önerileri içeren   doğrulama raporuna karşılık olarak hazırlanan 59 uncu maddenin dördüncü fıkrası kapsamında iyileştirmeye ilişkin raporlama zorunluluğundan muaftır.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Düşük emisyona sahip bir tesis, 26 ncı maddedeki (faaliyet verisinin belirlenmesi) hükümlerden farklı olarak, belgelendirilmiş satın alma kayıtlarını ve tahmini stok değişikliklerini kullanarak yakıt veya malzeme miktarını belirleyebilir. Söz konusu tesisler, ayrıca 27 inci maddenin üçüncü fıkrasında belirtilen belirsizlik değerlendirmesini Bakanlığa sunma zorunluluğundan muaftır.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(5) Düşük emisyona sahip bir tesis, stok değişiklikleri ile ilgili belirsizlik değerlendirmesi de dahil olmak üzere 27 inci maddenin üçüncü fıkrasındaki yükümlülükten muaf tutulur.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(6) 24 üncü maddenin birinci fıkrasındaki (uygulanabilir kademler) ve 39 uncu maddenin birinci fıkrasındaki (kademe gereksinimleri) hükümlerden farklı olarak, düşük emisyona sahip bir tesis, daha yüksek kademe uygulamanın teknik olarak elverişli olmadığına dair belge sunmadan, bütün kaynak akışlarında faaliyet verisinin ve hesaplama faktörlerinin belirlenmesi ile ölçüm temelli yöntemlerle emisyonların belirlenmesi için, ilave çaba harcamadan daha yüksek doğruluğa erişilmedikçe, asgari kademe 1’i uygulayabilir. </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(7) Düşük emisyona sahip bir tesis, 30 uncu madde (analize dayanan hesaplama faktörleri) kapsamında hesaplama faktörlerini belirlemek için, ilgili analitik prosedürleri kullanarak teknik olarak geçerli sonuçlar üretebilen ve TS EN ISO 17025 kalite sistemi de dahil olmak kaydıyla herhangi bir belgelendirilmiş kalite sistemine sahip 32 nci maddenin 2 nci fıkrasındaki yükümlülükten muaf tutularak herhangi bir laboratuvarı kullanabilir.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(8) Düşük emisyona sahip ve basitleştirilmiş izleme planı uygulayan bir tesis, herhangi bir takvim yılında ikinci fıkra kapsamında belirtilen eşikleri aştığında, işletme bu durumu ivedilikle Bakanlığa bildirir ve 14 üncü maddenin ikinci fıkrası (izleme planı değişikliklerinin onaylanması) kapsamında yer alan izleme planına ilişkin değişiklikleri Bakanlığa sunar. Ancak, işletmenin ikinci fıkrada belirtilen eşiğin geçmişteki beş raporlama dönemi içinde aşılmadığına ve gelecekteki raporlama dönemi içinde de aşılmayacağına dair belgeleri Bakanlığa sunması şartı ile Bakanlık söz konusu işletmenin basitleştirilmiş izlemeye devam etmesine izin verir.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Dâhili CO2</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47</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Bir tesise transfer edilen dahili CO2, doğal gaz, atık gazı (yüksek fırın gazı veya kok fırını gazı) veya proses girdisini (sentez gazı) de kapsayacak şekilde, kaynak akışı için emisyon faktörüne ilave edilir.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Dâhili CO2, Yönetmeliğin ek-1’inde yer alan faaliyetlerden kaynaklandığı ve tesisten dışarı bir kaynak akışının parçası olarak Yönetmelik kapsamında yer alan diğer tesis ve faaliyete transfer edildiği durumda, ilk çıktığı tesisin emisyonu olarak değerlendirilmez. Ancak, dâhili CO2, Yönetmelik kapsamında yer almayan diğer bir tesise transfer edildiği durumda, ilk çıktığı tesisin emisyonları olarak değerlendirilir.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tesisten dışarı transfer edilen dâhili CO2 miktarını transfer edilmeden önce ve transfer edildiği tesiste belirler. Bu iki miktarın aynı olması gerekir. Transfer edilen ve teslim alınan dahili CO2 miktarının aynı olmadığı durumlarda ve değerler arasındaki bu farkın ölçüm sistemlerinin belirsizliği ile açıklanabildiği hallerde, hem transfer eden hem de transfer edilen tesisin emisyon raporlarında her iki ölçüm değerinin aritmetik ortalaması kullanılır. Bu durumlarda, emisyon raporunda söz konusu değere ilişkin atıfta bulunulur.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lastRenderedPageBreak/>
        <w:t>Karbon Yakalama ve Tutma Amaçlı Transfer edilen CO2</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48</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CO2 transfer eden tesis, transfer edilen tesise ilişkin kimlik bilgilerini yıllık emisyon raporunda sunar.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bir tesisten diğerine transfer edilen CO2 miktarını belirlemek için, 41, 42 ve 43 üncü maddelerde yer alan ölçüm temelli yöntemleri kullanır. Emisyon kaynağı ölçüm noktasına tekabül eder ve emisyonlar transfer edilen CO2 miktarı olarak ifade edilir.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bir tesisten diğerine transfer edilen CO2 miktarını belirlemek için, ek-7’nin birinci bölümünde tanımlanan kademe 4’ü uygular. Ancak, işletme, söz konusu kademenin uygulanmasının teknik olarak elverişli olmadığını belgelemesi halinde bir düşük kademeyi uygulayabilir.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İşletmeler hem transfer eden hem de transfer edilen tesislerde transfer edilen CO2 miktarını belirleyebilirler. Bu durumda, 47 ncı maddenin üçüncü fıkrası uygulanır.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SEKİZİNCİ BÖLÜM</w:t>
      </w: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Veri Yönetimi ve Kontrolü</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Veri akış faaliyetleri</w:t>
      </w:r>
    </w:p>
    <w:p w:rsidR="005C4CC6" w:rsidRPr="007671C9" w:rsidRDefault="005F1C2C" w:rsidP="005C4CC6">
      <w:pPr>
        <w:jc w:val="both"/>
        <w:rPr>
          <w:rFonts w:ascii="Calibri" w:eastAsia="Times New Roman" w:hAnsi="Calibri" w:cs="Calibri"/>
          <w:b/>
          <w:bCs/>
          <w:lang w:eastAsia="tr-TR"/>
        </w:rPr>
      </w:pPr>
      <w:r w:rsidRPr="007671C9">
        <w:rPr>
          <w:rFonts w:ascii="Times New Roman" w:hAnsi="Times New Roman" w:cs="Times New Roman"/>
          <w:b/>
          <w:sz w:val="24"/>
          <w:szCs w:val="24"/>
        </w:rPr>
        <w:t>MADDE 49</w:t>
      </w:r>
      <w:r w:rsidRPr="007671C9">
        <w:rPr>
          <w:rFonts w:ascii="Times New Roman" w:hAnsi="Times New Roman" w:cs="Times New Roman"/>
          <w:sz w:val="24"/>
          <w:szCs w:val="24"/>
        </w:rPr>
        <w:t xml:space="preserve"> – </w:t>
      </w:r>
      <w:r w:rsidR="005C4CC6" w:rsidRPr="007671C9">
        <w:rPr>
          <w:rFonts w:ascii="Calibri" w:eastAsia="Times New Roman" w:hAnsi="Calibri" w:cs="Calibri"/>
          <w:bCs/>
          <w:lang w:eastAsia="tr-TR"/>
        </w:rPr>
        <w:t xml:space="preserve"> (1) </w:t>
      </w:r>
      <w:r w:rsidR="005C4CC6" w:rsidRPr="007671C9">
        <w:rPr>
          <w:rFonts w:ascii="Times New Roman" w:hAnsi="Times New Roman" w:cs="Times New Roman"/>
          <w:sz w:val="24"/>
          <w:szCs w:val="24"/>
        </w:rPr>
        <w:t>İşletme sera gazı emisyonlarının izlenmesi ve raporlanmasına yönelik veri akış faaliyetleri için yazılı prosedürleri oluşturur, belgelendirir, uygular ve sürekliliğini sağlar. İşletme, veri akış faaliyetlerinin yer aldığı yıllık emisyon raporunun hatalı beyan içermemesini temin eder, izleme planı, yazılı prosedürler ve bu Tebliğ ile uyumlu olmasını sağlar.</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(2) İzleme planındaki veri akış faaliyetleri için yazılı prosedürlerin tanımları en az aşağıdaki unsurları içerir:</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a) 11 inci maddenin ikinci fıkrasında listelenen bilgileri,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b) Birincil veri kaynaklarının tespitini,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c) Birincil veriden yıllık emisyonlara kadar veri akış faaliyetlerinin sırasını ve aralarındaki etkileşimleri gösteren bütün adımları,</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ç) Emisyonları belirlemek için kullanılan formülleri ve veriyi içeren her bir belirli veri akış faaliyeti ile bağlantılı işlem adımlarını,</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d) Elektronik veri işlemleri ve depolama sistemleri, bu tip sistemler arasındaki etkileşimler ve manüel girişler dahil tüm veri girişlerini,</w:t>
      </w:r>
    </w:p>
    <w:p w:rsidR="005F1C2C" w:rsidRPr="007671C9" w:rsidRDefault="005C4CC6" w:rsidP="005C4CC6">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e) Veri akış faaliyetleri çıktılarının kayıt şeklini.</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Kontrol sistemi</w:t>
      </w:r>
    </w:p>
    <w:p w:rsidR="005C4CC6" w:rsidRPr="007671C9" w:rsidRDefault="005F1C2C" w:rsidP="005C4CC6">
      <w:pPr>
        <w:spacing w:after="0"/>
        <w:jc w:val="both"/>
        <w:rPr>
          <w:rFonts w:ascii="Times New Roman" w:hAnsi="Times New Roman" w:cs="Times New Roman"/>
          <w:sz w:val="24"/>
          <w:szCs w:val="24"/>
        </w:rPr>
      </w:pPr>
      <w:r w:rsidRPr="007671C9">
        <w:rPr>
          <w:rFonts w:ascii="Times New Roman" w:hAnsi="Times New Roman" w:cs="Times New Roman"/>
          <w:b/>
          <w:sz w:val="24"/>
          <w:szCs w:val="24"/>
        </w:rPr>
        <w:t>MADDE 50</w:t>
      </w:r>
      <w:r w:rsidRPr="007671C9">
        <w:rPr>
          <w:rFonts w:ascii="Times New Roman" w:hAnsi="Times New Roman" w:cs="Times New Roman"/>
          <w:sz w:val="24"/>
          <w:szCs w:val="24"/>
        </w:rPr>
        <w:t xml:space="preserve"> – </w:t>
      </w:r>
      <w:r w:rsidR="005C4CC6" w:rsidRPr="007671C9">
        <w:rPr>
          <w:rFonts w:ascii="Calibri" w:eastAsia="Times New Roman" w:hAnsi="Calibri" w:cs="Calibri"/>
          <w:bCs/>
          <w:lang w:eastAsia="tr-TR"/>
        </w:rPr>
        <w:t>(</w:t>
      </w:r>
      <w:r w:rsidR="005C4CC6" w:rsidRPr="007671C9">
        <w:rPr>
          <w:rFonts w:ascii="Times New Roman" w:hAnsi="Times New Roman" w:cs="Times New Roman"/>
          <w:sz w:val="24"/>
          <w:szCs w:val="24"/>
        </w:rPr>
        <w:t>1) İşletme yıllık emisyon raporunun, hatalı beyanları içermemesini ve izleme planı ve bu Tebliğ ile uyumlu olmasını temin etmek için etkili bir kontrol sistemini oluşturur, uygular ve devamlılığını sağlar.</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(2) Birinci fıkrada belirtilen kontrol sistemi aşağıdakileri kapsar:</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a) İşletmenin dâhili riskler ve kontrol riskleri hakkında değerlendirmesi,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b) Tanımlanmış riskleri azaltacak kontrol faaliyetleri ile ilgili yazılı prosedürleri.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(3) İkinci fıkranın (b) bendi kapsamındaki kontrol faaliyetleri ile ilgili yazılı prosedürler asgari düzeyde aşağıdakileri içerir:</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a) Ölçüm ekipmanlarının kalite güvencesi,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b) Proses kontrol bilgisayar teknolojisini de içeren, veri akış faaliyetleri için kullanılan bilgi teknolojileri sisteminin kalite güvencesi,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c) Zorunlu yetkinliklerin yönetimi olduğu kadar veri akış faaliyetlerindeki ve kontrol faaliyetlerindeki görevlerin ayrılması,</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lastRenderedPageBreak/>
        <w:t>ç) Verilerin iç tetkikleri ve veri doğrulaması,</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d) Düzeltmeler ve düzeltme önlemleri,</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e) Hizmet alımı ile gerçekleştirilen faaliyetlerin kontrolü,</w:t>
      </w:r>
    </w:p>
    <w:p w:rsidR="005C4CC6"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f) Belge yönetimini de içeren kayıt ve belgelerin saklanması.</w:t>
      </w:r>
    </w:p>
    <w:p w:rsidR="005F1C2C" w:rsidRPr="007671C9" w:rsidRDefault="005C4CC6" w:rsidP="005C4CC6">
      <w:pPr>
        <w:spacing w:after="0"/>
        <w:jc w:val="both"/>
        <w:rPr>
          <w:rFonts w:ascii="Times New Roman" w:hAnsi="Times New Roman" w:cs="Times New Roman"/>
          <w:sz w:val="24"/>
          <w:szCs w:val="24"/>
        </w:rPr>
      </w:pPr>
      <w:r w:rsidRPr="007671C9">
        <w:rPr>
          <w:rFonts w:ascii="Times New Roman" w:hAnsi="Times New Roman" w:cs="Times New Roman"/>
          <w:sz w:val="24"/>
          <w:szCs w:val="24"/>
        </w:rPr>
        <w:t>(4) İşletme, Yönetmelik ile doğrulama ve akreditasyona ilişkin mevzuata uyumlu olarak, iç tetkik sonuçlarını ve yıllık emisyon raporlarının doğrulanması esnasında doğrulayıcı kuruluşun bulgularını dikkate alarak kontrol sisteminin etkinliğini izler. Kontrol sisteminin etkin olmadığı veya tanımlanmış riskler ile uyumlu olmadığı belirlendiğinde, işletme kontrol sistemini geliştirir, izleme planını, veri akış faaliyetlerini, risk değerlendirmelerini ve kontrol faaliyetlerine yönelik yazılı prosedürlerini günceller.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Kalite güvencesi</w:t>
      </w:r>
    </w:p>
    <w:p w:rsidR="005C4CC6" w:rsidRPr="007671C9" w:rsidRDefault="005F1C2C" w:rsidP="005C4CC6">
      <w:pPr>
        <w:jc w:val="both"/>
        <w:rPr>
          <w:rFonts w:ascii="Times New Roman" w:hAnsi="Times New Roman" w:cs="Times New Roman"/>
          <w:sz w:val="24"/>
          <w:szCs w:val="24"/>
        </w:rPr>
      </w:pPr>
      <w:r w:rsidRPr="007671C9">
        <w:rPr>
          <w:rFonts w:ascii="Times New Roman" w:hAnsi="Times New Roman" w:cs="Times New Roman"/>
          <w:b/>
          <w:sz w:val="24"/>
          <w:szCs w:val="24"/>
        </w:rPr>
        <w:t>MADDE 51</w:t>
      </w:r>
      <w:r w:rsidRPr="007671C9">
        <w:rPr>
          <w:rFonts w:ascii="Times New Roman" w:hAnsi="Times New Roman" w:cs="Times New Roman"/>
          <w:sz w:val="24"/>
          <w:szCs w:val="24"/>
        </w:rPr>
        <w:t xml:space="preserve"> –</w:t>
      </w:r>
      <w:r w:rsidR="005C4CC6" w:rsidRPr="007671C9">
        <w:rPr>
          <w:rFonts w:ascii="Times New Roman" w:hAnsi="Times New Roman" w:cs="Times New Roman"/>
          <w:sz w:val="24"/>
          <w:szCs w:val="24"/>
        </w:rPr>
        <w:t xml:space="preserve"> 50 inci maddenin üçüncü fıkrasının (a) bendi kapsamında, işletme, ölçüm ekipmanlarının düzenli aralıklarda kalibrasyonunu, ayarlanmasını ve tetkikini temin eder, uygun olan durumlar için, bu Tebliğin gereksinimleri kapsamında uluslararası ölçüm standartları ve tanımlanmış risklere uygun olup olmadığını kontrol eder. Ölçüm sistemleri bileşenlerinin kalibre edilemediği durumlarda, işletme bunları izleme planında tanımlar ve alternatif kontrol faaliyetleri sunar. Ekipman gerekli performansı karşılamadığı durumlarda, işletme ilgili mevzuat çerçevesinde gerekli düzeltici önlemleri alır.</w:t>
      </w:r>
    </w:p>
    <w:p w:rsidR="003F6354" w:rsidRPr="007671C9" w:rsidRDefault="005C4CC6" w:rsidP="005C4CC6">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Sürekli emisyon ölçüm sistemleri ile ilgili olarak, işletme, yetkin personel tarafından yürütülen, yılda en az bir kez standart referans yöntemleri ile paralel ölçümleri de dahil ederek TS EN 14181 standardı uyarınca otomatik ölçüm sistemleri için kalite güvence standardını uygular. Bu tip kalite güvencesinin kalibrasyon ve performans kontrolleri için gerekli parametre olarak emisyon sınır değerlerine gereksinim duyduğu durumda, sera gazlarının yıllık ortalama saatlik konsantrasyonları bu tip emisyon sınır değerleri için ikame olarak kullanılır. İşletme, kalibrasyonun yeniden yapılmasını da içeren, kalite güvence gereksinimleri ilebir uyumsuzluk tespit ettiğinde, Bakanlığa bu durumu rapor eder ve ivedilikle düzeltici önlemleri alır.</w:t>
      </w:r>
    </w:p>
    <w:p w:rsidR="005C4CC6" w:rsidRPr="007671C9" w:rsidRDefault="005C4CC6" w:rsidP="005C4CC6">
      <w:pPr>
        <w:spacing w:after="0" w:line="276" w:lineRule="auto"/>
        <w:jc w:val="both"/>
        <w:rPr>
          <w:rFonts w:ascii="Times New Roman" w:hAnsi="Times New Roman" w:cs="Times New Roman"/>
          <w:sz w:val="24"/>
          <w:szCs w:val="24"/>
        </w:rPr>
      </w:pPr>
    </w:p>
    <w:p w:rsidR="003F6354" w:rsidRPr="007671C9" w:rsidRDefault="003F6354" w:rsidP="003F6354">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Bilgi teknolojilerinin kalite güvencesi</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52</w:t>
      </w:r>
      <w:r w:rsidR="00784AD0" w:rsidRPr="007671C9">
        <w:rPr>
          <w:rFonts w:ascii="Times New Roman" w:hAnsi="Times New Roman" w:cs="Times New Roman"/>
          <w:sz w:val="24"/>
          <w:szCs w:val="24"/>
        </w:rPr>
        <w:t xml:space="preserve"> – (1) 50 inci maddenin üçüncü fıkrasının (b) bendi kapsamında, işletme 50 inci maddenin ikinci fıkrasının (a) bendi kapsamında tanımlanan risk ile bağlantılı olarak bilgi teknolojileri sisteminin güvenilir, doğru ve düzenli veriyi işleyecek şekilde tasarlanmasını, belgelenmesini, test edilmesini, uyarlanmasını, kontrol edilmesini ve bakımının yapılmasını temin eder. Bilgi teknolojileri sisteminin kontrolü; erişim kontrolü, yedekleme kontrolü, geri yükleme, süreklilik planı ve güvenliği içerir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Görevlerin dağıtılması</w:t>
      </w:r>
    </w:p>
    <w:p w:rsidR="005F1C2C" w:rsidRPr="00C83A78" w:rsidRDefault="003F6354" w:rsidP="00C83A78">
      <w:pPr>
        <w:jc w:val="both"/>
        <w:rPr>
          <w:rFonts w:ascii="Calibri" w:eastAsia="Times New Roman" w:hAnsi="Calibri" w:cs="Calibri"/>
          <w:b/>
          <w:bCs/>
          <w:color w:val="000000" w:themeColor="text1"/>
          <w:lang w:eastAsia="tr-TR"/>
        </w:rPr>
      </w:pPr>
      <w:r w:rsidRPr="007671C9">
        <w:rPr>
          <w:rFonts w:ascii="Times New Roman" w:hAnsi="Times New Roman" w:cs="Times New Roman"/>
          <w:b/>
          <w:sz w:val="24"/>
          <w:szCs w:val="24"/>
        </w:rPr>
        <w:t>MADDE 53</w:t>
      </w:r>
      <w:r w:rsidR="005F1C2C" w:rsidRPr="007671C9">
        <w:rPr>
          <w:rFonts w:ascii="Times New Roman" w:hAnsi="Times New Roman" w:cs="Times New Roman"/>
          <w:sz w:val="24"/>
          <w:szCs w:val="24"/>
        </w:rPr>
        <w:t xml:space="preserve"> – (1) </w:t>
      </w:r>
      <w:r w:rsidR="00C83A78" w:rsidRPr="00C83A78">
        <w:rPr>
          <w:rFonts w:ascii="Times New Roman" w:hAnsi="Times New Roman" w:cs="Times New Roman"/>
          <w:sz w:val="24"/>
          <w:szCs w:val="24"/>
        </w:rPr>
        <w:t>50 inci maddenin üçüncü fıkrasının (c) bendi kapsamında, işletme görev çakışmalarını önlemek amacıyla her bir veri akış ve kontrol faaliyeti için sorumlu kişileri atar. Kontrol faaliyetlerinin olmaması durumunda, bütün veri akış faaliyetlerinin tanımlanmış dâhili riskler ile orantılı olmasını sağlamak için, bu bilgi veya verinin belirlenmesi ve kaydedilmesi aşamasında yer almayan en az bir kişi tarafından onaylanması gerekir. İşletme, sorumlulukların uygun şekilde atanması, eğitim ve performans incelemeleri gibi tüm sorumluluklar için gerekli yetkinlikleri yönetir.</w:t>
      </w:r>
    </w:p>
    <w:p w:rsidR="005F1C2C" w:rsidRPr="007671C9" w:rsidRDefault="005F1C2C" w:rsidP="005F1C2C">
      <w:pPr>
        <w:spacing w:after="0" w:line="276" w:lineRule="auto"/>
        <w:jc w:val="both"/>
        <w:rPr>
          <w:rFonts w:ascii="Times New Roman" w:hAnsi="Times New Roman" w:cs="Times New Roman"/>
          <w:b/>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Dâhili incelemeler ve verinin onaylanması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lastRenderedPageBreak/>
        <w:t>MADDE 54</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İşletme, yürütülen risk değerlendirmesi sonucunda tanımlanmış olan dâhili risklere ve kontrol risklerine dayanarak, veri akış faaliyetlerinden kaynaklanan veriyi gözden geçirir ve doğrular. Verinin bu şekilde gözden geçirilmesi ve doğrulanması için aşağıdaki hususlar dikkate alınır: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Verinin tam olmasına dair kontroller yapılır.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Geçmiş yıllarda elde edilen, izlenen ve raporlanan verilerin karşılaştırılması gerçekleştirilir.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Uygun olan durumlarda, farklı veri toplama sistemlerinden alınan veri ve değerlerin aşağıdaki şekillerde karşılaştırılır: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1) Stok değişiklikleri kapsamında yakıt veya malzemenin satın alma verisi ile ilgili kaynak akışlarındaki tüketim verisinin karşılaştırılması,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Yakıt veya malzemeler için analiz, hesap veya tedarikçi ile söz konusu yakıt veya malzeme için belirlenmiş ulusal veya uluslararası referans faktörlerinin karşılaştırılması,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Ölçüm temelli yöntemlerle elde edilen emisyonlar ile 45 inci madde kapsamında gerçekleştirilen teyit hesaplarının karşılaştırılması,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4) Toplanmış veri ile ham verinin karşılaştırılması.</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gözden geçirme ve doğrulama süreçleri öncesinde, geçerli olmayan verinin dahil edilmemesine yönelik kriterleri belirler ve yazılı prosedürlerle ortaya koyar.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Düzeltmeler ve düzeltici faaliyetler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55</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Veri akış faaliyetlerinin (Madde 49) veya kontrol faaliyetlerinin (Madde 50) etkin olmadığı durumlarda veya bu veri akış ve kontrol faaliyetleri için prosedürlerde belirtilen sınırların dışında faaliyet gösterildiği durumlarda, işletme uygun düzeltmeleri yapar ve emisyonların düşük tahminini önlemek için geçerli olmayan veriyi düzeltir.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birinci fıkrada yer alan hususları yerine getirmek için aşağıdaki işleri yürütür: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Veri akış faaliyetleri (Madde 49) veya kontrol faaliyetleri (Madde 50) için yürütülecek işlemlerin uygunluğunun değerlendirilmesi,</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İlgili aksaklığın veya hatanın nedeninin belirlenmesi,</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Emisyon raporunda yer alan verilerin düzeltilmesi ve düzeltici önlemlerin uygulanması.</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birinci fıkrada belirtilen düzeltmeleri ve düzeltici faaliyetleri, risk değerlendirmesi (Madde 50) ile belirlenen dâhili riskler ve kontrol risklerine kapsamında yürütür.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Hizmet alımı ile gerçekleştirilen faaliyetler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56</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İşletme, veri akış faaliyetlerinden (Madde 48) veya kontrol faaliyetlerinden (Madde 49) bir veya daha fazlasını hizmet alımı ile gerçekleştirdiğinde aşağıdaki işleri yürütür: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Bu Tebliğ kapsamında hizmet alımı ile gerçekleştirilen veri akış faaliyetlerinin ve kontrol faaliyetlerinin kalitesinin kontrol edilmesi,</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Hizmet alımı ile gerçekleştirilen faaliyetlerde kullanılan yöntemler ve bu faaliyetlerin çıktıları için uygun gerekliliklerin belirlenmesi ve kalitesinin kontrol edilmesi,</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Hizmet alımı ile gerçekleştirilen faaliyetlerin, risk değerlendirmesinde (Madde 50) belirlenen dâhili riskler ve kontrol riskleri kapsamında yürütülmesi.</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Veri boşluklarının giderilmesi</w:t>
      </w:r>
    </w:p>
    <w:p w:rsidR="003F6354" w:rsidRPr="007671C9" w:rsidRDefault="005F1C2C"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w:t>
      </w:r>
      <w:r w:rsidR="003F6354" w:rsidRPr="007671C9">
        <w:rPr>
          <w:rFonts w:ascii="Times New Roman" w:hAnsi="Times New Roman" w:cs="Times New Roman"/>
          <w:sz w:val="24"/>
          <w:szCs w:val="24"/>
        </w:rPr>
        <w:t xml:space="preserve"> 57</w:t>
      </w:r>
      <w:r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 xml:space="preserve">Bir tesisin emisyonlarının belirlenmesi ile ilgili verinin kayıp olduğu durumlarda, işletme ilgili zaman dönemi ve kayıp parametre için ihtiyatlı ikame verisinin belirlenmesi amacıyla uygun bir tahmin yöntemi kullanır. </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tahmin yöntemini yöntemi için yazılı bir prosedür oluşturur. İşletme, 13 üncü madde kapsamında izleme planını günceller.  </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Kayıtlar ve belgelendirme</w:t>
      </w:r>
    </w:p>
    <w:p w:rsidR="003F6354" w:rsidRPr="007671C9" w:rsidRDefault="004328E4" w:rsidP="003F6354">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MADDE 58</w:t>
      </w:r>
      <w:r w:rsidR="005F1C2C" w:rsidRPr="007671C9">
        <w:rPr>
          <w:rFonts w:ascii="Times New Roman" w:hAnsi="Times New Roman" w:cs="Times New Roman"/>
          <w:sz w:val="24"/>
          <w:szCs w:val="24"/>
        </w:rPr>
        <w:t xml:space="preserve"> – (1) </w:t>
      </w:r>
      <w:r w:rsidR="003F6354" w:rsidRPr="007671C9">
        <w:rPr>
          <w:rFonts w:ascii="Times New Roman" w:hAnsi="Times New Roman" w:cs="Times New Roman"/>
          <w:sz w:val="24"/>
          <w:szCs w:val="24"/>
        </w:rPr>
        <w:t>İşletme, ek-8’de listelenen bilgiler de dâhil olmak üzere ilgili bütün veri ve bilgiyi en az 10 yıl saklar. Belgelendirilmiş ve arşivlenmiş izleme verisi, Yönetmelik ile doğrulama ve akreditasyona ilişkin mevzuat kapsamında, yıllık emisyon raporlarının doğrulanmasına imkan sağlayacak şekilde oluşturulur.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ilgili bütün belgelerin, kontrol faaliyetlerinin yanı sıra veri akış faaliyetlerini yürütmek amacıyla, her zaman erişilebilir olmalarını temin etmelidir. İşletme, bu belgeleri, Yönetmelik ile doğrulama ve akreditasyona ilişkin mevzuat kapsamında, emisyon raporlarını doğrulayan doğrulayıcı kuruluşun ve Bakanlığın talep etmesi durumunda vermekle yükümlüdür.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DOKUZUNCU BÖLÜM</w:t>
      </w:r>
    </w:p>
    <w:p w:rsidR="005F1C2C" w:rsidRPr="007671C9" w:rsidRDefault="005F1C2C" w:rsidP="005F1C2C">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Raporlama Koşulları</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Raporlama için zamanlama ve zorunluluklar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59</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İşletme, Yönetmelik ve doğrulama ve akreditasyona ilişkin mevzuat ile uyumlu olarak,  emisyon raporunu her yıl 20 Nisan tarihine kadar sisteme yükler ve doğrulanan emisyon raporunu her yıl 30 Nisan tarihine kadar Bakanlığa sunar.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Yıllık emisyon raporları asgari düzeyde ek-9’da listelenen bilgileri içerir.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İzleme yöntemine ilişkin iyileştirmelerin raporlanması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60</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İşletme, uygulanan izleme yönteminin sürekli geliştirme amacıyla düzenli olarak kontrol eder. Tesis, ikinci veya üçüncü fıkralar kapsamındaki bilgiyi içeren bir iyileştirme raporunu, tesisin kategorisine göre aşağıda belirtilen tarihlerde Bakanlığa sunar: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a) Kategori A tesisi için, her dört senede bir 30 Haziran,</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 Kategori B tesisi için, her iki senede bir 30 Haziran,</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c) Kategori C tesisi için, her sene 30 Haziran.</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Bakanlık, aynı yılın 30 Eylül tarihinden daha geç olmamak kaydıyla alternatif bir teslim tarihi belirleyebilir.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İşletme, büyük ve küçük kaynak akışları için uygulanabilir kademe (Madde 25) ve kademe gereksinimlerini (Madde 40) uyamıyorsa, yönelik uygulamanın teknik olarak elverişli olmadığına dair bilgi ve belgeleri Bakanlığa onay için gönderir. Ancak, bu kademelere ulaşmak için gerekli önlemler teknik olarak elverişli hale geldiğinde, işletme, 14 üncü madde kapsamında, izleme planında yapılacak değişiklikleri Bakanlığa sunar.</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(3) İşletme, kademelere dayanmayan (Madde 21) yöntemi uygulamadan önce, bir veya daha fazla büyük veya küçük kaynak akışında en az kademe 1’i uygulamanın teknik olarak elverişsiz olmasına ilişkin bilgi ve belgeleri Bakanlığa gönderir. Ancak, en düşük kademe 1’e ulaşmak için gerekli önlemler teknik olarak elverişli hale geldiğinde, işletme, 14 üncü madde kapsamında, izleme planında yapılacak değişiklikleri Bakanlığa sunar.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 xml:space="preserve">(4) Yönetmelik ile doğrulama ve akreditasyona ilişkin mevzuat kapsamında oluşturulan doğrulama raporunda önemli uyumsuzluklar veya öneriler varsa, işletme, doğrulayıcı kuruluş tarafından doğrulama raporunun yayımlandığı yılın 30 Haziranında iyileştirme raporunu Bakanlığa sunar. Bu raporda, işletme, uyumsuzlukları nasıl ve ne zaman düzelttiğini veya </w:t>
      </w:r>
      <w:r w:rsidRPr="007671C9">
        <w:rPr>
          <w:rFonts w:ascii="Times New Roman" w:hAnsi="Times New Roman" w:cs="Times New Roman"/>
          <w:sz w:val="24"/>
          <w:szCs w:val="24"/>
        </w:rPr>
        <w:lastRenderedPageBreak/>
        <w:t>düzeltmeyi planladığını ve tavsiye edilen iyileştirmeleri nasıl ve ne zaman uygulayacağını açıklar. Uygun olan durumlarda, bu fıkra kapsamında sunulacak rapor, birinci fıkra kapsamında sunulacak olan rapor ile birleştirilebilir. İyileştirme raporlarının takibine yönelik olarak doğrulama ve akreditasyon mevzuatının iligli hükümleri uygulanır.</w:t>
      </w:r>
    </w:p>
    <w:p w:rsidR="003F6354" w:rsidRPr="007671C9" w:rsidRDefault="003F6354" w:rsidP="003F6354">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Verinin yuvarlanması</w:t>
      </w:r>
    </w:p>
    <w:p w:rsidR="003F6354"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61</w:t>
      </w:r>
      <w:r w:rsidR="005F1C2C" w:rsidRPr="007671C9">
        <w:rPr>
          <w:rFonts w:ascii="Times New Roman" w:hAnsi="Times New Roman" w:cs="Times New Roman"/>
          <w:sz w:val="24"/>
          <w:szCs w:val="24"/>
        </w:rPr>
        <w:t xml:space="preserve"> – (1) </w:t>
      </w:r>
      <w:r w:rsidRPr="007671C9">
        <w:rPr>
          <w:rFonts w:ascii="Times New Roman" w:hAnsi="Times New Roman" w:cs="Times New Roman"/>
          <w:sz w:val="24"/>
          <w:szCs w:val="24"/>
        </w:rPr>
        <w:t>Yıllık toplam emisyonlar ton CO2 veya ton CO2(eşd) cinsinde bir üst tam sayıya yuvarlanarak raporlanır.</w:t>
      </w:r>
    </w:p>
    <w:p w:rsidR="005F1C2C" w:rsidRPr="007671C9" w:rsidRDefault="003F6354" w:rsidP="003F6354">
      <w:pPr>
        <w:spacing w:after="0" w:line="276" w:lineRule="auto"/>
        <w:jc w:val="both"/>
        <w:rPr>
          <w:rFonts w:ascii="Times New Roman" w:hAnsi="Times New Roman" w:cs="Times New Roman"/>
          <w:sz w:val="24"/>
          <w:szCs w:val="24"/>
        </w:rPr>
      </w:pPr>
      <w:r w:rsidRPr="007671C9">
        <w:rPr>
          <w:rFonts w:ascii="Times New Roman" w:hAnsi="Times New Roman" w:cs="Times New Roman"/>
          <w:sz w:val="24"/>
          <w:szCs w:val="24"/>
        </w:rPr>
        <w:t>(2) Emisyonları hesaplamak için kullanılan bütün değişkenler emisyonların hesaplanması ve raporlanması amacı ile bütün önemli basamakları içerecek şekilde yuvarlanır.</w:t>
      </w:r>
    </w:p>
    <w:p w:rsidR="005F1C2C" w:rsidRPr="007671C9" w:rsidRDefault="005F1C2C" w:rsidP="005F1C2C">
      <w:pPr>
        <w:spacing w:after="0" w:line="276" w:lineRule="auto"/>
        <w:jc w:val="both"/>
        <w:rPr>
          <w:rFonts w:ascii="Times New Roman" w:hAnsi="Times New Roman" w:cs="Times New Roman"/>
          <w:sz w:val="24"/>
          <w:szCs w:val="24"/>
        </w:rPr>
      </w:pPr>
    </w:p>
    <w:p w:rsidR="005F1C2C" w:rsidRPr="007671C9" w:rsidRDefault="005F1C2C" w:rsidP="00156925">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ONUNCU BÖLÜM</w:t>
      </w:r>
    </w:p>
    <w:p w:rsidR="005F1C2C" w:rsidRPr="007671C9" w:rsidRDefault="005F1C2C" w:rsidP="00156925">
      <w:pPr>
        <w:spacing w:after="0" w:line="276" w:lineRule="auto"/>
        <w:jc w:val="center"/>
        <w:rPr>
          <w:rFonts w:ascii="Times New Roman" w:hAnsi="Times New Roman" w:cs="Times New Roman"/>
          <w:b/>
          <w:sz w:val="24"/>
          <w:szCs w:val="24"/>
        </w:rPr>
      </w:pPr>
      <w:r w:rsidRPr="007671C9">
        <w:rPr>
          <w:rFonts w:ascii="Times New Roman" w:hAnsi="Times New Roman" w:cs="Times New Roman"/>
          <w:b/>
          <w:sz w:val="24"/>
          <w:szCs w:val="24"/>
        </w:rPr>
        <w:t>Çeşitli ve Son Hükümler</w:t>
      </w:r>
    </w:p>
    <w:p w:rsidR="00156925" w:rsidRPr="007671C9" w:rsidRDefault="00156925"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Yürürlük</w:t>
      </w:r>
    </w:p>
    <w:p w:rsidR="005F1C2C" w:rsidRPr="007671C9" w:rsidRDefault="003F6354" w:rsidP="005F1C2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62</w:t>
      </w:r>
      <w:r w:rsidR="005F1C2C" w:rsidRPr="007671C9">
        <w:rPr>
          <w:rFonts w:ascii="Times New Roman" w:hAnsi="Times New Roman" w:cs="Times New Roman"/>
          <w:sz w:val="24"/>
          <w:szCs w:val="24"/>
        </w:rPr>
        <w:t xml:space="preserve"> – (1) Bu Tebliğ yayımı tarihinde yürürlüğe girer.</w:t>
      </w:r>
    </w:p>
    <w:p w:rsidR="00156925" w:rsidRPr="007671C9" w:rsidRDefault="00156925" w:rsidP="005F1C2C">
      <w:pPr>
        <w:spacing w:after="0" w:line="276" w:lineRule="auto"/>
        <w:jc w:val="both"/>
        <w:rPr>
          <w:rFonts w:ascii="Times New Roman" w:hAnsi="Times New Roman" w:cs="Times New Roman"/>
          <w:sz w:val="24"/>
          <w:szCs w:val="24"/>
        </w:rPr>
      </w:pPr>
    </w:p>
    <w:p w:rsidR="005F1C2C" w:rsidRPr="007671C9" w:rsidRDefault="005F1C2C" w:rsidP="005F1C2C">
      <w:pPr>
        <w:spacing w:after="0" w:line="276" w:lineRule="auto"/>
        <w:jc w:val="both"/>
        <w:rPr>
          <w:rFonts w:ascii="Times New Roman" w:hAnsi="Times New Roman" w:cs="Times New Roman"/>
          <w:b/>
          <w:sz w:val="24"/>
          <w:szCs w:val="24"/>
        </w:rPr>
      </w:pPr>
      <w:r w:rsidRPr="007671C9">
        <w:rPr>
          <w:rFonts w:ascii="Times New Roman" w:hAnsi="Times New Roman" w:cs="Times New Roman"/>
          <w:b/>
          <w:sz w:val="24"/>
          <w:szCs w:val="24"/>
        </w:rPr>
        <w:t>Yürütme</w:t>
      </w:r>
    </w:p>
    <w:p w:rsidR="005F1C2C" w:rsidRPr="007671C9" w:rsidRDefault="005F1C2C" w:rsidP="005F1C2C">
      <w:pPr>
        <w:spacing w:after="0" w:line="276" w:lineRule="auto"/>
        <w:jc w:val="both"/>
        <w:rPr>
          <w:rFonts w:ascii="Times New Roman" w:hAnsi="Times New Roman" w:cs="Times New Roman"/>
          <w:sz w:val="24"/>
          <w:szCs w:val="24"/>
        </w:rPr>
      </w:pPr>
      <w:r w:rsidRPr="007671C9">
        <w:rPr>
          <w:rFonts w:ascii="Times New Roman" w:hAnsi="Times New Roman" w:cs="Times New Roman"/>
          <w:b/>
          <w:sz w:val="24"/>
          <w:szCs w:val="24"/>
        </w:rPr>
        <w:t>MADDE 6</w:t>
      </w:r>
      <w:r w:rsidR="003F6354" w:rsidRPr="007671C9">
        <w:rPr>
          <w:rFonts w:ascii="Times New Roman" w:hAnsi="Times New Roman" w:cs="Times New Roman"/>
          <w:b/>
          <w:sz w:val="24"/>
          <w:szCs w:val="24"/>
        </w:rPr>
        <w:t>3</w:t>
      </w:r>
      <w:r w:rsidRPr="007671C9">
        <w:rPr>
          <w:rFonts w:ascii="Times New Roman" w:hAnsi="Times New Roman" w:cs="Times New Roman"/>
          <w:sz w:val="24"/>
          <w:szCs w:val="24"/>
        </w:rPr>
        <w:t xml:space="preserve"> – (1) Bu Tebliğ hükümlerini Çevre ve Şehircilik Bakanı yürütür.</w:t>
      </w:r>
    </w:p>
    <w:p w:rsidR="004231AC" w:rsidRPr="007671C9" w:rsidRDefault="004231AC" w:rsidP="004231AC">
      <w:pPr>
        <w:spacing w:after="0" w:line="276" w:lineRule="auto"/>
        <w:jc w:val="both"/>
        <w:rPr>
          <w:rFonts w:ascii="Times New Roman" w:hAnsi="Times New Roman" w:cs="Times New Roman"/>
          <w:sz w:val="24"/>
          <w:szCs w:val="24"/>
        </w:rPr>
      </w:pPr>
    </w:p>
    <w:p w:rsidR="004231AC" w:rsidRPr="007671C9" w:rsidRDefault="004231AC"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156925" w:rsidRPr="007671C9" w:rsidRDefault="00156925"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784AD0" w:rsidRPr="007671C9" w:rsidRDefault="00784AD0" w:rsidP="004231AC">
      <w:pPr>
        <w:spacing w:after="0" w:line="240" w:lineRule="auto"/>
        <w:jc w:val="both"/>
        <w:rPr>
          <w:rFonts w:ascii="Times New Roman" w:hAnsi="Times New Roman" w:cs="Times New Roman"/>
          <w:sz w:val="24"/>
          <w:szCs w:val="24"/>
        </w:rPr>
      </w:pPr>
    </w:p>
    <w:p w:rsidR="004231AC" w:rsidRPr="007671C9" w:rsidRDefault="004231AC">
      <w:pPr>
        <w:rPr>
          <w:rFonts w:ascii="Times New Roman" w:hAnsi="Times New Roman" w:cs="Times New Roman"/>
          <w:sz w:val="24"/>
          <w:szCs w:val="24"/>
        </w:rPr>
      </w:pPr>
    </w:p>
    <w:p w:rsidR="00156925" w:rsidRPr="007671C9" w:rsidRDefault="00156925" w:rsidP="00156925">
      <w:pPr>
        <w:widowControl w:val="0"/>
        <w:autoSpaceDE w:val="0"/>
        <w:autoSpaceDN w:val="0"/>
        <w:adjustRightInd w:val="0"/>
        <w:ind w:right="-8"/>
        <w:jc w:val="center"/>
        <w:rPr>
          <w:rFonts w:ascii="Times New Roman" w:hAnsi="Times New Roman" w:cs="Times New Roman"/>
          <w:b/>
          <w:sz w:val="24"/>
          <w:szCs w:val="24"/>
        </w:rPr>
      </w:pPr>
      <w:r w:rsidRPr="007671C9">
        <w:rPr>
          <w:rFonts w:ascii="Times New Roman" w:hAnsi="Times New Roman" w:cs="Times New Roman"/>
          <w:b/>
          <w:sz w:val="24"/>
          <w:szCs w:val="24"/>
        </w:rPr>
        <w:t>EK</w:t>
      </w:r>
      <w:r w:rsidRPr="007671C9">
        <w:rPr>
          <w:rFonts w:ascii="Times New Roman" w:hAnsi="Times New Roman" w:cs="Times New Roman"/>
          <w:sz w:val="24"/>
          <w:szCs w:val="24"/>
        </w:rPr>
        <w:t>-</w:t>
      </w:r>
      <w:r w:rsidRPr="007671C9">
        <w:rPr>
          <w:rFonts w:ascii="Times New Roman" w:hAnsi="Times New Roman" w:cs="Times New Roman"/>
          <w:b/>
          <w:sz w:val="24"/>
          <w:szCs w:val="24"/>
        </w:rPr>
        <w:t>1</w:t>
      </w:r>
    </w:p>
    <w:p w:rsidR="00156925" w:rsidRPr="007671C9" w:rsidRDefault="00156925" w:rsidP="00156925">
      <w:pPr>
        <w:widowControl w:val="0"/>
        <w:autoSpaceDE w:val="0"/>
        <w:autoSpaceDN w:val="0"/>
        <w:adjustRightInd w:val="0"/>
        <w:ind w:right="-8"/>
        <w:jc w:val="center"/>
        <w:rPr>
          <w:rFonts w:ascii="Times New Roman" w:hAnsi="Times New Roman" w:cs="Times New Roman"/>
          <w:b/>
          <w:sz w:val="24"/>
          <w:szCs w:val="24"/>
        </w:rPr>
      </w:pPr>
      <w:r w:rsidRPr="007671C9">
        <w:rPr>
          <w:rFonts w:ascii="Times New Roman" w:hAnsi="Times New Roman" w:cs="Times New Roman"/>
          <w:b/>
          <w:w w:val="104"/>
          <w:sz w:val="24"/>
          <w:szCs w:val="24"/>
        </w:rPr>
        <w:t>İZLEME PLANININ ASGARİ KAPSAMI</w:t>
      </w:r>
    </w:p>
    <w:p w:rsidR="00156925" w:rsidRPr="007671C9" w:rsidRDefault="00156925" w:rsidP="00156925">
      <w:pPr>
        <w:widowControl w:val="0"/>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autoSpaceDE w:val="0"/>
        <w:autoSpaceDN w:val="0"/>
        <w:adjustRightInd w:val="0"/>
        <w:ind w:right="-8"/>
        <w:jc w:val="both"/>
        <w:rPr>
          <w:rFonts w:ascii="Times New Roman" w:hAnsi="Times New Roman" w:cs="Times New Roman"/>
          <w:sz w:val="24"/>
          <w:szCs w:val="24"/>
        </w:rPr>
      </w:pPr>
      <w:r w:rsidRPr="007671C9">
        <w:rPr>
          <w:rFonts w:ascii="Times New Roman" w:hAnsi="Times New Roman" w:cs="Times New Roman"/>
          <w:sz w:val="24"/>
          <w:szCs w:val="24"/>
        </w:rPr>
        <w:t>Bir tesise ilişkin izleme planı en az aşağıdaki bilgileri içerir:</w:t>
      </w:r>
    </w:p>
    <w:p w:rsidR="00156925" w:rsidRPr="007671C9" w:rsidRDefault="00156925" w:rsidP="00156925">
      <w:pPr>
        <w:widowControl w:val="0"/>
        <w:tabs>
          <w:tab w:val="left" w:pos="2267"/>
        </w:tabs>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right="-8"/>
        <w:jc w:val="both"/>
        <w:rPr>
          <w:rFonts w:ascii="Times New Roman" w:hAnsi="Times New Roman" w:cs="Times New Roman"/>
          <w:sz w:val="24"/>
          <w:szCs w:val="24"/>
        </w:rPr>
      </w:pPr>
      <w:r w:rsidRPr="007671C9">
        <w:rPr>
          <w:rFonts w:ascii="Times New Roman" w:hAnsi="Times New Roman" w:cs="Times New Roman"/>
          <w:sz w:val="24"/>
          <w:szCs w:val="24"/>
        </w:rPr>
        <w:t>Tesis hakkında aşağıdaki genel bilgiler temin edilir:</w:t>
      </w:r>
    </w:p>
    <w:p w:rsidR="00156925" w:rsidRPr="007671C9" w:rsidRDefault="00156925" w:rsidP="00156925">
      <w:pPr>
        <w:widowControl w:val="0"/>
        <w:numPr>
          <w:ilvl w:val="0"/>
          <w:numId w:val="2"/>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Tesiste yürütülen her bir faaliyete ilişkin izlenecek emisyon kaynaklarının ve kaynak akışlarının bir listesi ve aşağıdaki hususları içeren tesisin ve izlenecek faaliyetlerin tarifi:</w:t>
      </w:r>
    </w:p>
    <w:p w:rsidR="00156925" w:rsidRPr="007671C9" w:rsidRDefault="00156925" w:rsidP="00156925">
      <w:pPr>
        <w:pStyle w:val="ListeParagraf"/>
        <w:numPr>
          <w:ilvl w:val="0"/>
          <w:numId w:val="3"/>
        </w:numPr>
        <w:tabs>
          <w:tab w:val="left" w:pos="1701"/>
          <w:tab w:val="left" w:pos="3403"/>
        </w:tabs>
        <w:adjustRightInd w:val="0"/>
        <w:ind w:right="-8"/>
        <w:rPr>
          <w:sz w:val="24"/>
          <w:szCs w:val="24"/>
          <w:lang w:val="tr-TR"/>
        </w:rPr>
      </w:pPr>
      <w:r w:rsidRPr="007671C9">
        <w:rPr>
          <w:sz w:val="24"/>
          <w:szCs w:val="24"/>
          <w:lang w:val="tr-TR"/>
        </w:rPr>
        <w:t>Oluşan emisyonlara ilişkin veri boşluklarının oluşmadığını ve emisyonların mükerrer sayılmadığını gösteren yeterli açıklamalar</w:t>
      </w:r>
    </w:p>
    <w:p w:rsidR="00156925" w:rsidRPr="007671C9" w:rsidRDefault="00156925" w:rsidP="00156925">
      <w:pPr>
        <w:pStyle w:val="ListeParagraf"/>
        <w:numPr>
          <w:ilvl w:val="0"/>
          <w:numId w:val="3"/>
        </w:numPr>
        <w:rPr>
          <w:sz w:val="24"/>
          <w:szCs w:val="24"/>
          <w:lang w:val="tr-TR"/>
        </w:rPr>
      </w:pPr>
      <w:r w:rsidRPr="007671C9">
        <w:rPr>
          <w:sz w:val="24"/>
          <w:szCs w:val="24"/>
          <w:lang w:val="tr-TR"/>
        </w:rPr>
        <w:t>Emisyon kaynakları, kaynak akışları, örnekleme noktaları ve ölçüm ekipmanlarını içeren basit bir akış şeması</w:t>
      </w:r>
    </w:p>
    <w:p w:rsidR="00156925" w:rsidRPr="007671C9" w:rsidRDefault="00156925" w:rsidP="00156925">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Tesiste izleme ve raporlamaya ilişkin sorumlulukların belirlenmesi ve sorumlu personelin yetkinliğini yönetmeye yönelik prosedürlerin tarifi, </w:t>
      </w:r>
    </w:p>
    <w:p w:rsidR="00156925" w:rsidRPr="007671C9" w:rsidRDefault="00156925" w:rsidP="00156925">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İzleme planının uygunluğunun düzenli bir şekilde değerlendirilmesi için asgari seviyede; </w:t>
      </w:r>
    </w:p>
    <w:p w:rsidR="00156925" w:rsidRPr="007671C9" w:rsidRDefault="00156925" w:rsidP="00156925">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sz w:val="24"/>
          <w:szCs w:val="24"/>
        </w:rPr>
      </w:pPr>
      <w:r w:rsidRPr="007671C9">
        <w:rPr>
          <w:rFonts w:ascii="Times New Roman" w:hAnsi="Times New Roman" w:cs="Times New Roman"/>
          <w:sz w:val="24"/>
          <w:szCs w:val="24"/>
        </w:rPr>
        <w:t>Emisyon kaynaklarının ve kaynak akışlarının listesini kontrol etmek ve emisyon kaynaklarının ve kaynak akışlarının eksiksiz olduğunu ve tesisin yapısındaki ve işleyişindeki değişiklikler</w:t>
      </w:r>
    </w:p>
    <w:p w:rsidR="00156925" w:rsidRPr="007671C9" w:rsidRDefault="00156925" w:rsidP="00156925">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sz w:val="24"/>
          <w:szCs w:val="24"/>
        </w:rPr>
      </w:pPr>
      <w:r w:rsidRPr="007671C9">
        <w:rPr>
          <w:rFonts w:ascii="Times New Roman" w:hAnsi="Times New Roman" w:cs="Times New Roman"/>
          <w:sz w:val="24"/>
          <w:szCs w:val="24"/>
        </w:rPr>
        <w:t>Faaliyet verisi ve diğer parametreler için belirsizlik eşiklerin uygunluğunun değerlendirmesinin yanı sıra, her bir kaynak akışına ve emisyon kaynağına uygulanan kademeler için belirsizlik eşiklerin uygunluğunun değerlendirilmesi,</w:t>
      </w:r>
    </w:p>
    <w:p w:rsidR="00156925" w:rsidRPr="007671C9" w:rsidRDefault="00156925" w:rsidP="00156925">
      <w:pPr>
        <w:widowControl w:val="0"/>
        <w:numPr>
          <w:ilvl w:val="0"/>
          <w:numId w:val="4"/>
        </w:numPr>
        <w:tabs>
          <w:tab w:val="left" w:pos="1701"/>
        </w:tabs>
        <w:autoSpaceDE w:val="0"/>
        <w:autoSpaceDN w:val="0"/>
        <w:adjustRightInd w:val="0"/>
        <w:spacing w:after="0" w:line="240" w:lineRule="auto"/>
        <w:ind w:left="1701" w:right="-8" w:hanging="425"/>
        <w:jc w:val="both"/>
        <w:rPr>
          <w:rFonts w:ascii="Times New Roman" w:hAnsi="Times New Roman" w:cs="Times New Roman"/>
          <w:sz w:val="24"/>
          <w:szCs w:val="24"/>
        </w:rPr>
      </w:pPr>
      <w:r w:rsidRPr="007671C9">
        <w:rPr>
          <w:rFonts w:ascii="Times New Roman" w:hAnsi="Times New Roman" w:cs="Times New Roman"/>
          <w:sz w:val="24"/>
          <w:szCs w:val="24"/>
        </w:rPr>
        <w:t>Uygulanan izleme yönteminin geliştirilmesi için potansiyel önlemleri değerlendirmek, amacıyla ilgili prosedürlerin tarifi.</w:t>
      </w:r>
    </w:p>
    <w:p w:rsidR="00156925" w:rsidRPr="007671C9" w:rsidRDefault="00156925" w:rsidP="00156925">
      <w:pPr>
        <w:widowControl w:val="0"/>
        <w:tabs>
          <w:tab w:val="left" w:pos="1701"/>
        </w:tabs>
        <w:autoSpaceDE w:val="0"/>
        <w:autoSpaceDN w:val="0"/>
        <w:adjustRightInd w:val="0"/>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(ç)  48 inci maddeye uygun olarak veri akış faaliyetlerine ilişkin yazılı prosedürlerin tarifi ve basitleştirilmiş şemalar,</w:t>
      </w:r>
    </w:p>
    <w:p w:rsidR="00156925" w:rsidRPr="007671C9" w:rsidRDefault="00156925" w:rsidP="00156925">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49 uncu maddeye uygun olarak oluşturulan kontrol faaliyetleri için yazılı prosedürlerin tarifi,</w:t>
      </w:r>
    </w:p>
    <w:p w:rsidR="00156925" w:rsidRPr="007671C9" w:rsidRDefault="00156925" w:rsidP="00156925">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Varsa, </w:t>
      </w:r>
      <w:r w:rsidRPr="007671C9">
        <w:rPr>
          <w:rFonts w:ascii="Times New Roman" w:hAnsi="Times New Roman" w:cs="Times New Roman"/>
          <w:sz w:val="24"/>
          <w:szCs w:val="24"/>
        </w:rPr>
        <w:tab/>
        <w:t xml:space="preserve">eko yönetim ve tetkik sistemi </w:t>
      </w:r>
      <w:r w:rsidRPr="007671C9">
        <w:rPr>
          <w:rFonts w:ascii="Times New Roman" w:hAnsi="Times New Roman" w:cs="Times New Roman"/>
          <w:strike/>
          <w:sz w:val="24"/>
          <w:szCs w:val="24"/>
        </w:rPr>
        <w:t xml:space="preserve">(EMAS), </w:t>
      </w:r>
      <w:r w:rsidRPr="007671C9">
        <w:rPr>
          <w:rFonts w:ascii="Times New Roman" w:hAnsi="Times New Roman" w:cs="Times New Roman"/>
          <w:sz w:val="24"/>
          <w:szCs w:val="24"/>
        </w:rPr>
        <w:t xml:space="preserve">TS EN ISO 14001 Standardı veya diğer çevre yönetim sistemleri çerçevesinde yürütülen faaliyetler ile sera gazı emisyonlarının izlenmesi ve raporlanması konusunda yürütülen faaliyetler arasında bağlantılı olabilecek prosedür ve kontrollere ilişkin bilgiler, </w:t>
      </w:r>
    </w:p>
    <w:p w:rsidR="00156925" w:rsidRPr="007671C9" w:rsidRDefault="00156925" w:rsidP="00156925">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İzleme planının revizyon numarası. </w:t>
      </w:r>
    </w:p>
    <w:p w:rsidR="00156925" w:rsidRPr="007671C9" w:rsidRDefault="00156925" w:rsidP="00156925">
      <w:pPr>
        <w:widowControl w:val="0"/>
        <w:autoSpaceDE w:val="0"/>
        <w:autoSpaceDN w:val="0"/>
        <w:adjustRightInd w:val="0"/>
        <w:ind w:right="-8"/>
        <w:jc w:val="both"/>
        <w:rPr>
          <w:rFonts w:ascii="Times New Roman" w:hAnsi="Times New Roman" w:cs="Times New Roman"/>
          <w:w w:val="101"/>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w w:val="101"/>
          <w:sz w:val="24"/>
          <w:szCs w:val="24"/>
        </w:rPr>
      </w:pPr>
      <w:r w:rsidRPr="007671C9">
        <w:rPr>
          <w:rFonts w:ascii="Times New Roman" w:hAnsi="Times New Roman" w:cs="Times New Roman"/>
          <w:sz w:val="24"/>
          <w:szCs w:val="24"/>
        </w:rPr>
        <w:lastRenderedPageBreak/>
        <w:t>Uygulanan</w:t>
      </w:r>
      <w:r w:rsidRPr="007671C9">
        <w:rPr>
          <w:rFonts w:ascii="Times New Roman" w:hAnsi="Times New Roman" w:cs="Times New Roman"/>
          <w:w w:val="101"/>
          <w:sz w:val="24"/>
          <w:szCs w:val="24"/>
        </w:rPr>
        <w:t xml:space="preserve"> hesaplama temelli yöntemlerin detaylarına ilişkin en az aşağıda listelenen bilgiler temin edilir:</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Uygulanmış hesaplama temelli yöntemin, kullanılan giriş verisi ve hesaplama formüllerinin listesi, hesaplama faktörleri için uygulanan kademelerin listesi ve izlenecek her bir kaynak akışına ilişkin hesaplama faktörlerini de içeren detaylı tarifi,</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İşletmenin, kaynak akışlarının basitleştirilmesinden yararlanmayı amaçladığı durumlar olsa bile akışların büyük, küçük ve önemsiz kaynak akışları olarak sınıflandırılması,</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Kullanılan ölçüm sistemlerinin bir tanımı ve ölçüm aralığı, izlenecek kaynak akışlarının her biri için kullanılan ölçüm cihazlarının tam konumu ve belirsizlik değeri,</w:t>
      </w:r>
    </w:p>
    <w:p w:rsidR="00156925" w:rsidRPr="007671C9" w:rsidRDefault="00156925" w:rsidP="00156925">
      <w:pPr>
        <w:widowControl w:val="0"/>
        <w:tabs>
          <w:tab w:val="left" w:pos="1276"/>
        </w:tabs>
        <w:autoSpaceDE w:val="0"/>
        <w:autoSpaceDN w:val="0"/>
        <w:adjustRightInd w:val="0"/>
        <w:ind w:left="851" w:right="-8"/>
        <w:jc w:val="both"/>
        <w:rPr>
          <w:rFonts w:ascii="Times New Roman" w:hAnsi="Times New Roman" w:cs="Times New Roman"/>
          <w:sz w:val="24"/>
          <w:szCs w:val="24"/>
        </w:rPr>
      </w:pPr>
      <w:r w:rsidRPr="007671C9">
        <w:rPr>
          <w:rFonts w:ascii="Times New Roman" w:hAnsi="Times New Roman" w:cs="Times New Roman"/>
          <w:sz w:val="24"/>
          <w:szCs w:val="24"/>
        </w:rPr>
        <w:t xml:space="preserve">(ç)    Her bir kaynak akışı için, varsayılan hesaplama faktörleri ile kaynağı, </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Her bir kaynak akışına ilişkin ilgili tüm hesaplama faktörlerinin belirlenmesi için kullanılacak analiz yöntemlerinin bir listesi ile bu analizler için yazılı prosedürlerin tarifi, </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Analiz edilecek yakıt ve malzemelerin örneklenmesi için örnekleme planını destekleyecek prosedürün ve örnekleme planının uygunluğunu revize etmek için kullanılan prosedürün tarifi, </w:t>
      </w:r>
    </w:p>
    <w:p w:rsidR="00156925" w:rsidRPr="007671C9" w:rsidRDefault="00156925" w:rsidP="00156925">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İlgili analitik prosedürleri yürüten laboratuvarların listesi.</w:t>
      </w:r>
    </w:p>
    <w:p w:rsidR="00156925" w:rsidRPr="007671C9" w:rsidRDefault="00156925" w:rsidP="00156925">
      <w:pPr>
        <w:widowControl w:val="0"/>
        <w:tabs>
          <w:tab w:val="left" w:pos="1276"/>
        </w:tabs>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sz w:val="24"/>
          <w:szCs w:val="24"/>
        </w:rPr>
      </w:pPr>
      <w:r w:rsidRPr="007671C9">
        <w:rPr>
          <w:rFonts w:ascii="Times New Roman" w:hAnsi="Times New Roman" w:cs="Times New Roman"/>
          <w:sz w:val="24"/>
          <w:szCs w:val="24"/>
        </w:rPr>
        <w:t>20 nci madde uyarınca kademelere dayanmayan yöntem kullanıldığında, bütün kaynak akışları veya emisyon kaynakları için uygulanan izleme yönteminin detaylı tarifi ve yürütülecek belirsizlik analizi için kullanılan yazılı prosedürün tarifi temin edilir.</w:t>
      </w:r>
    </w:p>
    <w:p w:rsidR="00156925" w:rsidRPr="007671C9" w:rsidRDefault="00156925" w:rsidP="00156925">
      <w:pPr>
        <w:widowControl w:val="0"/>
        <w:tabs>
          <w:tab w:val="left" w:pos="2267"/>
        </w:tabs>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sz w:val="24"/>
          <w:szCs w:val="24"/>
        </w:rPr>
      </w:pPr>
      <w:r w:rsidRPr="007671C9">
        <w:rPr>
          <w:rFonts w:ascii="Times New Roman" w:hAnsi="Times New Roman" w:cs="Times New Roman"/>
          <w:w w:val="101"/>
          <w:sz w:val="24"/>
          <w:szCs w:val="24"/>
        </w:rPr>
        <w:t>Uygulanan ölçüm temelli yöntemlerin detaylarına istinaden varsa asgari düzeyde aşağıda listelenen bilgiler temin edilir:</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Ölçüm ve aşağıdaki hususlar ile ilgili yazılı prosedürlerin tarifini içeren ölçüm yönteminin tarifi: </w:t>
      </w:r>
    </w:p>
    <w:p w:rsidR="00156925" w:rsidRPr="007671C9" w:rsidRDefault="00156925" w:rsidP="00156925">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hAnsi="Times New Roman" w:cs="Times New Roman"/>
          <w:sz w:val="24"/>
          <w:szCs w:val="24"/>
        </w:rPr>
      </w:pPr>
      <w:r w:rsidRPr="007671C9">
        <w:rPr>
          <w:rFonts w:ascii="Times New Roman" w:hAnsi="Times New Roman" w:cs="Times New Roman"/>
          <w:sz w:val="24"/>
          <w:szCs w:val="24"/>
        </w:rPr>
        <w:t>Veri toplamak ve her bir emisyon kaynağının yıllık emisyonunu belirlemek için kullanılan hesaplama formülleri,</w:t>
      </w:r>
    </w:p>
    <w:p w:rsidR="00156925" w:rsidRPr="007671C9" w:rsidRDefault="00156925" w:rsidP="00156925">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hAnsi="Times New Roman" w:cs="Times New Roman"/>
          <w:sz w:val="24"/>
          <w:szCs w:val="24"/>
        </w:rPr>
      </w:pPr>
      <w:r w:rsidRPr="007671C9">
        <w:rPr>
          <w:rFonts w:ascii="Times New Roman" w:hAnsi="Times New Roman" w:cs="Times New Roman"/>
          <w:sz w:val="24"/>
          <w:szCs w:val="24"/>
        </w:rPr>
        <w:t>Her bir parametre için geçerli saatlerin veya daha kısa referans dönemlerinin hesaplanmasını belirlemek için ve 43 üncü madde uyarınca kayıp verinin tamamlanması için yöntem,</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Bakanlık tarafından talep edildiğinde, proses diyagramı ile desteklenecek şekilde, arıza dönemlerini veya işletmeye alma dönemlerini de kapsayan, normal, kesintili veya geçiş aşamalarında gerçekleşen bütün emisyon noktalarının listesi, </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Baca gazı debisinin hesaplama ile elde edildiği hallerde, ölçüm temelli yöntem kullanılarak izlenen her bir emisyon kaynağına yönelik bu hesaplama için yazılı prosedürün tarifi,</w:t>
      </w:r>
    </w:p>
    <w:p w:rsidR="00156925" w:rsidRPr="007671C9" w:rsidRDefault="00156925" w:rsidP="00156925">
      <w:pPr>
        <w:widowControl w:val="0"/>
        <w:tabs>
          <w:tab w:val="left" w:pos="1276"/>
        </w:tabs>
        <w:autoSpaceDE w:val="0"/>
        <w:autoSpaceDN w:val="0"/>
        <w:adjustRightInd w:val="0"/>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(ç)  Ölçüm frekansı, işletim aralığı ve belirsizlik bilgilerini içerecek şekilde ilgili bütün ekipmanın listesi,</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Uygulanmış standartların ve bu standartlardan sapmaların listesi,</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44 üncü madde uyarınca yürütülen teyit hesapları için yazılı prosedürün tarifi, </w:t>
      </w:r>
    </w:p>
    <w:p w:rsidR="00156925" w:rsidRPr="007671C9" w:rsidRDefault="00156925" w:rsidP="00156925">
      <w:pPr>
        <w:widowControl w:val="0"/>
        <w:numPr>
          <w:ilvl w:val="0"/>
          <w:numId w:val="6"/>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Biyokütleden gelen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’nin nasıl belirleneceğine ve biyokütleden gelen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’nin ölçülmüş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 emisyon miktarından nasıl çıkartılacağına ilişkin yöntemin tarifi ve bu amaç için kullanılan yazılı prosedürün tarifi. </w:t>
      </w:r>
    </w:p>
    <w:p w:rsidR="00784AD0" w:rsidRPr="007671C9" w:rsidRDefault="00784AD0" w:rsidP="00784AD0">
      <w:pPr>
        <w:widowControl w:val="0"/>
        <w:tabs>
          <w:tab w:val="left" w:pos="1276"/>
        </w:tabs>
        <w:autoSpaceDE w:val="0"/>
        <w:autoSpaceDN w:val="0"/>
        <w:adjustRightInd w:val="0"/>
        <w:spacing w:after="0" w:line="240" w:lineRule="auto"/>
        <w:ind w:left="1276"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sz w:val="24"/>
          <w:szCs w:val="24"/>
        </w:rPr>
      </w:pPr>
      <w:r w:rsidRPr="007671C9">
        <w:rPr>
          <w:rFonts w:ascii="Times New Roman" w:hAnsi="Times New Roman" w:cs="Times New Roman"/>
          <w:sz w:val="24"/>
          <w:szCs w:val="24"/>
        </w:rPr>
        <w:t>N</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O </w:t>
      </w:r>
      <w:r w:rsidRPr="007671C9">
        <w:rPr>
          <w:rFonts w:ascii="Times New Roman" w:hAnsi="Times New Roman" w:cs="Times New Roman"/>
          <w:w w:val="101"/>
          <w:sz w:val="24"/>
          <w:szCs w:val="24"/>
        </w:rPr>
        <w:t>emisyonlarının</w:t>
      </w:r>
      <w:r w:rsidRPr="007671C9">
        <w:rPr>
          <w:rFonts w:ascii="Times New Roman" w:hAnsi="Times New Roman" w:cs="Times New Roman"/>
          <w:sz w:val="24"/>
          <w:szCs w:val="24"/>
        </w:rPr>
        <w:t xml:space="preserve"> izlendiği durumlarda, bu Ekin 4 üncü maddesinde listelenen unsurlara ilave olarak, aşağıda yer alan hususları da içerecek şekilde, uygulanan izleme </w:t>
      </w:r>
      <w:r w:rsidRPr="007671C9">
        <w:rPr>
          <w:rFonts w:ascii="Times New Roman" w:hAnsi="Times New Roman" w:cs="Times New Roman"/>
          <w:sz w:val="24"/>
          <w:szCs w:val="24"/>
        </w:rPr>
        <w:lastRenderedPageBreak/>
        <w:t>yönteminin ve varsa yazılı prosedürün detaylı tarifi temin edilir:</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Üretim prosesinde kullanılan malzeme miktarını ve tam kapasitede kullanılan azami malzeme miktarını belirlemek için kullanılan yöntem ve parametreler,</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Sırasıyla saat başına nitrik asit (%100), adipik asit (%100), kaprolaktam, glioksal ve glioksilik asit olarak ifade edilen ve saatlik çıktı olarak üretilen ürünün miktarını belirlemek için kullanılan yöntem ve parametreler, </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Her bir emisyon kaynağı için baca gazında bulunan N</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O konsantrasyonunu, işletme aralığını ve belirsizliğini belirlemek için kullanılan yönteme ve parametrelere ilave olarak konsantrasyonların işletme aralığının dışında kaldığı durumlarda ve bu durumların oluşabileceği hallerde uygulanacak alternatif yöntemin detayları, </w:t>
      </w:r>
    </w:p>
    <w:p w:rsidR="00156925" w:rsidRPr="007671C9" w:rsidRDefault="00156925" w:rsidP="00156925">
      <w:pPr>
        <w:widowControl w:val="0"/>
        <w:tabs>
          <w:tab w:val="left" w:pos="1276"/>
        </w:tabs>
        <w:autoSpaceDE w:val="0"/>
        <w:autoSpaceDN w:val="0"/>
        <w:adjustRightInd w:val="0"/>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(ç)   Nitrik asit, adipik asit, kaprolaktam, glioksal ve glioksilik asit üretimindeki periyodik ve sürekli kaynaklardan gelen N</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O emisyonlarını belirlemek için kullanılan hesaplama yöntemi,</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Tesisin değişken yüklerle çalışma şekli ve kapasitesi, tesiste işletme yönetiminin nasıl yürütüldüğü,</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Her bir emisyon kaynağına ilişkin yıllık N</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O emisyonlarını ve bu emisyonlara karşılık gelen CO</w:t>
      </w:r>
      <w:r w:rsidRPr="007671C9">
        <w:rPr>
          <w:rFonts w:ascii="Times New Roman" w:hAnsi="Times New Roman" w:cs="Times New Roman"/>
          <w:sz w:val="24"/>
          <w:szCs w:val="24"/>
          <w:vertAlign w:val="subscript"/>
        </w:rPr>
        <w:t>2(eşd)</w:t>
      </w:r>
      <w:r w:rsidRPr="007671C9">
        <w:rPr>
          <w:rFonts w:ascii="Times New Roman" w:hAnsi="Times New Roman" w:cs="Times New Roman"/>
          <w:sz w:val="24"/>
          <w:szCs w:val="24"/>
        </w:rPr>
        <w:t xml:space="preserve"> değerlerini belirlemek için kullanılan yöntem ve hesaplama formülleri, </w:t>
      </w:r>
    </w:p>
    <w:p w:rsidR="00156925" w:rsidRPr="007671C9" w:rsidRDefault="00156925" w:rsidP="00156925">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Normal işlemlerden sapan proses koşulları hakkında bilgi, bu sapmaların potansiyel sıklık ve süresi, baca gazı arıtma ekipmanı arızası gibi proses koşullarının sapması sonucunda ortaya çıkan N</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O emisyonlarının hacmi.</w:t>
      </w:r>
    </w:p>
    <w:p w:rsidR="00156925" w:rsidRPr="007671C9" w:rsidRDefault="00156925" w:rsidP="00156925">
      <w:pPr>
        <w:widowControl w:val="0"/>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sz w:val="24"/>
          <w:szCs w:val="24"/>
        </w:rPr>
      </w:pPr>
      <w:r w:rsidRPr="007671C9">
        <w:rPr>
          <w:rFonts w:ascii="Times New Roman" w:hAnsi="Times New Roman" w:cs="Times New Roman"/>
          <w:sz w:val="24"/>
          <w:szCs w:val="24"/>
        </w:rPr>
        <w:t xml:space="preserve">Birincil alüminyum üretiminden kaynaklanan perflorokarbonların izlendiği durumlarda, uygun olan hallerde </w:t>
      </w:r>
      <w:r w:rsidRPr="007671C9">
        <w:rPr>
          <w:rFonts w:ascii="Times New Roman" w:hAnsi="Times New Roman" w:cs="Times New Roman"/>
          <w:w w:val="101"/>
          <w:sz w:val="24"/>
          <w:szCs w:val="24"/>
        </w:rPr>
        <w:t>aşağıda</w:t>
      </w:r>
      <w:r w:rsidRPr="007671C9">
        <w:rPr>
          <w:rFonts w:ascii="Times New Roman" w:hAnsi="Times New Roman" w:cs="Times New Roman"/>
          <w:sz w:val="24"/>
          <w:szCs w:val="24"/>
        </w:rPr>
        <w:t xml:space="preserve"> yer alan hususları da içerecek şekilde, uygulanan izleme yönteminin ve varsa yazılı prosedürün detaylı tarifi temin edilir:</w:t>
      </w:r>
    </w:p>
    <w:p w:rsidR="00156925" w:rsidRPr="007671C9" w:rsidRDefault="00156925" w:rsidP="00156925">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Tesise özgü emisyon faktörlerinin (Eğim Emisyon Faktörü-EEF</w:t>
      </w:r>
      <w:r w:rsidRPr="007671C9">
        <w:rPr>
          <w:rFonts w:ascii="Times New Roman" w:hAnsi="Times New Roman" w:cs="Times New Roman"/>
          <w:sz w:val="24"/>
          <w:szCs w:val="24"/>
          <w:vertAlign w:val="subscript"/>
        </w:rPr>
        <w:t>CF4</w:t>
      </w:r>
      <w:r w:rsidRPr="007671C9">
        <w:rPr>
          <w:rFonts w:ascii="Times New Roman" w:hAnsi="Times New Roman" w:cs="Times New Roman"/>
          <w:sz w:val="24"/>
          <w:szCs w:val="24"/>
        </w:rPr>
        <w:t>, veya Aşırı Gerilim Katsayısı-</w:t>
      </w:r>
      <w:r w:rsidRPr="007671C9">
        <w:rPr>
          <w:rFonts w:ascii="Times New Roman" w:hAnsi="Times New Roman" w:cs="Times New Roman"/>
          <w:w w:val="108"/>
          <w:sz w:val="24"/>
          <w:szCs w:val="24"/>
        </w:rPr>
        <w:t>AGK</w:t>
      </w:r>
      <w:r w:rsidRPr="007671C9">
        <w:rPr>
          <w:rFonts w:ascii="Times New Roman" w:hAnsi="Times New Roman" w:cs="Times New Roman"/>
          <w:sz w:val="24"/>
          <w:szCs w:val="24"/>
        </w:rPr>
        <w:t xml:space="preserve"> ve C</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F</w:t>
      </w:r>
      <w:r w:rsidRPr="007671C9">
        <w:rPr>
          <w:rFonts w:ascii="Times New Roman" w:hAnsi="Times New Roman" w:cs="Times New Roman"/>
          <w:sz w:val="24"/>
          <w:szCs w:val="24"/>
          <w:vertAlign w:val="subscript"/>
        </w:rPr>
        <w:t>6</w:t>
      </w:r>
      <w:r w:rsidRPr="007671C9">
        <w:rPr>
          <w:rFonts w:ascii="Times New Roman" w:hAnsi="Times New Roman" w:cs="Times New Roman"/>
          <w:sz w:val="24"/>
          <w:szCs w:val="24"/>
        </w:rPr>
        <w:t xml:space="preserve"> Ağırlık Oranı-F</w:t>
      </w:r>
      <w:r w:rsidRPr="007671C9">
        <w:rPr>
          <w:rFonts w:ascii="Times New Roman" w:hAnsi="Times New Roman" w:cs="Times New Roman"/>
          <w:sz w:val="24"/>
          <w:szCs w:val="24"/>
          <w:vertAlign w:val="subscript"/>
        </w:rPr>
        <w:t>C2F6</w:t>
      </w:r>
      <w:r w:rsidRPr="007671C9">
        <w:rPr>
          <w:rFonts w:ascii="Times New Roman" w:hAnsi="Times New Roman" w:cs="Times New Roman"/>
          <w:sz w:val="24"/>
          <w:szCs w:val="24"/>
        </w:rPr>
        <w:t xml:space="preserve">) belirlenmesine yönelik ölçümlerin tarihleri ve bu belirlemenin gelecekteki tekrarları için zaman çizelgesi, </w:t>
      </w:r>
    </w:p>
    <w:p w:rsidR="00156925" w:rsidRPr="007671C9" w:rsidRDefault="00156925" w:rsidP="00156925">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En az 72 saat olacak şekilde, ölçülmüş ve ölçülecek değerlerin birbirine yakınlaştığını gösterecek şekilde ölçümlerin yeterince uzun bir zamanda gerçekleştiğini gösteren, CF</w:t>
      </w:r>
      <w:r w:rsidRPr="007671C9">
        <w:rPr>
          <w:rFonts w:ascii="Times New Roman" w:hAnsi="Times New Roman" w:cs="Times New Roman"/>
          <w:sz w:val="24"/>
          <w:szCs w:val="24"/>
          <w:vertAlign w:val="subscript"/>
        </w:rPr>
        <w:t xml:space="preserve">4 </w:t>
      </w:r>
      <w:r w:rsidRPr="007671C9">
        <w:rPr>
          <w:rFonts w:ascii="Times New Roman" w:hAnsi="Times New Roman" w:cs="Times New Roman"/>
          <w:sz w:val="24"/>
          <w:szCs w:val="24"/>
        </w:rPr>
        <w:t>ve C</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F</w:t>
      </w:r>
      <w:r w:rsidRPr="007671C9">
        <w:rPr>
          <w:rFonts w:ascii="Times New Roman" w:hAnsi="Times New Roman" w:cs="Times New Roman"/>
          <w:sz w:val="24"/>
          <w:szCs w:val="24"/>
          <w:vertAlign w:val="subscript"/>
        </w:rPr>
        <w:t>6</w:t>
      </w:r>
      <w:r w:rsidRPr="007671C9">
        <w:rPr>
          <w:rFonts w:ascii="Times New Roman" w:hAnsi="Times New Roman" w:cs="Times New Roman"/>
          <w:sz w:val="24"/>
          <w:szCs w:val="24"/>
        </w:rPr>
        <w:t xml:space="preserve"> için tesise özgü emisyon faktörlerinin belirlenmesine yönelik kullanılan prosedürü tarif eden protokol,</w:t>
      </w:r>
    </w:p>
    <w:p w:rsidR="00156925" w:rsidRPr="007671C9" w:rsidRDefault="00156925" w:rsidP="00156925">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 xml:space="preserve">Birincil alüminyum üretimi tesislerinde kaçak emisyonlar için toplama verimliliğini belirlemeye yönelik yöntem, </w:t>
      </w:r>
    </w:p>
    <w:p w:rsidR="00156925" w:rsidRPr="007671C9" w:rsidRDefault="00156925" w:rsidP="00156925">
      <w:pPr>
        <w:widowControl w:val="0"/>
        <w:tabs>
          <w:tab w:val="left" w:pos="1276"/>
        </w:tabs>
        <w:autoSpaceDE w:val="0"/>
        <w:autoSpaceDN w:val="0"/>
        <w:adjustRightInd w:val="0"/>
        <w:ind w:left="851" w:right="-8"/>
        <w:jc w:val="both"/>
        <w:rPr>
          <w:rFonts w:ascii="Times New Roman" w:hAnsi="Times New Roman" w:cs="Times New Roman"/>
          <w:sz w:val="24"/>
          <w:szCs w:val="24"/>
        </w:rPr>
      </w:pPr>
      <w:r w:rsidRPr="007671C9">
        <w:rPr>
          <w:rFonts w:ascii="Times New Roman" w:hAnsi="Times New Roman" w:cs="Times New Roman"/>
          <w:sz w:val="24"/>
          <w:szCs w:val="24"/>
        </w:rPr>
        <w:t>(ç)    Hücre tipi ve anot tipinin tarifi.</w:t>
      </w:r>
    </w:p>
    <w:p w:rsidR="00156925" w:rsidRPr="007671C9" w:rsidRDefault="00156925" w:rsidP="00156925">
      <w:pPr>
        <w:widowControl w:val="0"/>
        <w:tabs>
          <w:tab w:val="left" w:pos="2267"/>
        </w:tabs>
        <w:autoSpaceDE w:val="0"/>
        <w:autoSpaceDN w:val="0"/>
        <w:adjustRightInd w:val="0"/>
        <w:ind w:right="-8"/>
        <w:jc w:val="both"/>
        <w:rPr>
          <w:rFonts w:ascii="Times New Roman" w:hAnsi="Times New Roman" w:cs="Times New Roman"/>
          <w:sz w:val="24"/>
          <w:szCs w:val="24"/>
        </w:rPr>
      </w:pPr>
    </w:p>
    <w:p w:rsidR="00156925" w:rsidRPr="007671C9" w:rsidRDefault="00156925" w:rsidP="00156925">
      <w:pPr>
        <w:widowControl w:val="0"/>
        <w:numPr>
          <w:ilvl w:val="0"/>
          <w:numId w:val="1"/>
        </w:numPr>
        <w:tabs>
          <w:tab w:val="left" w:pos="851"/>
        </w:tabs>
        <w:autoSpaceDE w:val="0"/>
        <w:autoSpaceDN w:val="0"/>
        <w:adjustRightInd w:val="0"/>
        <w:spacing w:after="0" w:line="240" w:lineRule="auto"/>
        <w:ind w:left="851" w:right="-8" w:hanging="491"/>
        <w:jc w:val="both"/>
        <w:rPr>
          <w:rFonts w:ascii="Times New Roman" w:hAnsi="Times New Roman" w:cs="Times New Roman"/>
          <w:sz w:val="24"/>
          <w:szCs w:val="24"/>
        </w:rPr>
      </w:pPr>
      <w:r w:rsidRPr="007671C9">
        <w:rPr>
          <w:rFonts w:ascii="Times New Roman" w:hAnsi="Times New Roman" w:cs="Times New Roman"/>
          <w:sz w:val="24"/>
          <w:szCs w:val="24"/>
        </w:rPr>
        <w:t>46 ncı madde uyarınca bir yakıtın parçası olarak dâhili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 veya 47 nci madde uyarınca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 transferinin yapıldığı durumlarda, uygun olan hallerde aşağıda yer alan hususları da içerecek şekilde, uygulanan izleme yönteminin ve varsa yazılı prosedürün detaylı tarifi temin edilir:</w:t>
      </w:r>
    </w:p>
    <w:p w:rsidR="00156925" w:rsidRPr="007671C9" w:rsidRDefault="00156925" w:rsidP="00156925">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Taşıma ağında, ısı ve basınç ölçüm ekipmanının konumu,</w:t>
      </w:r>
    </w:p>
    <w:p w:rsidR="00156925" w:rsidRPr="007671C9" w:rsidRDefault="00156925" w:rsidP="00156925">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Taşıma ağında sızıntı olaylarını önlemek, tespit etmek ve nitelemek için prosedürler,</w:t>
      </w:r>
    </w:p>
    <w:p w:rsidR="00156925" w:rsidRPr="007671C9" w:rsidRDefault="00156925" w:rsidP="00156925">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Taşıma ağında,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’nin, 47 nci madde uyarınca atmosfere verilecek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’nin etkin bir şekilde izlendiği ve hesaplandığı tesislere transfer edildiğini temin eden prosedürler,</w:t>
      </w:r>
    </w:p>
    <w:p w:rsidR="00156925" w:rsidRPr="007671C9" w:rsidRDefault="00156925" w:rsidP="00156925">
      <w:pPr>
        <w:widowControl w:val="0"/>
        <w:tabs>
          <w:tab w:val="left" w:pos="1276"/>
        </w:tabs>
        <w:autoSpaceDE w:val="0"/>
        <w:autoSpaceDN w:val="0"/>
        <w:adjustRightInd w:val="0"/>
        <w:ind w:left="851" w:right="-8"/>
        <w:jc w:val="both"/>
        <w:rPr>
          <w:rFonts w:ascii="Times New Roman" w:hAnsi="Times New Roman" w:cs="Times New Roman"/>
          <w:sz w:val="24"/>
          <w:szCs w:val="24"/>
        </w:rPr>
      </w:pPr>
      <w:r w:rsidRPr="007671C9">
        <w:rPr>
          <w:rFonts w:ascii="Times New Roman" w:hAnsi="Times New Roman" w:cs="Times New Roman"/>
          <w:sz w:val="24"/>
          <w:szCs w:val="24"/>
        </w:rPr>
        <w:t>(ç)    Transfer eden ve edilen tesislerin kimlik bilgileri,</w:t>
      </w:r>
    </w:p>
    <w:p w:rsidR="00156925" w:rsidRPr="007671C9" w:rsidRDefault="00156925" w:rsidP="00156925">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46 veya 47 nci maddeler uyarınca, aralarında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 transfer eden tesislerde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 xml:space="preserve"> </w:t>
      </w:r>
      <w:r w:rsidRPr="007671C9">
        <w:rPr>
          <w:rFonts w:ascii="Times New Roman" w:hAnsi="Times New Roman" w:cs="Times New Roman"/>
          <w:sz w:val="24"/>
          <w:szCs w:val="24"/>
        </w:rPr>
        <w:lastRenderedPageBreak/>
        <w:t xml:space="preserve">transfer noktalarında kullanılan sürekli ölçüm sistemlerinin tarifi, </w:t>
      </w:r>
    </w:p>
    <w:p w:rsidR="00156925" w:rsidRPr="007671C9" w:rsidRDefault="00156925" w:rsidP="00156925">
      <w:pPr>
        <w:widowControl w:val="0"/>
        <w:numPr>
          <w:ilvl w:val="0"/>
          <w:numId w:val="10"/>
        </w:numPr>
        <w:tabs>
          <w:tab w:val="left" w:pos="1276"/>
        </w:tabs>
        <w:autoSpaceDE w:val="0"/>
        <w:autoSpaceDN w:val="0"/>
        <w:adjustRightInd w:val="0"/>
        <w:spacing w:after="0" w:line="240" w:lineRule="auto"/>
        <w:ind w:left="1276" w:right="-8" w:hanging="425"/>
        <w:jc w:val="both"/>
        <w:rPr>
          <w:rFonts w:ascii="Times New Roman" w:hAnsi="Times New Roman" w:cs="Times New Roman"/>
          <w:sz w:val="24"/>
          <w:szCs w:val="24"/>
        </w:rPr>
      </w:pPr>
      <w:r w:rsidRPr="007671C9">
        <w:rPr>
          <w:rFonts w:ascii="Times New Roman" w:hAnsi="Times New Roman" w:cs="Times New Roman"/>
          <w:sz w:val="24"/>
          <w:szCs w:val="24"/>
        </w:rPr>
        <w:t>46 veya 47 nci maddeler uyarınca, transfer edilen CO</w:t>
      </w:r>
      <w:r w:rsidRPr="007671C9">
        <w:rPr>
          <w:rFonts w:ascii="Times New Roman" w:hAnsi="Times New Roman" w:cs="Times New Roman"/>
          <w:sz w:val="24"/>
          <w:szCs w:val="24"/>
          <w:vertAlign w:val="subscript"/>
        </w:rPr>
        <w:t>2</w:t>
      </w:r>
      <w:r w:rsidRPr="007671C9">
        <w:rPr>
          <w:rFonts w:ascii="Times New Roman" w:hAnsi="Times New Roman" w:cs="Times New Roman"/>
          <w:sz w:val="24"/>
          <w:szCs w:val="24"/>
        </w:rPr>
        <w:t>’nin biyokütle oranını belirlemek için kullanılan ihtiyatlı tahmin yönteminin tarifi.</w:t>
      </w: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widowControl w:val="0"/>
        <w:tabs>
          <w:tab w:val="left" w:pos="1276"/>
        </w:tabs>
        <w:autoSpaceDE w:val="0"/>
        <w:autoSpaceDN w:val="0"/>
        <w:adjustRightInd w:val="0"/>
        <w:spacing w:after="0" w:line="240" w:lineRule="auto"/>
        <w:ind w:right="-8"/>
        <w:jc w:val="center"/>
        <w:rPr>
          <w:rFonts w:ascii="Times New Roman" w:hAnsi="Times New Roman" w:cs="Times New Roman"/>
          <w:b/>
          <w:sz w:val="24"/>
          <w:szCs w:val="24"/>
        </w:rPr>
      </w:pPr>
      <w:r w:rsidRPr="007671C9">
        <w:rPr>
          <w:rFonts w:ascii="Times New Roman" w:hAnsi="Times New Roman" w:cs="Times New Roman"/>
          <w:b/>
          <w:sz w:val="24"/>
          <w:szCs w:val="24"/>
        </w:rPr>
        <w:t>EK-2</w:t>
      </w:r>
    </w:p>
    <w:p w:rsidR="00156925" w:rsidRPr="007671C9" w:rsidRDefault="00156925" w:rsidP="00156925">
      <w:pPr>
        <w:widowControl w:val="0"/>
        <w:tabs>
          <w:tab w:val="left" w:pos="1276"/>
        </w:tabs>
        <w:autoSpaceDE w:val="0"/>
        <w:autoSpaceDN w:val="0"/>
        <w:adjustRightInd w:val="0"/>
        <w:spacing w:after="0" w:line="240" w:lineRule="auto"/>
        <w:ind w:right="-8"/>
        <w:jc w:val="center"/>
        <w:rPr>
          <w:rFonts w:ascii="Times New Roman" w:hAnsi="Times New Roman" w:cs="Times New Roman"/>
          <w:b/>
          <w:sz w:val="24"/>
          <w:szCs w:val="24"/>
        </w:rPr>
      </w:pPr>
    </w:p>
    <w:p w:rsidR="00156925" w:rsidRPr="007671C9" w:rsidRDefault="00156925" w:rsidP="00156925">
      <w:pPr>
        <w:widowControl w:val="0"/>
        <w:tabs>
          <w:tab w:val="left" w:pos="1276"/>
        </w:tabs>
        <w:autoSpaceDE w:val="0"/>
        <w:autoSpaceDN w:val="0"/>
        <w:adjustRightInd w:val="0"/>
        <w:spacing w:after="0" w:line="240" w:lineRule="auto"/>
        <w:ind w:right="-8"/>
        <w:jc w:val="center"/>
        <w:rPr>
          <w:rFonts w:ascii="Times New Roman" w:hAnsi="Times New Roman" w:cs="Times New Roman"/>
          <w:b/>
          <w:sz w:val="24"/>
          <w:szCs w:val="24"/>
        </w:rPr>
      </w:pPr>
      <w:r w:rsidRPr="007671C9">
        <w:rPr>
          <w:rFonts w:ascii="Times New Roman" w:hAnsi="Times New Roman" w:cs="Times New Roman"/>
          <w:b/>
          <w:sz w:val="24"/>
          <w:szCs w:val="24"/>
        </w:rPr>
        <w:t>TESİSLER İLE İLGİLİ HESAPLAMA TEMELLİ YÖNTEMLER İÇİN</w:t>
      </w:r>
    </w:p>
    <w:p w:rsidR="00156925" w:rsidRPr="007671C9" w:rsidRDefault="00156925" w:rsidP="00156925">
      <w:pPr>
        <w:widowControl w:val="0"/>
        <w:tabs>
          <w:tab w:val="left" w:pos="1276"/>
        </w:tabs>
        <w:autoSpaceDE w:val="0"/>
        <w:autoSpaceDN w:val="0"/>
        <w:adjustRightInd w:val="0"/>
        <w:spacing w:after="0" w:line="240" w:lineRule="auto"/>
        <w:ind w:right="-8"/>
        <w:jc w:val="center"/>
        <w:rPr>
          <w:rFonts w:ascii="Times New Roman" w:hAnsi="Times New Roman" w:cs="Times New Roman"/>
          <w:b/>
          <w:sz w:val="24"/>
          <w:szCs w:val="24"/>
        </w:rPr>
      </w:pPr>
      <w:r w:rsidRPr="007671C9">
        <w:rPr>
          <w:rFonts w:ascii="Times New Roman" w:hAnsi="Times New Roman" w:cs="Times New Roman"/>
          <w:b/>
          <w:sz w:val="24"/>
          <w:szCs w:val="24"/>
        </w:rPr>
        <w:t>KADEME EŞİKLERİ</w:t>
      </w: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r w:rsidRPr="007671C9">
        <w:rPr>
          <w:rFonts w:ascii="Times New Roman" w:hAnsi="Times New Roman" w:cs="Times New Roman"/>
          <w:sz w:val="24"/>
          <w:szCs w:val="24"/>
        </w:rPr>
        <w:t>1. Faaliyet Verisi İçin Kademelerin Tanımı</w:t>
      </w: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r w:rsidRPr="007671C9">
        <w:rPr>
          <w:rFonts w:ascii="Times New Roman" w:hAnsi="Times New Roman" w:cs="Times New Roman"/>
          <w:sz w:val="24"/>
          <w:szCs w:val="24"/>
        </w:rPr>
        <w:t>Tablo 2.1’deki belirsizlik eşikleri, 26 ncı maddenin birinci fıkrasının (a) bendi, 27 nci maddenin ikinci fıkrası ve bu Tebliğin ek-3’ü kapsamında faaliyet verisi gereksinimleri ile bağlantılı kademelere uygulanır. Belirsizlik eşikleri, bir raporlama dönemi süresince kaynak akışlarının belirlenmesi için izin verilebilir azami belirsizlikler olarak yorumlanacaktır. Tablo 2.1, Yönetmeliğin ek-1’inde listelenen faaliyetleri içermediği ve kütle dengesi yönteminin uygulanmadığı durumlarda, işletme, söz konusu faaliyetler için Tablo 2.1’de “Yakıtların yanması ve proses girdisi olarak kullanılan yakıtlar” başlığı altında listelenen kademeleri kullanır.</w:t>
      </w:r>
    </w:p>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widowControl w:val="0"/>
        <w:autoSpaceDE w:val="0"/>
        <w:autoSpaceDN w:val="0"/>
        <w:adjustRightInd w:val="0"/>
        <w:ind w:right="-8"/>
        <w:rPr>
          <w:rFonts w:ascii="Times New Roman" w:hAnsi="Times New Roman" w:cs="Times New Roman"/>
          <w:b/>
          <w:sz w:val="20"/>
          <w:szCs w:val="20"/>
        </w:rPr>
      </w:pPr>
      <w:r w:rsidRPr="007671C9">
        <w:rPr>
          <w:rFonts w:ascii="Times New Roman" w:hAnsi="Times New Roman" w:cs="Times New Roman"/>
          <w:b/>
          <w:sz w:val="20"/>
          <w:szCs w:val="20"/>
        </w:rPr>
        <w:t>Tablo 2.1: Faaliyet Verisi için Kademeler (her bir kademe için azami izin verilebilir belirsizlik)</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2836"/>
        <w:gridCol w:w="992"/>
        <w:gridCol w:w="992"/>
        <w:gridCol w:w="992"/>
        <w:gridCol w:w="992"/>
      </w:tblGrid>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Faaliyet/kaynak akışı tipi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Belirsizliğin uygulanacağı parametre</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left="-108" w:right="-108"/>
              <w:rPr>
                <w:rFonts w:ascii="Times New Roman" w:hAnsi="Times New Roman" w:cs="Times New Roman"/>
                <w:b/>
                <w:sz w:val="20"/>
                <w:szCs w:val="20"/>
              </w:rPr>
            </w:pPr>
            <w:r w:rsidRPr="007671C9">
              <w:rPr>
                <w:rFonts w:ascii="Times New Roman" w:hAnsi="Times New Roman" w:cs="Times New Roman"/>
                <w:b/>
                <w:sz w:val="20"/>
                <w:szCs w:val="20"/>
              </w:rPr>
              <w:t>Kademe 1</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left="-108" w:right="-108"/>
              <w:rPr>
                <w:rFonts w:ascii="Times New Roman" w:hAnsi="Times New Roman" w:cs="Times New Roman"/>
                <w:b/>
                <w:sz w:val="20"/>
                <w:szCs w:val="20"/>
              </w:rPr>
            </w:pPr>
            <w:r w:rsidRPr="007671C9">
              <w:rPr>
                <w:rFonts w:ascii="Times New Roman" w:hAnsi="Times New Roman" w:cs="Times New Roman"/>
                <w:b/>
                <w:sz w:val="20"/>
                <w:szCs w:val="20"/>
              </w:rPr>
              <w:t xml:space="preserve">Kademe 2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left="-108" w:right="-108"/>
              <w:rPr>
                <w:rFonts w:ascii="Times New Roman" w:hAnsi="Times New Roman" w:cs="Times New Roman"/>
                <w:b/>
                <w:sz w:val="20"/>
                <w:szCs w:val="20"/>
              </w:rPr>
            </w:pPr>
            <w:r w:rsidRPr="007671C9">
              <w:rPr>
                <w:rFonts w:ascii="Times New Roman" w:hAnsi="Times New Roman" w:cs="Times New Roman"/>
                <w:b/>
                <w:sz w:val="20"/>
                <w:szCs w:val="20"/>
              </w:rPr>
              <w:t>Kademe 3</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left="-108" w:right="-108"/>
              <w:rPr>
                <w:rFonts w:ascii="Times New Roman" w:hAnsi="Times New Roman" w:cs="Times New Roman"/>
                <w:b/>
                <w:sz w:val="20"/>
                <w:szCs w:val="20"/>
              </w:rPr>
            </w:pPr>
            <w:r w:rsidRPr="007671C9">
              <w:rPr>
                <w:rFonts w:ascii="Times New Roman" w:hAnsi="Times New Roman" w:cs="Times New Roman"/>
                <w:b/>
                <w:sz w:val="20"/>
                <w:szCs w:val="20"/>
              </w:rPr>
              <w:t>Kademe 4</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Yakıtların yanması ve proses girdisi olarak kullanılan yakıtlar</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Ticari standart yakıtlar</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Yakıt miktarı [t] veya [Nm</w:t>
            </w:r>
            <w:r w:rsidRPr="007671C9">
              <w:rPr>
                <w:rFonts w:ascii="Times New Roman" w:hAnsi="Times New Roman" w:cs="Times New Roman"/>
                <w:sz w:val="18"/>
                <w:szCs w:val="18"/>
                <w:vertAlign w:val="superscript"/>
              </w:rPr>
              <w:t>3</w:t>
            </w:r>
            <w:r w:rsidRPr="007671C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rPr>
          <w:trHeight w:val="68"/>
        </w:trPr>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Diğer gaz &amp; sıvı yakıtlar</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Yakıt miktarı [t] veya [Nm</w:t>
            </w:r>
            <w:r w:rsidRPr="007671C9">
              <w:rPr>
                <w:rFonts w:ascii="Times New Roman" w:hAnsi="Times New Roman" w:cs="Times New Roman"/>
                <w:sz w:val="18"/>
                <w:szCs w:val="18"/>
                <w:vertAlign w:val="superscript"/>
              </w:rPr>
              <w:t>3</w:t>
            </w:r>
            <w:r w:rsidRPr="007671C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Katı yakıtlar</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Yakıt miktarı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Alevleme (Flaring)</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Yakılan gazın miktarı [Nm3]</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Yıkama: karbonat (Yöntem A)</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Tüketilen karbonat miktarı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rPr>
          <w:trHeight w:val="71"/>
        </w:trPr>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Yıkama: alçı taşı (Yöntem B)</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Üretilen alçı taşı miktarı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rPr>
          <w:trHeight w:val="71"/>
        </w:trPr>
        <w:tc>
          <w:tcPr>
            <w:tcW w:w="2661"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Yıkama: Üre </w:t>
            </w:r>
          </w:p>
        </w:tc>
        <w:tc>
          <w:tcPr>
            <w:tcW w:w="2836"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Tüketilen üre miktarı</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Petrol rafinasyonu</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Katalitik kırılma (kraking) rejenerasyonu *</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emisyon kaynağı için ayrı uygulanan belirsizlik gereksinimleri</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10</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Hidrojen üretimi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Hidrokarbon besleme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trike/>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trike/>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1"/>
                <w:sz w:val="18"/>
                <w:szCs w:val="18"/>
              </w:rPr>
            </w:pPr>
            <w:r w:rsidRPr="007671C9">
              <w:rPr>
                <w:rFonts w:ascii="Times New Roman" w:hAnsi="Times New Roman" w:cs="Times New Roman"/>
                <w:b/>
                <w:w w:val="101"/>
                <w:sz w:val="18"/>
                <w:szCs w:val="18"/>
              </w:rPr>
              <w:t xml:space="preserve">Kok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Giren ve çıkan her bir malzeme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2"/>
                <w:sz w:val="18"/>
                <w:szCs w:val="18"/>
              </w:rPr>
            </w:pPr>
            <w:r w:rsidRPr="007671C9">
              <w:rPr>
                <w:rFonts w:ascii="Times New Roman" w:hAnsi="Times New Roman" w:cs="Times New Roman"/>
                <w:b/>
                <w:w w:val="102"/>
                <w:sz w:val="18"/>
                <w:szCs w:val="18"/>
              </w:rPr>
              <w:t xml:space="preserve">Metal cevherinin kavrulması &amp; sinterlenmesi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Karbonat girişi </w:t>
            </w:r>
          </w:p>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Karbonat giriş malzemesi ve proses kalıntıları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Demir &amp; çelik üretimi</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lastRenderedPageBreak/>
              <w:t>Proses girdisi olarak yakıt</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Tesise giren ve tesisten çıkan her kütle akışı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Çimento klinkerinin üretimi</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Girdi bazlı fırın (Yöntem A)</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Klinker çıktısı (Yöntem B)</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Üretilen klinker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CKD (Çimento Fırın Tozu)</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CKD veya bypass tozu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Karbonat dışı karbon</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hammadde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15 %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Kireç üretimi ve dolomit ve magnezit kalsinasyonu</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Karbonatlar (Yöntem A)</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r w:rsidRPr="007671C9">
              <w:rPr>
                <w:rFonts w:ascii="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 xml:space="preserve">Toprak alkali oksit (Yöntem B) </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Üretilen kireç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Fırın tozu (Yöntem B)</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Fırın tozu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3"/>
                <w:sz w:val="18"/>
                <w:szCs w:val="18"/>
              </w:rPr>
            </w:pPr>
            <w:r w:rsidRPr="007671C9">
              <w:rPr>
                <w:rFonts w:ascii="Times New Roman" w:hAnsi="Times New Roman" w:cs="Times New Roman"/>
                <w:b/>
                <w:w w:val="103"/>
                <w:sz w:val="18"/>
                <w:szCs w:val="18"/>
              </w:rPr>
              <w:t xml:space="preserve">Cam ve cam yünü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Karbonatlar (girdi)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CO</w:t>
            </w:r>
            <w:r w:rsidRPr="007671C9">
              <w:rPr>
                <w:rFonts w:ascii="Times New Roman" w:hAnsi="Times New Roman" w:cs="Times New Roman"/>
                <w:sz w:val="18"/>
                <w:szCs w:val="18"/>
                <w:vertAlign w:val="subscript"/>
              </w:rPr>
              <w:t xml:space="preserve">2 </w:t>
            </w:r>
            <w:r w:rsidRPr="007671C9">
              <w:rPr>
                <w:rFonts w:ascii="Times New Roman" w:hAnsi="Times New Roman" w:cs="Times New Roman"/>
                <w:sz w:val="18"/>
                <w:szCs w:val="18"/>
              </w:rPr>
              <w:t>emisyonları ile bağlantılı her bir karbonatlı hammadde veya katkı maddesi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Faaliyet/kaynak akışı tipi</w:t>
            </w:r>
          </w:p>
        </w:tc>
        <w:tc>
          <w:tcPr>
            <w:tcW w:w="2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Belirsizliğin uygulanacağı parametre</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20"/>
                <w:szCs w:val="20"/>
              </w:rPr>
            </w:pPr>
            <w:r w:rsidRPr="007671C9">
              <w:rPr>
                <w:rFonts w:ascii="Times New Roman" w:hAnsi="Times New Roman" w:cs="Times New Roman"/>
                <w:b/>
                <w:sz w:val="20"/>
                <w:szCs w:val="20"/>
              </w:rPr>
              <w:t>Kademe 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20"/>
                <w:szCs w:val="20"/>
              </w:rPr>
            </w:pPr>
            <w:r w:rsidRPr="007671C9">
              <w:rPr>
                <w:rFonts w:ascii="Times New Roman" w:hAnsi="Times New Roman" w:cs="Times New Roman"/>
                <w:b/>
                <w:sz w:val="20"/>
                <w:szCs w:val="20"/>
              </w:rPr>
              <w:t xml:space="preserve">Kademe 2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20"/>
                <w:szCs w:val="20"/>
              </w:rPr>
            </w:pPr>
            <w:r w:rsidRPr="007671C9">
              <w:rPr>
                <w:rFonts w:ascii="Times New Roman" w:hAnsi="Times New Roman" w:cs="Times New Roman"/>
                <w:b/>
                <w:sz w:val="20"/>
                <w:szCs w:val="20"/>
              </w:rPr>
              <w:t>Kademe 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56925" w:rsidRPr="007671C9" w:rsidRDefault="00156925" w:rsidP="00156925">
            <w:pPr>
              <w:widowControl w:val="0"/>
              <w:autoSpaceDE w:val="0"/>
              <w:autoSpaceDN w:val="0"/>
              <w:adjustRightInd w:val="0"/>
              <w:ind w:right="-8"/>
              <w:rPr>
                <w:rFonts w:ascii="Times New Roman" w:hAnsi="Times New Roman" w:cs="Times New Roman"/>
                <w:b/>
                <w:sz w:val="20"/>
                <w:szCs w:val="20"/>
              </w:rPr>
            </w:pPr>
            <w:r w:rsidRPr="007671C9">
              <w:rPr>
                <w:rFonts w:ascii="Times New Roman" w:hAnsi="Times New Roman" w:cs="Times New Roman"/>
                <w:b/>
                <w:sz w:val="20"/>
                <w:szCs w:val="20"/>
              </w:rPr>
              <w:t>Kademe 4</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b/>
                <w:w w:val="105"/>
                <w:sz w:val="18"/>
                <w:szCs w:val="18"/>
              </w:rPr>
              <w:t xml:space="preserve">Seramik ürünlerin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Karbon girdileri (YöntemA)</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CO</w:t>
            </w:r>
            <w:r w:rsidRPr="007671C9">
              <w:rPr>
                <w:rFonts w:ascii="Times New Roman" w:hAnsi="Times New Roman" w:cs="Times New Roman"/>
                <w:sz w:val="18"/>
                <w:szCs w:val="18"/>
                <w:vertAlign w:val="subscript"/>
              </w:rPr>
              <w:t xml:space="preserve">2 </w:t>
            </w:r>
            <w:r w:rsidRPr="007671C9">
              <w:rPr>
                <w:rFonts w:ascii="Times New Roman" w:hAnsi="Times New Roman" w:cs="Times New Roman"/>
                <w:sz w:val="18"/>
                <w:szCs w:val="18"/>
              </w:rPr>
              <w:t>emisyonları ile bağlantılı her bir karbonat hammaddesi veya katkı maddeleri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Alkali oksit (Yöntem B)</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 xml:space="preserve">Reddedilen ürünler ile fırın ve nakliyat kaynaklı fireleri içeren toplam üretim [t]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Yıkama</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Tüketilen kuru CaCO</w:t>
            </w:r>
            <w:r w:rsidRPr="007671C9">
              <w:rPr>
                <w:rFonts w:ascii="Times New Roman" w:hAnsi="Times New Roman" w:cs="Times New Roman"/>
                <w:sz w:val="18"/>
                <w:szCs w:val="18"/>
                <w:vertAlign w:val="subscript"/>
              </w:rPr>
              <w:t>3</w:t>
            </w:r>
            <w:r w:rsidRPr="007671C9">
              <w:rPr>
                <w:rFonts w:ascii="Times New Roman" w:hAnsi="Times New Roman" w:cs="Times New Roman"/>
                <w:sz w:val="18"/>
                <w:szCs w:val="18"/>
              </w:rPr>
              <w:t xml:space="preserve">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5"/>
                <w:sz w:val="18"/>
                <w:szCs w:val="18"/>
              </w:rPr>
            </w:pPr>
            <w:r w:rsidRPr="007671C9">
              <w:rPr>
                <w:rFonts w:ascii="Times New Roman" w:hAnsi="Times New Roman" w:cs="Times New Roman"/>
                <w:b/>
                <w:w w:val="105"/>
                <w:sz w:val="18"/>
                <w:szCs w:val="18"/>
              </w:rPr>
              <w:t xml:space="preserve">Selüloz &amp; kağıt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trike/>
                <w:sz w:val="18"/>
                <w:szCs w:val="18"/>
              </w:rPr>
              <w:t>Takviye</w:t>
            </w:r>
            <w:r w:rsidRPr="007671C9">
              <w:rPr>
                <w:rFonts w:ascii="Times New Roman" w:hAnsi="Times New Roman" w:cs="Times New Roman"/>
                <w:sz w:val="18"/>
                <w:szCs w:val="18"/>
              </w:rPr>
              <w:t xml:space="preserve"> Ağartma kimyasalları</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CaCO</w:t>
            </w:r>
            <w:r w:rsidRPr="007671C9">
              <w:rPr>
                <w:rFonts w:ascii="Times New Roman" w:hAnsi="Times New Roman" w:cs="Times New Roman"/>
                <w:sz w:val="18"/>
                <w:szCs w:val="18"/>
                <w:vertAlign w:val="subscript"/>
              </w:rPr>
              <w:t>3</w:t>
            </w:r>
            <w:r w:rsidRPr="007671C9">
              <w:rPr>
                <w:rFonts w:ascii="Times New Roman" w:hAnsi="Times New Roman" w:cs="Times New Roman"/>
                <w:sz w:val="18"/>
                <w:szCs w:val="18"/>
              </w:rPr>
              <w:t xml:space="preserve"> ve Na</w:t>
            </w:r>
            <w:r w:rsidRPr="007671C9">
              <w:rPr>
                <w:rFonts w:ascii="Times New Roman" w:hAnsi="Times New Roman" w:cs="Times New Roman"/>
                <w:sz w:val="18"/>
                <w:szCs w:val="18"/>
                <w:vertAlign w:val="subscript"/>
              </w:rPr>
              <w:t>2</w:t>
            </w:r>
            <w:r w:rsidRPr="007671C9">
              <w:rPr>
                <w:rFonts w:ascii="Times New Roman" w:hAnsi="Times New Roman" w:cs="Times New Roman"/>
                <w:sz w:val="18"/>
                <w:szCs w:val="18"/>
              </w:rPr>
              <w:t>CO</w:t>
            </w:r>
            <w:r w:rsidRPr="007671C9">
              <w:rPr>
                <w:rFonts w:ascii="Times New Roman" w:hAnsi="Times New Roman" w:cs="Times New Roman"/>
                <w:sz w:val="18"/>
                <w:szCs w:val="18"/>
                <w:vertAlign w:val="subscript"/>
              </w:rPr>
              <w:t>3</w:t>
            </w:r>
            <w:r w:rsidRPr="007671C9">
              <w:rPr>
                <w:rFonts w:ascii="Times New Roman" w:hAnsi="Times New Roman" w:cs="Times New Roman"/>
                <w:sz w:val="18"/>
                <w:szCs w:val="18"/>
              </w:rPr>
              <w:t xml:space="preserve"> miktarı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b/>
                <w:w w:val="105"/>
                <w:sz w:val="18"/>
                <w:szCs w:val="18"/>
              </w:rPr>
              <w:t>Karbon siyahı üretimi</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4"/>
                <w:sz w:val="18"/>
                <w:szCs w:val="18"/>
              </w:rPr>
            </w:pPr>
            <w:r w:rsidRPr="007671C9">
              <w:rPr>
                <w:rFonts w:ascii="Times New Roman" w:hAnsi="Times New Roman" w:cs="Times New Roman"/>
                <w:b/>
                <w:w w:val="104"/>
                <w:sz w:val="18"/>
                <w:szCs w:val="18"/>
              </w:rPr>
              <w:t xml:space="preserve">Amonyak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Proses girdisi olan </w:t>
            </w:r>
            <w:r w:rsidRPr="007671C9">
              <w:rPr>
                <w:rFonts w:ascii="Times New Roman" w:hAnsi="Times New Roman" w:cs="Times New Roman"/>
                <w:strike/>
                <w:sz w:val="18"/>
                <w:szCs w:val="18"/>
              </w:rPr>
              <w:t>olarak</w:t>
            </w:r>
            <w:r w:rsidRPr="007671C9">
              <w:rPr>
                <w:rFonts w:ascii="Times New Roman" w:hAnsi="Times New Roman" w:cs="Times New Roman"/>
                <w:sz w:val="18"/>
                <w:szCs w:val="18"/>
              </w:rPr>
              <w:t xml:space="preserve"> yakıt miktarı [t] veya [Nm</w:t>
            </w:r>
            <w:r w:rsidRPr="007671C9">
              <w:rPr>
                <w:rFonts w:ascii="Times New Roman" w:hAnsi="Times New Roman" w:cs="Times New Roman"/>
                <w:sz w:val="18"/>
                <w:szCs w:val="18"/>
                <w:vertAlign w:val="superscript"/>
              </w:rPr>
              <w:t>3</w:t>
            </w:r>
            <w:r w:rsidRPr="007671C9">
              <w:rPr>
                <w:rFonts w:ascii="Times New Roman" w:hAnsi="Times New Roman" w:cs="Times New Roman"/>
                <w:sz w:val="18"/>
                <w:szCs w:val="18"/>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Proses girdisi olarak kullanılan yakıtın miktarı [t] veya [Nm</w:t>
            </w:r>
            <w:r w:rsidRPr="007671C9">
              <w:rPr>
                <w:rFonts w:ascii="Times New Roman" w:hAnsi="Times New Roman" w:cs="Times New Roman"/>
                <w:sz w:val="18"/>
                <w:szCs w:val="18"/>
                <w:vertAlign w:val="superscript"/>
              </w:rPr>
              <w:t>3</w:t>
            </w:r>
            <w:r w:rsidRPr="007671C9">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3"/>
                <w:sz w:val="18"/>
                <w:szCs w:val="18"/>
              </w:rPr>
            </w:pPr>
            <w:r w:rsidRPr="007671C9">
              <w:rPr>
                <w:rFonts w:ascii="Times New Roman" w:hAnsi="Times New Roman" w:cs="Times New Roman"/>
                <w:b/>
                <w:w w:val="103"/>
                <w:sz w:val="18"/>
                <w:szCs w:val="18"/>
              </w:rPr>
              <w:t xml:space="preserve">Hidrojen ve sentez gazının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Proses girdisi olan </w:t>
            </w:r>
            <w:r w:rsidRPr="007671C9">
              <w:rPr>
                <w:rFonts w:ascii="Times New Roman" w:hAnsi="Times New Roman" w:cs="Times New Roman"/>
                <w:strike/>
                <w:sz w:val="18"/>
                <w:szCs w:val="18"/>
              </w:rPr>
              <w:t>olarak</w:t>
            </w:r>
            <w:r w:rsidRPr="007671C9">
              <w:rPr>
                <w:rFonts w:ascii="Times New Roman" w:hAnsi="Times New Roman" w:cs="Times New Roman"/>
                <w:sz w:val="18"/>
                <w:szCs w:val="18"/>
              </w:rPr>
              <w:t xml:space="preserve"> yakıtlar</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Hidrojen üretimi için proses girdisi olarak kullanılan yakıtın miktarı [t] veya [Nm</w:t>
            </w:r>
            <w:r w:rsidRPr="007671C9">
              <w:rPr>
                <w:rFonts w:ascii="Times New Roman" w:hAnsi="Times New Roman" w:cs="Times New Roman"/>
                <w:sz w:val="18"/>
                <w:szCs w:val="18"/>
                <w:vertAlign w:val="superscript"/>
              </w:rPr>
              <w:t>3</w:t>
            </w:r>
            <w:r w:rsidRPr="007671C9">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w w:val="103"/>
                <w:sz w:val="18"/>
                <w:szCs w:val="18"/>
              </w:rPr>
            </w:pPr>
            <w:r w:rsidRPr="007671C9">
              <w:rPr>
                <w:rFonts w:ascii="Times New Roman" w:hAnsi="Times New Roman" w:cs="Times New Roman"/>
                <w:b/>
                <w:w w:val="103"/>
                <w:sz w:val="18"/>
                <w:szCs w:val="18"/>
              </w:rPr>
              <w:t xml:space="preserve">Hacimli organik kimyasalların üretimi </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Demir ve demir dışı madenlerin üretimi veya işlenmesi (İkincil alüminyum üretimi dahil)</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lastRenderedPageBreak/>
              <w:t>Proses emisyonları</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Her bir girdi malzemesi veya proses girdi malzemesi olarak kullanılan proses kalıntısı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9465" w:type="dxa"/>
            <w:gridSpan w:val="6"/>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b/>
                <w:sz w:val="18"/>
                <w:szCs w:val="18"/>
              </w:rPr>
            </w:pPr>
            <w:r w:rsidRPr="007671C9">
              <w:rPr>
                <w:rFonts w:ascii="Times New Roman" w:hAnsi="Times New Roman" w:cs="Times New Roman"/>
                <w:b/>
                <w:sz w:val="18"/>
                <w:szCs w:val="18"/>
              </w:rPr>
              <w:t>Birincil alüminyum üretimi</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Kütle dengesi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18"/>
                <w:szCs w:val="18"/>
              </w:rPr>
            </w:pPr>
            <w:r w:rsidRPr="007671C9">
              <w:rPr>
                <w:rFonts w:ascii="Times New Roman" w:hAnsi="Times New Roman" w:cs="Times New Roman"/>
                <w:sz w:val="18"/>
                <w:szCs w:val="18"/>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r>
      <w:tr w:rsidR="007671C9"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PFC emisyonları (eğim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tabs>
                <w:tab w:val="left" w:pos="3926"/>
              </w:tabs>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[t] cinsinde birincil alüminyum üretimi, [anot etkisi </w:t>
            </w:r>
            <w:r w:rsidRPr="007671C9">
              <w:rPr>
                <w:rFonts w:ascii="Times New Roman" w:hAnsi="Times New Roman" w:cs="Times New Roman"/>
                <w:strike/>
                <w:sz w:val="18"/>
                <w:szCs w:val="18"/>
              </w:rPr>
              <w:t>sayısı</w:t>
            </w:r>
            <w:r w:rsidRPr="007671C9">
              <w:rPr>
                <w:rFonts w:ascii="Times New Roman" w:hAnsi="Times New Roman" w:cs="Times New Roman"/>
                <w:sz w:val="18"/>
                <w:szCs w:val="18"/>
              </w:rPr>
              <w:t xml:space="preserve"> dakikaları /hücre gün] ve</w:t>
            </w:r>
          </w:p>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[anot etkisi dakikası/ sayı] cinsinde anot etki dakikası</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r w:rsidR="00156925" w:rsidRPr="007671C9" w:rsidTr="00156925">
        <w:tc>
          <w:tcPr>
            <w:tcW w:w="2661"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PFC emisyonları (aşırı gerilim yöntemi)</w:t>
            </w:r>
          </w:p>
        </w:tc>
        <w:tc>
          <w:tcPr>
            <w:tcW w:w="2836"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rPr>
                <w:rFonts w:ascii="Times New Roman" w:hAnsi="Times New Roman" w:cs="Times New Roman"/>
                <w:sz w:val="18"/>
                <w:szCs w:val="18"/>
              </w:rPr>
            </w:pPr>
            <w:r w:rsidRPr="007671C9">
              <w:rPr>
                <w:rFonts w:ascii="Times New Roman" w:hAnsi="Times New Roman" w:cs="Times New Roman"/>
                <w:sz w:val="18"/>
                <w:szCs w:val="18"/>
              </w:rPr>
              <w:t xml:space="preserve">[t] cinsinde birincil alüminyum üretimi, anot etkisi aşırı gerilim [mV] ve mevcut verimlilik [-] </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r w:rsidRPr="007671C9">
              <w:rPr>
                <w:rFonts w:ascii="Times New Roman" w:hAnsi="Times New Roman" w:cs="Times New Roman"/>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6925" w:rsidRPr="007671C9" w:rsidRDefault="00156925" w:rsidP="00156925">
            <w:pPr>
              <w:widowControl w:val="0"/>
              <w:autoSpaceDE w:val="0"/>
              <w:autoSpaceDN w:val="0"/>
              <w:adjustRightInd w:val="0"/>
              <w:ind w:right="-8"/>
              <w:jc w:val="both"/>
              <w:rPr>
                <w:rFonts w:ascii="Times New Roman" w:hAnsi="Times New Roman" w:cs="Times New Roman"/>
                <w:sz w:val="20"/>
                <w:szCs w:val="20"/>
              </w:rPr>
            </w:pPr>
          </w:p>
        </w:tc>
      </w:tr>
    </w:tbl>
    <w:p w:rsidR="00156925" w:rsidRPr="007671C9" w:rsidRDefault="00156925" w:rsidP="00156925">
      <w:pPr>
        <w:widowControl w:val="0"/>
        <w:tabs>
          <w:tab w:val="left" w:pos="1276"/>
        </w:tabs>
        <w:autoSpaceDE w:val="0"/>
        <w:autoSpaceDN w:val="0"/>
        <w:adjustRightInd w:val="0"/>
        <w:spacing w:after="0" w:line="240" w:lineRule="auto"/>
        <w:ind w:right="-8"/>
        <w:jc w:val="both"/>
        <w:rPr>
          <w:rFonts w:ascii="Times New Roman" w:hAnsi="Times New Roman" w:cs="Times New Roman"/>
          <w:sz w:val="24"/>
          <w:szCs w:val="24"/>
        </w:rPr>
      </w:pPr>
    </w:p>
    <w:p w:rsidR="00156925" w:rsidRPr="007671C9" w:rsidRDefault="00156925" w:rsidP="00156925">
      <w:pPr>
        <w:jc w:val="both"/>
        <w:rPr>
          <w:rFonts w:ascii="Times New Roman" w:hAnsi="Times New Roman" w:cs="Times New Roman"/>
          <w:sz w:val="20"/>
          <w:szCs w:val="20"/>
        </w:rPr>
      </w:pPr>
      <w:r w:rsidRPr="007671C9">
        <w:rPr>
          <w:rFonts w:ascii="Times New Roman" w:hAnsi="Times New Roman" w:cs="Times New Roman"/>
          <w:sz w:val="20"/>
          <w:szCs w:val="20"/>
        </w:rPr>
        <w:t xml:space="preserve">*Rafinerilerdeki katalitik kırılma (kraking) rejenerasyonundan (diğer katalizör rejenerasyonu ve flexi-koklaştırıcı) oluşan emisyonların izlenmesi için gerekli belirsizlik, bu kaynaktan doğan bütün emisyonların toplam belirsizliği ile bağlantılıdır. </w:t>
      </w:r>
    </w:p>
    <w:p w:rsidR="00156925" w:rsidRPr="007671C9" w:rsidRDefault="00156925" w:rsidP="00156925">
      <w:pPr>
        <w:jc w:val="both"/>
        <w:rPr>
          <w:rFonts w:ascii="Times New Roman" w:hAnsi="Times New Roman" w:cs="Times New Roman"/>
          <w:sz w:val="20"/>
          <w:szCs w:val="20"/>
        </w:rPr>
      </w:pPr>
      <w:r w:rsidRPr="007671C9">
        <w:rPr>
          <w:rFonts w:ascii="Times New Roman" w:hAnsi="Times New Roman" w:cs="Times New Roman"/>
          <w:sz w:val="20"/>
          <w:szCs w:val="20"/>
        </w:rPr>
        <w:t>** Sanayiye ait en iyi uygulama kılavuzlarını kullanarak tahmin edilen bir raporlama dönemi süresince fırın sistemini terk eden CKD (çimento fırın tozu) veya bypass tozunun (geçerli olduğu durumda) miktarı [t].</w:t>
      </w:r>
    </w:p>
    <w:p w:rsidR="00156925" w:rsidRPr="007671C9" w:rsidRDefault="00156925" w:rsidP="00156925">
      <w:pPr>
        <w:jc w:val="both"/>
        <w:rPr>
          <w:rFonts w:ascii="Times New Roman" w:hAnsi="Times New Roman" w:cs="Times New Roman"/>
          <w:sz w:val="24"/>
          <w:szCs w:val="24"/>
        </w:rPr>
      </w:pP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2. </w:t>
      </w:r>
      <w:r w:rsidRPr="007671C9">
        <w:rPr>
          <w:rFonts w:ascii="Times New Roman" w:hAnsi="Times New Roman" w:cs="Times New Roman"/>
          <w:sz w:val="24"/>
          <w:szCs w:val="24"/>
        </w:rPr>
        <w:tab/>
        <w:t>Yanma Emisyonlarının Hesaplama Faktörleri İçin Kademelerin Tanımı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İşletmeler Yönetmeliğin ek-1’inde listelenen faaliyetler altında gerçekleşen her tip yanma işleminden kaynaklanan CO2 emisyonlarını, bu bölümde yer alan kademeleri kullanarak izler. CO2 emisyonlarına sebep olan, yanma emisyonları kuralları ile aynı kurallar geçerlidi bu Ekin 5. İnci bölümündeki hükümler uygulanır. Yakıtların, bu Tebliğin 23 üncü maddesinin birinci fıkrasında tanımlanan kütle dengesinin bir parçası olduğu durumlarda, bu Ekin 3 üncü bölümünde yer alan kütle dengesi kademe tanımları geçerlidir.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Yakıtların ve yanabilir malzemelerin proses girdisi olarak kullanıldığı durumlarda bu Ekin 5. İnci bölümündeki hükümler uygulanır.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Baca gazı yıkamadan kaynaklanan proses emisyonları için, bu Ekin 4 üncü ve 5  inci bölümünde yer alan kademe tanımları kullanır. -.</w:t>
      </w:r>
    </w:p>
    <w:p w:rsidR="00156925" w:rsidRPr="007671C9" w:rsidRDefault="00156925" w:rsidP="00156925">
      <w:pPr>
        <w:jc w:val="both"/>
        <w:rPr>
          <w:rFonts w:ascii="Times New Roman" w:hAnsi="Times New Roman" w:cs="Times New Roman"/>
          <w:sz w:val="24"/>
          <w:szCs w:val="24"/>
        </w:rPr>
      </w:pP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2.1 Emisyon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Karışık bir yakıt veya malzeme için biyokütle oranı belirlenirken, tanımlanan  kademeler ön emisyon faktörü ile bağlantılıdır. Fosil yakıtlar ve maddeler için ise kademeler emisyon faktörü ile bağlantılıdır.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aşağıdakilerden birini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Ek-5'in 1 inci bölümünde listelenen standart faktörler,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Ek-5'in 1 inci bölümünde uygulanabilir değer bulunmadığında, 29 uncu maddenin birinci fıkrasının (c) veya (d) bendi ile bağlantılı olarak diğer sabit değerler.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Kademe 2a: İşletme, 29 uncu maddenin birinci fıkrasının (b) ve (c) bendi uyarınca ilgili yakıt veya malzeme için Bakanlıkça yayımlanan ulusal emisyon faktörlerini veya (ç) bendi uyarınca elde edilen değerleri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2b: İşletme 30 uncu maddeden 33 üncü maddeye kadar ve 37 nci maddelere uygun olarak yılda en az bir kere belirlenen deneysel korelasyon ile bağlantılı olarak, aşağıda oluşturulmuş ikamelerin birine dayanan yakıt için emisyon faktörlerini belirler: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Rafineri veya çelik sanayisinde ortak olanlar dahil, belirli yağların veya gazların yoğunluk ölçümü,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Belirli kömür tipleri için net kalorifik değer.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korelasyonun ilgili ulusal ve uluslararası standartların gereksinimlerini karşılamasını ve sadece oluşturulan değer aralığına karşılık gelen ikame değerlerin uygulanmasını temin eder.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3:  (a) İşletme, 30 uncu maddeden 33 üncü maddeye kadar ilgili hükümler kapsamında emisyon faktörünü belirler.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İşletmenin Baknlığın onayı ile deneysel korelasyonun belirsizliğinin ilgili yakıt veya malzemeye ait faaliyet verileri için uyması gereken kademe belirsizlik değerinin 1/3 ünden fazla olmadığını gösterdiği durumda kademe 2b de yer alan deneysel korelasyon sonuçları uygulanır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2.2 Net Kalorifik Değer (NKD)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aşağıdakilerden birini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Ek-5'in 1 inci bölümünde listelenen standart faktörler;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Ek-5'in 1 inci bölümünde uygulanabilir değer bulunmadığı durumda, 29 uncu maddenin birinci fıkrasının (ç) bentleriyle bağlantılı olarak diğer sabit değerler.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2a: İşletme, 29 uncu maddenin birinci fıkrasının (b) ve (c) bendi uyarınca ilgili yakıt veya malzeme için net kalorifik değerleri veya (d) bendi uyarınca elde edilen değerleri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2b: Ticari olarak işlem gören yakıtlar için, kabul edilmiş ulusal veya uluslararası standartlara dayanarak belirlenen ve yakıt tedarikçisi tarafından sağlanan ilgili yakıta ilişkin satın alma kayıtlarında yer alan net kalorifik değer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3: İşletme, 30 uncu maddeden 33 üncü maddeye kadar ilgili hükümler kapsamında net kalorifik değeri belirler.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2.3 Yükseltgenme Faktörleri İçin Kademeler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yükseltgenme faktörü olarak 1 değerini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İşletme, 29 uncu maddenin birinci fıkrasının (b) bendi kapsamında ilgili yakıt için olan yükseltgenme faktörlerini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3: Yakıtlar için işletme, külde, sıvı haldeki atıklarda, diğer atıklarda ve yan ürünlerde yanmamış karbon miktarı ve CO haricinde tam olmayan yanma sonucunda oluşan diğer gaz formundaki karbona dayanarak faaliyete özgü faktörleri belirler. Kompozisyon verisi, 30 uncu maddeden 33 üncü maddeye kadar olan maddeler kapsamında belirlenir.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2.4 Biyokütle Oranı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Kademe 1: İşletme, 39 uncu maddenin ikinci fıkrası ile bağlantılı olarak Bakanlık tarafından yayımlanan veya 29 uncu maddenin birinci fıkrası ile bağlantılı olarak belirlenen bir değeri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 İşletme, 37 inci maddenin ikinci fıkrası ile uyarınca onaylanmış bir teahmin yön temini uygular.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3: İşletme, 37 inci maddenin ikinci fıkrası ve 30 uncu maddeden 33 üncü maddeye kadar olan hükümler çerçevesinde analiz yapar.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İşletmenin 37 inci maddenin birinci fıkrası uyarınca fosil kesrini %100 aldığı durumda biyokütle kesrine herhangi bir kademe uygulanmaz.</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3. Kütle Dengesi Yönteminde Hesaplama Faktörleri İçin Kademelerin Tanımı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23 üncü madde kapsamında kütle dengesini kullandığı durumda, bu bölümde yer alan kademe tanımlarını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3.1 Karbon İçeriği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burada listelenen kademelerden birini kullanır. Bir emisyon faktöründen karbon içeriğini hesaplamak için, işletme aşağıdaki denklemleri kullanır: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t CO2/TJ olarak ifade edilen emisyon faktörleri için:  C = (EF × NKD) / f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t CO2/t olarak ifade edilen emisyon faktörleri için: C = EF / f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Bu formüllerde, C oran (ton cinsinde ürün başına ton cinsinde karbon) olarak ifade edilen karbon içeriği, EF emisyon faktörü, NKD net kalorifik değer, f ise 34 üncü maddenin üçüncü fıkrasında belirtilen değerdir.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Karışık bir yakıt veya malzeme için biyokütle oranının belirleneceği durumlarda, tanımlanmış kademeler toplam karbon içeriği ile bağlantılı olur. Karbonun biyokütle oranı, bu ekin 2.4’ünde tanımlanan kademeler kullanılarak belirlenir.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aşağıdakilerden birini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Ek-5'in 1 inci ve 2 nci bölümünde listelenen standart faktörlerden çıkartılan karbon içeriği,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Ek-5'in 1 inci ve 2 nci bölümünde uygulanabilir değer bulunmadığı durumda, 29 uncu maddenin birinci fıkrasına ait (ç) bentleri kapsamındaki diğer sabit değerler.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2a: İşletme, 29 uncu maddenin birinci fıkrasının (b) ve (c) bendi uyarınca ilgili yakıt veya malzeme için karbon içeriğini veya (d) bendi uyarınca elde edilen değerleri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2b: İşletme, 30 uncu maddeden 33 üncü maddeye kadar olan maddeler kapsamında, yılda en az bir kere belirlenen deneysel korelasyon ile bağlantılı olarak, aşağıda oluşturulmuş ikamelerin bir tanesine dayanan yakıt için emisyon faktörlerinden karbon içeriğini belirler: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Rafineri veya çelik sanayisinde ortak olanlar dahil, belirli yağların veya gazların yoğunluk ölçümü,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Belirli kömür tipleri için net kalorifik değer.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korelasyonun ilgili ulusal ve uluslararası standartların gereksinimlerini karşılamasını ve sadece oluşturulduğu aralıkta bulunan ikame değerlerine uygulanmasını temin eder.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Kademe 3: (a) İşletme, 30 uncu maddeden 33 üncü maddeye kadar ilgili hükümler kapsamında karbon içeriğini belirler.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İşletmenin Bakanlığın onayı ile deneysel korelasyonun belirsizliğinin ilgili yakıt veya malzeme ye ait faaliyet verileri için uyması gereken kademe belirsizlik değerinin 1/3 ünden fazla olmadığını gösterdiği durumda kademe 2b de yer alan deneysel korelasyon sonuçları uygulanır.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 3.2 Net Kalorifik Değerler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Bu Ekin 2.2 maddesinde belirtilen kademeler kullanılır.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3.3 Biyokütle oranı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Bu Ekin 2.4 maddesinde belirlenen kademeler uygulanır.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 Karbonat Dekompozisyonundan Kaynaklanan Proses Emisyonları İçin Hesaplama Faktörlerine Ait Kademelerin Tanımı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22 nci maddenin ikinci fıkrası kapsamında standart yöntem kullanılarak izlenen proses emisyonlarına yönelik emisyon faktörü için aşağıdaki durumlara karşılık gelen kademe tanımları uygulanır: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Yöntem A: Girdi bazlı, prosese giren malzeme miktarı ile ilgili emisyon faktörü ve faaliyet verisi,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Yöntem B: Çıktı bazlı, prosesten çıkan malzeme miktarı ile ilgili emisyon faktörü ve faaliyet verisi.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4.1 Yöntem A Kullanan Emisyon Faktörü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1: İşletme aşağıdakilerden birini kullanır: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w:t>
      </w:r>
      <w:r w:rsidRPr="007671C9">
        <w:rPr>
          <w:rFonts w:ascii="Times New Roman" w:hAnsi="Times New Roman" w:cs="Times New Roman"/>
          <w:sz w:val="24"/>
          <w:szCs w:val="24"/>
        </w:rPr>
        <w:tab/>
        <w:t>Ek-5 bölüm 2 tablo 2 de verilen standart faktörler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w:t>
      </w:r>
      <w:r w:rsidRPr="007671C9">
        <w:rPr>
          <w:rFonts w:ascii="Times New Roman" w:hAnsi="Times New Roman" w:cs="Times New Roman"/>
          <w:sz w:val="24"/>
          <w:szCs w:val="24"/>
        </w:rPr>
        <w:tab/>
        <w:t>Ek-5 de standart faktörlerin olmadığı durumlarda Madde 29 e bendini uyarınca belirlenene diğer sabit faktörler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 Madde 29 b bendi uyarınca ülkeye özel faktörler veya  c bendi uyarınca belirlenen faktörler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3: İşletme emisyon faktörünü 30 uncu maddeden 33 üncü maddeye kadar olan maddeler kapsamında belirler. Gerekli olduğu durumlarda, kompozisyon verisinin emisyon faktörlerine dönüştürülmesi için, ek-5'in 2 nci bölümünde listelenen stokiyometrik oranlar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4.2 Yöntem A Kullanan Dönüşüm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Dönüşüm faktörü olarak 1 kullanılır.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Prosesten çıkan karbonatlar ve diğer karbonlar için dönüşüm faktörü 0 ile 1 arasındaki bir değer olarak kullanılır. İşletme bir veya daha fazla girdi için tam dönüşüm varsayabilir ve dönüştürülmemiş malzemeler ile diğer karbonu kalan diğer girdilere bağlar. Ürünlerin ilgili kimyasal parametrelerinin ilaveten belirlenmesi 30 uncu maddeden 33 üncü maddeye kadar olan maddeler kapsamında yürütülür.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4.3 Yöntem B Kullanan Emisyon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Kademe 1: İşletme aşağıdakilerden birini kullanır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ek-5'in 2 nci bölümü Tablo 5.3’te listelenen standart faktörleri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Ek-5 de standart faktörlerin olmadığı durumlarda Madde 29 (ç) bendini uyarınca belirlenen diğer sabit faktörler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  İşletme, Madde 29 b bendi uyarınca ülkeye özel faktörler veya Madde 29 (ç) bendi uyarınca belirlenen faktörleri uygular.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3: İşletme, üründeki karbonatların ayrışmasında ortaya çıkan ilgili metal oksitlerin miktarlarının belirlenmesi, 30inci maddeden 33 üncü maddeye kadar olan maddeler kapsamında yürütülür. Kompozisyon verisinin emisyon faktörlerine dönüştürülmesi için, ilgili bütün metal oksitlerin karşılık gelen karbonatlardan çıktığı varsayılarak, ek-5'in 2 nci bölümünde listelenen stokiyometrik oranlar kullanılır. Bu amaçla, işletme asgari olarak CaO ve MgO ‘yu dikkate alır ve Bakanlığa farindeki karbonatlarla ilişkili olan diğer metal oksitlerle ilgili kanıt sunar.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4.4 Yöntem B Kullanan Dönüşüm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Dönüşüm faktörü olarak 1 kullanılacaktır.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Sisteme geri beslenen tozu, uçucu külü veya hali hazırda kalsine olmuş malzemeleri içeren, hammaddelerdeki ilgili maddelerin karbonat olmayan bileşiklerinin miktarı, 1 değerinin hammadde karbonatlarının oksitlere tam dönüşümünü temsil edecek şekilde, 0 ile 1 arasındaki bir değere sahip dönüşüm faktörleri vasıtası ile yansıtılacaktır. Proses girdileri ile ilgili kimyasal parametrelerin ilaveten belirlenmesi 30 uncu maddeden 33 üncü maddeye kadar olan maddeler kapsamında yürütülür.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 KARBONATLAR DIŞINDAKİ DİĞER MALZEMELER KAYNAKLI PROSES EMİSYONLARI İÇİN HESAPLAMA FAKTÖRLERİNE AİT KADEME TANIMI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Üre, kok, grafit, ve diğer karbonat olmayan karbon içeren malzemeler de dahil olmak üzere, CO2 emisyonlarına sebep olan proses malzemeleri kütle dengesine dahil oldukları durum hariç olmak üzere bu bölümde tanımlanan girdi temelli yöntem ile izlenir.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5.1 emisyon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Bu ekin 2.1 maddesinde tanımlanan kademeler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5.2 net kalorifik değer (NKD)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Proses malzemesi yanabilen karbon içeriyor ise işletme NKD değerini raporlar. Bu ekin madde 2.2sinde tanımlanan tademeler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5.3 dönüşüm / oksidasyon faktörleri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Şayet proses malzemesi yanabilen karbon içeriyor ise işletme bir oksidasyon faktörü kullanır. Bu amaç için bu ekin madde 2.3 ünde tanımlanan kademeler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Diğer tüm durumlarda işletme dönüşüm faktörü kullanır. Bu amaç için aşağıdaki kademe tanımları geçerli olur: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1: Dönüşüm faktörü olarak 1 kullanılır.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prosesi terkeden karbon 0 ila 1 arasında yer alan bir dönüşüm faktörü olarak ifade edilir. İşletme bir veya birden fazla girdi için tam dönüşüm varsayabilir ve dönüşmeyen </w:t>
      </w:r>
      <w:r w:rsidRPr="007671C9">
        <w:rPr>
          <w:rFonts w:ascii="Times New Roman" w:hAnsi="Times New Roman" w:cs="Times New Roman"/>
          <w:sz w:val="24"/>
          <w:szCs w:val="24"/>
        </w:rPr>
        <w:lastRenderedPageBreak/>
        <w:t>malzemeleriveya diğer karbonu kalan girdilere atfedebilir. Ürünlerin ilgili kimyasal parametrelerinin belirlenmesi 30 uncu maddeden 33 üncü maddeye kadar olan maddeler kapsamında yürütülür.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5.4 Biyokütle oranı için kademeler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Bu ekin madde 2.4 ünde tanımlanan kademeler kullanılır.</w:t>
      </w: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4D2E85" w:rsidRPr="007671C9" w:rsidRDefault="004D2E85" w:rsidP="00156925">
      <w:pPr>
        <w:jc w:val="center"/>
        <w:rPr>
          <w:rFonts w:ascii="Times New Roman" w:hAnsi="Times New Roman" w:cs="Times New Roman"/>
          <w:b/>
          <w:sz w:val="24"/>
          <w:szCs w:val="24"/>
        </w:rPr>
      </w:pPr>
    </w:p>
    <w:p w:rsidR="00156925" w:rsidRPr="007671C9" w:rsidRDefault="00156925" w:rsidP="00156925">
      <w:pPr>
        <w:jc w:val="center"/>
        <w:rPr>
          <w:rFonts w:ascii="Times New Roman" w:hAnsi="Times New Roman" w:cs="Times New Roman"/>
          <w:b/>
          <w:sz w:val="24"/>
          <w:szCs w:val="24"/>
        </w:rPr>
      </w:pPr>
      <w:r w:rsidRPr="007671C9">
        <w:rPr>
          <w:rFonts w:ascii="Times New Roman" w:hAnsi="Times New Roman" w:cs="Times New Roman"/>
          <w:b/>
          <w:sz w:val="24"/>
          <w:szCs w:val="24"/>
        </w:rPr>
        <w:t>EK-3</w:t>
      </w:r>
    </w:p>
    <w:p w:rsidR="00156925" w:rsidRPr="007671C9" w:rsidRDefault="00156925" w:rsidP="00156925">
      <w:pPr>
        <w:jc w:val="center"/>
        <w:rPr>
          <w:rFonts w:ascii="Times New Roman" w:hAnsi="Times New Roman" w:cs="Times New Roman"/>
          <w:b/>
          <w:sz w:val="24"/>
          <w:szCs w:val="24"/>
        </w:rPr>
      </w:pPr>
      <w:r w:rsidRPr="007671C9">
        <w:rPr>
          <w:rFonts w:ascii="Times New Roman" w:hAnsi="Times New Roman" w:cs="Times New Roman"/>
          <w:b/>
          <w:sz w:val="24"/>
          <w:szCs w:val="24"/>
        </w:rPr>
        <w:t>TESİSLER İLE İLGİLİ FAALİYETE ÖZGÜ İZLEME YÖNTEMLERİ</w:t>
      </w:r>
    </w:p>
    <w:p w:rsidR="00156925" w:rsidRPr="007671C9" w:rsidRDefault="00156925" w:rsidP="00156925">
      <w:pPr>
        <w:jc w:val="both"/>
        <w:rPr>
          <w:rFonts w:ascii="Times New Roman" w:hAnsi="Times New Roman" w:cs="Times New Roman"/>
          <w:sz w:val="24"/>
          <w:szCs w:val="24"/>
        </w:rPr>
      </w:pP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1. Yanma Proseslerinden Kaynaklanan Emisyonlar için Özel İzleme Kuralları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Yönetmeliğin ek-1’inde listelenen faaliyetler altında yer alan tüm yanma proseslerinden kaynaklanan CO2 emisyonlarını izler. Emisyonlara uygulanan diğer sınıflandırmalar için, izleme ve raporlama yöntemlerine ilişkin proses girdisi olarak kullanılan yakıtlardan kaynaklanan emisyonlar yanma emisyonları gibi değerlendirilir.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diğer tesislere ısı veya elektrik ihracına bakmaksızın, tesisteki yakıtların yanmasından kaynaklanan tüm emisyonları tesis kapsamında değerlendirir. Diğer tesislerden ısı ve elektrik ithal edilen tesislerde ise, ithal edilen bu ısı veya elektrik üretimine ilişkin emisyonlar tesis kapsamında değerlendirilmez.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emisyon kaynaklarını dahil eder: buhar kazanları, sanayi ocakları, türbinler, ısıtıcılar, her türlü fırınlar, insineratörler, ocaklar, kurutucular, motorlar, alev bacaları, yıkayıcı kuleler (proses emisyonları) ve nakliye amaçlı kullanılan yanmalı motorlu ekipman ve makineler hariç diğer yakıt kullanan ekipman ve makineler.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en az aşağıdaki emisyon kaynaklarını dahil eder: buhar kazanları, sanayi ocakları, türbinler, ısıtıcılar, her türlü fırınlar, insineratörler, kalsinatörler, ocaklar, kurutucular, motorlar, yakıt hücreleri, kimyasal döngü yakma üniteleri, alev bacaları, termal veya katalitik yakma sonrası üniteler, yıkayıcı kuleler (proses emisyonları) ve nakliye amaçlı kullanılan yanmalı motorlu ekipman ve makineler hariç diğer yakıt kullanan ekipman ve makineler.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23 üncü madde uyarınca yakıtların kütle dengesinde yer almadığı durumda, yanma proseslerinden kaynaklanan emisyonlar 22 nci maddenin birinci fıkrasına göre hesaplanır ve ek-2'nin 2 nci bölümünde tanımlanan kademeler uygulanır. Ayrıca, baca gazı yıkama işlemlerinden kaynaklanan proses emisyonları bu Ekin C bölümünde yer alan hükümler kapsamında izlenir.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 Bu Ekin D bölümünde belirtildiği gibi, alev bacalarından kaynaklanan emisyonlar için özel gereklilikler uygulanır.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23 üncü madde uyarınca gaz işleme terminallerinde gerçekleşen yanma prosesleri kütle dengesi kullanılarak izlenir.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C) Atık Gazın Yıkanması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Baca gazı akışından asit gazın temizlenmesi için karbonat kullanımından kaynaklanan CO2 proses emisyonları 22 nci maddenin ikinci fıkrası uyarınca, tüketilen karbonat (Yöntem A), veya üretilen alçı taşı (Yöntem B) bazında hesaplanır.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 Yöntem A: Emisyon Faktörü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1: Emisyon faktörleri ek-5'in 2 nci bölümünde listelenen stokiyometrik oranlar ile belirlenir. İlgili girdi malzemelerindeki CaCO3 ve MgCO3 miktarları ulusal ve uluslararası standartlar kullanılarak belirlenir.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Yöntem B: Emisyon Faktörü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Emisyon faktörü kuru alçı taşının (CaSO4.2H2O) salınan CO2’ye stokiyometrik oranı olmalıdır: 0.2558 t CO2/ t alçı taşı.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C.1 Desülfürizasyon</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Baca gazı akışından asit gazın temizlenmesi için karbonat kullanımından kaynaklanan CO2 proses emisyonları 22 nci maddenin ikinci fıkrası uyarınca, tüketilen karbonat (Yöntem A), veya üretilen alçı taşı (Yöntem B) bazında hesaplanır. Ek-2 bölüm 4 den farklı olarak aşağıdakiler uygulanır.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 Yöntem A: Emisyon Faktörü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Kademe 1: Emisyon faktörleri ek-5'in 2 nci bölümünde listelenen stokiyometrik oranlar ile belirlenir. İlgili girdi malzemelerindeki CaCO3 ve MgCO3 miktarları ulusal ve uluslararası standartlar kullanılarak belirlenir.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Yöntem B: Emisyon Faktörü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Emisyon faktörü kuru alçı taşının (CaSO4.2H2O) salınan CO2’ye stokiyometrik oranı olmalıdır: 0.2558 t CO2/ t alçı taşı.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Dönüşüm Faktörü</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1: Dönüşüm faktörü olarak 1 alınır.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C.2 De-NOx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Ek-2 Bölüm 5 den farklı olarak, atık gaz akımının yıkanması için kullanılan üre kaynaklı proses emisyonları Madde 24 ün ikinci fıkrasına uygun olarak aşağıdaki kademe tanımları ile hesaplanır.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Emisyon faktörü:</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ilgili girdi malzemesi içerisindeki üre miktarı en iyi sanayi uygulamarı kılavuzları kullanılarak yapılır. Emisyon faktörü 0,7328 t CO2/t üre stokiyometrik oranı kullanılarak tespit edilir.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Dönüşüm faktörü:</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Sadece kademe 1 kullanılabilir.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D) Alev Bacaları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alev bacalarından kaynaklanan emisyonları hesaplarken rutin tutuşmaları ve işletimsel tutuşmaları (acil durumların yanı sıra devre dışı kalma, başlatma ve kapatma) dâhil eder. İşletme ayrıca 46 ncı madde uyarınca dâhili CO2’yi de dahil eder. </w:t>
      </w:r>
    </w:p>
    <w:p w:rsidR="00156925" w:rsidRPr="007671C9" w:rsidRDefault="00156925" w:rsidP="00156925">
      <w:pPr>
        <w:jc w:val="both"/>
        <w:rPr>
          <w:rFonts w:ascii="Times New Roman" w:hAnsi="Times New Roman" w:cs="Times New Roman"/>
          <w:sz w:val="24"/>
          <w:szCs w:val="24"/>
        </w:rPr>
      </w:pP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Ek-2'nin 2.1 bölümü dahilinde emisyon faktörü için kademe 1 ve kademe 2b aşağıdaki gibi tanımlanır: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baca gazları için ihtiyatlı bir ikame olarak kullanılan saf etanın yanmasından elde edilen 0.00393 t CO2/Nm3 lük referans emisyon faktörünü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2b: Tesise özgü emisyon faktörleri, sanayi standart modellerine dayanan proses modellemesi kullanılarak, alev bacası akışının moleküler ağırlığının tahmininden elde edilir. Katkıda bulunan her bir akışın göreceli oranlarını ve moleküler ağılıklarını değerlendirerek, baca gazının moleküler ağırlığı için ağırlıklı yıllık ortalama bir değer elde edilir.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Ek-2'nin 2.1 bölümü dâhilinde, alev bacalarında oksidasyon faktörü için kademe 1 ve kademe 2 uygulanır.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2. Yönetmeliğin Ek-1’inde Listelenen Petrol Rafinasyonu</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rafinerilerde meydana gelen yanma ve üretim proseslerinden kaynaklanan tüm CO2 emisyonlarını izler ve raporlar.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en az aşağıdaki potansiyel CO2 emisyon kaynaklarını dahil eder: buhar kazanları, proses ısıtıcıları /treaters, içten yanmalı motorlar / türbinler, katalitik ve termal oksitleyiciler,  kok işleyen fırınlar, yangın pompaları, acil durum/yedek jeneratörler, alev bacaları, insineratörler, parçalayıcılar, hidrojen üretim birimleri, Klaus proses birimleri, katalizör rejenerasyon (katalitik kraking ve diğer katalitik işlemleri ile) ve koklaştırıcı (fleksi-koklaştırıcı, geciktirilmiş koklaştırma).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Baca gazı yıkama işleminin de dahil olduğu yanma emisyonları için petrol rafinasyon faaliyetlerinin izlenmesi bu Ekin 1 inci kısmına uygun olarak yürütülür. İşletme, bütün rafineri için veya ağır petrol gazlaştırma veya kalsinasyon tesisleri gibi her bir proses birimi için 23 üncü madde ile uyumlu olarak kütle dengesi yöntemini kullanabilir. Standart yöntem ve kütle dengesi yöntem kombinasyonları kullanıldığında, işletme Bakanlığa kapsamdaki emisyonların eksiksizliğine ve emisyonların mükerrer sayımının olmadığına dair bilgi ve belgeleri sunar.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Özel olarak hidrojen üretimi yapan üretim birimleri kaynaklı emiyonlar bu ekin 19 uncu maddesi uyarınca izlenir.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Katalitik kraking rejenerasyonu, diğer katalizör rejenerasyonu ve fleksi-koklaştırıcılardan kaynaklanan emisyonlar, giren havanın ve baca gazının durumu dikkate alınarak, kütle dengesi yöntemi kullanılarak izlenir. Kütle ilişkisi uygulayarak: t CO2 = t CO * 1,571, baca gazındaki tüm CO, CO2 olarak kabul edilir. Giren hava ve baca gazına ilişkin analizler ve kademe seçimi 30 uncu maddeden 33 üncü maddeye kadar olan maddelerin ilgili hükümleri ile uyumluluk içinde olur. Belirli bir hesaplama yöntemi Bakanlık tarafından onaylanır.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3. Yönetmeliğin Ek-1’inde Listelenen Kok Üretimi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asgari olarak aşağıdaki potansiyel CO2 kaynaklarını dahil eder: hammaddeler (kömür veya petrol koku dahil), yakıtlar (doğal gaz dahil), proses gazları (yüksek fırın gazı dahil), diğer yakıtlar ve atık gaz yıkama.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kok üretiminden kaynaklanan emisyonların izlenmesi için 23 üncü madde ve ek-2'nin 3 üncü bölümü ile uyumlu olarak kütle dengesi yöntemini veya 22 nci madde ve ek-2'nin 2 nci bölümü ve ek-2'nin 4 üncü bölümü ile uyumlu olarak standart yöntemi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4.</w:t>
      </w:r>
      <w:r w:rsidRPr="007671C9">
        <w:rPr>
          <w:rFonts w:ascii="Times New Roman" w:hAnsi="Times New Roman" w:cs="Times New Roman"/>
          <w:sz w:val="24"/>
          <w:szCs w:val="24"/>
        </w:rPr>
        <w:tab/>
        <w:t xml:space="preserve">Yönetmeliğin Ek-1’inde Listelenen Metal Cevherinin Kavrulması ve Sinterlenmesi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asgari olarak aşağıdaki potansiyel CO2 kaynaklarını dahil eder: hammaddeler (kireçtaşının kalsinasyonu, dolomit ve karbonatlı demir cevheri, FeCO3 dahil), yakıtlar (doğal gaz ve kok/kok tozu dahil), proses gazları (kok fırın gazı ve yüksek fırın gazı dahil), sinter tesisinin neden olduğu filtre edilmiş toz dahil olmak üzere girdi malzemesi olarak kullanılan proses kalıntıları, dönüştürücüler ve yüksek fırın, diğer yakıtlar ve atık gaz yıkaması.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metal cevherinin kavrulması, sinterlenmesi veya peletlenmesinden kaynaklanan emisyonların izlenmesi için, 23 üncü madde ve ek-2'nin 3 üncü bölümü ile uyumlu olarak kütle </w:t>
      </w:r>
      <w:r w:rsidRPr="007671C9">
        <w:rPr>
          <w:rFonts w:ascii="Times New Roman" w:hAnsi="Times New Roman" w:cs="Times New Roman"/>
          <w:sz w:val="24"/>
          <w:szCs w:val="24"/>
        </w:rPr>
        <w:lastRenderedPageBreak/>
        <w:t>dengesi yöntemini veya 22 nci madde ve ek-2'nin 2 nci bölümü,ek-2'nin 4 üncü bölümü ve 5 inci bölümü ile uyumlu olarak standart yöntemi kullanır.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5. Yönetmeliğin Ek-1’inde Listelenen Pik Demir ve Çelik Üretimi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potansiyel CO2 kaynaklarını dahil eder: hammaddeler (kireçtaşının kalsinasyonu, dolomit ve karbonatlı demir cevheri, FeCO3 dahil), yakıtlar (doğal gaz, kömür ve kok), indirgeyici madde (kok, kömür ve plastikler dahil), proses gazları (kok fırın gazı, yüksek fırın gazı ve bazik oksijen fırın gazı dahil), grafit elektrotların tüketimi, diğer yakıtlar ve atık gaz yıkaması.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pik demir ve çelik üretiminden kaynaklanan emisyonların izlenmesi için emisyonların eksik olmasını ve mükerrer sayımını engelleyecek şekilde, asgari olarak kaynak akışlarının bir kısmında 23 üncü madde ve ek-2'nin 3. üncü bölümü ile uyumlu olarak kütle dengesi yöntemini veya 22 nci madde ve ek-2'nin 2 nci bölümü ve ek-2'nin 4 üncü bölümü ile uyumlu olarak standart yöntemi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Ek-2’nin 3.2  bölümü uyarınca, karbon içeriği için kademe 3 aşağıdaki gibi tanımlanmıştır: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3: İşletme giriş ve çıkış akışlarının karbon içeriğini, 30 uncu maddeden 33 üncü maddeye kadar olan maddeler uyarınca, yakıtların, ürünlerin ve yan ürünlerin temsili örneklemelerine, bunların karbon içeriklerinin ve biyokütle oranlarının belirlenmesine dayanarak elde eder. İşletme, 30 uncu maddeden 33 üncü maddeye kadar olan maddeler uyarınca, ürünlerin veya yarı ürünlerin yıllık analizlerindeki karbon içeriğini temel alır veya karbon içeriğini ilgili uluslararası veya ulusal standartlarda belirlenmiş ortalama kompozisyon değerlerinden elde eder.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6.</w:t>
      </w:r>
      <w:r w:rsidRPr="007671C9">
        <w:rPr>
          <w:rFonts w:ascii="Times New Roman" w:hAnsi="Times New Roman" w:cs="Times New Roman"/>
          <w:sz w:val="24"/>
          <w:szCs w:val="24"/>
        </w:rPr>
        <w:tab/>
        <w:t>Yönetmeliğin Ek-1’inde Listelenen Demir ve Demir Dışı Metallerin Üretimi veya İşlenmesi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pik demir, çelik ve birincil alüminyum üretiminden kaynaklanan CO2 emisyonlarının izlenmesi ve raporlanması için bu bölümdeki hükümleri uygulamaz.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potansiyel CO2 kaynaklarını dahil eder: yakıtlar, öğütücü tesislerden gelen tane haline getirilmiş plastik malzemeyi içeren alternatif yakıtlar, kok ve grafit elektrotları içeren indirgeyici maddeler, kireçtaşını ve dolomiti içeren hammaddeler, karbon içerikli metal cevherleri ve konsantreler ve ikincil hammaddeler.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Tesiste kullanılan yakıtlardan veya girdi malzemelerinden kaynaklanan karbon, üretim ürünlerinde veya diğer ürün çıktılarında kaldığı zaman, işletme 23 üncü madde ve ek-2'nin 3 üncü bölümü uyarınca kütle dengesi yöntemini kullanır. Diğer durumlarda ise 22 nci madde, ek-2'nin 2 nci bölümü ve ek-2'nin 4 üncü bölümü uyarınca işletme, standart yöntemi kullanarak yanma ve proses emisyonunu ayrı ayrı hesaplar.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emisyonların eksik olmasını ve mükerrer sayımını engelleyecek şekilde, kütle dengesinin kullanıldığı durumlarda yanma proseslerinden kaynaklanan emisyonları dâhil eder </w:t>
      </w:r>
      <w:r w:rsidRPr="007671C9">
        <w:rPr>
          <w:rFonts w:ascii="Times New Roman" w:hAnsi="Times New Roman" w:cs="Times New Roman"/>
          <w:sz w:val="24"/>
          <w:szCs w:val="24"/>
        </w:rPr>
        <w:lastRenderedPageBreak/>
        <w:t xml:space="preserve">veya kaynak akışının bir kısmı için, 22 nci madde ve bu Ekin 1 inci bölümü uyarınca standart yöntemi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7. Yönetmeliğin Ek-1’inde Listelenen Birincil Alüminyumun Üretilmesinden veya İşlenmesinden Kaynaklanan CO2 Emisyonları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birincil alüminyum ergimesi için elektrotların üretilmesinden kaynaklanan CO2 emisyonlarının izlenmesi ve raporlanması için bu tip elektrotların üretimini yapan bağımsız tesisler de dahil olmak üzere aşağıdaki hükümleri uygular.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belirtilen potansiyel CO2 kaynaklarını dâhil eder: ısı veya buhar üretimi için kullanılan yakıtlar, elektrot üretimi, elektrot tüketimi ile ilgili olan elektroliz esnasındaki Al2O3’ün indirgenmesi ve atık gaz yıkaması için soda külü veya diğer karbonatların kullanımı.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Kaçak emisyonlar da dâhil olmak üzere, anot etkilerinin neden olduğu perflorokarbon (PFC) emisyonları bu Ekin 8 inci bölümüne uygun olarak izlenir.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birincil alüminyum üretiminden veya işlenmesinden kaynaklanan CO2 emisyonlarını, 23 üncü maddeye uygun olarak kütle dengesi yöntemini kullanarak belirler. Kütle denge yöntemi, elektrolizdeki elektrot tüketimine ek olarak elektrotların karıştırılması, şekillendirilmesi, fırınlanması ve geri dönüşümü ile ilgili girdiler, stoklar, ürünler ve diğer ihraç mallarındaki tüm karbonu dikkate alır. Önceden fırınlanmış anotların kullanıldığı durumlarda,  üretim ve tüketim için ayrı kütle dengeleri veya elektrotların hem üretimini hem de tüketimini dikkate alan ortak bir kütle dengesi uygulanır. Søderberg hücreleri için işletme ortak bir kütle dengesi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yanma proseslerinden kaynaklanan emisyonları kütle dengesine dahil eder veya bu Ekin 1 inci bölümü ve 22 nci madde uyarınca, emisyonların eksiksiz olmasını ve mükerrer sayımını engelleyecek şekilde, emisyon kaynak akışlarının en az bir kısmı için standart yöntem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8.</w:t>
      </w:r>
      <w:r w:rsidRPr="007671C9">
        <w:rPr>
          <w:rFonts w:ascii="Times New Roman" w:hAnsi="Times New Roman" w:cs="Times New Roman"/>
          <w:sz w:val="24"/>
          <w:szCs w:val="24"/>
        </w:rPr>
        <w:tab/>
        <w:t>Yönetmeliğin Ek-1’inde Listelenen Birincil Alüminyum Üretimi veya İşlenmesinden Kaynaklanan PFC Emisyonları</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perflorokarbonların (PFC’lerin) kaçak emisyonları dahil olmak üzere anot etkisinden kaynaklanan PFC emisyonları için aşağıdaki hükümleri uygular. İşletme, ilgili CO2 emisyonları için elektrot üretiminden kaynaklanan emisyonlar da dahil olmak üzere, bu Ekin 7 nci bölümünü uygular.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B) PFC Emisyonlarının Belirlenmesi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PFC emisyonları, kanalın toplama verimliliğini kullanarak kaçak emisyonlardan hesaplanmasının yanı sıra kanaldaki veya bacadaki (‘noktasal kaynaklı emisyonlar’) ölçülebilen emisyonlardan da hesaplanır: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PFC emisyonları (toplam) = PFC emisyonları (kanaldaki) / toplama verimliliği</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Tesise özgü emisyon faktörleri belirlendiğinde toplama verimliliği ölçülür. Toplama verimliliğinin belirlenmesi için 2006 IPCC Kılavuzunun 4.4.2.4 üncü kısmındaki kademe 3 altında belirtilen kılavuzun en güncel versiyonu kullanılır.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bir kanal veya baca vasıtası ile salınan CF4 ve C2F6 emisyonlarını aşağıdaki yöntemlerden birini kullanarak hesaplar: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 Hücre - gün başına anot etki dakikaları kaydedildiğinde yöntem A;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 Anot etkisi aşırı gerilimi kaydedildiğinde Yöntem B.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Hesaplama Yöntemi A - Eğim Yöntemi: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PFC emisyonlarını belirlemek için aşağıdaki denklemleri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CF4 emisyonları [t] = AED × (EEFCF4/1000)× PrAl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C2F6 emisyonları [t] = CF4 emisyonları * FC2F6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Burada: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AED = Anot etkisi dakikası / hücre-gün;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EEFCF4 = Eğim emisyon faktörü [(kg CF4 / t Al üretilen) / (anot etki dakikası / hücre-gün)]. Farklı hücre türleri kullanıldığında, farklı AED uygulanır;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PrAl = Birincil Alüminyumun yıllık üretimi [t];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F C2F6 = C2F6 ağırlık oranı (t C2F6 / t CF4).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Hücre-gün başına anot etki dakikaları, anot etkileri ortalama süresinin (anot etki dakikası / ortaya çıktığı durumda) anot etkileri sıklığı (anot etkisi sayısı / hücre-gün) ile çarpılması olarak ifade edilir: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AED = sıklık × ortalama süre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Emisyon Faktörü: CF4 için emisyon faktörü  (eğim emisyon faktörü, EEFCF4) anot etki dakikası /hücre gün başına üretilen ton alüminyum başına salınan CF4 miktarını [kg] ifade eder.  C2F6 için emisyon faktörü (FC2F6 ağırlık oranı) salınan CF4 miktarına orantılı olarak salınan C2F6 miktarını [t]  ifade eder.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bu bölümde yer alan Tablo 3.1’deki teknolojiye özgü emisyon faktörlerini kullanır. </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Kademe 2: Sürekli veya aralıklı saha ölçümlemeleri vasıtası ile oluşturulmuş CF4 ve C2F6 için işletme tesise özgü emisyon faktörlerini kullanır. Bu emisyon faktörlerinin belirlenmesinde işletme 2006 IPCC Kılavuzlarındaki bölüm 4.4.2.4’deki kademe 3 altında belirtilen kılavuzun en güncel versiyonunu kullanır . Emisyon faktörü anod etkisi dışında kalan emisyonları da dikkate alır. İşletme her bir emisyon faktörünü ±15%’lik azami bir belirsizlik ile belirler.</w:t>
      </w:r>
    </w:p>
    <w:p w:rsidR="00156925" w:rsidRPr="007671C9" w:rsidRDefault="00156925" w:rsidP="00156925">
      <w:pPr>
        <w:jc w:val="both"/>
        <w:rPr>
          <w:rFonts w:ascii="Times New Roman" w:hAnsi="Times New Roman" w:cs="Times New Roman"/>
          <w:sz w:val="24"/>
          <w:szCs w:val="24"/>
        </w:rPr>
      </w:pPr>
      <w:r w:rsidRPr="007671C9">
        <w:rPr>
          <w:rFonts w:ascii="Times New Roman" w:hAnsi="Times New Roman" w:cs="Times New Roman"/>
          <w:sz w:val="24"/>
          <w:szCs w:val="24"/>
        </w:rPr>
        <w:t>İşletme, emisyon faktörlerini en az üç yılda bir veya tesisteki ilgili değişikliklere bağlı olarak gerekli olduğu durumlarda daha sık aralıklarla belirler. İlgili değişiklikler anot etki süre dağılımındaki bir değişikliği veya anot etki tipleri karışımını veya anot etkisini sonlandırma rutininin doğasını etkileyen kontrol algoritmasındaki bir değişikliği içerir.</w:t>
      </w:r>
    </w:p>
    <w:p w:rsidR="004D2E85" w:rsidRPr="007671C9" w:rsidRDefault="004D2E85" w:rsidP="00156925">
      <w:pPr>
        <w:jc w:val="both"/>
        <w:rPr>
          <w:rFonts w:ascii="Times New Roman" w:hAnsi="Times New Roman" w:cs="Times New Roman"/>
          <w:sz w:val="24"/>
          <w:szCs w:val="24"/>
        </w:rPr>
      </w:pPr>
    </w:p>
    <w:p w:rsidR="004D2E85" w:rsidRPr="007671C9" w:rsidRDefault="004D2E85" w:rsidP="004D2E85">
      <w:pPr>
        <w:widowControl w:val="0"/>
        <w:autoSpaceDE w:val="0"/>
        <w:autoSpaceDN w:val="0"/>
        <w:adjustRightInd w:val="0"/>
        <w:ind w:right="-8"/>
        <w:jc w:val="both"/>
        <w:rPr>
          <w:rFonts w:ascii="Times New Roman" w:hAnsi="Times New Roman" w:cs="Times New Roman"/>
          <w:b/>
          <w:spacing w:val="-2"/>
        </w:rPr>
      </w:pPr>
      <w:r w:rsidRPr="007671C9">
        <w:rPr>
          <w:rFonts w:ascii="Times New Roman" w:hAnsi="Times New Roman" w:cs="Times New Roman"/>
          <w:b/>
          <w:spacing w:val="-2"/>
        </w:rPr>
        <w:t xml:space="preserve">Tablo 3.1: Eğim yöntemine ilişkin faaliyet verisi ile ilgili teknolojiye özgü emisyon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3027"/>
        <w:gridCol w:w="3000"/>
      </w:tblGrid>
      <w:tr w:rsidR="007671C9" w:rsidRPr="007671C9" w:rsidTr="004D2E85">
        <w:tc>
          <w:tcPr>
            <w:tcW w:w="3029"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b/>
                <w:spacing w:val="-2"/>
              </w:rPr>
            </w:pPr>
            <w:r w:rsidRPr="007671C9">
              <w:rPr>
                <w:rFonts w:ascii="Times New Roman" w:hAnsi="Times New Roman" w:cs="Times New Roman"/>
                <w:b/>
                <w:spacing w:val="-2"/>
                <w:position w:val="-4"/>
              </w:rPr>
              <w:t>Teknoloji</w:t>
            </w:r>
          </w:p>
        </w:tc>
        <w:tc>
          <w:tcPr>
            <w:tcW w:w="3030"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b/>
                <w:spacing w:val="-2"/>
              </w:rPr>
            </w:pPr>
            <w:r w:rsidRPr="007671C9">
              <w:rPr>
                <w:rFonts w:ascii="Times New Roman" w:hAnsi="Times New Roman" w:cs="Times New Roman"/>
                <w:b/>
                <w:spacing w:val="-2"/>
              </w:rPr>
              <w:t>CF</w:t>
            </w:r>
            <w:r w:rsidRPr="007671C9">
              <w:rPr>
                <w:rFonts w:ascii="Times New Roman" w:hAnsi="Times New Roman" w:cs="Times New Roman"/>
                <w:b/>
                <w:spacing w:val="-2"/>
                <w:vertAlign w:val="subscript"/>
              </w:rPr>
              <w:t>4</w:t>
            </w:r>
            <w:r w:rsidRPr="007671C9">
              <w:rPr>
                <w:rFonts w:ascii="Times New Roman" w:hAnsi="Times New Roman" w:cs="Times New Roman"/>
                <w:b/>
                <w:spacing w:val="-2"/>
              </w:rPr>
              <w:t xml:space="preserve"> Emisyon Faktörü (EEF</w:t>
            </w:r>
            <w:r w:rsidRPr="007671C9">
              <w:rPr>
                <w:rFonts w:ascii="Times New Roman" w:hAnsi="Times New Roman" w:cs="Times New Roman"/>
                <w:b/>
                <w:spacing w:val="-2"/>
                <w:vertAlign w:val="subscript"/>
              </w:rPr>
              <w:t>CF4</w:t>
            </w:r>
            <w:r w:rsidRPr="007671C9">
              <w:rPr>
                <w:rFonts w:ascii="Times New Roman" w:hAnsi="Times New Roman" w:cs="Times New Roman"/>
                <w:b/>
                <w:spacing w:val="-2"/>
              </w:rPr>
              <w:t>)</w:t>
            </w:r>
          </w:p>
          <w:p w:rsidR="004D2E85" w:rsidRPr="007671C9" w:rsidRDefault="004D2E85" w:rsidP="00AD68C3">
            <w:pPr>
              <w:widowControl w:val="0"/>
              <w:autoSpaceDE w:val="0"/>
              <w:autoSpaceDN w:val="0"/>
              <w:adjustRightInd w:val="0"/>
              <w:ind w:right="-8"/>
              <w:jc w:val="center"/>
              <w:rPr>
                <w:rFonts w:ascii="Times New Roman" w:hAnsi="Times New Roman" w:cs="Times New Roman"/>
                <w:b/>
                <w:spacing w:val="-2"/>
              </w:rPr>
            </w:pPr>
            <w:r w:rsidRPr="007671C9">
              <w:rPr>
                <w:rFonts w:ascii="Times New Roman" w:hAnsi="Times New Roman" w:cs="Times New Roman"/>
                <w:b/>
                <w:spacing w:val="-2"/>
              </w:rPr>
              <w:t>[(kg CF</w:t>
            </w:r>
            <w:r w:rsidRPr="007671C9">
              <w:rPr>
                <w:rFonts w:ascii="Times New Roman" w:hAnsi="Times New Roman" w:cs="Times New Roman"/>
                <w:b/>
                <w:spacing w:val="-2"/>
                <w:vertAlign w:val="subscript"/>
              </w:rPr>
              <w:t>4</w:t>
            </w:r>
            <w:r w:rsidRPr="007671C9">
              <w:rPr>
                <w:rFonts w:ascii="Times New Roman" w:hAnsi="Times New Roman" w:cs="Times New Roman"/>
                <w:b/>
                <w:spacing w:val="-2"/>
              </w:rPr>
              <w:t>/t Al) / (AE-Dk/hücre-</w:t>
            </w:r>
            <w:r w:rsidRPr="007671C9">
              <w:rPr>
                <w:rFonts w:ascii="Times New Roman" w:hAnsi="Times New Roman" w:cs="Times New Roman"/>
                <w:b/>
                <w:spacing w:val="-2"/>
              </w:rPr>
              <w:lastRenderedPageBreak/>
              <w:t>gün)]</w:t>
            </w:r>
          </w:p>
        </w:tc>
        <w:tc>
          <w:tcPr>
            <w:tcW w:w="3003"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b/>
                <w:spacing w:val="-2"/>
              </w:rPr>
            </w:pPr>
            <w:r w:rsidRPr="007671C9">
              <w:rPr>
                <w:rFonts w:ascii="Times New Roman" w:hAnsi="Times New Roman" w:cs="Times New Roman"/>
                <w:b/>
                <w:spacing w:val="-2"/>
              </w:rPr>
              <w:lastRenderedPageBreak/>
              <w:t>C</w:t>
            </w:r>
            <w:r w:rsidRPr="007671C9">
              <w:rPr>
                <w:rFonts w:ascii="Times New Roman" w:hAnsi="Times New Roman" w:cs="Times New Roman"/>
                <w:b/>
                <w:spacing w:val="-2"/>
                <w:vertAlign w:val="subscript"/>
              </w:rPr>
              <w:t>2</w:t>
            </w:r>
            <w:r w:rsidRPr="007671C9">
              <w:rPr>
                <w:rFonts w:ascii="Times New Roman" w:hAnsi="Times New Roman" w:cs="Times New Roman"/>
                <w:b/>
                <w:spacing w:val="-2"/>
              </w:rPr>
              <w:t>F</w:t>
            </w:r>
            <w:r w:rsidRPr="007671C9">
              <w:rPr>
                <w:rFonts w:ascii="Times New Roman" w:hAnsi="Times New Roman" w:cs="Times New Roman"/>
                <w:b/>
                <w:spacing w:val="-2"/>
                <w:vertAlign w:val="subscript"/>
              </w:rPr>
              <w:t xml:space="preserve">6 </w:t>
            </w:r>
            <w:r w:rsidRPr="007671C9">
              <w:rPr>
                <w:rFonts w:ascii="Times New Roman" w:hAnsi="Times New Roman" w:cs="Times New Roman"/>
                <w:b/>
                <w:spacing w:val="-2"/>
              </w:rPr>
              <w:t>Emisyon Faktörü (F</w:t>
            </w:r>
            <w:r w:rsidRPr="007671C9">
              <w:rPr>
                <w:rFonts w:ascii="Times New Roman" w:hAnsi="Times New Roman" w:cs="Times New Roman"/>
                <w:b/>
                <w:spacing w:val="-2"/>
                <w:vertAlign w:val="subscript"/>
              </w:rPr>
              <w:t>C2F6</w:t>
            </w:r>
            <w:r w:rsidRPr="007671C9">
              <w:rPr>
                <w:rFonts w:ascii="Times New Roman" w:hAnsi="Times New Roman" w:cs="Times New Roman"/>
                <w:b/>
                <w:spacing w:val="-2"/>
              </w:rPr>
              <w:t>)</w:t>
            </w:r>
          </w:p>
          <w:p w:rsidR="004D2E85" w:rsidRPr="007671C9" w:rsidRDefault="004D2E85" w:rsidP="00AD68C3">
            <w:pPr>
              <w:widowControl w:val="0"/>
              <w:autoSpaceDE w:val="0"/>
              <w:autoSpaceDN w:val="0"/>
              <w:adjustRightInd w:val="0"/>
              <w:ind w:right="-8"/>
              <w:jc w:val="center"/>
              <w:rPr>
                <w:rFonts w:ascii="Times New Roman" w:hAnsi="Times New Roman" w:cs="Times New Roman"/>
                <w:b/>
                <w:spacing w:val="-2"/>
              </w:rPr>
            </w:pPr>
            <w:r w:rsidRPr="007671C9">
              <w:rPr>
                <w:rFonts w:ascii="Times New Roman" w:hAnsi="Times New Roman" w:cs="Times New Roman"/>
                <w:spacing w:val="-2"/>
              </w:rPr>
              <w:t>[t C</w:t>
            </w:r>
            <w:r w:rsidRPr="007671C9">
              <w:rPr>
                <w:rFonts w:ascii="Times New Roman" w:hAnsi="Times New Roman" w:cs="Times New Roman"/>
                <w:spacing w:val="-2"/>
                <w:vertAlign w:val="subscript"/>
              </w:rPr>
              <w:t>2</w:t>
            </w:r>
            <w:r w:rsidRPr="007671C9">
              <w:rPr>
                <w:rFonts w:ascii="Times New Roman" w:hAnsi="Times New Roman" w:cs="Times New Roman"/>
                <w:spacing w:val="-2"/>
              </w:rPr>
              <w:t>F</w:t>
            </w:r>
            <w:r w:rsidRPr="007671C9">
              <w:rPr>
                <w:rFonts w:ascii="Times New Roman" w:hAnsi="Times New Roman" w:cs="Times New Roman"/>
                <w:spacing w:val="-2"/>
                <w:vertAlign w:val="subscript"/>
              </w:rPr>
              <w:t>6</w:t>
            </w:r>
            <w:r w:rsidRPr="007671C9">
              <w:rPr>
                <w:rFonts w:ascii="Times New Roman" w:hAnsi="Times New Roman" w:cs="Times New Roman"/>
                <w:spacing w:val="-2"/>
              </w:rPr>
              <w:t>/ t CF</w:t>
            </w:r>
            <w:r w:rsidRPr="007671C9">
              <w:rPr>
                <w:rFonts w:ascii="Times New Roman" w:hAnsi="Times New Roman" w:cs="Times New Roman"/>
                <w:spacing w:val="-2"/>
                <w:vertAlign w:val="subscript"/>
              </w:rPr>
              <w:t>4</w:t>
            </w:r>
            <w:r w:rsidRPr="007671C9">
              <w:rPr>
                <w:rFonts w:ascii="Times New Roman" w:hAnsi="Times New Roman" w:cs="Times New Roman"/>
                <w:spacing w:val="-2"/>
              </w:rPr>
              <w:t>]</w:t>
            </w:r>
          </w:p>
        </w:tc>
      </w:tr>
      <w:tr w:rsidR="007671C9" w:rsidRPr="007671C9" w:rsidTr="004D2E85">
        <w:tc>
          <w:tcPr>
            <w:tcW w:w="3029"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Merkezde İşlenmiş Ön Pişirme (MİÖP)</w:t>
            </w:r>
          </w:p>
        </w:tc>
        <w:tc>
          <w:tcPr>
            <w:tcW w:w="3030"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0.143</w:t>
            </w:r>
          </w:p>
        </w:tc>
        <w:tc>
          <w:tcPr>
            <w:tcW w:w="3003"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0.121</w:t>
            </w:r>
          </w:p>
        </w:tc>
      </w:tr>
      <w:tr w:rsidR="004D2E85" w:rsidRPr="007671C9" w:rsidTr="004D2E85">
        <w:tc>
          <w:tcPr>
            <w:tcW w:w="3029"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Dikey Saplama Søderberg (DSS)</w:t>
            </w:r>
          </w:p>
        </w:tc>
        <w:tc>
          <w:tcPr>
            <w:tcW w:w="3030"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0.092</w:t>
            </w:r>
          </w:p>
        </w:tc>
        <w:tc>
          <w:tcPr>
            <w:tcW w:w="3003"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ascii="Times New Roman" w:hAnsi="Times New Roman" w:cs="Times New Roman"/>
                <w:spacing w:val="-2"/>
              </w:rPr>
            </w:pPr>
            <w:r w:rsidRPr="007671C9">
              <w:rPr>
                <w:rFonts w:ascii="Times New Roman" w:hAnsi="Times New Roman" w:cs="Times New Roman"/>
                <w:spacing w:val="-2"/>
              </w:rPr>
              <w:t>0.053</w:t>
            </w:r>
          </w:p>
        </w:tc>
      </w:tr>
    </w:tbl>
    <w:p w:rsidR="004D2E85" w:rsidRPr="007671C9" w:rsidRDefault="004D2E85" w:rsidP="00156925">
      <w:pPr>
        <w:jc w:val="both"/>
        <w:rPr>
          <w:rFonts w:ascii="Times New Roman" w:hAnsi="Times New Roman" w:cs="Times New Roman"/>
          <w:sz w:val="24"/>
          <w:szCs w:val="24"/>
        </w:rPr>
      </w:pP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Hesaplama Yöntemi B – Aşırı Gerilim Yöntemi: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anot etkisi aşırı gerilimin ölçüldüğü durumlarda, PFC emisyonlarını belirlemek için aşağıdaki denklemleri kullanır: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CF4 emisyonları [t] = AGK × (AEA/MV)× BrAl × 0.001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C2F6 emisyonları [t] = CF4 emisyonları × FCF2F6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AGK = Aşırı gerilim (mV) başına üretilen alüminyumun tonu başına kg CF4 olarak ifade edilen aşırı gerilim katsayısı (‘emisyon faktörü’);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AEA = Zaman x hedef voltajın üzerindeki voltajın integralinin veri toplama zamanına (süre) bölünmesi olarak belirlenen hücre başına anot etkisi aşırı gerilimi [mV]  ;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MV = Alüminyum üretiminin ortalama mevcut verimi [%];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BrAl = Yıllık birincil alüminyum üretimi [t];</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FC2F6 = C2F6 (t C2F6 / t CF4) ağırlık oranı;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AEA/MV terimi (Anot etkisi aşırı gerilimi / mevcut verim) ortalama mevcut verim[%] başına zaman entegre ortalama anot etkisi aşırı gerilimini [mV aşırı gerilim] ifade eder.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Emisyon Faktörü: CF4 için emisyon faktörü (‘aşırı gerilim katsayısı’ AGK) milivolt aşırı gerilim [mV]  başına üretilen alüminyumun tonu başına salınan CF4 miktarını [kg] ifade eder.  C2F6 için emisyon faktörü (ağırlık oranı FC2F6) salınan CF4 miktarına orantılı olarak salınan C2F6 miktarını [t]  ifade eder.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bu bölümde Tablo 3.2’de yer alan teknolojiye özgü emisyon faktörlerini kullanır.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2: İşletme, sürekli veya aralıklı saha ölçümleri doğrultusunda oluşturulmuş CF4 [(kg CF4 / t Al ) /(mV)]  ve C2F6 [t C2F6 / t CF4] için tesise özgü emisyon faktörlerini kullanır. Bu emisyon faktörlerinin belirlenmesi için işletme 2006 IPCC Kılavuzları-4.4.2.4 kısmındaki kademe 3’te belirtilen kılavuzun en güncel versiyonunu kullanır. İşletme her bir emisyon faktörünü ± %15’lik azami bir belirsizlik ile belirler.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İşletme emisyon faktörlerini en az üç yılda bir veya tesisteki ilgili değişikliklere bağlı olarak gerekli olduğu durumlarda daha sık aralıklarla belirler. İlgili değişiklikler anot etkisi süre dağılımındaki bir değişikliği veya anot etki tipleri karışımını veya anot etkisini sonlandırma rutininin doğasını etkileyen kontrol algoritmasındaki değişikliği içerir.</w:t>
      </w:r>
    </w:p>
    <w:p w:rsidR="004D2E85" w:rsidRPr="007671C9" w:rsidRDefault="004D2E85" w:rsidP="004D2E85">
      <w:pPr>
        <w:jc w:val="both"/>
        <w:rPr>
          <w:rFonts w:ascii="Times New Roman" w:hAnsi="Times New Roman" w:cs="Times New Roman"/>
          <w:sz w:val="24"/>
          <w:szCs w:val="24"/>
        </w:rPr>
      </w:pPr>
    </w:p>
    <w:p w:rsidR="00156925" w:rsidRPr="007671C9" w:rsidRDefault="004D2E85" w:rsidP="004D2E85">
      <w:pPr>
        <w:jc w:val="both"/>
        <w:rPr>
          <w:rFonts w:ascii="Times New Roman" w:hAnsi="Times New Roman" w:cs="Times New Roman"/>
          <w:b/>
          <w:sz w:val="24"/>
          <w:szCs w:val="24"/>
        </w:rPr>
      </w:pPr>
      <w:r w:rsidRPr="007671C9">
        <w:rPr>
          <w:rFonts w:ascii="Times New Roman" w:hAnsi="Times New Roman" w:cs="Times New Roman"/>
          <w:b/>
          <w:sz w:val="24"/>
          <w:szCs w:val="24"/>
        </w:rPr>
        <w:t>Tablo 3.2: Aşırı gerilim faaliyet verisi ile ilgili teknolojiye özgü emisyon faktörleri.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3009"/>
        <w:gridCol w:w="3009"/>
      </w:tblGrid>
      <w:tr w:rsidR="007671C9" w:rsidRPr="007671C9" w:rsidTr="00AD68C3">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b/>
                <w:spacing w:val="-2"/>
              </w:rPr>
            </w:pPr>
            <w:r w:rsidRPr="007671C9">
              <w:rPr>
                <w:rFonts w:cs="Times New Roman"/>
                <w:b/>
                <w:spacing w:val="-2"/>
                <w:position w:val="-4"/>
              </w:rPr>
              <w:t>Teknoloji</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b/>
                <w:spacing w:val="-2"/>
              </w:rPr>
            </w:pPr>
            <w:r w:rsidRPr="007671C9">
              <w:rPr>
                <w:rFonts w:cs="Times New Roman"/>
                <w:b/>
                <w:spacing w:val="-2"/>
              </w:rPr>
              <w:t>CF</w:t>
            </w:r>
            <w:r w:rsidRPr="007671C9">
              <w:rPr>
                <w:rFonts w:cs="Times New Roman"/>
                <w:b/>
                <w:spacing w:val="-2"/>
                <w:vertAlign w:val="subscript"/>
              </w:rPr>
              <w:t>4</w:t>
            </w:r>
            <w:r w:rsidRPr="007671C9">
              <w:rPr>
                <w:rFonts w:cs="Times New Roman"/>
                <w:b/>
                <w:spacing w:val="-2"/>
              </w:rPr>
              <w:t xml:space="preserve"> Emisyon Faktörü </w:t>
            </w:r>
          </w:p>
          <w:p w:rsidR="004D2E85" w:rsidRPr="007671C9" w:rsidRDefault="004D2E85" w:rsidP="00AD68C3">
            <w:pPr>
              <w:widowControl w:val="0"/>
              <w:autoSpaceDE w:val="0"/>
              <w:autoSpaceDN w:val="0"/>
              <w:adjustRightInd w:val="0"/>
              <w:ind w:right="-8"/>
              <w:jc w:val="center"/>
              <w:rPr>
                <w:rFonts w:cs="Times New Roman"/>
                <w:b/>
                <w:spacing w:val="-2"/>
              </w:rPr>
            </w:pPr>
            <w:r w:rsidRPr="007671C9">
              <w:rPr>
                <w:rFonts w:cs="Times New Roman"/>
                <w:b/>
                <w:spacing w:val="-2"/>
              </w:rPr>
              <w:lastRenderedPageBreak/>
              <w:t>[(kg CF</w:t>
            </w:r>
            <w:r w:rsidRPr="007671C9">
              <w:rPr>
                <w:rFonts w:cs="Times New Roman"/>
                <w:b/>
                <w:spacing w:val="-2"/>
                <w:vertAlign w:val="subscript"/>
              </w:rPr>
              <w:t>4</w:t>
            </w:r>
            <w:r w:rsidRPr="007671C9">
              <w:rPr>
                <w:rFonts w:cs="Times New Roman"/>
                <w:b/>
                <w:spacing w:val="-2"/>
              </w:rPr>
              <w:t>/t Al) / mV]</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b/>
                <w:spacing w:val="-2"/>
              </w:rPr>
            </w:pPr>
            <w:r w:rsidRPr="007671C9">
              <w:rPr>
                <w:rFonts w:cs="Times New Roman"/>
                <w:b/>
                <w:spacing w:val="-2"/>
              </w:rPr>
              <w:lastRenderedPageBreak/>
              <w:t>C</w:t>
            </w:r>
            <w:r w:rsidRPr="007671C9">
              <w:rPr>
                <w:rFonts w:cs="Times New Roman"/>
                <w:b/>
                <w:spacing w:val="-2"/>
                <w:vertAlign w:val="subscript"/>
              </w:rPr>
              <w:t>2</w:t>
            </w:r>
            <w:r w:rsidRPr="007671C9">
              <w:rPr>
                <w:rFonts w:cs="Times New Roman"/>
                <w:b/>
                <w:spacing w:val="-2"/>
              </w:rPr>
              <w:t>F</w:t>
            </w:r>
            <w:r w:rsidRPr="007671C9">
              <w:rPr>
                <w:rFonts w:cs="Times New Roman"/>
                <w:b/>
                <w:spacing w:val="-2"/>
                <w:vertAlign w:val="subscript"/>
              </w:rPr>
              <w:t xml:space="preserve">6 </w:t>
            </w:r>
            <w:r w:rsidRPr="007671C9">
              <w:rPr>
                <w:rFonts w:cs="Times New Roman"/>
                <w:b/>
                <w:spacing w:val="-2"/>
              </w:rPr>
              <w:t>Emisyon Faktörü</w:t>
            </w:r>
          </w:p>
          <w:p w:rsidR="004D2E85" w:rsidRPr="007671C9" w:rsidRDefault="004D2E85" w:rsidP="00AD68C3">
            <w:pPr>
              <w:widowControl w:val="0"/>
              <w:autoSpaceDE w:val="0"/>
              <w:autoSpaceDN w:val="0"/>
              <w:adjustRightInd w:val="0"/>
              <w:ind w:right="-8"/>
              <w:jc w:val="center"/>
              <w:rPr>
                <w:rFonts w:cs="Times New Roman"/>
                <w:b/>
                <w:spacing w:val="-2"/>
              </w:rPr>
            </w:pPr>
            <w:r w:rsidRPr="007671C9">
              <w:rPr>
                <w:rFonts w:cs="Times New Roman"/>
                <w:spacing w:val="-2"/>
              </w:rPr>
              <w:lastRenderedPageBreak/>
              <w:t>[t C</w:t>
            </w:r>
            <w:r w:rsidRPr="007671C9">
              <w:rPr>
                <w:rFonts w:cs="Times New Roman"/>
                <w:spacing w:val="-2"/>
                <w:vertAlign w:val="subscript"/>
              </w:rPr>
              <w:t>2</w:t>
            </w:r>
            <w:r w:rsidRPr="007671C9">
              <w:rPr>
                <w:rFonts w:cs="Times New Roman"/>
                <w:spacing w:val="-2"/>
              </w:rPr>
              <w:t>F</w:t>
            </w:r>
            <w:r w:rsidRPr="007671C9">
              <w:rPr>
                <w:rFonts w:cs="Times New Roman"/>
                <w:spacing w:val="-2"/>
                <w:vertAlign w:val="subscript"/>
              </w:rPr>
              <w:t>6</w:t>
            </w:r>
            <w:r w:rsidRPr="007671C9">
              <w:rPr>
                <w:rFonts w:cs="Times New Roman"/>
                <w:spacing w:val="-2"/>
              </w:rPr>
              <w:t>/ t CF</w:t>
            </w:r>
            <w:r w:rsidRPr="007671C9">
              <w:rPr>
                <w:rFonts w:cs="Times New Roman"/>
                <w:spacing w:val="-2"/>
                <w:vertAlign w:val="subscript"/>
              </w:rPr>
              <w:t>4</w:t>
            </w:r>
            <w:r w:rsidRPr="007671C9">
              <w:rPr>
                <w:rFonts w:cs="Times New Roman"/>
                <w:spacing w:val="-2"/>
              </w:rPr>
              <w:t>]</w:t>
            </w:r>
          </w:p>
        </w:tc>
      </w:tr>
      <w:tr w:rsidR="007671C9" w:rsidRPr="007671C9" w:rsidTr="00AD68C3">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lastRenderedPageBreak/>
              <w:t>Merkezde İşlenmiş Ön Pişirme (MİÖP)</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t>1.16</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t>0.121</w:t>
            </w:r>
          </w:p>
        </w:tc>
      </w:tr>
      <w:tr w:rsidR="004D2E85" w:rsidRPr="007671C9" w:rsidTr="00AD68C3">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t>Dikey Saplama Søderberg (DSS)</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t>N.A.</w:t>
            </w:r>
          </w:p>
        </w:tc>
        <w:tc>
          <w:tcPr>
            <w:tcW w:w="3446" w:type="dxa"/>
            <w:tcBorders>
              <w:top w:val="single" w:sz="4" w:space="0" w:color="auto"/>
              <w:left w:val="single" w:sz="4" w:space="0" w:color="auto"/>
              <w:bottom w:val="single" w:sz="4" w:space="0" w:color="auto"/>
              <w:right w:val="single" w:sz="4" w:space="0" w:color="auto"/>
            </w:tcBorders>
            <w:hideMark/>
          </w:tcPr>
          <w:p w:rsidR="004D2E85" w:rsidRPr="007671C9" w:rsidRDefault="004D2E85" w:rsidP="00AD68C3">
            <w:pPr>
              <w:widowControl w:val="0"/>
              <w:autoSpaceDE w:val="0"/>
              <w:autoSpaceDN w:val="0"/>
              <w:adjustRightInd w:val="0"/>
              <w:ind w:right="-8"/>
              <w:jc w:val="center"/>
              <w:rPr>
                <w:rFonts w:cs="Times New Roman"/>
                <w:spacing w:val="-2"/>
              </w:rPr>
            </w:pPr>
            <w:r w:rsidRPr="007671C9">
              <w:rPr>
                <w:rFonts w:cs="Times New Roman"/>
                <w:spacing w:val="-2"/>
              </w:rPr>
              <w:t>0.053</w:t>
            </w:r>
          </w:p>
        </w:tc>
      </w:tr>
    </w:tbl>
    <w:p w:rsidR="004D2E85" w:rsidRPr="007671C9" w:rsidRDefault="004D2E85" w:rsidP="004D2E85">
      <w:pPr>
        <w:jc w:val="both"/>
        <w:rPr>
          <w:rFonts w:ascii="Times New Roman" w:hAnsi="Times New Roman" w:cs="Times New Roman"/>
          <w:b/>
          <w:sz w:val="24"/>
          <w:szCs w:val="24"/>
        </w:rPr>
      </w:pP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 CO2(eşd) Emisyonlarının Belirlenmesi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ek-5'in 3 üncü bölümü Tablo 5.6’da listelenen küresel ısınma potansiyelleri listesini kullanarak, CF4 ve C2F6 emisyonlarından çıkan CO2(eşd) emisyonlarını aşağıdaki gibi hesaplar: </w:t>
      </w:r>
    </w:p>
    <w:p w:rsidR="004D2E85" w:rsidRPr="007671C9" w:rsidRDefault="004D2E85" w:rsidP="004D2E85">
      <w:pPr>
        <w:jc w:val="both"/>
        <w:rPr>
          <w:rFonts w:ascii="Times New Roman" w:hAnsi="Times New Roman" w:cs="Times New Roman"/>
          <w:sz w:val="24"/>
          <w:szCs w:val="24"/>
        </w:rPr>
      </w:pP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PFC emisyonları [t CO2(eşd)] = CF4 emisyonları [t] * KIPCF4 + C2F6 emisyonları [t]* KIPC2F6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KIP: Küresel Isınma Potansiyeli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9.</w:t>
      </w:r>
      <w:r w:rsidRPr="007671C9">
        <w:rPr>
          <w:rFonts w:ascii="Times New Roman" w:hAnsi="Times New Roman" w:cs="Times New Roman"/>
          <w:sz w:val="24"/>
          <w:szCs w:val="24"/>
        </w:rPr>
        <w:tab/>
        <w:t xml:space="preserve">Yönetmeliğin Ek-1’inde Listelenen Klinker Üretimi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İşletme, asgari olarak aşağıdaki potansiyel CO2 emisyon kaynaklarını dahil eder: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w:t>
      </w:r>
      <w:r w:rsidRPr="007671C9">
        <w:rPr>
          <w:rFonts w:ascii="Times New Roman" w:hAnsi="Times New Roman" w:cs="Times New Roman"/>
          <w:sz w:val="24"/>
          <w:szCs w:val="24"/>
        </w:rPr>
        <w:tab/>
        <w:t xml:space="preserve">Hammaddelerdeki kireçtaşının kalsinasyonu,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ii.</w:t>
      </w:r>
      <w:r w:rsidRPr="007671C9">
        <w:rPr>
          <w:rFonts w:ascii="Times New Roman" w:hAnsi="Times New Roman" w:cs="Times New Roman"/>
          <w:sz w:val="24"/>
          <w:szCs w:val="24"/>
        </w:rPr>
        <w:tab/>
        <w:t xml:space="preserve">Fosil döner fırın yakıtları,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iii.</w:t>
      </w:r>
      <w:r w:rsidRPr="007671C9">
        <w:rPr>
          <w:rFonts w:ascii="Times New Roman" w:hAnsi="Times New Roman" w:cs="Times New Roman"/>
          <w:sz w:val="24"/>
          <w:szCs w:val="24"/>
        </w:rPr>
        <w:tab/>
        <w:t xml:space="preserve">Alternatif fosil bazlı döner fırını yakıtları ve hammaddeler,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iv.</w:t>
      </w:r>
      <w:r w:rsidRPr="007671C9">
        <w:rPr>
          <w:rFonts w:ascii="Times New Roman" w:hAnsi="Times New Roman" w:cs="Times New Roman"/>
          <w:sz w:val="24"/>
          <w:szCs w:val="24"/>
        </w:rPr>
        <w:tab/>
        <w:t xml:space="preserve">Biyokütle döner fırın yakıtları (biyokütle atıkları),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w:t>
      </w:r>
      <w:r w:rsidRPr="007671C9">
        <w:rPr>
          <w:rFonts w:ascii="Times New Roman" w:hAnsi="Times New Roman" w:cs="Times New Roman"/>
          <w:sz w:val="24"/>
          <w:szCs w:val="24"/>
        </w:rPr>
        <w:tab/>
        <w:t xml:space="preserve">Döner fırın dışı yakıtlar,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vi.</w:t>
      </w:r>
      <w:r w:rsidRPr="007671C9">
        <w:rPr>
          <w:rFonts w:ascii="Times New Roman" w:hAnsi="Times New Roman" w:cs="Times New Roman"/>
          <w:sz w:val="24"/>
          <w:szCs w:val="24"/>
        </w:rPr>
        <w:tab/>
        <w:t xml:space="preserve">Kireç taşının ve atık gaz yıkamasında kullanılan şist ve hammaddelerin organik karbon içeriği.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Yanmadan kaynaklanan emisyonlar bu Ekin 1 inci bölümüne uygun olarak izlenir. Farin bileşenlerinden kaynaklanan proses emisyonları proses girdisinin karbonat içeriğine (Hesaplama yöntemi A) veya üretilen klinker miktarına (hesaplama yöntemi B) dayanarak ek-2'nin 4 üncü bölümüne uygun olarak izlenir. Dikkate alınacak karbonatlar en az CaCO3, MgCO3 ve FeCO3 içerir. Yötem A kullanıldığı durumda, işletme karbonatları asgari olarak CoCO3, MgCO3 ve FeCO3 ü içerecek şekilde dikkate alır.Yöntem B kullanıldığu durumda işletme karbonatları asgari olarak CaO ve MgO yu dikkate alır ve Bakanlığa diğer hangi karbon kaynaklarının dikkate alınması gerektiğine dair kanıt sunar.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Prosesten giderilen toz ve hammaddelerdeki organik karbon ile ilgili CO2 emisyonları bu bölümün C ve D alt bölümlerine uygun olarak eklenir.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Hesaplama Yöntemi A: Girdi Bazlı Döner Fırın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Çimento döner fırın tozunun (ÇFT)  ve bypass tozunun döner fırını terk ettiği durumlarda işletme ilgili hammaddeyi proses girdisi olarak değerlendirmez, ancak ÇFT’den gelen emisyonları C alt bölümüne uygun olarak hesaplar.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Farin karakterize edilemiyorsa, işletme, emisyonların mükerrer sayımını veya geri dönen veya bypass edilen malzemelerden kaynaklanan ihmalleri önleyecek şekilde, faaliyet verisi için belirsizlik gerekliliklerini ayrı ayrı her bir ilgili karbon içeren döner fırın girdisine uygular. Faaliyet verisinin üretilen klinkere göre belirlendiği durumlarda, farin net miktarı bir sahaya özgü deneysel farin/klinker oranı vasıtası ile belirlenir. Bu oran,  en az yılda bir kere güncellenir.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Hesaplama Yöntemi B: Çıktı Bazlı Klinker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aşağıdaki yollardan birisini uygulayarak, faaliyet verisini raporlama dönemindeki klinker üretimi[t] olarak belirler: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Klinkerin doğrudan tartılması;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Klinker stok değişiminin yanı sıra klinker sevkini ve klinker teminini dikkate alan malzeme dengesi vasıtası ile çimento teslimatlarına bağlı olarak aşağıdaki formül kullanılır: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üretilen klinker [t] = ((teslim edilen çimento [t] – çimento stok değişimi [t]) * klinker / çimento oranı [t klinker / t çimento]) - (temin edilen klinker [t]) + (dağıtılan klinker [t]) - (klinker stok değişimi [t]).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30’dan 33’e kadar olan maddeler uyarınca her bir farklı çimento ürünü için çimento / klinker oranını hesaplar ya da çimento teslimatları ve stok değişimleri ve baypas tozu ve çimento döner fırın tozunu içeren ve çimentoya katkı olarak kullanılan bütün diğer malzemelerin farkından oran hesaplar.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Ek-2'nin 4 üncü bölümü uyarınca, emisyon faktörü için kademe 1 aşağıdaki gibi tanımlanır: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emisyon faktörü olarak 0.525 t CO2/t klinker uygular.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 Atılan Toz ile İlgili Emisyonlar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22 nci maddenin ikinci fıkrası uyarınca proses emisyonları olarak hesaplanan çimento döner fırın tozunun (ÇFT’nin) kısmi kalsinasyon oranı için düzeltilen, fırın sisteminden çıkan bypass tozuna veya ÇFT’ye ilişkin CO2 emisyonlarını ekler. ek-2'nin 4 üncü bölümü uyarınca, emisyon faktörlerine ilişkin kademe 1 ve kademe 2 aşağıdaki gibi tanımlanır: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1: İşletme, emisyon faktörü olarak 0.525 t CO2/t toz uygular.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2: İşletme yılda en az bir defa emisyon faktörünü (EF) 30 uncu maddeden 33 üncü maddeye kadar olan maddeler uyarınca ve aşağıdaki formülü kullanarak belirler: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EFÇFT= [ (EFKli / (1+EFKli) ) x d ] / [ 1 – ((EFKli / (1+EFKli) ) x d)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Burada;</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EFÇFT</w:t>
      </w:r>
      <w:r w:rsidRPr="007671C9">
        <w:rPr>
          <w:rFonts w:ascii="Times New Roman" w:hAnsi="Times New Roman" w:cs="Times New Roman"/>
          <w:sz w:val="24"/>
          <w:szCs w:val="24"/>
        </w:rPr>
        <w:tab/>
        <w:t xml:space="preserve">= Kısmen kalsine çimento döner fırın tozunun emisyon faktörü [t CO2/t ÇFT];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EFKli= Klinkerin tesise özgü emisyon faktörü [t CO2/t klinker];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d</w:t>
      </w:r>
      <w:r w:rsidRPr="007671C9">
        <w:rPr>
          <w:rFonts w:ascii="Times New Roman" w:hAnsi="Times New Roman" w:cs="Times New Roman"/>
          <w:sz w:val="24"/>
          <w:szCs w:val="24"/>
        </w:rPr>
        <w:tab/>
        <w:t>= ÇFT kalsinasyon derecesi (ham karışımdaki toplam karbonat CO2’nin % olarak CO2 salımı).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Emisyon faktörü için kademe 3 uygulanamaz.</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D) Farindeki Karbonat Olmayan Karbondan kaynaklanan Emisyonlar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22 nci maddenin ikinci fıkrası uyarınca karbonat olmayan karbonlardan asgari olarak kireç taşı, şist veya farinde kullanılan alternatif hammaddelerden (örneğin, uçucu kül) kaynaklanan emisyonları belirler. Emisyon faktörü için aşağıdaki kademe tanımları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İlgili hammadde içindeki karbonat olmayan karbonun içeriği ilgili ulusal ve uluslararası standartlar kullanılarak elde edilir.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İlgili hammadde içindeki karbonat olmayan karbonun içeriği 30’dan 33’e kadar olan maddelerin hükümleri uyarınca en az yıllık olarak belirlenir. </w:t>
      </w:r>
    </w:p>
    <w:p w:rsidR="004D2E85" w:rsidRPr="007671C9" w:rsidRDefault="004D2E85" w:rsidP="004D2E85">
      <w:pPr>
        <w:jc w:val="both"/>
        <w:rPr>
          <w:rFonts w:ascii="Times New Roman" w:hAnsi="Times New Roman" w:cs="Times New Roman"/>
          <w:sz w:val="24"/>
          <w:szCs w:val="24"/>
        </w:rPr>
      </w:pP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Dönüşüm faktörü için aşağıdaki kademe tanımları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Dönüşüm faktörü olarak 1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İlgili ulusal ve uluslararası standartlar kullanılarak dönüşüm faktörü hesaplanır.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10. Yönetmeliğin Ek-1’inde Listelenen Kireç Üretimi veya Dolomit veya Magnezit Kalsinasyonu</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potansiyel CO2 emisyon kaynaklarını dahil eder: kireçtaşının kalsinasyonu, hammaddelerdeki dolomit veya magnezit, geleneksel fosil fırın yakıtları, alternatif fosil bazlı fırın yakıtları ve hammaddeler, biyokütle fırın yakıtları (biyokütle atıkları) ve diğer yakıtlar.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Yaklaşık aynı miktarda CO2’in tekrar bağlandığı arındırma prosesleri için sönmemiş kireç ve kireç taşından çıkan CO2 kullanıldığında, arındırma işleminin yanı sıra karbonatların ayrıştırılmasının tesisin izleme planına ayrı ayrı dahil edilmesine gerek yoktur.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Yanmadan kaynaklanan emisyonlar bu Ekin 1 inci bölümüne uygun olarak izlenir. Hammaddelerden kaynaklanan proses emisyonları ek-2'nin 4 üncü bölümüne uygun olarak izlenir. Kalsiyum ve magnezyumun karbonatları her zaman dikkate alınır. Diğer karbonatlar ve hammaddedeki organik karbon ilgili olduğu durumlarda dikkate alınır.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Girdi temelli yöntemde, karbonat içerik değerleri malzemenin ilgili nem ve gang içeriği için ayarlanır. Magnezya üretiminde karbonattan ziyade diğer magnezyum taşıyan madenler dikkate alınır.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Geri dönen veya baypas malzemeden kaynaklanan mükerrer sayım veya ihmaller önlenir. ek-2'nin 4 üncü bölümünde yer alan Yöntem B uygulanırken, kireç ocağı tozu ayrı bir kaynak akışı olarak değerlendirilir.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ÇKK (çökelmiş kalsiyum karbonat) üretimi için CO2 tesiste kullanıldığında veya başka bir tesise transfer edildiğinde, kullanılan veya transfer edilen CO2 miktarı CO2’yi üreten tesisten kaynaklı emisyon olarak değerlendirilir.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11. Yönetmeliğin Ek-1’inde Listelenen Cam, Cam Elyaf veya Mineral Yün Yalıtım Malzemesi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bu bölümdeki hükümleri ayrıca su camı ve taş/kaya yünü üreten tesislere de uygular. İşletme en az aşağıdaki potansiyel CO2 emisyon kaynaklarını dahil eder: hammaddenin erimesinin sonucu olarak alkali- ve toprak-alkali karbonatların ayrışması, geleneksel fosil yakıtlar, alternatif fosil bazlı yakıtlar ve hammaddeler, biyokütle yakıtlar (biyokütle atıklar), diğer yakıtlar, kok içeren katkı maddelerini içeren karbon, kömür tozu ve grafit, atık gaz yakma ve atık gaz yıkama.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Atık gaz yıkama da dahil olmak üzere yanmadan kaynaklanan emisyonlar, bu Ekin 1 inci bölümü uyarınca izlenir. Hammaddelerden kaynaklanan proses emisyonları EK-2.4’e uygun olarak izlenir. Dikkate alınacak karbonatlar en az CaCO3, MgCO3, Na2CO3, NaHCO3, BaCO3, Li2CO3, K2CO3, ve SrCO3 karbonatlarını içerir. Sadece yöntem A kullanılır.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Kok, grafit ve kömür tozu kaynaklı emisyonlar Ek-2 nin 5 inci bölümü uyarınca izlenir.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Emisyon faktörü için aşağıdaki kademe tanımları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Ek-5'in 2 nci bölümünde listelenen stokiyometrik oranlar kullanılır. İlgili girdi malzemelerinin saflığı sanayideki en iyi uygulama vasıtası ile belirlenir.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2: Her bir girdi malzemesindeki ilgili karbonat miktarlarının belirlenmesi 30’dan 33’e kadar olan maddeler uyarınca yapılır.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Dönüşüm faktörü için, sadece kademe 1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12.</w:t>
      </w:r>
      <w:r w:rsidRPr="007671C9">
        <w:rPr>
          <w:rFonts w:ascii="Times New Roman" w:hAnsi="Times New Roman" w:cs="Times New Roman"/>
          <w:sz w:val="24"/>
          <w:szCs w:val="24"/>
        </w:rPr>
        <w:tab/>
        <w:t>Yönetmeliğin Ek-1’inde Listelenen Seramik Ürünlerinin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potansiyel CO2 emisyon kaynaklarını dahil eder: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w:t>
      </w:r>
      <w:r w:rsidRPr="007671C9">
        <w:rPr>
          <w:rFonts w:ascii="Times New Roman" w:hAnsi="Times New Roman" w:cs="Times New Roman"/>
          <w:sz w:val="24"/>
          <w:szCs w:val="24"/>
        </w:rPr>
        <w:tab/>
        <w:t xml:space="preserve">Fırın yakıtları,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ii.</w:t>
      </w:r>
      <w:r w:rsidRPr="007671C9">
        <w:rPr>
          <w:rFonts w:ascii="Times New Roman" w:hAnsi="Times New Roman" w:cs="Times New Roman"/>
          <w:sz w:val="24"/>
          <w:szCs w:val="24"/>
        </w:rPr>
        <w:tab/>
        <w:t xml:space="preserve">Kireç taşının/dolomitin kalsinasyonu ve hammaddelerdeki diğer karbonatlar,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iii.</w:t>
      </w:r>
      <w:r w:rsidRPr="007671C9">
        <w:rPr>
          <w:rFonts w:ascii="Times New Roman" w:hAnsi="Times New Roman" w:cs="Times New Roman"/>
          <w:sz w:val="24"/>
          <w:szCs w:val="24"/>
        </w:rPr>
        <w:tab/>
        <w:t xml:space="preserve">Hava kirleticilerini azaltmak ve diğer baca gazı yıkama ile ilgili kireç taşı ve diğer karbonatlar,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iv.</w:t>
      </w:r>
      <w:r w:rsidRPr="007671C9">
        <w:rPr>
          <w:rFonts w:ascii="Times New Roman" w:hAnsi="Times New Roman" w:cs="Times New Roman"/>
          <w:sz w:val="24"/>
          <w:szCs w:val="24"/>
        </w:rPr>
        <w:tab/>
        <w:t xml:space="preserve">Polisitren içeren gözenek artırıcı olarak kullanılan toprak/biyokütle katkı maddeleri,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w:t>
      </w:r>
      <w:r w:rsidRPr="007671C9">
        <w:rPr>
          <w:rFonts w:ascii="Times New Roman" w:hAnsi="Times New Roman" w:cs="Times New Roman"/>
          <w:sz w:val="24"/>
          <w:szCs w:val="24"/>
        </w:rPr>
        <w:tab/>
        <w:t xml:space="preserve">Kâğıt üretimi veya talaş kalıntıları,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vi.</w:t>
      </w:r>
      <w:r w:rsidRPr="007671C9">
        <w:rPr>
          <w:rFonts w:ascii="Times New Roman" w:hAnsi="Times New Roman" w:cs="Times New Roman"/>
          <w:sz w:val="24"/>
          <w:szCs w:val="24"/>
        </w:rPr>
        <w:tab/>
        <w:t xml:space="preserve">Kildeki ve diğer hammaddelerdeki fosil organik malzemeler.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Baca gazı yıkamayı içeren yanmadan kaynaklanan emisyonlar, bu Ekin 1 inci bölümüne uygun olarak izlenir. Farin bileşenlerinden kaynaklanan proses emisyonları ek-2'nin 4 üncü ve 5 inci bölümlerine bölümüne uygun olarak izlenir. İşletme, saflaştırılmış veya sentetik kile dayanan seramikler için yöntem A’yı veya yöntem B’yi kullanır. İşletme, işlenmemiş kile dayanan seramik ürünler ve organik içerikli kil ve katkı maddeleri kullanırsa yöntem A’yı kullanır. Kalsiyum karbonatlar her zaman dikkate alınır. Diğer karbonatlar ve hammaddedeki organik karbon ilgili olduğu durumlarda dikkate alınır. Yöntem A için girdi malzemelerinin faaliyet verileri Bakanlığın onayı ile sanayi en iyi uygulamalarına dayanan uygun bir geri hesaplama ile tespit edilebilir. Bu hesaplama, mevcut ölçü aletlerinine dikkate alınarak kurutulmuş ara </w:t>
      </w:r>
      <w:r w:rsidRPr="007671C9">
        <w:rPr>
          <w:rFonts w:ascii="Times New Roman" w:hAnsi="Times New Roman" w:cs="Times New Roman"/>
          <w:sz w:val="24"/>
          <w:szCs w:val="24"/>
        </w:rPr>
        <w:lastRenderedPageBreak/>
        <w:t>ürünler veya pişirilmiş ürenlerden, ve kilin nemi ve katkı maddleri ile diğer ilgili malzemelerin kızdırma kaybına dair veri kaynakları dikkate alınarak yapılır.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ek-2'nin 4 üncü bölümü uyarınca, proses emisyonlarının emisyon faktörleri için aşağıdaki kademe tanımları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Yöntem A (Girdi Temelli):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1: Emisyon faktörünün hesaplanması için analiz sonuçları yerine ton kuru kil başına 0,2 ton CaCO3 ihtiyatlı değeri  (0,08794 ton of CO2’e karşılık gelen) uygulanır. Kilde yer alan tüm organik ve inorganik karbonun bu değer içerisinde yer aldığı varsayılır. Katkı maddelerinin bu değerin içerisinde yer almadığı var sayılır.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Her bir kaynak akışına ilişkin emisyon faktörü, sahaya özgü koşulları ve tesisin ürün karışımını yansıtan ulusal ve uluslararası uygulamaları da kullanarak, yılda en az bir defa hesaplanır ve güncellenir.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3: İlgili hammaddelerin kompozisyonu 30’dan 33’e kadar olan maddeler uyarınca belirlenir. Uygun olduğu durumlarda, Ek-2 nin 6 ıncı bölümünde yer alan stokiyometrik oranlar komposizyon verisinin emisyonlara dönüştürülmesi için kullanılır.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Yöntem B (Çıktı temelli):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1: : Emisyon faktörünün hesaplanması için analiz sonuçları yerine ton ürün başına 0,123 ton CaO ihtiyatlı değeri  (0,09642 ton CO2’e karşılık gelen) kullanılır. Kilde yer alan tüm organik ve inorganik karbonun bu değer içerisinde yer aldığı varsayılır. Katkı maddelerinin bu değerin içerisinde yer almadığı var sayılır.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2: Emisyon faktörü, sahaya özgü koşullar ve tesisin ürün karışımını yansıtan ulusal ve uluslararası uygulamaları da kullanarak, yılda en az bir defa hesaplanır ve güncellenir.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3: Ürün kompozisyonun belirlenmesi 30’dan 33’e kadar olan maddeler uyarınca belirlenir. Uygun olduğu durumlarda, Ek-2 nin 6 ıncı bölümü Tablo 3’de yer alan stokiyometrik oranlar tüm metal oksitlerin ilgili karbonatlardan dönüştüğü varsayılarak komposizyon verisinin emisyonlara dönüştürülmesi için kullanılır.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Bu Ekin 1 inci bölümü uyarınca baca gazlarının temizlenmesine yönelik emisyon faktörü için aşağıdaki kademe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Kademe 1: İşletme, ek-5'in 2 nci bölümünde belirtildiği üzere CaCO3 stokiyometrik oranını uygular. Temizleme için diğer kademe ve dönüşüm faktörleri kullanılmaz. Aynı tesiste hammadde olarak geri kazanılmış kireçtaşının kullanılmasından kaynaklanan mükerrer sayım önlenir.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13.</w:t>
      </w:r>
      <w:r w:rsidRPr="007671C9">
        <w:rPr>
          <w:rFonts w:ascii="Times New Roman" w:hAnsi="Times New Roman" w:cs="Times New Roman"/>
          <w:sz w:val="24"/>
          <w:szCs w:val="24"/>
        </w:rPr>
        <w:tab/>
        <w:t>Yönetmeliğin Ek-1’inde Listelenen Alçı Taşı Ürünleri ve Alçı Levhaları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her tür yanma faaliyetinden kaynaklanan CO2 emisyonlarını dahil eder.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Yanmadan kaynaklanan emisyonlar bu Ekin 1 inci bölümüne uygun olarak izlenir.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14. Yönetmeliğin Ek-1’inde Listelenen Selüloz ve Kağıt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İşletme en az aşağıdaki potansiyel CO2 emisyon kaynaklarını dahil eder: kazanlar, gaz türbinleri ve buhar veya enerji üreten yanma ile ilgili diğer cihazlar,  tüketilmiş kağıt hamuru likörlerini yakan geri kazanım kazanları ve diğer cihazlar, insinaretörler, kireç fırınları ve kalsinatörleri, atık gaz yıkama ve kurutucular (kızılötesi kurutucular dahil).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Atık gaz yıkamasını içeren yanmadan kaynaklanan emisyonların izlenmesi bu Ekin 1 inci bölümüne uygun olarak yürütülür.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Asgari olarak kireç taşını veya soda külünü içeren takviye kimyasalları olarak kullanılan hammaddelerden kaynaklanan proses emisyonları, ek-2'nin 4 üncü bölümüne uygun olarak yöntem A ile izlenir. Selüloz üretimindeki kireç taşı çamur geri kazanımından kaynaklanan CO2 emisyonları geri dönüşümlü biyokütle CO2 olarak varsayılır. Sadece takviye kimyasalların girdisi ile orantılı CO2 miktarının fosil CO2 emisyonlarına sebep olduğu varsayılır.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Çökelmiş kalsiyum karbonat (ÇKK) üretimi için tesiste CO2 kullanıldığında veya başka bir tesise CO2 transfer edildiğinde, CO2 miktarı CO2 üreten tesis kaynaklı emisyon olarak değerlendirilir. Takviye kimyasallarından kaynaklanan emisyonlarda emisyon faktörü için aşağıdaki kademe tanımları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1: Ek-5'in 2 nci bölümünde listelenen stokiyometrik oranlar kullanılır. İlgili girdi malzemelerinin saflığı ilgili ulusal ve uluslararası standartlar vasıtası ile belirlenir. Elde edilen değerler uygulanan karbonat malzemenin nemine ve değersiz içeriğine uygun olarak ayarlanır.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2: Her bir ilgili girdi malzemesine ilişkin ilgili karbonat miktarlarının belirlenmesi 30’dan 33’e kadar olan maddeler uyarınca yürütülür. Uygun olduğu durumlarda, Ek-2 nin 6 ıncı bölümünde yer alan stokiyometrik oranlar komposizyon verisinin emisyonlara dönüştürülmesi için kullanılır.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Dönüşüm faktörü için, sadece kademe 1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15. Yönetmeliğin Ek-1’inde Listelenen Karbon Siyahı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asgari düzeyde yanma ile ilgili tüm yakıtları ve CO2 emisyon kaynağı olan ve proses malzemesi olarak kullanılan tüm yakıtları dahil eder.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Karbon siyahı üretiminden kaynaklanan emisyonların izlenmesi, bu Ekin 1 inci bölümüne uygun olarak, atık gaz yıkamasını da içeren bir yanma prosesi olarak ya da 23 üncü madde ve ek-2'nin 3 üncü bölümüne uygun olarak kütle dengesi kullanılarak yapılır.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16. Yönetmeliğin Ek-1’inde Listelenen Nitrik Asit, Adipik Asit, Kaprolaktam, Glioksal ve Glioksilik Asit Üretiminden Diazot Oksidin (N2O) Belirlenmesi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N2O emisyonlarının çıktığı her faaliyet için, ürünlerden kaynaklanan ve azaltma ekipmanlarına yönlendirilen N2O emisyonlarını içerecek şekilde üretim proseslerinden N2O salınan bütün kaynakları değerlendirir. Bu prosesler aşağıdakilerden herhangi birini içerir: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(a) Nitrik asit üretimi - amonyağın katalitik yükseltgenmesinden ve/veya NOx/N2O azaltma birimlerinden çıkan N2O emisyonları,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 Adipik asit üretimi – yükseltgenme reaksiyonundan, doğrudan proses tahliye ve/veya emisyon kontrol ekipmanından çıkan N2O emisyonları,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(c) Glioksal ve glioksilik asit üretimi – proses reaksiyonlarından, doğrudan proses tahliye ve/veya emisyon kontrol ekipmanından çıkan N2O emisyonları,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(d) Kaprolaktam üretimi - proses reaksiyonlarından, doğrudan proses tahliye ve/veya emisyon kontrol ekipmanından çıkan N2O emisyonları.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Bu hükümler yakıtların yanmasından kaynaklanan N2O emisyonlarına uygulanmaz.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N2O Emisyonlarının Belirlenmesi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B.1 Yıllık N2O emisyonları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sürekli emisyon ölçümü kullanarak nitrik asit üretiminden kaynaklanan N2O emisyonlarını izler. İşletme, azaltılmış emisyonlar için ölçüm temelli yöntem ve azaltılmamış emisyonların geçici oluşumları için hesaplama temelli yöntem (bir kütle-dengesi yöntemine dayanan) kullanarak adipik asit, kaprolaktam, glioksal ve glioksilik asit üretiminden kaynaklanan N2O emisyonlarını izler.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sürekli emisyon ölçümünün uygulandığı her bir emisyon kaynağı için aşağıdaki formülü kullanarak toplam yıllık emisyonun bütün saatlik emisyonların toplamı olup olmadığını değerlendirir.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B.2 Saatlik N2O emisyonları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İşletme, sürekli emisyon ölçümünün uygulandığı durumda her kaynak için yıllık ortalama saatlik N2O emisyonlarını aşağıdaki denklemi kullanarak Ek-7’nin 3 üncü bölümünde yer alan 2 numaralı denklemi kullanarak hesaplar.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azaltmanın kullanıldığı durumda, NOx/N2O azaltım ekipmanının ardından, temsili bir noktada ölçüm temelli yöntem kullanarak her bir emisyon kaynağından çıkan baca gazındaki saatlik N2O konsantrasyonlarını [mg/Nm3] belirler. İşletme hem azaltılmış hem de azaltılmamış koşullar süresince tüm emisyon kaynaklarının N2O konsantrasyonlarını ölçmeye yönelik teknikleri uygular. İşletme, bu süreçte belirsizliklerin artması halinde, bunları belirsizlik değerlendirmesinde dikkate alır.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gerekli olduğunda bütün ölçümleri kuru gazı baz alarak ayarlar ve onları sürekli raporlar.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B.3 Baca gazı akışının belirlenmesi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N2O emisyonlarının izlenmesi için baca gazı akışının ölçülmesi amacı ile bu Tebliğin 41 inci maddesinin beşinci fıkrasında ortaya konan baca gazı akışını izlemek için yöntemleri kullanır. Nitrik asit üretimi için, işletme teknik olarak elverişli olduğunda, 41 inci maddenin beşinci fıkrasının (a) bendi kapsamındaki yöntemi uygular. Bu durumda işletme, amonyak girdi yükü veya sürekli emisyon akış ölçümü tarafından akışın belirlenmesi gibi önemli parametrelere dayanarak bir kütle dengesi yöntemini içeren, alternatif bir yöntemi Bakanlığın onayına bağlı olarak uygular.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Baca gazı akışı aşağıdaki formül kapsamında hesaplanır: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Vbaca gazı akışı [Nm3/s] = Vhava * (1 - O2,air) / (1 - O2, baca gazı)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Burada;</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Vhava</w:t>
      </w:r>
      <w:r w:rsidRPr="007671C9">
        <w:rPr>
          <w:rFonts w:ascii="Times New Roman" w:hAnsi="Times New Roman" w:cs="Times New Roman"/>
          <w:sz w:val="24"/>
          <w:szCs w:val="24"/>
        </w:rPr>
        <w:tab/>
        <w:t>= Standart koşullarda Nm³/saat cinsinde toplam giren hava</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O2, hava</w:t>
      </w:r>
      <w:r w:rsidRPr="007671C9">
        <w:rPr>
          <w:rFonts w:ascii="Times New Roman" w:hAnsi="Times New Roman" w:cs="Times New Roman"/>
          <w:sz w:val="24"/>
          <w:szCs w:val="24"/>
        </w:rPr>
        <w:tab/>
        <w:t>= Kuru havada O2’nin hacim oranı [= 0.2095]</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O2, baca gazı= Baca gazındaki O2’nin hacim oranı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Vhava nitrik asit üretim birimine giren bütün hava akışlarının toplamı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olarak hesaplanır.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İzleme planında aksi belirtilmedikçe, işletme aşağıdaki formülü uygular: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Vhava = Vbirinci + Vikinci+ Vsızdırmazlık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Burada;</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Vbirinci= Standart koşullarda Nm³/saat cinsinde birinci girdi hava akışı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Vikinci= Standart koşullarda Nm³/saat cinsinde ikinci girdi hava akışı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Vsızdırmazlık= Standart koşullarda Nm³/saat cinsinde sızdırmazlık girdi hava akışı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amonyak ile karışım gerçekleşmeden önce sürekli akış ölçüm vasıtası ile Vbirinci değerini belirler. İşletme, ölçümün ısı geri kazanım biriminden önce olması durumunu da içerecek şekilde, sürekli akış ölçüm vasıtası ile Vikinci değerini belirler. İşletme, Vsızdırmazlık değeri için nitrik asit üretim prosesi içinde saflaştırılmış hava akışını değerlendirir.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Kümülatif olarak toplam hava akışının %2.5’inden az olan hava giriş akışları için, Bakanlık sanayideki en iyi uygulamalara dayanarak işletme tarafından teklif edilen hava akış oranının belirlenmesi için tahmin yöntemlerini kabul eder.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önerilen ölçüm yönteminin kabul edilmesi için ölçülen baca gazı akışının yeterince homojen olduğuna dair normal şartlar altında yapılan ölçümler ile bilgi ve belgeleri Bakanlığa gönderir. Bu ölçümler aracılığı ile homojen olmayan akışın onaylandığı durumda, işletme uygun izleme yöntemlerini belirleyeceği zaman ve N2O emisyonlarındaki belirsizliği hesaplayacağı zaman bunu dikkate alır.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gerekli olduğunda bütün ölçümleri kuru gazı baz alarak ayarlar ve onları sürekli raporlar.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B.4 Oksijen (O2) konsantrasyonları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bu bölümün B.3 uyarınca baca gazı akışını hesaplamak için gerekli olduğunda baca gazındaki oksijen konsantrasyonlarını ölçer. Bunu yaparken, işletme 39 uncu maddenin birinci ve ikinci fıkraları kapsamındaki konsantrasyon ölçümleri için gereklilikleri karşılar. N2O emisyonlarının belirsizliğini hesaplarken, işletme O2 konsantrasyon ölçümlerinin belirsizliğini dikkate alır.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gerekli olduğunda bütün ölçümleri kuru gazı baz alarak ayarlar ve onları sürekli raporlar.  </w:t>
      </w:r>
    </w:p>
    <w:p w:rsidR="004B4482"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B.5 N2O emisyonlarının hesaplanması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Güvenlik sebebi ile baca gazı arıtma sistemine girmeden havalandırmadan kaynaklanan emisyonları içererek ve bu sistem çalışmadığı zaman ve N2O için sürekli emisyon izlemesinin </w:t>
      </w:r>
      <w:r w:rsidRPr="007671C9">
        <w:rPr>
          <w:rFonts w:ascii="Times New Roman" w:hAnsi="Times New Roman" w:cs="Times New Roman"/>
          <w:sz w:val="24"/>
          <w:szCs w:val="24"/>
        </w:rPr>
        <w:lastRenderedPageBreak/>
        <w:t xml:space="preserve">teknik olarak elverişli olmadığı durumda, adipik asit, kaprolaktam, glioksal ve glioksilik asit üretiminden kaynaklanan baca gazı arıtma sistemine girmemiş N2O emisyonları için, işletme Bakanlığın uygun görüşü ile bir kütle denge yöntemi kullanarak N2O emisyonlarını hesaplar. Bu amaç ile toplam belirsizlik 39 uncu maddenin birinci ve ikinci fıkralarında belirtilen uygulamanın sonuçları ile uyumlu olur. İşletme, hesaplama yöntemini, emisyon süresince ve zamanında ortaya çıkan kimyasal reaksiyondan çıkan azami potansiyel N2O emisyon oranına dayandırır.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emisyon kaynağı için yıllık ortalama saatlik belirsizliği tespit ederken belirli bir emisyon kaynağı için hesaplanmış emisyon belirsizliklerini dikkate alır.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B.6 Faaliyet üretim hızlarının belirlenmesi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Üretim hızları günlük üretim raporları ve işletim saatleri kullanılarak hesaplanır.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B.7 Örnekleme hızları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Geçerli saatlik ortalamalar veya daha kısa referans dönemi için ortalamalar aşağıdakiler için 42 nci madde kapsamında hesaplanır: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(a) Baca gazındaki N2O konsantrasyonu,</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Doğrudan ölçüldüğü ve gerekli olduğu durumda, toplam baca gaz akışı,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 Dolaylı toplam baca gazı akışını belirlemek için gerekli bütün gaz akışları ve oksijen konsantrasyonları.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C) Yıllık CO2 Eşitliğinin - CO2(eşd) Belirlenmesi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aşağıdaki formülü ve ek-5'in 3 üncü bölümünde bulunan Küresel Isınma Potansiyeli (KIP) değerlerini kullanarak ton cinsinde ölçülmüş bütün emisyon kaynaklarından çıkan toplam yıllık N2O emisyonlarını üç ondalık haneye yuvarlayarak ton olarak çevirir: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CO2(eşd) [t] = N2Oyıllık[t] * KIPN2O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Bütün emisyon kaynaklarından çıkan toplam yıllık CO2(eşd) ve diğer emisyon kaynaklarından çıkan doğrudan CO2 emisyonları tesis tarafından üretilen yıllık CO2 emisyonlarına eklenir ve raporlamada kullanılır.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N2O’nun toplam yıllık emisyonları ton cinsinde üç ondalık haneli olarak ve CO2(eşd) olarak yuvarlanmış ton cinsinde raporlanır.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17. Yönetmeliğin Ek-1’inde Listelenen Amonyağın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en az aşağıdaki potansiyel CO2 emisyon kaynaklarını dahil eder: yeniden şekillendirme veya kısmi yükseltgenme için ısı temin eden yakıtların yanması, amonyak üretim prosesinde işlem girdisi olarak kullanılan yakıtlar (yeniden şekillendirme veya yükseltgenme), sıcak su veya buhar üretimi amaçlı prosesleri içeren diğer yanma prosesleri için kullanılan yakıtlar.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Yanma proseslerinden ve işlem girdisi olarak kullanılan yakıtlardan kaynaklanan emisyonların izlenmesi için, 22 nci madde ve bu Ekin 1 inci bölümü uyarınca standart yöntem uygulanır.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lastRenderedPageBreak/>
        <w:t xml:space="preserve">Amonyak üretiminden kaynaklanan CO2’nin üre veya diğer kimyasalların üretimi için besleme stoku olarak kullanıldığı veya 47 nci maddenin birinci fıkrasının kapsamadığı herhangi kullanım için tesisten dışarı transfer edildiği durumda, ilgili CO2 miktarı CO2 üreten tesis tarafından salınmış olarak değerlendirilir.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18. Yönetmeliğin Ek-1’inde Listelenen Yığın Organik Kimyasalların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A) Kapsam</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İşletme, asgari aşağıdaki potansiyel CO2 emisyon kaynaklarını dahil eder: kraking (katalitik ve katalitik olmayan), reforming, kısmi veya tam yükseltgenme, hidrokarbon bazlı besleme stoğundaki karbondan CO2 emisyonlarına yol açan benzer işlemler, atık gazların yakılması ve alevleme ve diğer yanma işlemlerindeki yakıtın yanması.</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Yığın organik kimyasalların üretiminin bir petrol rafinerisine teknik olarak entegre edildiği durumda, işletme bu Ekin 2 nci bölümündeki ilgili hükümleri uygular.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İşletme 22 nci madde ve bu Ekin 1 inci bölümü kapsamında standart yöntem kullanan yığın organik kimyasalların üretimi için kimyasal reaksiyonlarda yer almayan veya onlardan çıkan yakıtın kullanıldığı durumda yanma işlemlerinin ürettiği emisyonları 1 inci paragrafa aykırı olmayacak şekilde izler. Diğer bütün durumlarda, işletme 23 üncü madde kapsamında kütle dengesi yöntemi ile veya 22 nci madde kapsamında standart yöntem ile yığın organik kimyasalların üretiminden kaynaklanan emisyonları izlemeyi seçer. Standart yöntemin kullanıldığı durumda, işletme seçilen yöntemin kütle-dengesi yöntemi ile ilgili emisyonları kapsadığına dair bilgi ve belgeleri Bakanlığa sunar.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Kademe 1 altında karbon içeriğinin belirlenmesi için, ek-5 Tablo 5.5’te listelenen referans emisyon faktörleri uygulanır. ek-5 Tablo 5.5’te veya bu Tebliğin diğer hükümlerinde listelenmeyen maddeler için, işletme karbon içeriğini saf maddedeki stokiyometrik karbon içeriğinden ve girdi ile çıktı akışındaki madde konsantrasyonundan hesaplar.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19.</w:t>
      </w:r>
      <w:r w:rsidRPr="007671C9">
        <w:rPr>
          <w:rFonts w:ascii="Times New Roman" w:hAnsi="Times New Roman" w:cs="Times New Roman"/>
          <w:sz w:val="24"/>
          <w:szCs w:val="24"/>
        </w:rPr>
        <w:tab/>
        <w:t>Yönetmeliğin Ek-1’inde Listelenen Hidrojen ve Sentetik Gazların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İşletme asgari olarak aşağıdaki potansiyel CO2 emisyon kaynaklarını dahil eder: hidrojen veya sentez gaz üretimi prosesinde kullanılan yakıtlar (reforming veya kısmi yükseltgenme) ve sıcak su veya buhar üretimi amaçlı kullanılan yakıtlar dahil olmak üzere diğer yanma işlemleri için kullanılan yakıtlar. Üretilen sentez gazı kütle denge yöntemi altında kaynak akışı olarak değerlendirilir.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Yanma proseslerinden ve hidrojen üretiminde proses girdileri olarak kullanılan yakıtlardan kaynaklanan emisyonları izlemek için 22 nci madde ve bu Ekin 1 inci bölümü uyarınca standart yöntem kullanılır. </w:t>
      </w:r>
    </w:p>
    <w:p w:rsidR="004D2E85" w:rsidRPr="007671C9" w:rsidRDefault="004D2E85" w:rsidP="004D2E85">
      <w:pPr>
        <w:jc w:val="both"/>
        <w:rPr>
          <w:rFonts w:ascii="Times New Roman" w:hAnsi="Times New Roman" w:cs="Times New Roman"/>
          <w:sz w:val="24"/>
          <w:szCs w:val="24"/>
        </w:rPr>
      </w:pP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Sentez gazı üretiminden kaynaklanan emisyonların izlenmesi için, 23 üncü madde ile bağlantılı olarak kütle dengesi yöntemi kullanılır. İşletmeci, ayrı yanma işlemlerinden kaynaklanan emisyonları kütle dengesine dâhil etmeyi veya herhangi eksiklik olmasını veya emisyonların </w:t>
      </w:r>
      <w:r w:rsidRPr="007671C9">
        <w:rPr>
          <w:rFonts w:ascii="Times New Roman" w:hAnsi="Times New Roman" w:cs="Times New Roman"/>
          <w:sz w:val="24"/>
          <w:szCs w:val="24"/>
        </w:rPr>
        <w:lastRenderedPageBreak/>
        <w:t>mükerrer sayımını önleyecek şekilde, asgari düzeyde kaynak akışlarının bir kısmı için 22 nci madde kapsamında standart yöntemi seçer.</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Hidrojen ve sentez gazların aynı tesiste üretildiği durumda, işletme CO2 emisyonlarını ya ilk iki paragrafta belirtildiği gibi hidrojen ve sentetik gaz için ayrı ayrı yöntemleri ya da bir ortak kütle dengesi kullanarak hesaplar.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20. Yönetmeliğin Ek-1’inde Listelenen Soda Külü ve Sodyum Bikarbonat Üretimi</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Kapsam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Soda külü ve sodyum bikarbonat üretiminde tesislerden çıkan CO2 emisyonları için emisyon kaynakları ve kaynak akışları aşağıdakileri içerir: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(a) Sıcak su veya buhar üretmek amacı ile kullanılan yakıtları içeren, yanma prosesleri için kullanılan yakıtlar;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Karbonatlaştırma için kullanılmaması durumunda, kireç taşının kalsinasyonundan kaynaklanan havalandırma gazını içeren hammaddeler;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(c) Karbonatlaştırma için kullanılmaması durumunda, karbonatlaştırmanın ardından yıkama veya filtreleme adımlarından kaynaklanan atık gazlar.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B) Özel İzleme Kuralları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 xml:space="preserve">Soda külü ve sodyum bikarbonat üretiminden kaynaklanan emisyonların izlenmesi için, işletme 23 üncü madde ile bağlantılı olarak kütle dengesi yöntemini kullanır. İşletme, yanma proseslerinden kaynaklanan emisyonları, kütle dengesine dahil etmeyi veya boşluk olmasını veya emisyonların mükerrer sayımını önleyecek şekilde, asgari düzeyde kaynak akışlarının bir kısmı için 22 nci madde kapsamında standart yöntemi seçer. </w:t>
      </w:r>
    </w:p>
    <w:p w:rsidR="004D2E85" w:rsidRPr="007671C9" w:rsidRDefault="004D2E85" w:rsidP="004D2E85">
      <w:pPr>
        <w:jc w:val="both"/>
        <w:rPr>
          <w:rFonts w:ascii="Times New Roman" w:hAnsi="Times New Roman" w:cs="Times New Roman"/>
          <w:sz w:val="24"/>
          <w:szCs w:val="24"/>
        </w:rPr>
      </w:pPr>
      <w:r w:rsidRPr="007671C9">
        <w:rPr>
          <w:rFonts w:ascii="Times New Roman" w:hAnsi="Times New Roman" w:cs="Times New Roman"/>
          <w:sz w:val="24"/>
          <w:szCs w:val="24"/>
        </w:rPr>
        <w:t>Soda külünün üretiminden kaynaklanan CO2’nin sodyum bikarbonat üretimi için kullanıldığı durumda, sodyum külünden sodyum bikarbonat üretimi için kullanılan CO2 miktarı CO2 üreten tesisten salınmış olarak değerlendirilir.</w:t>
      </w:r>
    </w:p>
    <w:p w:rsidR="004B4482" w:rsidRPr="007671C9" w:rsidRDefault="004B4482" w:rsidP="004D2E85">
      <w:pPr>
        <w:jc w:val="both"/>
        <w:rPr>
          <w:rFonts w:ascii="Times New Roman" w:hAnsi="Times New Roman" w:cs="Times New Roman"/>
          <w:b/>
          <w:sz w:val="24"/>
          <w:szCs w:val="24"/>
        </w:rPr>
      </w:pPr>
    </w:p>
    <w:p w:rsidR="002D15FC" w:rsidRPr="007671C9" w:rsidRDefault="002D15FC" w:rsidP="004D2E85">
      <w:pPr>
        <w:jc w:val="both"/>
        <w:rPr>
          <w:rFonts w:ascii="Times New Roman" w:hAnsi="Times New Roman" w:cs="Times New Roman"/>
          <w:b/>
          <w:sz w:val="24"/>
          <w:szCs w:val="24"/>
        </w:rPr>
      </w:pPr>
    </w:p>
    <w:p w:rsidR="002D15FC" w:rsidRPr="007671C9" w:rsidRDefault="002D15FC" w:rsidP="002D15FC">
      <w:pPr>
        <w:jc w:val="center"/>
        <w:rPr>
          <w:b/>
        </w:rPr>
      </w:pPr>
      <w:r w:rsidRPr="007671C9">
        <w:rPr>
          <w:b/>
        </w:rPr>
        <w:t>EK</w:t>
      </w:r>
      <w:r w:rsidRPr="007671C9">
        <w:t>-</w:t>
      </w:r>
      <w:r w:rsidRPr="007671C9">
        <w:rPr>
          <w:b/>
        </w:rPr>
        <w:t>4</w:t>
      </w:r>
    </w:p>
    <w:p w:rsidR="002D15FC" w:rsidRPr="007671C9" w:rsidRDefault="002D15FC" w:rsidP="002D15FC">
      <w:pPr>
        <w:widowControl w:val="0"/>
        <w:autoSpaceDE w:val="0"/>
        <w:autoSpaceDN w:val="0"/>
        <w:adjustRightInd w:val="0"/>
        <w:ind w:right="-8"/>
        <w:jc w:val="center"/>
        <w:rPr>
          <w:b/>
          <w:u w:val="single"/>
        </w:rPr>
      </w:pPr>
    </w:p>
    <w:p w:rsidR="002D15FC" w:rsidRPr="007671C9" w:rsidRDefault="002D15FC" w:rsidP="002D15FC">
      <w:pPr>
        <w:widowControl w:val="0"/>
        <w:tabs>
          <w:tab w:val="left" w:pos="1860"/>
          <w:tab w:val="left" w:pos="4366"/>
        </w:tabs>
        <w:autoSpaceDE w:val="0"/>
        <w:autoSpaceDN w:val="0"/>
        <w:adjustRightInd w:val="0"/>
        <w:ind w:right="-8"/>
        <w:jc w:val="center"/>
        <w:rPr>
          <w:b/>
          <w:w w:val="104"/>
        </w:rPr>
      </w:pPr>
      <w:r w:rsidRPr="007671C9">
        <w:rPr>
          <w:b/>
          <w:w w:val="104"/>
        </w:rPr>
        <w:t>KATEGORİ A TESİSLERİNDE HESAPLAMA TEMELLİ YÖNTEMLERE VE KATEGORİ B VE C TESİSLERİ TARAFINDAN KULLANILAN TİCARİ STANDART YAKITLAR İÇİN HESAPLAMA FAKTÖRLERİNE İLİŞKİN ASGARİ KADEME GEREKSİNİMLERİ</w:t>
      </w:r>
    </w:p>
    <w:p w:rsidR="002D15FC" w:rsidRPr="007671C9" w:rsidRDefault="002D15FC" w:rsidP="002D15FC">
      <w:pPr>
        <w:widowControl w:val="0"/>
        <w:tabs>
          <w:tab w:val="left" w:pos="1860"/>
          <w:tab w:val="left" w:pos="4366"/>
        </w:tabs>
        <w:autoSpaceDE w:val="0"/>
        <w:autoSpaceDN w:val="0"/>
        <w:adjustRightInd w:val="0"/>
        <w:ind w:right="-8"/>
        <w:jc w:val="center"/>
        <w:rPr>
          <w:b/>
          <w:w w:val="104"/>
        </w:rPr>
      </w:pPr>
    </w:p>
    <w:p w:rsidR="002D15FC" w:rsidRPr="007671C9" w:rsidRDefault="002D15FC" w:rsidP="002D15FC">
      <w:pPr>
        <w:widowControl w:val="0"/>
        <w:autoSpaceDE w:val="0"/>
        <w:autoSpaceDN w:val="0"/>
        <w:adjustRightInd w:val="0"/>
        <w:ind w:right="-8"/>
        <w:jc w:val="both"/>
        <w:rPr>
          <w:b/>
          <w:w w:val="105"/>
        </w:rPr>
      </w:pPr>
      <w:r w:rsidRPr="007671C9">
        <w:rPr>
          <w:b/>
          <w:w w:val="105"/>
        </w:rPr>
        <w:t>Tablo 4.1: Kategori A tesisleri ve 24 üncü maddenin birinci fıkrasının (a) bendi uyarınca tüm tesislerde tüketilen ticari standart yakıtların ilgili hesaplama faktörleri için hesaplama temelli yöntemlerde uygulanacak asgari kademeler (‘n.a’, ‘uygulanamaz/geçerli değil’ anlamına gelir)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34"/>
        <w:gridCol w:w="992"/>
        <w:gridCol w:w="851"/>
        <w:gridCol w:w="1275"/>
        <w:gridCol w:w="1276"/>
        <w:gridCol w:w="851"/>
      </w:tblGrid>
      <w:tr w:rsidR="007671C9" w:rsidRPr="007671C9" w:rsidTr="00AD68C3">
        <w:trPr>
          <w:trHeight w:val="285"/>
        </w:trPr>
        <w:tc>
          <w:tcPr>
            <w:tcW w:w="3085" w:type="dxa"/>
            <w:vMerge w:val="restart"/>
          </w:tcPr>
          <w:p w:rsidR="002D15FC" w:rsidRPr="007671C9" w:rsidRDefault="002D15FC" w:rsidP="00AD68C3">
            <w:pPr>
              <w:widowControl w:val="0"/>
              <w:autoSpaceDE w:val="0"/>
              <w:autoSpaceDN w:val="0"/>
              <w:adjustRightInd w:val="0"/>
              <w:ind w:left="-142" w:right="-108"/>
              <w:jc w:val="center"/>
              <w:rPr>
                <w:b/>
                <w:w w:val="103"/>
                <w:sz w:val="20"/>
                <w:szCs w:val="20"/>
              </w:rPr>
            </w:pPr>
            <w:r w:rsidRPr="007671C9">
              <w:rPr>
                <w:b/>
                <w:w w:val="103"/>
                <w:sz w:val="20"/>
                <w:szCs w:val="20"/>
              </w:rPr>
              <w:t>Etkinlik / Kaynak Akışı Tipi</w:t>
            </w:r>
          </w:p>
        </w:tc>
        <w:tc>
          <w:tcPr>
            <w:tcW w:w="2126" w:type="dxa"/>
            <w:gridSpan w:val="2"/>
          </w:tcPr>
          <w:p w:rsidR="002D15FC" w:rsidRPr="007671C9" w:rsidRDefault="002D15FC" w:rsidP="00AD68C3">
            <w:pPr>
              <w:widowControl w:val="0"/>
              <w:autoSpaceDE w:val="0"/>
              <w:autoSpaceDN w:val="0"/>
              <w:adjustRightInd w:val="0"/>
              <w:ind w:left="-142" w:right="-108"/>
              <w:jc w:val="center"/>
              <w:rPr>
                <w:b/>
                <w:w w:val="102"/>
                <w:sz w:val="20"/>
                <w:szCs w:val="20"/>
              </w:rPr>
            </w:pPr>
            <w:r w:rsidRPr="007671C9">
              <w:rPr>
                <w:b/>
                <w:w w:val="102"/>
                <w:sz w:val="20"/>
                <w:szCs w:val="20"/>
              </w:rPr>
              <w:t>Faaliyet Verisi</w:t>
            </w:r>
          </w:p>
        </w:tc>
        <w:tc>
          <w:tcPr>
            <w:tcW w:w="851" w:type="dxa"/>
            <w:vMerge w:val="restart"/>
          </w:tcPr>
          <w:p w:rsidR="002D15FC" w:rsidRPr="007671C9" w:rsidRDefault="002D15FC" w:rsidP="00AD68C3">
            <w:pPr>
              <w:widowControl w:val="0"/>
              <w:autoSpaceDE w:val="0"/>
              <w:autoSpaceDN w:val="0"/>
              <w:adjustRightInd w:val="0"/>
              <w:ind w:left="-142" w:right="-108"/>
              <w:jc w:val="center"/>
              <w:rPr>
                <w:b/>
                <w:w w:val="102"/>
                <w:sz w:val="20"/>
                <w:szCs w:val="20"/>
              </w:rPr>
            </w:pPr>
            <w:r w:rsidRPr="007671C9">
              <w:rPr>
                <w:b/>
                <w:w w:val="102"/>
                <w:sz w:val="20"/>
                <w:szCs w:val="20"/>
              </w:rPr>
              <w:t>Emisyon</w:t>
            </w:r>
          </w:p>
          <w:p w:rsidR="002D15FC" w:rsidRPr="007671C9" w:rsidRDefault="002D15FC" w:rsidP="00AD68C3">
            <w:pPr>
              <w:widowControl w:val="0"/>
              <w:tabs>
                <w:tab w:val="left" w:pos="1379"/>
              </w:tabs>
              <w:autoSpaceDE w:val="0"/>
              <w:autoSpaceDN w:val="0"/>
              <w:adjustRightInd w:val="0"/>
              <w:ind w:left="-142" w:right="-108"/>
              <w:jc w:val="center"/>
              <w:rPr>
                <w:b/>
                <w:w w:val="106"/>
                <w:sz w:val="20"/>
                <w:szCs w:val="20"/>
              </w:rPr>
            </w:pPr>
            <w:r w:rsidRPr="007671C9">
              <w:rPr>
                <w:b/>
                <w:w w:val="108"/>
                <w:sz w:val="20"/>
                <w:szCs w:val="20"/>
              </w:rPr>
              <w:t>Faktörü</w:t>
            </w:r>
          </w:p>
          <w:p w:rsidR="002D15FC" w:rsidRPr="007671C9" w:rsidRDefault="002D15FC" w:rsidP="00AD68C3">
            <w:pPr>
              <w:widowControl w:val="0"/>
              <w:autoSpaceDE w:val="0"/>
              <w:autoSpaceDN w:val="0"/>
              <w:adjustRightInd w:val="0"/>
              <w:ind w:left="-142" w:right="-108"/>
              <w:jc w:val="center"/>
              <w:rPr>
                <w:w w:val="106"/>
                <w:sz w:val="20"/>
                <w:szCs w:val="20"/>
              </w:rPr>
            </w:pPr>
          </w:p>
        </w:tc>
        <w:tc>
          <w:tcPr>
            <w:tcW w:w="1275" w:type="dxa"/>
            <w:vMerge w:val="restart"/>
          </w:tcPr>
          <w:p w:rsidR="002D15FC" w:rsidRPr="007671C9" w:rsidRDefault="002D15FC" w:rsidP="00AD68C3">
            <w:pPr>
              <w:widowControl w:val="0"/>
              <w:autoSpaceDE w:val="0"/>
              <w:autoSpaceDN w:val="0"/>
              <w:adjustRightInd w:val="0"/>
              <w:ind w:left="-142" w:right="-108"/>
              <w:jc w:val="center"/>
              <w:rPr>
                <w:b/>
                <w:w w:val="107"/>
                <w:sz w:val="20"/>
                <w:szCs w:val="20"/>
              </w:rPr>
            </w:pPr>
            <w:r w:rsidRPr="007671C9">
              <w:rPr>
                <w:b/>
                <w:w w:val="102"/>
                <w:sz w:val="20"/>
                <w:szCs w:val="20"/>
              </w:rPr>
              <w:t>Kompozisyon</w:t>
            </w:r>
            <w:r w:rsidRPr="007671C9">
              <w:rPr>
                <w:b/>
                <w:w w:val="108"/>
                <w:sz w:val="20"/>
                <w:szCs w:val="20"/>
              </w:rPr>
              <w:t xml:space="preserve"> Verisi </w:t>
            </w:r>
            <w:r w:rsidRPr="007671C9">
              <w:rPr>
                <w:b/>
                <w:w w:val="107"/>
                <w:sz w:val="20"/>
                <w:szCs w:val="20"/>
              </w:rPr>
              <w:t xml:space="preserve"> </w:t>
            </w:r>
          </w:p>
          <w:p w:rsidR="002D15FC" w:rsidRPr="007671C9" w:rsidRDefault="002D15FC" w:rsidP="00AD68C3">
            <w:pPr>
              <w:widowControl w:val="0"/>
              <w:autoSpaceDE w:val="0"/>
              <w:autoSpaceDN w:val="0"/>
              <w:adjustRightInd w:val="0"/>
              <w:ind w:left="-142" w:right="-108"/>
              <w:jc w:val="center"/>
              <w:rPr>
                <w:b/>
                <w:w w:val="107"/>
                <w:sz w:val="20"/>
                <w:szCs w:val="20"/>
              </w:rPr>
            </w:pPr>
            <w:r w:rsidRPr="007671C9">
              <w:rPr>
                <w:b/>
                <w:w w:val="102"/>
                <w:sz w:val="20"/>
                <w:szCs w:val="20"/>
              </w:rPr>
              <w:t>(Karbon İçeriği)</w:t>
            </w:r>
          </w:p>
        </w:tc>
        <w:tc>
          <w:tcPr>
            <w:tcW w:w="1276" w:type="dxa"/>
            <w:vMerge w:val="restart"/>
          </w:tcPr>
          <w:p w:rsidR="002D15FC" w:rsidRPr="007671C9" w:rsidRDefault="002D15FC" w:rsidP="00AD68C3">
            <w:pPr>
              <w:widowControl w:val="0"/>
              <w:autoSpaceDE w:val="0"/>
              <w:autoSpaceDN w:val="0"/>
              <w:adjustRightInd w:val="0"/>
              <w:ind w:left="-142" w:right="-108"/>
              <w:jc w:val="center"/>
              <w:rPr>
                <w:w w:val="106"/>
                <w:sz w:val="20"/>
                <w:szCs w:val="20"/>
              </w:rPr>
            </w:pPr>
            <w:r w:rsidRPr="007671C9">
              <w:rPr>
                <w:b/>
                <w:w w:val="104"/>
                <w:sz w:val="20"/>
                <w:szCs w:val="20"/>
              </w:rPr>
              <w:t>Yükseltgenme</w:t>
            </w:r>
            <w:r w:rsidRPr="007671C9">
              <w:rPr>
                <w:b/>
                <w:w w:val="108"/>
                <w:sz w:val="20"/>
                <w:szCs w:val="20"/>
              </w:rPr>
              <w:t xml:space="preserve"> Faktörü</w:t>
            </w:r>
          </w:p>
        </w:tc>
        <w:tc>
          <w:tcPr>
            <w:tcW w:w="851" w:type="dxa"/>
            <w:vMerge w:val="restart"/>
          </w:tcPr>
          <w:p w:rsidR="002D15FC" w:rsidRPr="007671C9" w:rsidRDefault="002D15FC" w:rsidP="00AD68C3">
            <w:pPr>
              <w:widowControl w:val="0"/>
              <w:autoSpaceDE w:val="0"/>
              <w:autoSpaceDN w:val="0"/>
              <w:adjustRightInd w:val="0"/>
              <w:ind w:left="-142" w:right="-108"/>
              <w:jc w:val="center"/>
              <w:rPr>
                <w:w w:val="106"/>
                <w:sz w:val="20"/>
                <w:szCs w:val="20"/>
              </w:rPr>
            </w:pPr>
            <w:r w:rsidRPr="007671C9">
              <w:rPr>
                <w:b/>
                <w:w w:val="103"/>
                <w:sz w:val="20"/>
                <w:szCs w:val="20"/>
              </w:rPr>
              <w:t>Dönüşüm</w:t>
            </w:r>
            <w:r w:rsidRPr="007671C9">
              <w:rPr>
                <w:b/>
                <w:w w:val="108"/>
                <w:sz w:val="20"/>
                <w:szCs w:val="20"/>
              </w:rPr>
              <w:t xml:space="preserve"> Faktörü</w:t>
            </w:r>
          </w:p>
        </w:tc>
      </w:tr>
      <w:tr w:rsidR="007671C9" w:rsidRPr="007671C9" w:rsidTr="00AD68C3">
        <w:tc>
          <w:tcPr>
            <w:tcW w:w="3085"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134" w:type="dxa"/>
          </w:tcPr>
          <w:p w:rsidR="002D15FC" w:rsidRPr="007671C9" w:rsidRDefault="002D15FC" w:rsidP="00AD68C3">
            <w:pPr>
              <w:widowControl w:val="0"/>
              <w:autoSpaceDE w:val="0"/>
              <w:autoSpaceDN w:val="0"/>
              <w:adjustRightInd w:val="0"/>
              <w:ind w:left="-108" w:right="-108"/>
              <w:jc w:val="center"/>
              <w:rPr>
                <w:w w:val="106"/>
                <w:sz w:val="20"/>
                <w:szCs w:val="20"/>
              </w:rPr>
            </w:pPr>
            <w:r w:rsidRPr="007671C9">
              <w:rPr>
                <w:b/>
                <w:w w:val="102"/>
                <w:sz w:val="20"/>
                <w:szCs w:val="20"/>
              </w:rPr>
              <w:t>Malzeme</w:t>
            </w:r>
            <w:r w:rsidRPr="007671C9">
              <w:rPr>
                <w:b/>
                <w:w w:val="105"/>
                <w:sz w:val="20"/>
                <w:szCs w:val="20"/>
              </w:rPr>
              <w:t xml:space="preserve"> veya Yakıt</w:t>
            </w:r>
            <w:r w:rsidRPr="007671C9">
              <w:rPr>
                <w:b/>
                <w:w w:val="107"/>
                <w:sz w:val="20"/>
                <w:szCs w:val="20"/>
              </w:rPr>
              <w:t xml:space="preserve"> Miktarı</w:t>
            </w:r>
          </w:p>
        </w:tc>
        <w:tc>
          <w:tcPr>
            <w:tcW w:w="992" w:type="dxa"/>
          </w:tcPr>
          <w:p w:rsidR="002D15FC" w:rsidRPr="007671C9" w:rsidRDefault="002D15FC" w:rsidP="00AD68C3">
            <w:pPr>
              <w:widowControl w:val="0"/>
              <w:tabs>
                <w:tab w:val="left" w:pos="1444"/>
              </w:tabs>
              <w:autoSpaceDE w:val="0"/>
              <w:autoSpaceDN w:val="0"/>
              <w:adjustRightInd w:val="0"/>
              <w:ind w:left="-108" w:right="-108"/>
              <w:jc w:val="center"/>
              <w:rPr>
                <w:b/>
                <w:w w:val="103"/>
                <w:sz w:val="20"/>
                <w:szCs w:val="20"/>
              </w:rPr>
            </w:pPr>
            <w:r w:rsidRPr="007671C9">
              <w:rPr>
                <w:b/>
                <w:w w:val="101"/>
                <w:sz w:val="20"/>
                <w:szCs w:val="20"/>
              </w:rPr>
              <w:t xml:space="preserve">Net </w:t>
            </w:r>
            <w:r w:rsidRPr="007671C9">
              <w:rPr>
                <w:b/>
                <w:w w:val="103"/>
                <w:sz w:val="20"/>
                <w:szCs w:val="20"/>
              </w:rPr>
              <w:t>Kalorifik</w:t>
            </w:r>
          </w:p>
          <w:p w:rsidR="002D15FC" w:rsidRPr="007671C9" w:rsidRDefault="002D15FC" w:rsidP="00AD68C3">
            <w:pPr>
              <w:widowControl w:val="0"/>
              <w:autoSpaceDE w:val="0"/>
              <w:autoSpaceDN w:val="0"/>
              <w:adjustRightInd w:val="0"/>
              <w:ind w:left="-108" w:right="-108"/>
              <w:jc w:val="center"/>
              <w:rPr>
                <w:w w:val="106"/>
                <w:sz w:val="20"/>
                <w:szCs w:val="20"/>
              </w:rPr>
            </w:pPr>
            <w:r w:rsidRPr="007671C9">
              <w:rPr>
                <w:b/>
                <w:w w:val="102"/>
                <w:sz w:val="20"/>
                <w:szCs w:val="20"/>
              </w:rPr>
              <w:lastRenderedPageBreak/>
              <w:t>Değer</w:t>
            </w:r>
          </w:p>
        </w:tc>
        <w:tc>
          <w:tcPr>
            <w:tcW w:w="851"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275"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276"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851" w:type="dxa"/>
            <w:vMerge/>
          </w:tcPr>
          <w:p w:rsidR="002D15FC" w:rsidRPr="007671C9" w:rsidRDefault="002D15FC" w:rsidP="00AD68C3">
            <w:pPr>
              <w:widowControl w:val="0"/>
              <w:autoSpaceDE w:val="0"/>
              <w:autoSpaceDN w:val="0"/>
              <w:adjustRightInd w:val="0"/>
              <w:ind w:right="-8"/>
              <w:jc w:val="both"/>
              <w:rPr>
                <w:w w:val="106"/>
                <w:sz w:val="20"/>
                <w:szCs w:val="20"/>
              </w:rPr>
            </w:pP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jc w:val="both"/>
              <w:rPr>
                <w:w w:val="106"/>
                <w:sz w:val="20"/>
                <w:szCs w:val="20"/>
              </w:rPr>
            </w:pPr>
            <w:r w:rsidRPr="007671C9">
              <w:rPr>
                <w:b/>
                <w:sz w:val="20"/>
                <w:szCs w:val="20"/>
              </w:rPr>
              <w:t>Yakıtların Yanması</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Ticari standart yakıtlar</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1</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Diğer gaz &amp; sıvı yakıtlar</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1</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Katı yakıtlar</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Gaz işleme terminalleri için kütle denge yöntemi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Alevleme bacaları</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Yıkama (karbonat)</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Yıkama (alçı taşı)</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jc w:val="both"/>
              <w:rPr>
                <w:w w:val="106"/>
                <w:sz w:val="20"/>
                <w:szCs w:val="20"/>
              </w:rPr>
            </w:pPr>
            <w:r w:rsidRPr="007671C9">
              <w:rPr>
                <w:b/>
                <w:sz w:val="20"/>
                <w:szCs w:val="20"/>
              </w:rPr>
              <w:t>Petrol Rafinasyonu</w:t>
            </w:r>
          </w:p>
        </w:tc>
      </w:tr>
      <w:tr w:rsidR="007671C9" w:rsidRPr="007671C9" w:rsidTr="00AD68C3">
        <w:tc>
          <w:tcPr>
            <w:tcW w:w="3085" w:type="dxa"/>
          </w:tcPr>
          <w:p w:rsidR="002D15FC" w:rsidRPr="007671C9" w:rsidRDefault="002D15FC" w:rsidP="00AD68C3">
            <w:pPr>
              <w:widowControl w:val="0"/>
              <w:autoSpaceDE w:val="0"/>
              <w:autoSpaceDN w:val="0"/>
              <w:adjustRightInd w:val="0"/>
              <w:ind w:right="-8"/>
              <w:rPr>
                <w:sz w:val="20"/>
                <w:szCs w:val="20"/>
              </w:rPr>
            </w:pPr>
            <w:r w:rsidRPr="007671C9">
              <w:rPr>
                <w:sz w:val="20"/>
                <w:szCs w:val="20"/>
              </w:rPr>
              <w:t>Katalitik kırılma rejenerasyonu</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Hidrojen üretimi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jc w:val="both"/>
              <w:rPr>
                <w:w w:val="106"/>
                <w:sz w:val="20"/>
                <w:szCs w:val="20"/>
              </w:rPr>
            </w:pPr>
            <w:r w:rsidRPr="007671C9">
              <w:rPr>
                <w:b/>
                <w:sz w:val="20"/>
                <w:szCs w:val="20"/>
              </w:rPr>
              <w:t>Kok Üretimi</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2</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İşlem girdisi olarak yakıt</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2</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jc w:val="both"/>
              <w:rPr>
                <w:w w:val="106"/>
                <w:sz w:val="20"/>
                <w:szCs w:val="20"/>
              </w:rPr>
            </w:pPr>
            <w:r w:rsidRPr="007671C9">
              <w:rPr>
                <w:b/>
                <w:w w:val="102"/>
                <w:sz w:val="20"/>
                <w:szCs w:val="20"/>
              </w:rPr>
              <w:t>Metal Cevherinin Kavrulması &amp; Sinterlenmesi</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2</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Karbonat girdisi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r>
      <w:tr w:rsidR="007671C9" w:rsidRPr="007671C9" w:rsidTr="00AD68C3">
        <w:tc>
          <w:tcPr>
            <w:tcW w:w="3085" w:type="dxa"/>
          </w:tcPr>
          <w:p w:rsidR="002D15FC" w:rsidRPr="007671C9" w:rsidRDefault="002D15FC" w:rsidP="00AD68C3">
            <w:pPr>
              <w:widowControl w:val="0"/>
              <w:autoSpaceDE w:val="0"/>
              <w:autoSpaceDN w:val="0"/>
              <w:adjustRightInd w:val="0"/>
              <w:ind w:right="-8"/>
              <w:rPr>
                <w:b/>
                <w:sz w:val="20"/>
                <w:szCs w:val="20"/>
              </w:rPr>
            </w:pPr>
            <w:r w:rsidRPr="007671C9">
              <w:rPr>
                <w:b/>
                <w:sz w:val="20"/>
                <w:szCs w:val="20"/>
              </w:rPr>
              <w:t>Demir &amp; Çelik Üretimi</w:t>
            </w:r>
          </w:p>
        </w:tc>
        <w:tc>
          <w:tcPr>
            <w:tcW w:w="6379" w:type="dxa"/>
            <w:gridSpan w:val="6"/>
          </w:tcPr>
          <w:p w:rsidR="002D15FC" w:rsidRPr="007671C9" w:rsidRDefault="002D15FC" w:rsidP="00AD68C3">
            <w:pPr>
              <w:widowControl w:val="0"/>
              <w:autoSpaceDE w:val="0"/>
              <w:autoSpaceDN w:val="0"/>
              <w:adjustRightInd w:val="0"/>
              <w:ind w:right="-8"/>
              <w:jc w:val="both"/>
              <w:rPr>
                <w:w w:val="106"/>
                <w:sz w:val="20"/>
                <w:szCs w:val="20"/>
              </w:rPr>
            </w:pP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c>
          <w:tcPr>
            <w:tcW w:w="127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2</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Proses girdisi olarak yakıt</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2a/2b</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2</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rPr>
                <w:b/>
                <w:sz w:val="20"/>
                <w:szCs w:val="20"/>
              </w:rPr>
            </w:pPr>
            <w:r w:rsidRPr="007671C9">
              <w:rPr>
                <w:b/>
                <w:sz w:val="20"/>
                <w:szCs w:val="20"/>
              </w:rPr>
              <w:t>İkincil Alüminyum da Dahil Demir İçeren ve İçermeyen Metallerin Üretimi veya İşlenmesi</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c>
          <w:tcPr>
            <w:tcW w:w="1275" w:type="dxa"/>
          </w:tcPr>
          <w:p w:rsidR="002D15FC" w:rsidRPr="007671C9" w:rsidRDefault="002D15FC" w:rsidP="00AD68C3">
            <w:pPr>
              <w:rPr>
                <w:sz w:val="20"/>
                <w:szCs w:val="20"/>
              </w:rPr>
            </w:pPr>
            <w:r w:rsidRPr="007671C9">
              <w:rPr>
                <w:sz w:val="20"/>
                <w:szCs w:val="20"/>
              </w:rPr>
              <w:t>2</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Proses emisyonları</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9464" w:type="dxa"/>
            <w:gridSpan w:val="7"/>
          </w:tcPr>
          <w:p w:rsidR="002D15FC" w:rsidRPr="007671C9" w:rsidRDefault="002D15FC" w:rsidP="00AD68C3">
            <w:pPr>
              <w:rPr>
                <w:sz w:val="20"/>
                <w:szCs w:val="20"/>
              </w:rPr>
            </w:pPr>
            <w:r w:rsidRPr="007671C9">
              <w:rPr>
                <w:b/>
                <w:sz w:val="20"/>
                <w:szCs w:val="20"/>
              </w:rPr>
              <w:t>Birinci Alüminyum Üretimi</w:t>
            </w:r>
          </w:p>
        </w:tc>
      </w:tr>
      <w:tr w:rsidR="007671C9" w:rsidRPr="007671C9" w:rsidTr="00AD68C3">
        <w:tc>
          <w:tcPr>
            <w:tcW w:w="3085" w:type="dxa"/>
          </w:tcPr>
          <w:p w:rsidR="002D15FC" w:rsidRPr="007671C9" w:rsidRDefault="002D15FC" w:rsidP="00AD68C3">
            <w:pPr>
              <w:widowControl w:val="0"/>
              <w:autoSpaceDE w:val="0"/>
              <w:autoSpaceDN w:val="0"/>
              <w:adjustRightInd w:val="0"/>
              <w:ind w:right="-8"/>
              <w:rPr>
                <w:sz w:val="20"/>
                <w:szCs w:val="20"/>
              </w:rPr>
            </w:pPr>
            <w:r w:rsidRPr="007671C9">
              <w:rPr>
                <w:sz w:val="20"/>
                <w:szCs w:val="20"/>
              </w:rPr>
              <w:t>CO</w:t>
            </w:r>
            <w:r w:rsidRPr="007671C9">
              <w:rPr>
                <w:sz w:val="20"/>
                <w:szCs w:val="20"/>
                <w:vertAlign w:val="subscript"/>
              </w:rPr>
              <w:t>2</w:t>
            </w:r>
            <w:r w:rsidRPr="007671C9">
              <w:rPr>
                <w:sz w:val="20"/>
                <w:szCs w:val="20"/>
              </w:rPr>
              <w:t xml:space="preserve"> emisyonları için kütle dengesi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275" w:type="dxa"/>
          </w:tcPr>
          <w:p w:rsidR="002D15FC" w:rsidRPr="007671C9" w:rsidRDefault="002D15FC" w:rsidP="00AD68C3">
            <w:pPr>
              <w:rPr>
                <w:sz w:val="20"/>
                <w:szCs w:val="20"/>
              </w:rPr>
            </w:pPr>
            <w:r w:rsidRPr="007671C9">
              <w:rPr>
                <w:sz w:val="20"/>
                <w:szCs w:val="20"/>
              </w:rPr>
              <w:t>2</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rPr>
                <w:sz w:val="20"/>
                <w:szCs w:val="20"/>
              </w:rPr>
            </w:pPr>
            <w:r w:rsidRPr="007671C9">
              <w:rPr>
                <w:sz w:val="20"/>
                <w:szCs w:val="20"/>
              </w:rPr>
              <w:t>PFC emisyonları (eğim yöntemi)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rPr>
                <w:sz w:val="20"/>
                <w:szCs w:val="20"/>
              </w:rPr>
            </w:pPr>
            <w:r w:rsidRPr="007671C9">
              <w:rPr>
                <w:sz w:val="20"/>
                <w:szCs w:val="20"/>
              </w:rPr>
              <w:t>PFC emisyonları (aşırı gerilim yöntemi)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rPr>
                <w:sz w:val="20"/>
                <w:szCs w:val="20"/>
              </w:rPr>
            </w:pPr>
            <w:r w:rsidRPr="007671C9">
              <w:rPr>
                <w:b/>
                <w:sz w:val="20"/>
                <w:szCs w:val="20"/>
              </w:rPr>
              <w:t>Çimento Klinkerinin Üretimi</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Döner fırın girdisi temelli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Klinker çıktısı</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CKD (Çimento Fırın Tozu)</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lastRenderedPageBreak/>
              <w:t>Karbonat olmayan karbon</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rPr>
                <w:b/>
                <w:sz w:val="20"/>
                <w:szCs w:val="20"/>
              </w:rPr>
            </w:pPr>
            <w:r w:rsidRPr="007671C9">
              <w:rPr>
                <w:b/>
                <w:sz w:val="20"/>
                <w:szCs w:val="20"/>
              </w:rPr>
              <w:t>Kireç Üretimi ve Dolomit ve Magnezit Kalsinasyonu</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Karbonatlar</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Toprak alkali oksit</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9464" w:type="dxa"/>
            <w:gridSpan w:val="7"/>
          </w:tcPr>
          <w:p w:rsidR="002D15FC" w:rsidRPr="007671C9" w:rsidRDefault="002D15FC" w:rsidP="00AD68C3">
            <w:pPr>
              <w:rPr>
                <w:sz w:val="20"/>
                <w:szCs w:val="20"/>
              </w:rPr>
            </w:pPr>
            <w:r w:rsidRPr="007671C9">
              <w:rPr>
                <w:b/>
                <w:w w:val="103"/>
                <w:sz w:val="20"/>
                <w:szCs w:val="20"/>
              </w:rPr>
              <w:t xml:space="preserve">Cam ve Cam Yünü Üretimi </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Karbonatlar</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r w:rsidR="007671C9" w:rsidRPr="007671C9" w:rsidTr="00AD68C3">
        <w:tc>
          <w:tcPr>
            <w:tcW w:w="9464" w:type="dxa"/>
            <w:gridSpan w:val="7"/>
          </w:tcPr>
          <w:p w:rsidR="002D15FC" w:rsidRPr="007671C9" w:rsidRDefault="002D15FC" w:rsidP="00AD68C3">
            <w:pPr>
              <w:widowControl w:val="0"/>
              <w:autoSpaceDE w:val="0"/>
              <w:autoSpaceDN w:val="0"/>
              <w:adjustRightInd w:val="0"/>
              <w:ind w:right="-8"/>
              <w:rPr>
                <w:b/>
                <w:w w:val="105"/>
                <w:sz w:val="20"/>
                <w:szCs w:val="20"/>
              </w:rPr>
            </w:pPr>
            <w:r w:rsidRPr="007671C9">
              <w:rPr>
                <w:b/>
                <w:w w:val="105"/>
                <w:sz w:val="20"/>
                <w:szCs w:val="20"/>
              </w:rPr>
              <w:t xml:space="preserve">Seramik Ürünlerin Üretimi </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Karbon girdileri</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7671C9"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Alkali oksit</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1</w:t>
            </w:r>
          </w:p>
        </w:tc>
      </w:tr>
      <w:tr w:rsidR="002D15FC" w:rsidRPr="007671C9" w:rsidTr="00AD68C3">
        <w:tc>
          <w:tcPr>
            <w:tcW w:w="308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Yıkama</w:t>
            </w:r>
          </w:p>
        </w:tc>
        <w:tc>
          <w:tcPr>
            <w:tcW w:w="1134"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92"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275" w:type="dxa"/>
          </w:tcPr>
          <w:p w:rsidR="002D15FC" w:rsidRPr="007671C9" w:rsidRDefault="002D15FC" w:rsidP="00AD68C3">
            <w:pPr>
              <w:rPr>
                <w:sz w:val="20"/>
                <w:szCs w:val="20"/>
              </w:rPr>
            </w:pPr>
            <w:r w:rsidRPr="007671C9">
              <w:rPr>
                <w:sz w:val="20"/>
                <w:szCs w:val="20"/>
              </w:rPr>
              <w:t>n.a.</w:t>
            </w:r>
          </w:p>
        </w:tc>
        <w:tc>
          <w:tcPr>
            <w:tcW w:w="1276" w:type="dxa"/>
          </w:tcPr>
          <w:p w:rsidR="002D15FC" w:rsidRPr="007671C9" w:rsidRDefault="002D15FC" w:rsidP="00AD68C3">
            <w:pPr>
              <w:rPr>
                <w:sz w:val="20"/>
                <w:szCs w:val="20"/>
              </w:rPr>
            </w:pPr>
            <w:r w:rsidRPr="007671C9">
              <w:rPr>
                <w:sz w:val="20"/>
                <w:szCs w:val="20"/>
              </w:rPr>
              <w:t>n.a.</w:t>
            </w:r>
          </w:p>
        </w:tc>
        <w:tc>
          <w:tcPr>
            <w:tcW w:w="851" w:type="dxa"/>
          </w:tcPr>
          <w:p w:rsidR="002D15FC" w:rsidRPr="007671C9" w:rsidRDefault="002D15FC" w:rsidP="00AD68C3">
            <w:pPr>
              <w:rPr>
                <w:sz w:val="20"/>
                <w:szCs w:val="20"/>
              </w:rPr>
            </w:pPr>
            <w:r w:rsidRPr="007671C9">
              <w:rPr>
                <w:sz w:val="20"/>
                <w:szCs w:val="20"/>
              </w:rPr>
              <w:t>n.a.</w:t>
            </w:r>
          </w:p>
        </w:tc>
      </w:tr>
    </w:tbl>
    <w:p w:rsidR="002D15FC" w:rsidRPr="007671C9" w:rsidRDefault="002D15FC" w:rsidP="002D15FC">
      <w:pPr>
        <w:widowControl w:val="0"/>
        <w:autoSpaceDE w:val="0"/>
        <w:autoSpaceDN w:val="0"/>
        <w:adjustRightInd w:val="0"/>
        <w:ind w:right="-8"/>
        <w:jc w:val="both"/>
        <w:rPr>
          <w:w w:val="106"/>
        </w:rPr>
      </w:pPr>
    </w:p>
    <w:p w:rsidR="002D15FC" w:rsidRPr="007671C9" w:rsidRDefault="002D15FC" w:rsidP="002D15FC">
      <w:pPr>
        <w:widowControl w:val="0"/>
        <w:autoSpaceDE w:val="0"/>
        <w:autoSpaceDN w:val="0"/>
        <w:adjustRightInd w:val="0"/>
        <w:ind w:right="-8"/>
        <w:jc w:val="both"/>
        <w:rPr>
          <w:w w:val="106"/>
        </w:rPr>
        <w:sectPr w:rsidR="002D15FC" w:rsidRPr="007671C9" w:rsidSect="00AD68C3">
          <w:footerReference w:type="default" r:id="rId7"/>
          <w:pgSz w:w="11900" w:h="16840"/>
          <w:pgMar w:top="1276" w:right="1418" w:bottom="851" w:left="1418" w:header="708" w:footer="133" w:gutter="0"/>
          <w:cols w:space="708"/>
          <w:noEndnote/>
          <w:docGrid w:linePitch="326"/>
        </w:sectPr>
      </w:pPr>
    </w:p>
    <w:p w:rsidR="002D15FC" w:rsidRPr="007671C9" w:rsidRDefault="002D15FC" w:rsidP="002D15FC">
      <w:pPr>
        <w:widowControl w:val="0"/>
        <w:autoSpaceDE w:val="0"/>
        <w:autoSpaceDN w:val="0"/>
        <w:adjustRightInd w:val="0"/>
        <w:ind w:right="-8"/>
      </w:pPr>
    </w:p>
    <w:p w:rsidR="002D15FC" w:rsidRPr="007671C9" w:rsidRDefault="002D15FC" w:rsidP="002D15FC">
      <w:pPr>
        <w:widowControl w:val="0"/>
        <w:autoSpaceDE w:val="0"/>
        <w:autoSpaceDN w:val="0"/>
        <w:adjustRightInd w:val="0"/>
        <w:ind w:right="-8"/>
        <w:jc w:val="both"/>
        <w:rPr>
          <w:w w:val="106"/>
        </w:rPr>
      </w:pPr>
    </w:p>
    <w:tbl>
      <w:tblPr>
        <w:tblW w:w="98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9"/>
        <w:gridCol w:w="1040"/>
        <w:gridCol w:w="910"/>
        <w:gridCol w:w="780"/>
        <w:gridCol w:w="1169"/>
        <w:gridCol w:w="1389"/>
        <w:gridCol w:w="992"/>
      </w:tblGrid>
      <w:tr w:rsidR="007671C9" w:rsidRPr="007671C9" w:rsidTr="00AD68C3">
        <w:trPr>
          <w:trHeight w:val="213"/>
        </w:trPr>
        <w:tc>
          <w:tcPr>
            <w:tcW w:w="3609" w:type="dxa"/>
            <w:vMerge w:val="restart"/>
          </w:tcPr>
          <w:p w:rsidR="002D15FC" w:rsidRPr="007671C9" w:rsidRDefault="002D15FC" w:rsidP="00AD68C3">
            <w:pPr>
              <w:widowControl w:val="0"/>
              <w:autoSpaceDE w:val="0"/>
              <w:autoSpaceDN w:val="0"/>
              <w:adjustRightInd w:val="0"/>
              <w:ind w:left="-142" w:right="-108"/>
              <w:jc w:val="center"/>
              <w:rPr>
                <w:b/>
                <w:w w:val="103"/>
                <w:sz w:val="20"/>
                <w:szCs w:val="20"/>
              </w:rPr>
            </w:pPr>
            <w:r w:rsidRPr="007671C9">
              <w:rPr>
                <w:b/>
                <w:w w:val="103"/>
                <w:sz w:val="20"/>
                <w:szCs w:val="20"/>
              </w:rPr>
              <w:t>Etkinlik / Kaynak Akışı Tipi</w:t>
            </w:r>
          </w:p>
        </w:tc>
        <w:tc>
          <w:tcPr>
            <w:tcW w:w="1950" w:type="dxa"/>
            <w:gridSpan w:val="2"/>
          </w:tcPr>
          <w:p w:rsidR="002D15FC" w:rsidRPr="007671C9" w:rsidRDefault="002D15FC" w:rsidP="00AD68C3">
            <w:pPr>
              <w:widowControl w:val="0"/>
              <w:autoSpaceDE w:val="0"/>
              <w:autoSpaceDN w:val="0"/>
              <w:adjustRightInd w:val="0"/>
              <w:ind w:left="-142" w:right="-108"/>
              <w:jc w:val="center"/>
              <w:rPr>
                <w:b/>
                <w:w w:val="102"/>
                <w:sz w:val="20"/>
                <w:szCs w:val="20"/>
              </w:rPr>
            </w:pPr>
            <w:r w:rsidRPr="007671C9">
              <w:rPr>
                <w:b/>
                <w:w w:val="102"/>
                <w:sz w:val="20"/>
                <w:szCs w:val="20"/>
              </w:rPr>
              <w:t>Faaliyet Verisi</w:t>
            </w:r>
          </w:p>
        </w:tc>
        <w:tc>
          <w:tcPr>
            <w:tcW w:w="780" w:type="dxa"/>
            <w:vMerge w:val="restart"/>
          </w:tcPr>
          <w:p w:rsidR="002D15FC" w:rsidRPr="007671C9" w:rsidRDefault="002D15FC" w:rsidP="00AD68C3">
            <w:pPr>
              <w:widowControl w:val="0"/>
              <w:autoSpaceDE w:val="0"/>
              <w:autoSpaceDN w:val="0"/>
              <w:adjustRightInd w:val="0"/>
              <w:ind w:left="-142" w:right="-108"/>
              <w:jc w:val="center"/>
              <w:rPr>
                <w:b/>
                <w:w w:val="102"/>
                <w:sz w:val="20"/>
                <w:szCs w:val="20"/>
              </w:rPr>
            </w:pPr>
            <w:r w:rsidRPr="007671C9">
              <w:rPr>
                <w:b/>
                <w:w w:val="102"/>
                <w:sz w:val="20"/>
                <w:szCs w:val="20"/>
              </w:rPr>
              <w:t>Emisyon</w:t>
            </w:r>
          </w:p>
          <w:p w:rsidR="002D15FC" w:rsidRPr="007671C9" w:rsidRDefault="002D15FC" w:rsidP="00AD68C3">
            <w:pPr>
              <w:widowControl w:val="0"/>
              <w:tabs>
                <w:tab w:val="left" w:pos="1379"/>
              </w:tabs>
              <w:autoSpaceDE w:val="0"/>
              <w:autoSpaceDN w:val="0"/>
              <w:adjustRightInd w:val="0"/>
              <w:ind w:left="-142" w:right="-108"/>
              <w:jc w:val="center"/>
              <w:rPr>
                <w:b/>
                <w:w w:val="106"/>
                <w:sz w:val="20"/>
                <w:szCs w:val="20"/>
              </w:rPr>
            </w:pPr>
            <w:r w:rsidRPr="007671C9">
              <w:rPr>
                <w:b/>
                <w:w w:val="108"/>
                <w:sz w:val="20"/>
                <w:szCs w:val="20"/>
              </w:rPr>
              <w:t>Faktörü</w:t>
            </w:r>
          </w:p>
          <w:p w:rsidR="002D15FC" w:rsidRPr="007671C9" w:rsidRDefault="002D15FC" w:rsidP="00AD68C3">
            <w:pPr>
              <w:widowControl w:val="0"/>
              <w:autoSpaceDE w:val="0"/>
              <w:autoSpaceDN w:val="0"/>
              <w:adjustRightInd w:val="0"/>
              <w:ind w:left="-142" w:right="-108"/>
              <w:jc w:val="center"/>
              <w:rPr>
                <w:w w:val="106"/>
                <w:sz w:val="20"/>
                <w:szCs w:val="20"/>
              </w:rPr>
            </w:pPr>
          </w:p>
        </w:tc>
        <w:tc>
          <w:tcPr>
            <w:tcW w:w="1169" w:type="dxa"/>
            <w:vMerge w:val="restart"/>
          </w:tcPr>
          <w:p w:rsidR="002D15FC" w:rsidRPr="007671C9" w:rsidRDefault="002D15FC" w:rsidP="00AD68C3">
            <w:pPr>
              <w:widowControl w:val="0"/>
              <w:autoSpaceDE w:val="0"/>
              <w:autoSpaceDN w:val="0"/>
              <w:adjustRightInd w:val="0"/>
              <w:ind w:left="-142" w:right="-108"/>
              <w:jc w:val="center"/>
              <w:rPr>
                <w:b/>
                <w:w w:val="107"/>
                <w:sz w:val="20"/>
                <w:szCs w:val="20"/>
              </w:rPr>
            </w:pPr>
            <w:r w:rsidRPr="007671C9">
              <w:rPr>
                <w:b/>
                <w:w w:val="102"/>
                <w:sz w:val="20"/>
                <w:szCs w:val="20"/>
              </w:rPr>
              <w:t>Kompozisyon</w:t>
            </w:r>
            <w:r w:rsidRPr="007671C9">
              <w:rPr>
                <w:b/>
                <w:w w:val="108"/>
                <w:sz w:val="20"/>
                <w:szCs w:val="20"/>
              </w:rPr>
              <w:t xml:space="preserve"> Verisi </w:t>
            </w:r>
            <w:r w:rsidRPr="007671C9">
              <w:rPr>
                <w:b/>
                <w:w w:val="107"/>
                <w:sz w:val="20"/>
                <w:szCs w:val="20"/>
              </w:rPr>
              <w:t xml:space="preserve"> </w:t>
            </w:r>
          </w:p>
          <w:p w:rsidR="002D15FC" w:rsidRPr="007671C9" w:rsidRDefault="002D15FC" w:rsidP="00AD68C3">
            <w:pPr>
              <w:widowControl w:val="0"/>
              <w:autoSpaceDE w:val="0"/>
              <w:autoSpaceDN w:val="0"/>
              <w:adjustRightInd w:val="0"/>
              <w:ind w:left="-142" w:right="-108"/>
              <w:jc w:val="center"/>
              <w:rPr>
                <w:b/>
                <w:w w:val="107"/>
                <w:sz w:val="20"/>
                <w:szCs w:val="20"/>
              </w:rPr>
            </w:pPr>
            <w:r w:rsidRPr="007671C9">
              <w:rPr>
                <w:b/>
                <w:w w:val="102"/>
                <w:sz w:val="20"/>
                <w:szCs w:val="20"/>
              </w:rPr>
              <w:t>(Karbon İçeriği)</w:t>
            </w:r>
          </w:p>
        </w:tc>
        <w:tc>
          <w:tcPr>
            <w:tcW w:w="1389" w:type="dxa"/>
            <w:vMerge w:val="restart"/>
          </w:tcPr>
          <w:p w:rsidR="002D15FC" w:rsidRPr="007671C9" w:rsidRDefault="002D15FC" w:rsidP="00AD68C3">
            <w:pPr>
              <w:widowControl w:val="0"/>
              <w:autoSpaceDE w:val="0"/>
              <w:autoSpaceDN w:val="0"/>
              <w:adjustRightInd w:val="0"/>
              <w:ind w:left="-142" w:right="-108"/>
              <w:jc w:val="center"/>
              <w:rPr>
                <w:w w:val="106"/>
                <w:sz w:val="20"/>
                <w:szCs w:val="20"/>
              </w:rPr>
            </w:pPr>
            <w:r w:rsidRPr="007671C9">
              <w:rPr>
                <w:b/>
                <w:w w:val="104"/>
                <w:sz w:val="20"/>
                <w:szCs w:val="20"/>
              </w:rPr>
              <w:t>Yükseltgenme</w:t>
            </w:r>
            <w:r w:rsidRPr="007671C9">
              <w:rPr>
                <w:b/>
                <w:w w:val="108"/>
                <w:sz w:val="20"/>
                <w:szCs w:val="20"/>
              </w:rPr>
              <w:t xml:space="preserve"> Faktörü</w:t>
            </w:r>
          </w:p>
        </w:tc>
        <w:tc>
          <w:tcPr>
            <w:tcW w:w="992" w:type="dxa"/>
            <w:vMerge w:val="restart"/>
          </w:tcPr>
          <w:p w:rsidR="002D15FC" w:rsidRPr="007671C9" w:rsidRDefault="002D15FC" w:rsidP="00AD68C3">
            <w:pPr>
              <w:widowControl w:val="0"/>
              <w:autoSpaceDE w:val="0"/>
              <w:autoSpaceDN w:val="0"/>
              <w:adjustRightInd w:val="0"/>
              <w:ind w:left="-142" w:right="-108"/>
              <w:jc w:val="center"/>
              <w:rPr>
                <w:w w:val="106"/>
                <w:sz w:val="20"/>
                <w:szCs w:val="20"/>
              </w:rPr>
            </w:pPr>
            <w:r w:rsidRPr="007671C9">
              <w:rPr>
                <w:b/>
                <w:w w:val="103"/>
                <w:sz w:val="20"/>
                <w:szCs w:val="20"/>
              </w:rPr>
              <w:t>Dönüşüm</w:t>
            </w:r>
            <w:r w:rsidRPr="007671C9">
              <w:rPr>
                <w:b/>
                <w:w w:val="108"/>
                <w:sz w:val="20"/>
                <w:szCs w:val="20"/>
              </w:rPr>
              <w:t xml:space="preserve"> Faktörü</w:t>
            </w:r>
          </w:p>
        </w:tc>
      </w:tr>
      <w:tr w:rsidR="007671C9" w:rsidRPr="007671C9" w:rsidTr="00AD68C3">
        <w:trPr>
          <w:trHeight w:val="107"/>
        </w:trPr>
        <w:tc>
          <w:tcPr>
            <w:tcW w:w="3609"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040" w:type="dxa"/>
          </w:tcPr>
          <w:p w:rsidR="002D15FC" w:rsidRPr="007671C9" w:rsidRDefault="002D15FC" w:rsidP="00AD68C3">
            <w:pPr>
              <w:widowControl w:val="0"/>
              <w:autoSpaceDE w:val="0"/>
              <w:autoSpaceDN w:val="0"/>
              <w:adjustRightInd w:val="0"/>
              <w:ind w:left="-108" w:right="-108"/>
              <w:jc w:val="center"/>
              <w:rPr>
                <w:w w:val="106"/>
                <w:sz w:val="20"/>
                <w:szCs w:val="20"/>
              </w:rPr>
            </w:pPr>
            <w:r w:rsidRPr="007671C9">
              <w:rPr>
                <w:b/>
                <w:w w:val="102"/>
                <w:sz w:val="20"/>
                <w:szCs w:val="20"/>
              </w:rPr>
              <w:t>Malzeme</w:t>
            </w:r>
            <w:r w:rsidRPr="007671C9">
              <w:rPr>
                <w:b/>
                <w:w w:val="105"/>
                <w:sz w:val="20"/>
                <w:szCs w:val="20"/>
              </w:rPr>
              <w:t xml:space="preserve"> veya Yakıt</w:t>
            </w:r>
            <w:r w:rsidRPr="007671C9">
              <w:rPr>
                <w:b/>
                <w:w w:val="107"/>
                <w:sz w:val="20"/>
                <w:szCs w:val="20"/>
              </w:rPr>
              <w:t xml:space="preserve"> Miktarı</w:t>
            </w:r>
          </w:p>
        </w:tc>
        <w:tc>
          <w:tcPr>
            <w:tcW w:w="910" w:type="dxa"/>
          </w:tcPr>
          <w:p w:rsidR="002D15FC" w:rsidRPr="007671C9" w:rsidRDefault="002D15FC" w:rsidP="00AD68C3">
            <w:pPr>
              <w:widowControl w:val="0"/>
              <w:tabs>
                <w:tab w:val="left" w:pos="1444"/>
              </w:tabs>
              <w:autoSpaceDE w:val="0"/>
              <w:autoSpaceDN w:val="0"/>
              <w:adjustRightInd w:val="0"/>
              <w:ind w:left="-108" w:right="-108"/>
              <w:jc w:val="center"/>
              <w:rPr>
                <w:b/>
                <w:w w:val="103"/>
                <w:sz w:val="20"/>
                <w:szCs w:val="20"/>
              </w:rPr>
            </w:pPr>
            <w:r w:rsidRPr="007671C9">
              <w:rPr>
                <w:b/>
                <w:w w:val="101"/>
                <w:sz w:val="20"/>
                <w:szCs w:val="20"/>
              </w:rPr>
              <w:t xml:space="preserve">Net </w:t>
            </w:r>
            <w:r w:rsidRPr="007671C9">
              <w:rPr>
                <w:b/>
                <w:w w:val="103"/>
                <w:sz w:val="20"/>
                <w:szCs w:val="20"/>
              </w:rPr>
              <w:t>Kalorifik</w:t>
            </w:r>
          </w:p>
          <w:p w:rsidR="002D15FC" w:rsidRPr="007671C9" w:rsidRDefault="002D15FC" w:rsidP="00AD68C3">
            <w:pPr>
              <w:widowControl w:val="0"/>
              <w:autoSpaceDE w:val="0"/>
              <w:autoSpaceDN w:val="0"/>
              <w:adjustRightInd w:val="0"/>
              <w:ind w:left="-108" w:right="-108"/>
              <w:jc w:val="center"/>
              <w:rPr>
                <w:w w:val="106"/>
                <w:sz w:val="20"/>
                <w:szCs w:val="20"/>
              </w:rPr>
            </w:pPr>
            <w:r w:rsidRPr="007671C9">
              <w:rPr>
                <w:b/>
                <w:w w:val="102"/>
                <w:sz w:val="20"/>
                <w:szCs w:val="20"/>
              </w:rPr>
              <w:t>Değer</w:t>
            </w:r>
          </w:p>
        </w:tc>
        <w:tc>
          <w:tcPr>
            <w:tcW w:w="780"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169"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1389" w:type="dxa"/>
            <w:vMerge/>
          </w:tcPr>
          <w:p w:rsidR="002D15FC" w:rsidRPr="007671C9" w:rsidRDefault="002D15FC" w:rsidP="00AD68C3">
            <w:pPr>
              <w:widowControl w:val="0"/>
              <w:autoSpaceDE w:val="0"/>
              <w:autoSpaceDN w:val="0"/>
              <w:adjustRightInd w:val="0"/>
              <w:ind w:right="-8"/>
              <w:jc w:val="both"/>
              <w:rPr>
                <w:w w:val="106"/>
                <w:sz w:val="20"/>
                <w:szCs w:val="20"/>
              </w:rPr>
            </w:pPr>
          </w:p>
        </w:tc>
        <w:tc>
          <w:tcPr>
            <w:tcW w:w="992" w:type="dxa"/>
            <w:vMerge/>
          </w:tcPr>
          <w:p w:rsidR="002D15FC" w:rsidRPr="007671C9" w:rsidRDefault="002D15FC" w:rsidP="00AD68C3">
            <w:pPr>
              <w:widowControl w:val="0"/>
              <w:autoSpaceDE w:val="0"/>
              <w:autoSpaceDN w:val="0"/>
              <w:adjustRightInd w:val="0"/>
              <w:ind w:right="-8"/>
              <w:jc w:val="both"/>
              <w:rPr>
                <w:w w:val="106"/>
                <w:sz w:val="20"/>
                <w:szCs w:val="20"/>
              </w:rPr>
            </w:pPr>
          </w:p>
        </w:tc>
      </w:tr>
    </w:tbl>
    <w:p w:rsidR="002D15FC" w:rsidRPr="007671C9" w:rsidRDefault="002D15FC" w:rsidP="002D15FC">
      <w:pPr>
        <w:widowControl w:val="0"/>
        <w:autoSpaceDE w:val="0"/>
        <w:autoSpaceDN w:val="0"/>
        <w:adjustRightInd w:val="0"/>
        <w:ind w:right="-8"/>
        <w:jc w:val="both"/>
        <w:rPr>
          <w:w w:val="106"/>
        </w:rPr>
        <w:sectPr w:rsidR="002D15FC" w:rsidRPr="007671C9" w:rsidSect="00AD68C3">
          <w:footerReference w:type="default" r:id="rId8"/>
          <w:pgSz w:w="11900" w:h="16840"/>
          <w:pgMar w:top="1418" w:right="851" w:bottom="1134" w:left="851" w:header="708" w:footer="133" w:gutter="0"/>
          <w:cols w:space="708"/>
          <w:noEndnote/>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6"/>
        <w:gridCol w:w="1045"/>
        <w:gridCol w:w="914"/>
        <w:gridCol w:w="783"/>
        <w:gridCol w:w="1176"/>
        <w:gridCol w:w="1353"/>
        <w:gridCol w:w="992"/>
      </w:tblGrid>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rPr>
                <w:b/>
                <w:w w:val="105"/>
                <w:sz w:val="20"/>
                <w:szCs w:val="20"/>
              </w:rPr>
            </w:pPr>
            <w:r w:rsidRPr="007671C9">
              <w:rPr>
                <w:b/>
                <w:w w:val="103"/>
                <w:sz w:val="20"/>
                <w:szCs w:val="20"/>
              </w:rPr>
              <w:t>Alçı Taşı ve Alçı Panellerin Üretimi: Yakıtların yanmasına bakınız</w:t>
            </w:r>
          </w:p>
        </w:tc>
      </w:tr>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rPr>
                <w:b/>
                <w:w w:val="105"/>
                <w:sz w:val="20"/>
                <w:szCs w:val="20"/>
              </w:rPr>
            </w:pPr>
            <w:r w:rsidRPr="007671C9">
              <w:rPr>
                <w:b/>
                <w:w w:val="105"/>
                <w:sz w:val="20"/>
                <w:szCs w:val="20"/>
              </w:rPr>
              <w:t>Selüloz &amp; Kağıt Üretimi</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Takviye kimyasalları</w:t>
            </w:r>
          </w:p>
        </w:tc>
        <w:tc>
          <w:tcPr>
            <w:tcW w:w="104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14"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783"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17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353"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rPr>
          <w:trHeight w:val="254"/>
        </w:trPr>
        <w:tc>
          <w:tcPr>
            <w:tcW w:w="9889" w:type="dxa"/>
            <w:gridSpan w:val="7"/>
          </w:tcPr>
          <w:p w:rsidR="002D15FC" w:rsidRPr="007671C9" w:rsidRDefault="002D15FC" w:rsidP="00AD68C3">
            <w:pPr>
              <w:widowControl w:val="0"/>
              <w:tabs>
                <w:tab w:val="left" w:pos="4656"/>
                <w:tab w:val="left" w:pos="5671"/>
                <w:tab w:val="left" w:pos="6781"/>
                <w:tab w:val="left" w:pos="8047"/>
                <w:tab w:val="left" w:pos="9125"/>
                <w:tab w:val="left" w:pos="10241"/>
              </w:tabs>
              <w:autoSpaceDE w:val="0"/>
              <w:autoSpaceDN w:val="0"/>
              <w:adjustRightInd w:val="0"/>
              <w:ind w:right="-8"/>
              <w:rPr>
                <w:b/>
                <w:w w:val="105"/>
                <w:sz w:val="20"/>
                <w:szCs w:val="20"/>
              </w:rPr>
            </w:pPr>
            <w:r w:rsidRPr="007671C9">
              <w:rPr>
                <w:b/>
                <w:w w:val="105"/>
                <w:sz w:val="20"/>
                <w:szCs w:val="20"/>
              </w:rPr>
              <w:t xml:space="preserve">Karbon Siyahı Üretimi </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Kütle denge yöntemi</w:t>
            </w:r>
          </w:p>
        </w:tc>
        <w:tc>
          <w:tcPr>
            <w:tcW w:w="1045"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914"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783"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1176" w:type="dxa"/>
          </w:tcPr>
          <w:p w:rsidR="002D15FC" w:rsidRPr="007671C9" w:rsidRDefault="002D15FC" w:rsidP="00AD68C3">
            <w:pPr>
              <w:widowControl w:val="0"/>
              <w:autoSpaceDE w:val="0"/>
              <w:autoSpaceDN w:val="0"/>
              <w:adjustRightInd w:val="0"/>
              <w:ind w:right="-8"/>
              <w:jc w:val="both"/>
              <w:rPr>
                <w:w w:val="106"/>
                <w:sz w:val="20"/>
                <w:szCs w:val="20"/>
              </w:rPr>
            </w:pPr>
            <w:r w:rsidRPr="007671C9">
              <w:rPr>
                <w:w w:val="106"/>
                <w:sz w:val="20"/>
                <w:szCs w:val="20"/>
              </w:rPr>
              <w:t>1</w:t>
            </w:r>
          </w:p>
        </w:tc>
        <w:tc>
          <w:tcPr>
            <w:tcW w:w="1353"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n.a.</w:t>
            </w:r>
          </w:p>
        </w:tc>
      </w:tr>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jc w:val="both"/>
              <w:rPr>
                <w:w w:val="106"/>
                <w:sz w:val="20"/>
                <w:szCs w:val="20"/>
              </w:rPr>
            </w:pPr>
            <w:r w:rsidRPr="007671C9">
              <w:rPr>
                <w:b/>
                <w:w w:val="104"/>
                <w:sz w:val="20"/>
                <w:szCs w:val="20"/>
              </w:rPr>
              <w:t>Amonyak Üretimi</w:t>
            </w:r>
            <w:r w:rsidRPr="007671C9">
              <w:rPr>
                <w:sz w:val="20"/>
                <w:szCs w:val="20"/>
              </w:rPr>
              <w:t xml:space="preserve"> </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w w:val="106"/>
                <w:sz w:val="20"/>
                <w:szCs w:val="20"/>
              </w:rPr>
            </w:pPr>
            <w:r w:rsidRPr="007671C9">
              <w:rPr>
                <w:sz w:val="20"/>
                <w:szCs w:val="20"/>
              </w:rPr>
              <w:t>Proses girdisi olarak yakıt</w:t>
            </w:r>
          </w:p>
        </w:tc>
        <w:tc>
          <w:tcPr>
            <w:tcW w:w="104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w:t>
            </w:r>
          </w:p>
        </w:tc>
        <w:tc>
          <w:tcPr>
            <w:tcW w:w="914"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2a/2b</w:t>
            </w:r>
          </w:p>
        </w:tc>
        <w:tc>
          <w:tcPr>
            <w:tcW w:w="78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2a/2b</w:t>
            </w:r>
          </w:p>
        </w:tc>
        <w:tc>
          <w:tcPr>
            <w:tcW w:w="117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135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 xml:space="preserve">n.a. </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r>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jc w:val="both"/>
              <w:rPr>
                <w:b/>
                <w:sz w:val="20"/>
                <w:szCs w:val="20"/>
              </w:rPr>
            </w:pPr>
            <w:r w:rsidRPr="007671C9">
              <w:rPr>
                <w:b/>
                <w:sz w:val="20"/>
                <w:szCs w:val="20"/>
              </w:rPr>
              <w:t>Yığın Organik Kimyasalların Üretimi</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04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1</w:t>
            </w:r>
          </w:p>
        </w:tc>
        <w:tc>
          <w:tcPr>
            <w:tcW w:w="914"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78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117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w:t>
            </w:r>
          </w:p>
        </w:tc>
        <w:tc>
          <w:tcPr>
            <w:tcW w:w="135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r>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jc w:val="both"/>
              <w:rPr>
                <w:b/>
                <w:sz w:val="20"/>
                <w:szCs w:val="20"/>
              </w:rPr>
            </w:pPr>
            <w:r w:rsidRPr="007671C9">
              <w:rPr>
                <w:b/>
                <w:sz w:val="20"/>
                <w:szCs w:val="20"/>
              </w:rPr>
              <w:t>Hidrojen ve Sentez Gazının Üretimi</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İşlem girdisi olarak yakıt</w:t>
            </w:r>
          </w:p>
        </w:tc>
        <w:tc>
          <w:tcPr>
            <w:tcW w:w="104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w:t>
            </w:r>
          </w:p>
        </w:tc>
        <w:tc>
          <w:tcPr>
            <w:tcW w:w="914"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2a/2b</w:t>
            </w:r>
          </w:p>
        </w:tc>
        <w:tc>
          <w:tcPr>
            <w:tcW w:w="78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2a/2b</w:t>
            </w:r>
          </w:p>
        </w:tc>
        <w:tc>
          <w:tcPr>
            <w:tcW w:w="117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135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04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1</w:t>
            </w:r>
          </w:p>
        </w:tc>
        <w:tc>
          <w:tcPr>
            <w:tcW w:w="914"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78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117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w:t>
            </w:r>
          </w:p>
        </w:tc>
        <w:tc>
          <w:tcPr>
            <w:tcW w:w="135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r>
      <w:tr w:rsidR="007671C9" w:rsidRPr="007671C9" w:rsidTr="00AD68C3">
        <w:trPr>
          <w:trHeight w:val="254"/>
        </w:trPr>
        <w:tc>
          <w:tcPr>
            <w:tcW w:w="9889" w:type="dxa"/>
            <w:gridSpan w:val="7"/>
          </w:tcPr>
          <w:p w:rsidR="002D15FC" w:rsidRPr="007671C9" w:rsidRDefault="002D15FC" w:rsidP="00AD68C3">
            <w:pPr>
              <w:widowControl w:val="0"/>
              <w:autoSpaceDE w:val="0"/>
              <w:autoSpaceDN w:val="0"/>
              <w:adjustRightInd w:val="0"/>
              <w:ind w:right="-8"/>
              <w:jc w:val="both"/>
              <w:rPr>
                <w:b/>
                <w:sz w:val="20"/>
                <w:szCs w:val="20"/>
              </w:rPr>
            </w:pPr>
            <w:r w:rsidRPr="007671C9">
              <w:rPr>
                <w:b/>
                <w:sz w:val="20"/>
                <w:szCs w:val="20"/>
              </w:rPr>
              <w:t>Soda Külü ve Sodyum Bikarbonat</w:t>
            </w:r>
          </w:p>
        </w:tc>
      </w:tr>
      <w:tr w:rsidR="007671C9" w:rsidRPr="007671C9" w:rsidTr="00AD68C3">
        <w:trPr>
          <w:trHeight w:val="254"/>
        </w:trPr>
        <w:tc>
          <w:tcPr>
            <w:tcW w:w="362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Kütle dengesi</w:t>
            </w:r>
          </w:p>
        </w:tc>
        <w:tc>
          <w:tcPr>
            <w:tcW w:w="1045"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1</w:t>
            </w:r>
          </w:p>
        </w:tc>
        <w:tc>
          <w:tcPr>
            <w:tcW w:w="914"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78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1176"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2</w:t>
            </w:r>
          </w:p>
        </w:tc>
        <w:tc>
          <w:tcPr>
            <w:tcW w:w="1353"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c>
          <w:tcPr>
            <w:tcW w:w="992" w:type="dxa"/>
          </w:tcPr>
          <w:p w:rsidR="002D15FC" w:rsidRPr="007671C9" w:rsidRDefault="002D15FC" w:rsidP="00AD68C3">
            <w:pPr>
              <w:widowControl w:val="0"/>
              <w:autoSpaceDE w:val="0"/>
              <w:autoSpaceDN w:val="0"/>
              <w:adjustRightInd w:val="0"/>
              <w:ind w:right="-8"/>
              <w:jc w:val="both"/>
              <w:rPr>
                <w:sz w:val="20"/>
                <w:szCs w:val="20"/>
              </w:rPr>
            </w:pPr>
            <w:r w:rsidRPr="007671C9">
              <w:rPr>
                <w:sz w:val="20"/>
                <w:szCs w:val="20"/>
              </w:rPr>
              <w:t>n.a.</w:t>
            </w:r>
          </w:p>
        </w:tc>
      </w:tr>
    </w:tbl>
    <w:p w:rsidR="002D15FC" w:rsidRPr="007671C9" w:rsidRDefault="002D15FC" w:rsidP="002D15FC">
      <w:pPr>
        <w:widowControl w:val="0"/>
        <w:autoSpaceDE w:val="0"/>
        <w:autoSpaceDN w:val="0"/>
        <w:adjustRightInd w:val="0"/>
        <w:ind w:right="-8"/>
        <w:rPr>
          <w:sz w:val="18"/>
          <w:szCs w:val="20"/>
        </w:rPr>
        <w:sectPr w:rsidR="002D15FC" w:rsidRPr="007671C9" w:rsidSect="00AD68C3">
          <w:type w:val="continuous"/>
          <w:pgSz w:w="11900" w:h="16840"/>
          <w:pgMar w:top="1418" w:right="851" w:bottom="1134" w:left="851" w:header="708" w:footer="708" w:gutter="0"/>
          <w:cols w:space="708"/>
          <w:noEndnote/>
        </w:sectPr>
      </w:pPr>
    </w:p>
    <w:p w:rsidR="002D15FC" w:rsidRPr="007671C9" w:rsidRDefault="002D15FC" w:rsidP="002D15FC">
      <w:pPr>
        <w:widowControl w:val="0"/>
        <w:autoSpaceDE w:val="0"/>
        <w:autoSpaceDN w:val="0"/>
        <w:adjustRightInd w:val="0"/>
        <w:ind w:right="-8"/>
        <w:sectPr w:rsidR="002D15FC" w:rsidRPr="007671C9" w:rsidSect="00AD68C3">
          <w:type w:val="continuous"/>
          <w:pgSz w:w="11900" w:h="16840"/>
          <w:pgMar w:top="1418" w:right="851" w:bottom="1134" w:left="851" w:header="708" w:footer="708" w:gutter="0"/>
          <w:cols w:space="708"/>
          <w:noEndnote/>
        </w:sectPr>
      </w:pPr>
    </w:p>
    <w:p w:rsidR="002D15FC" w:rsidRPr="007671C9" w:rsidRDefault="002D15FC" w:rsidP="002D15FC">
      <w:pPr>
        <w:widowControl w:val="0"/>
        <w:autoSpaceDE w:val="0"/>
        <w:autoSpaceDN w:val="0"/>
        <w:adjustRightInd w:val="0"/>
        <w:ind w:right="-8"/>
        <w:jc w:val="center"/>
        <w:rPr>
          <w:b/>
        </w:rPr>
      </w:pPr>
      <w:r w:rsidRPr="007671C9">
        <w:rPr>
          <w:b/>
        </w:rPr>
        <w:lastRenderedPageBreak/>
        <w:t>EK</w:t>
      </w:r>
      <w:r w:rsidRPr="007671C9">
        <w:t>-</w:t>
      </w:r>
      <w:r w:rsidRPr="007671C9">
        <w:rPr>
          <w:b/>
        </w:rPr>
        <w:t>5</w:t>
      </w:r>
    </w:p>
    <w:p w:rsidR="002D15FC" w:rsidRPr="007671C9" w:rsidRDefault="002D15FC" w:rsidP="002D15FC">
      <w:pPr>
        <w:widowControl w:val="0"/>
        <w:tabs>
          <w:tab w:val="left" w:pos="5090"/>
        </w:tabs>
        <w:autoSpaceDE w:val="0"/>
        <w:autoSpaceDN w:val="0"/>
        <w:adjustRightInd w:val="0"/>
        <w:ind w:right="-8"/>
        <w:jc w:val="center"/>
        <w:rPr>
          <w:b/>
        </w:rPr>
      </w:pPr>
      <w:r w:rsidRPr="007671C9">
        <w:rPr>
          <w:b/>
          <w:w w:val="103"/>
        </w:rPr>
        <w:t xml:space="preserve">HESAPLAMA FAKTÖRLERİ İÇİN REFERANS DEĞERLER </w:t>
      </w:r>
      <w:r w:rsidRPr="007671C9">
        <w:rPr>
          <w:b/>
          <w:w w:val="103"/>
        </w:rPr>
        <w:br/>
      </w:r>
    </w:p>
    <w:p w:rsidR="002D15FC" w:rsidRPr="007671C9" w:rsidRDefault="002D15FC" w:rsidP="002D15FC">
      <w:pPr>
        <w:widowControl w:val="0"/>
        <w:tabs>
          <w:tab w:val="left" w:pos="2267"/>
        </w:tabs>
        <w:autoSpaceDE w:val="0"/>
        <w:autoSpaceDN w:val="0"/>
        <w:adjustRightInd w:val="0"/>
        <w:ind w:right="-8"/>
        <w:rPr>
          <w:b/>
        </w:rPr>
      </w:pPr>
      <w:r w:rsidRPr="007671C9">
        <w:rPr>
          <w:b/>
        </w:rPr>
        <w:t>1. Net Kalorifik Değerler (NKD) ile Bağlantılı Yakıt Emisyon Faktörleri</w:t>
      </w:r>
    </w:p>
    <w:p w:rsidR="002D15FC" w:rsidRPr="007671C9" w:rsidRDefault="002D15FC" w:rsidP="002D15FC">
      <w:pPr>
        <w:widowControl w:val="0"/>
        <w:autoSpaceDE w:val="0"/>
        <w:autoSpaceDN w:val="0"/>
        <w:adjustRightInd w:val="0"/>
        <w:ind w:right="-8"/>
        <w:jc w:val="both"/>
        <w:rPr>
          <w:b/>
        </w:rPr>
      </w:pPr>
      <w:r w:rsidRPr="007671C9">
        <w:rPr>
          <w:b/>
        </w:rPr>
        <w:t>Tablo 5.1: Net Kalorifik Değer (NKD) ile Bağlantılı Yakıt Emisyon Faktörleri ve Yakıt Kütlesi Başına NKD</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320"/>
        <w:gridCol w:w="1216"/>
        <w:gridCol w:w="3814"/>
      </w:tblGrid>
      <w:tr w:rsidR="007671C9" w:rsidRPr="007671C9" w:rsidTr="00AD68C3">
        <w:tc>
          <w:tcPr>
            <w:tcW w:w="3369" w:type="dxa"/>
          </w:tcPr>
          <w:p w:rsidR="002D15FC" w:rsidRPr="007671C9" w:rsidRDefault="002D15FC" w:rsidP="00AD68C3">
            <w:pPr>
              <w:widowControl w:val="0"/>
              <w:autoSpaceDE w:val="0"/>
              <w:autoSpaceDN w:val="0"/>
              <w:adjustRightInd w:val="0"/>
              <w:ind w:right="-108"/>
            </w:pPr>
            <w:r w:rsidRPr="007671C9">
              <w:rPr>
                <w:b/>
              </w:rPr>
              <w:t>Yakıt Tipi</w:t>
            </w:r>
          </w:p>
        </w:tc>
        <w:tc>
          <w:tcPr>
            <w:tcW w:w="1320" w:type="dxa"/>
          </w:tcPr>
          <w:p w:rsidR="002D15FC" w:rsidRPr="007671C9" w:rsidRDefault="002D15FC" w:rsidP="00AD68C3">
            <w:pPr>
              <w:widowControl w:val="0"/>
              <w:autoSpaceDE w:val="0"/>
              <w:autoSpaceDN w:val="0"/>
              <w:adjustRightInd w:val="0"/>
              <w:ind w:right="-108"/>
              <w:rPr>
                <w:b/>
              </w:rPr>
            </w:pPr>
            <w:r w:rsidRPr="007671C9">
              <w:rPr>
                <w:b/>
              </w:rPr>
              <w:t>Emisyon Faktörü</w:t>
            </w:r>
          </w:p>
          <w:p w:rsidR="002D15FC" w:rsidRPr="007671C9" w:rsidRDefault="002D15FC" w:rsidP="00AD68C3">
            <w:pPr>
              <w:widowControl w:val="0"/>
              <w:autoSpaceDE w:val="0"/>
              <w:autoSpaceDN w:val="0"/>
              <w:adjustRightInd w:val="0"/>
              <w:ind w:right="-108"/>
            </w:pPr>
            <w:r w:rsidRPr="007671C9">
              <w:rPr>
                <w:b/>
              </w:rPr>
              <w:t>(t CO</w:t>
            </w:r>
            <w:r w:rsidRPr="007671C9">
              <w:rPr>
                <w:b/>
                <w:vertAlign w:val="subscript"/>
              </w:rPr>
              <w:t>2</w:t>
            </w:r>
            <w:r w:rsidRPr="007671C9">
              <w:rPr>
                <w:b/>
              </w:rPr>
              <w:t>/TJ)</w:t>
            </w:r>
          </w:p>
        </w:tc>
        <w:tc>
          <w:tcPr>
            <w:tcW w:w="1216" w:type="dxa"/>
          </w:tcPr>
          <w:p w:rsidR="002D15FC" w:rsidRPr="007671C9" w:rsidRDefault="002D15FC" w:rsidP="00AD68C3">
            <w:pPr>
              <w:widowControl w:val="0"/>
              <w:autoSpaceDE w:val="0"/>
              <w:autoSpaceDN w:val="0"/>
              <w:adjustRightInd w:val="0"/>
              <w:ind w:right="-108"/>
            </w:pPr>
            <w:r w:rsidRPr="007671C9">
              <w:rPr>
                <w:b/>
              </w:rPr>
              <w:t>Net Kalorifik Değer  (TJ/Gg)</w:t>
            </w:r>
          </w:p>
        </w:tc>
        <w:tc>
          <w:tcPr>
            <w:tcW w:w="3814" w:type="dxa"/>
          </w:tcPr>
          <w:p w:rsidR="002D15FC" w:rsidRPr="007671C9" w:rsidRDefault="002D15FC" w:rsidP="00AD68C3">
            <w:pPr>
              <w:widowControl w:val="0"/>
              <w:autoSpaceDE w:val="0"/>
              <w:autoSpaceDN w:val="0"/>
              <w:adjustRightInd w:val="0"/>
              <w:ind w:right="-108"/>
            </w:pPr>
            <w:r w:rsidRPr="007671C9">
              <w:rPr>
                <w:b/>
              </w:rPr>
              <w:t>Kaynak</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Ham Petrol</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42.3</w:t>
            </w:r>
          </w:p>
        </w:tc>
        <w:tc>
          <w:tcPr>
            <w:tcW w:w="3814" w:type="dxa"/>
          </w:tcPr>
          <w:p w:rsidR="002D15FC" w:rsidRPr="007671C9" w:rsidRDefault="002D15FC" w:rsidP="00AD68C3">
            <w:pPr>
              <w:widowControl w:val="0"/>
              <w:autoSpaceDE w:val="0"/>
              <w:autoSpaceDN w:val="0"/>
              <w:adjustRightInd w:val="0"/>
              <w:ind w:right="-8"/>
            </w:pPr>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Orimulsiyon</w:t>
            </w:r>
          </w:p>
        </w:tc>
        <w:tc>
          <w:tcPr>
            <w:tcW w:w="1320" w:type="dxa"/>
          </w:tcPr>
          <w:p w:rsidR="002D15FC" w:rsidRPr="007671C9" w:rsidRDefault="002D15FC" w:rsidP="00AD68C3">
            <w:pPr>
              <w:widowControl w:val="0"/>
              <w:autoSpaceDE w:val="0"/>
              <w:autoSpaceDN w:val="0"/>
              <w:adjustRightInd w:val="0"/>
              <w:ind w:right="-8"/>
            </w:pPr>
            <w:r w:rsidRPr="007671C9">
              <w:t>77.0</w:t>
            </w:r>
          </w:p>
        </w:tc>
        <w:tc>
          <w:tcPr>
            <w:tcW w:w="1216" w:type="dxa"/>
          </w:tcPr>
          <w:p w:rsidR="002D15FC" w:rsidRPr="007671C9" w:rsidRDefault="002D15FC" w:rsidP="00AD68C3">
            <w:pPr>
              <w:widowControl w:val="0"/>
              <w:autoSpaceDE w:val="0"/>
              <w:autoSpaceDN w:val="0"/>
              <w:adjustRightInd w:val="0"/>
              <w:ind w:right="-8"/>
            </w:pPr>
            <w:r w:rsidRPr="007671C9">
              <w:t>27.5</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LNG</w:t>
            </w:r>
          </w:p>
        </w:tc>
        <w:tc>
          <w:tcPr>
            <w:tcW w:w="1320" w:type="dxa"/>
          </w:tcPr>
          <w:p w:rsidR="002D15FC" w:rsidRPr="007671C9" w:rsidRDefault="002D15FC" w:rsidP="00AD68C3">
            <w:pPr>
              <w:widowControl w:val="0"/>
              <w:autoSpaceDE w:val="0"/>
              <w:autoSpaceDN w:val="0"/>
              <w:adjustRightInd w:val="0"/>
              <w:ind w:right="-8"/>
            </w:pPr>
            <w:r w:rsidRPr="007671C9">
              <w:t>64.2</w:t>
            </w:r>
          </w:p>
        </w:tc>
        <w:tc>
          <w:tcPr>
            <w:tcW w:w="1216" w:type="dxa"/>
          </w:tcPr>
          <w:p w:rsidR="002D15FC" w:rsidRPr="007671C9" w:rsidRDefault="002D15FC" w:rsidP="00AD68C3">
            <w:pPr>
              <w:widowControl w:val="0"/>
              <w:autoSpaceDE w:val="0"/>
              <w:autoSpaceDN w:val="0"/>
              <w:adjustRightInd w:val="0"/>
              <w:ind w:right="-8"/>
            </w:pPr>
            <w:r w:rsidRPr="007671C9">
              <w:t>44.2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Benzin</w:t>
            </w:r>
          </w:p>
        </w:tc>
        <w:tc>
          <w:tcPr>
            <w:tcW w:w="1320" w:type="dxa"/>
          </w:tcPr>
          <w:p w:rsidR="002D15FC" w:rsidRPr="007671C9" w:rsidRDefault="002D15FC" w:rsidP="00AD68C3">
            <w:pPr>
              <w:widowControl w:val="0"/>
              <w:autoSpaceDE w:val="0"/>
              <w:autoSpaceDN w:val="0"/>
              <w:adjustRightInd w:val="0"/>
              <w:ind w:right="-8"/>
            </w:pPr>
            <w:r w:rsidRPr="007671C9">
              <w:t>69.3</w:t>
            </w:r>
          </w:p>
        </w:tc>
        <w:tc>
          <w:tcPr>
            <w:tcW w:w="1216" w:type="dxa"/>
          </w:tcPr>
          <w:p w:rsidR="002D15FC" w:rsidRPr="007671C9" w:rsidRDefault="002D15FC" w:rsidP="00AD68C3">
            <w:pPr>
              <w:widowControl w:val="0"/>
              <w:autoSpaceDE w:val="0"/>
              <w:autoSpaceDN w:val="0"/>
              <w:adjustRightInd w:val="0"/>
              <w:ind w:right="-8"/>
            </w:pPr>
            <w:r w:rsidRPr="007671C9">
              <w:t>44.3</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Gazyağı</w:t>
            </w:r>
          </w:p>
        </w:tc>
        <w:tc>
          <w:tcPr>
            <w:tcW w:w="1320" w:type="dxa"/>
          </w:tcPr>
          <w:p w:rsidR="002D15FC" w:rsidRPr="007671C9" w:rsidRDefault="002D15FC" w:rsidP="00AD68C3">
            <w:pPr>
              <w:widowControl w:val="0"/>
              <w:autoSpaceDE w:val="0"/>
              <w:autoSpaceDN w:val="0"/>
              <w:adjustRightInd w:val="0"/>
              <w:ind w:right="-8"/>
            </w:pPr>
            <w:r w:rsidRPr="007671C9">
              <w:t>71.9</w:t>
            </w:r>
          </w:p>
        </w:tc>
        <w:tc>
          <w:tcPr>
            <w:tcW w:w="1216" w:type="dxa"/>
          </w:tcPr>
          <w:p w:rsidR="002D15FC" w:rsidRPr="007671C9" w:rsidRDefault="002D15FC" w:rsidP="00AD68C3">
            <w:pPr>
              <w:widowControl w:val="0"/>
              <w:autoSpaceDE w:val="0"/>
              <w:autoSpaceDN w:val="0"/>
              <w:adjustRightInd w:val="0"/>
              <w:ind w:right="-8"/>
            </w:pPr>
            <w:r w:rsidRPr="007671C9">
              <w:t>43.8</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Şist Yağı</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38.1</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Motorin</w:t>
            </w:r>
          </w:p>
        </w:tc>
        <w:tc>
          <w:tcPr>
            <w:tcW w:w="1320" w:type="dxa"/>
          </w:tcPr>
          <w:p w:rsidR="002D15FC" w:rsidRPr="007671C9" w:rsidRDefault="002D15FC" w:rsidP="00AD68C3">
            <w:pPr>
              <w:widowControl w:val="0"/>
              <w:autoSpaceDE w:val="0"/>
              <w:autoSpaceDN w:val="0"/>
              <w:adjustRightInd w:val="0"/>
              <w:ind w:right="-8"/>
            </w:pPr>
            <w:r w:rsidRPr="007671C9">
              <w:t>74.1</w:t>
            </w:r>
          </w:p>
        </w:tc>
        <w:tc>
          <w:tcPr>
            <w:tcW w:w="1216" w:type="dxa"/>
          </w:tcPr>
          <w:p w:rsidR="002D15FC" w:rsidRPr="007671C9" w:rsidRDefault="002D15FC" w:rsidP="00AD68C3">
            <w:pPr>
              <w:widowControl w:val="0"/>
              <w:autoSpaceDE w:val="0"/>
              <w:autoSpaceDN w:val="0"/>
              <w:adjustRightInd w:val="0"/>
              <w:ind w:right="-8"/>
            </w:pPr>
            <w:r w:rsidRPr="007671C9">
              <w:t>43.0</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Fuel Oil</w:t>
            </w:r>
          </w:p>
        </w:tc>
        <w:tc>
          <w:tcPr>
            <w:tcW w:w="1320" w:type="dxa"/>
          </w:tcPr>
          <w:p w:rsidR="002D15FC" w:rsidRPr="007671C9" w:rsidRDefault="002D15FC" w:rsidP="00AD68C3">
            <w:pPr>
              <w:widowControl w:val="0"/>
              <w:autoSpaceDE w:val="0"/>
              <w:autoSpaceDN w:val="0"/>
              <w:adjustRightInd w:val="0"/>
              <w:ind w:right="-8"/>
            </w:pPr>
            <w:r w:rsidRPr="007671C9">
              <w:t>77.4</w:t>
            </w:r>
          </w:p>
        </w:tc>
        <w:tc>
          <w:tcPr>
            <w:tcW w:w="1216" w:type="dxa"/>
          </w:tcPr>
          <w:p w:rsidR="002D15FC" w:rsidRPr="007671C9" w:rsidRDefault="002D15FC" w:rsidP="00AD68C3">
            <w:pPr>
              <w:widowControl w:val="0"/>
              <w:autoSpaceDE w:val="0"/>
              <w:autoSpaceDN w:val="0"/>
              <w:adjustRightInd w:val="0"/>
              <w:ind w:right="-8"/>
            </w:pPr>
            <w:r w:rsidRPr="007671C9">
              <w:t>40.4</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Sıvılaştırılmış Petrol Gazları</w:t>
            </w:r>
          </w:p>
        </w:tc>
        <w:tc>
          <w:tcPr>
            <w:tcW w:w="1320" w:type="dxa"/>
          </w:tcPr>
          <w:p w:rsidR="002D15FC" w:rsidRPr="007671C9" w:rsidRDefault="002D15FC" w:rsidP="00AD68C3">
            <w:pPr>
              <w:widowControl w:val="0"/>
              <w:autoSpaceDE w:val="0"/>
              <w:autoSpaceDN w:val="0"/>
              <w:adjustRightInd w:val="0"/>
              <w:ind w:right="-8"/>
            </w:pPr>
            <w:r w:rsidRPr="007671C9">
              <w:t>63.1</w:t>
            </w:r>
          </w:p>
        </w:tc>
        <w:tc>
          <w:tcPr>
            <w:tcW w:w="1216" w:type="dxa"/>
          </w:tcPr>
          <w:p w:rsidR="002D15FC" w:rsidRPr="007671C9" w:rsidRDefault="002D15FC" w:rsidP="00AD68C3">
            <w:pPr>
              <w:widowControl w:val="0"/>
              <w:autoSpaceDE w:val="0"/>
              <w:autoSpaceDN w:val="0"/>
              <w:adjustRightInd w:val="0"/>
              <w:ind w:right="-8"/>
            </w:pPr>
            <w:r w:rsidRPr="007671C9">
              <w:t>47.3</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Etan</w:t>
            </w:r>
          </w:p>
        </w:tc>
        <w:tc>
          <w:tcPr>
            <w:tcW w:w="1320" w:type="dxa"/>
          </w:tcPr>
          <w:p w:rsidR="002D15FC" w:rsidRPr="007671C9" w:rsidRDefault="002D15FC" w:rsidP="00AD68C3">
            <w:pPr>
              <w:widowControl w:val="0"/>
              <w:autoSpaceDE w:val="0"/>
              <w:autoSpaceDN w:val="0"/>
              <w:adjustRightInd w:val="0"/>
              <w:ind w:right="-8"/>
            </w:pPr>
            <w:r w:rsidRPr="007671C9">
              <w:t>61.6</w:t>
            </w:r>
          </w:p>
        </w:tc>
        <w:tc>
          <w:tcPr>
            <w:tcW w:w="1216" w:type="dxa"/>
          </w:tcPr>
          <w:p w:rsidR="002D15FC" w:rsidRPr="007671C9" w:rsidRDefault="002D15FC" w:rsidP="00AD68C3">
            <w:pPr>
              <w:widowControl w:val="0"/>
              <w:autoSpaceDE w:val="0"/>
              <w:autoSpaceDN w:val="0"/>
              <w:adjustRightInd w:val="0"/>
              <w:ind w:right="-8"/>
            </w:pPr>
            <w:r w:rsidRPr="007671C9">
              <w:t>46.4</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Yakıt Nafta</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44.5</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Bitumen</w:t>
            </w:r>
          </w:p>
        </w:tc>
        <w:tc>
          <w:tcPr>
            <w:tcW w:w="1320" w:type="dxa"/>
          </w:tcPr>
          <w:p w:rsidR="002D15FC" w:rsidRPr="007671C9" w:rsidRDefault="002D15FC" w:rsidP="00AD68C3">
            <w:pPr>
              <w:widowControl w:val="0"/>
              <w:autoSpaceDE w:val="0"/>
              <w:autoSpaceDN w:val="0"/>
              <w:adjustRightInd w:val="0"/>
              <w:ind w:right="-8"/>
            </w:pPr>
            <w:r w:rsidRPr="007671C9">
              <w:t>80.7</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Gres Yağı</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Petrol Koku</w:t>
            </w:r>
          </w:p>
        </w:tc>
        <w:tc>
          <w:tcPr>
            <w:tcW w:w="1320" w:type="dxa"/>
          </w:tcPr>
          <w:p w:rsidR="002D15FC" w:rsidRPr="007671C9" w:rsidRDefault="002D15FC" w:rsidP="00AD68C3">
            <w:pPr>
              <w:widowControl w:val="0"/>
              <w:autoSpaceDE w:val="0"/>
              <w:autoSpaceDN w:val="0"/>
              <w:adjustRightInd w:val="0"/>
              <w:ind w:right="-8"/>
            </w:pPr>
            <w:r w:rsidRPr="007671C9">
              <w:t>97.5</w:t>
            </w:r>
          </w:p>
        </w:tc>
        <w:tc>
          <w:tcPr>
            <w:tcW w:w="1216" w:type="dxa"/>
          </w:tcPr>
          <w:p w:rsidR="002D15FC" w:rsidRPr="007671C9" w:rsidRDefault="002D15FC" w:rsidP="00AD68C3">
            <w:pPr>
              <w:widowControl w:val="0"/>
              <w:autoSpaceDE w:val="0"/>
              <w:autoSpaceDN w:val="0"/>
              <w:adjustRightInd w:val="0"/>
              <w:ind w:right="-8"/>
            </w:pPr>
            <w:r w:rsidRPr="007671C9">
              <w:t>32.5</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Rafineri Hammaddeleri</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43.0</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Rafineri Gazı</w:t>
            </w:r>
          </w:p>
        </w:tc>
        <w:tc>
          <w:tcPr>
            <w:tcW w:w="1320" w:type="dxa"/>
          </w:tcPr>
          <w:p w:rsidR="002D15FC" w:rsidRPr="007671C9" w:rsidRDefault="002D15FC" w:rsidP="00AD68C3">
            <w:pPr>
              <w:widowControl w:val="0"/>
              <w:autoSpaceDE w:val="0"/>
              <w:autoSpaceDN w:val="0"/>
              <w:adjustRightInd w:val="0"/>
              <w:ind w:right="-8"/>
            </w:pPr>
            <w:r w:rsidRPr="007671C9">
              <w:t>57.6</w:t>
            </w:r>
          </w:p>
        </w:tc>
        <w:tc>
          <w:tcPr>
            <w:tcW w:w="1216" w:type="dxa"/>
          </w:tcPr>
          <w:p w:rsidR="002D15FC" w:rsidRPr="007671C9" w:rsidRDefault="002D15FC" w:rsidP="00AD68C3">
            <w:pPr>
              <w:widowControl w:val="0"/>
              <w:autoSpaceDE w:val="0"/>
              <w:autoSpaceDN w:val="0"/>
              <w:adjustRightInd w:val="0"/>
              <w:ind w:right="-8"/>
            </w:pPr>
            <w:r w:rsidRPr="007671C9">
              <w:t>49.5</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Parafin Mumları</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Beyaz İspirto &amp; Endüstriyel Yağlar</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Diğer Petrol Ürünleri</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Antrasit</w:t>
            </w:r>
          </w:p>
        </w:tc>
        <w:tc>
          <w:tcPr>
            <w:tcW w:w="1320" w:type="dxa"/>
          </w:tcPr>
          <w:p w:rsidR="002D15FC" w:rsidRPr="007671C9" w:rsidRDefault="002D15FC" w:rsidP="00AD68C3">
            <w:pPr>
              <w:widowControl w:val="0"/>
              <w:autoSpaceDE w:val="0"/>
              <w:autoSpaceDN w:val="0"/>
              <w:adjustRightInd w:val="0"/>
              <w:ind w:right="-8"/>
            </w:pPr>
            <w:r w:rsidRPr="007671C9">
              <w:t>98.3</w:t>
            </w:r>
          </w:p>
        </w:tc>
        <w:tc>
          <w:tcPr>
            <w:tcW w:w="1216" w:type="dxa"/>
          </w:tcPr>
          <w:p w:rsidR="002D15FC" w:rsidRPr="007671C9" w:rsidRDefault="002D15FC" w:rsidP="00AD68C3">
            <w:pPr>
              <w:widowControl w:val="0"/>
              <w:autoSpaceDE w:val="0"/>
              <w:autoSpaceDN w:val="0"/>
              <w:adjustRightInd w:val="0"/>
              <w:ind w:right="-8"/>
            </w:pPr>
            <w:r w:rsidRPr="007671C9">
              <w:t>26.7</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Kok Kömürü</w:t>
            </w:r>
          </w:p>
        </w:tc>
        <w:tc>
          <w:tcPr>
            <w:tcW w:w="1320" w:type="dxa"/>
          </w:tcPr>
          <w:p w:rsidR="002D15FC" w:rsidRPr="007671C9" w:rsidRDefault="002D15FC" w:rsidP="00AD68C3">
            <w:pPr>
              <w:widowControl w:val="0"/>
              <w:autoSpaceDE w:val="0"/>
              <w:autoSpaceDN w:val="0"/>
              <w:adjustRightInd w:val="0"/>
              <w:ind w:right="-8"/>
            </w:pPr>
            <w:r w:rsidRPr="007671C9">
              <w:t>94.6</w:t>
            </w:r>
          </w:p>
        </w:tc>
        <w:tc>
          <w:tcPr>
            <w:tcW w:w="1216" w:type="dxa"/>
          </w:tcPr>
          <w:p w:rsidR="002D15FC" w:rsidRPr="007671C9" w:rsidRDefault="002D15FC" w:rsidP="00AD68C3">
            <w:pPr>
              <w:widowControl w:val="0"/>
              <w:autoSpaceDE w:val="0"/>
              <w:autoSpaceDN w:val="0"/>
              <w:adjustRightInd w:val="0"/>
              <w:ind w:right="-8"/>
            </w:pPr>
            <w:r w:rsidRPr="007671C9">
              <w:t>28.2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Diğer Bitümlü Kömür</w:t>
            </w:r>
          </w:p>
        </w:tc>
        <w:tc>
          <w:tcPr>
            <w:tcW w:w="1320" w:type="dxa"/>
          </w:tcPr>
          <w:p w:rsidR="002D15FC" w:rsidRPr="007671C9" w:rsidRDefault="002D15FC" w:rsidP="00AD68C3">
            <w:pPr>
              <w:widowControl w:val="0"/>
              <w:autoSpaceDE w:val="0"/>
              <w:autoSpaceDN w:val="0"/>
              <w:adjustRightInd w:val="0"/>
              <w:ind w:right="-8"/>
            </w:pPr>
            <w:r w:rsidRPr="007671C9">
              <w:t>94.6</w:t>
            </w:r>
          </w:p>
        </w:tc>
        <w:tc>
          <w:tcPr>
            <w:tcW w:w="1216" w:type="dxa"/>
          </w:tcPr>
          <w:p w:rsidR="002D15FC" w:rsidRPr="007671C9" w:rsidRDefault="002D15FC" w:rsidP="00AD68C3">
            <w:pPr>
              <w:widowControl w:val="0"/>
              <w:autoSpaceDE w:val="0"/>
              <w:autoSpaceDN w:val="0"/>
              <w:adjustRightInd w:val="0"/>
              <w:ind w:right="-8"/>
            </w:pPr>
            <w:r w:rsidRPr="007671C9">
              <w:t>25.8</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lastRenderedPageBreak/>
              <w:t>Düşük Bitümlü Kömür</w:t>
            </w:r>
          </w:p>
        </w:tc>
        <w:tc>
          <w:tcPr>
            <w:tcW w:w="1320" w:type="dxa"/>
          </w:tcPr>
          <w:p w:rsidR="002D15FC" w:rsidRPr="007671C9" w:rsidRDefault="002D15FC" w:rsidP="00AD68C3">
            <w:pPr>
              <w:widowControl w:val="0"/>
              <w:autoSpaceDE w:val="0"/>
              <w:autoSpaceDN w:val="0"/>
              <w:adjustRightInd w:val="0"/>
              <w:ind w:right="-8"/>
            </w:pPr>
            <w:r w:rsidRPr="007671C9">
              <w:t>96.1</w:t>
            </w:r>
          </w:p>
        </w:tc>
        <w:tc>
          <w:tcPr>
            <w:tcW w:w="1216" w:type="dxa"/>
          </w:tcPr>
          <w:p w:rsidR="002D15FC" w:rsidRPr="007671C9" w:rsidRDefault="002D15FC" w:rsidP="00AD68C3">
            <w:pPr>
              <w:widowControl w:val="0"/>
              <w:autoSpaceDE w:val="0"/>
              <w:autoSpaceDN w:val="0"/>
              <w:adjustRightInd w:val="0"/>
              <w:ind w:right="-8"/>
            </w:pPr>
            <w:r w:rsidRPr="007671C9">
              <w:t>18.9</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Linyit</w:t>
            </w:r>
          </w:p>
        </w:tc>
        <w:tc>
          <w:tcPr>
            <w:tcW w:w="1320" w:type="dxa"/>
          </w:tcPr>
          <w:p w:rsidR="002D15FC" w:rsidRPr="007671C9" w:rsidRDefault="002D15FC" w:rsidP="00AD68C3">
            <w:pPr>
              <w:widowControl w:val="0"/>
              <w:autoSpaceDE w:val="0"/>
              <w:autoSpaceDN w:val="0"/>
              <w:adjustRightInd w:val="0"/>
              <w:ind w:right="-8"/>
            </w:pPr>
            <w:r w:rsidRPr="007671C9">
              <w:t>101.0</w:t>
            </w:r>
          </w:p>
        </w:tc>
        <w:tc>
          <w:tcPr>
            <w:tcW w:w="1216" w:type="dxa"/>
          </w:tcPr>
          <w:p w:rsidR="002D15FC" w:rsidRPr="007671C9" w:rsidRDefault="002D15FC" w:rsidP="00AD68C3">
            <w:pPr>
              <w:widowControl w:val="0"/>
              <w:autoSpaceDE w:val="0"/>
              <w:autoSpaceDN w:val="0"/>
              <w:adjustRightInd w:val="0"/>
              <w:ind w:right="-8"/>
            </w:pPr>
            <w:r w:rsidRPr="007671C9">
              <w:t>11.9</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Bitümlü Şist ve Katranlı Kum</w:t>
            </w:r>
          </w:p>
        </w:tc>
        <w:tc>
          <w:tcPr>
            <w:tcW w:w="1320" w:type="dxa"/>
          </w:tcPr>
          <w:p w:rsidR="002D15FC" w:rsidRPr="007671C9" w:rsidRDefault="002D15FC" w:rsidP="00AD68C3">
            <w:pPr>
              <w:widowControl w:val="0"/>
              <w:autoSpaceDE w:val="0"/>
              <w:autoSpaceDN w:val="0"/>
              <w:adjustRightInd w:val="0"/>
              <w:ind w:right="-8"/>
            </w:pPr>
            <w:r w:rsidRPr="007671C9">
              <w:t>107.0</w:t>
            </w:r>
          </w:p>
        </w:tc>
        <w:tc>
          <w:tcPr>
            <w:tcW w:w="1216" w:type="dxa"/>
          </w:tcPr>
          <w:p w:rsidR="002D15FC" w:rsidRPr="007671C9" w:rsidRDefault="002D15FC" w:rsidP="00AD68C3">
            <w:pPr>
              <w:widowControl w:val="0"/>
              <w:autoSpaceDE w:val="0"/>
              <w:autoSpaceDN w:val="0"/>
              <w:adjustRightInd w:val="0"/>
              <w:ind w:right="-8"/>
            </w:pPr>
            <w:r w:rsidRPr="007671C9">
              <w:t>8.9</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Patent Yakıtı</w:t>
            </w:r>
          </w:p>
        </w:tc>
        <w:tc>
          <w:tcPr>
            <w:tcW w:w="1320" w:type="dxa"/>
          </w:tcPr>
          <w:p w:rsidR="002D15FC" w:rsidRPr="007671C9" w:rsidRDefault="002D15FC" w:rsidP="00AD68C3">
            <w:pPr>
              <w:widowControl w:val="0"/>
              <w:autoSpaceDE w:val="0"/>
              <w:autoSpaceDN w:val="0"/>
              <w:adjustRightInd w:val="0"/>
              <w:ind w:right="-8"/>
            </w:pPr>
            <w:r w:rsidRPr="007671C9">
              <w:t>97.5</w:t>
            </w:r>
          </w:p>
        </w:tc>
        <w:tc>
          <w:tcPr>
            <w:tcW w:w="1216" w:type="dxa"/>
          </w:tcPr>
          <w:p w:rsidR="002D15FC" w:rsidRPr="007671C9" w:rsidRDefault="002D15FC" w:rsidP="00AD68C3">
            <w:pPr>
              <w:widowControl w:val="0"/>
              <w:autoSpaceDE w:val="0"/>
              <w:autoSpaceDN w:val="0"/>
              <w:adjustRightInd w:val="0"/>
              <w:ind w:right="-8"/>
            </w:pPr>
            <w:r w:rsidRPr="007671C9">
              <w:t>20.7</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Kok Fırını Koku &amp; Linyit Koku</w:t>
            </w:r>
          </w:p>
        </w:tc>
        <w:tc>
          <w:tcPr>
            <w:tcW w:w="1320" w:type="dxa"/>
          </w:tcPr>
          <w:p w:rsidR="002D15FC" w:rsidRPr="007671C9" w:rsidRDefault="002D15FC" w:rsidP="00AD68C3">
            <w:pPr>
              <w:widowControl w:val="0"/>
              <w:autoSpaceDE w:val="0"/>
              <w:autoSpaceDN w:val="0"/>
              <w:adjustRightInd w:val="0"/>
              <w:ind w:right="-8"/>
            </w:pPr>
            <w:r w:rsidRPr="007671C9">
              <w:t>107.0</w:t>
            </w:r>
          </w:p>
        </w:tc>
        <w:tc>
          <w:tcPr>
            <w:tcW w:w="1216" w:type="dxa"/>
          </w:tcPr>
          <w:p w:rsidR="002D15FC" w:rsidRPr="007671C9" w:rsidRDefault="002D15FC" w:rsidP="00AD68C3">
            <w:pPr>
              <w:widowControl w:val="0"/>
              <w:autoSpaceDE w:val="0"/>
              <w:autoSpaceDN w:val="0"/>
              <w:adjustRightInd w:val="0"/>
              <w:ind w:right="-8"/>
            </w:pPr>
            <w:r w:rsidRPr="007671C9">
              <w:t>28.2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Gaz Koku</w:t>
            </w:r>
          </w:p>
        </w:tc>
        <w:tc>
          <w:tcPr>
            <w:tcW w:w="1320" w:type="dxa"/>
          </w:tcPr>
          <w:p w:rsidR="002D15FC" w:rsidRPr="007671C9" w:rsidRDefault="002D15FC" w:rsidP="00AD68C3">
            <w:pPr>
              <w:widowControl w:val="0"/>
              <w:autoSpaceDE w:val="0"/>
              <w:autoSpaceDN w:val="0"/>
              <w:adjustRightInd w:val="0"/>
              <w:ind w:right="-8"/>
            </w:pPr>
            <w:r w:rsidRPr="007671C9">
              <w:t>107.0</w:t>
            </w:r>
          </w:p>
        </w:tc>
        <w:tc>
          <w:tcPr>
            <w:tcW w:w="1216" w:type="dxa"/>
          </w:tcPr>
          <w:p w:rsidR="002D15FC" w:rsidRPr="007671C9" w:rsidRDefault="002D15FC" w:rsidP="00AD68C3">
            <w:pPr>
              <w:widowControl w:val="0"/>
              <w:autoSpaceDE w:val="0"/>
              <w:autoSpaceDN w:val="0"/>
              <w:adjustRightInd w:val="0"/>
              <w:ind w:right="-8"/>
            </w:pPr>
            <w:r w:rsidRPr="007671C9">
              <w:t>28.2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Kömür Katranı</w:t>
            </w:r>
          </w:p>
        </w:tc>
        <w:tc>
          <w:tcPr>
            <w:tcW w:w="1320" w:type="dxa"/>
          </w:tcPr>
          <w:p w:rsidR="002D15FC" w:rsidRPr="007671C9" w:rsidRDefault="002D15FC" w:rsidP="00AD68C3">
            <w:pPr>
              <w:widowControl w:val="0"/>
              <w:autoSpaceDE w:val="0"/>
              <w:autoSpaceDN w:val="0"/>
              <w:adjustRightInd w:val="0"/>
              <w:ind w:right="-8"/>
            </w:pPr>
            <w:r w:rsidRPr="007671C9">
              <w:t>80.7</w:t>
            </w:r>
          </w:p>
        </w:tc>
        <w:tc>
          <w:tcPr>
            <w:tcW w:w="1216" w:type="dxa"/>
          </w:tcPr>
          <w:p w:rsidR="002D15FC" w:rsidRPr="007671C9" w:rsidRDefault="002D15FC" w:rsidP="00AD68C3">
            <w:pPr>
              <w:widowControl w:val="0"/>
              <w:autoSpaceDE w:val="0"/>
              <w:autoSpaceDN w:val="0"/>
              <w:adjustRightInd w:val="0"/>
              <w:ind w:right="-8"/>
            </w:pPr>
            <w:r w:rsidRPr="007671C9">
              <w:t>28.0</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Gazhane Gazı</w:t>
            </w:r>
          </w:p>
        </w:tc>
        <w:tc>
          <w:tcPr>
            <w:tcW w:w="1320" w:type="dxa"/>
          </w:tcPr>
          <w:p w:rsidR="002D15FC" w:rsidRPr="007671C9" w:rsidRDefault="002D15FC" w:rsidP="00AD68C3">
            <w:pPr>
              <w:widowControl w:val="0"/>
              <w:autoSpaceDE w:val="0"/>
              <w:autoSpaceDN w:val="0"/>
              <w:adjustRightInd w:val="0"/>
              <w:ind w:right="-8"/>
            </w:pPr>
            <w:r w:rsidRPr="007671C9">
              <w:t>44.4</w:t>
            </w:r>
          </w:p>
        </w:tc>
        <w:tc>
          <w:tcPr>
            <w:tcW w:w="1216" w:type="dxa"/>
          </w:tcPr>
          <w:p w:rsidR="002D15FC" w:rsidRPr="007671C9" w:rsidRDefault="002D15FC" w:rsidP="00AD68C3">
            <w:pPr>
              <w:widowControl w:val="0"/>
              <w:autoSpaceDE w:val="0"/>
              <w:autoSpaceDN w:val="0"/>
              <w:adjustRightInd w:val="0"/>
              <w:ind w:right="-8"/>
            </w:pPr>
            <w:r w:rsidRPr="007671C9">
              <w:t>38.7</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Kok Fırını Gazı</w:t>
            </w:r>
          </w:p>
        </w:tc>
        <w:tc>
          <w:tcPr>
            <w:tcW w:w="1320" w:type="dxa"/>
          </w:tcPr>
          <w:p w:rsidR="002D15FC" w:rsidRPr="007671C9" w:rsidRDefault="002D15FC" w:rsidP="00AD68C3">
            <w:pPr>
              <w:widowControl w:val="0"/>
              <w:autoSpaceDE w:val="0"/>
              <w:autoSpaceDN w:val="0"/>
              <w:adjustRightInd w:val="0"/>
              <w:ind w:right="-8"/>
            </w:pPr>
            <w:r w:rsidRPr="007671C9">
              <w:t>44.4</w:t>
            </w:r>
          </w:p>
        </w:tc>
        <w:tc>
          <w:tcPr>
            <w:tcW w:w="1216" w:type="dxa"/>
          </w:tcPr>
          <w:p w:rsidR="002D15FC" w:rsidRPr="007671C9" w:rsidRDefault="002D15FC" w:rsidP="00AD68C3">
            <w:pPr>
              <w:widowControl w:val="0"/>
              <w:autoSpaceDE w:val="0"/>
              <w:autoSpaceDN w:val="0"/>
              <w:adjustRightInd w:val="0"/>
              <w:ind w:right="-8"/>
            </w:pPr>
            <w:r w:rsidRPr="007671C9">
              <w:t>38.7</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Yüksek Fırın Gazı</w:t>
            </w:r>
          </w:p>
        </w:tc>
        <w:tc>
          <w:tcPr>
            <w:tcW w:w="1320" w:type="dxa"/>
          </w:tcPr>
          <w:p w:rsidR="002D15FC" w:rsidRPr="007671C9" w:rsidRDefault="002D15FC" w:rsidP="00AD68C3">
            <w:pPr>
              <w:widowControl w:val="0"/>
              <w:autoSpaceDE w:val="0"/>
              <w:autoSpaceDN w:val="0"/>
              <w:adjustRightInd w:val="0"/>
              <w:ind w:right="-8"/>
            </w:pPr>
            <w:r w:rsidRPr="007671C9">
              <w:t>260</w:t>
            </w:r>
          </w:p>
        </w:tc>
        <w:tc>
          <w:tcPr>
            <w:tcW w:w="1216" w:type="dxa"/>
          </w:tcPr>
          <w:p w:rsidR="002D15FC" w:rsidRPr="007671C9" w:rsidRDefault="002D15FC" w:rsidP="00AD68C3">
            <w:pPr>
              <w:widowControl w:val="0"/>
              <w:autoSpaceDE w:val="0"/>
              <w:autoSpaceDN w:val="0"/>
              <w:adjustRightInd w:val="0"/>
              <w:ind w:right="-8"/>
            </w:pPr>
            <w:r w:rsidRPr="007671C9">
              <w:t>2.47</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Oksijen Çelik Fırın Gazı</w:t>
            </w:r>
          </w:p>
        </w:tc>
        <w:tc>
          <w:tcPr>
            <w:tcW w:w="1320" w:type="dxa"/>
          </w:tcPr>
          <w:p w:rsidR="002D15FC" w:rsidRPr="007671C9" w:rsidRDefault="002D15FC" w:rsidP="00AD68C3">
            <w:pPr>
              <w:widowControl w:val="0"/>
              <w:autoSpaceDE w:val="0"/>
              <w:autoSpaceDN w:val="0"/>
              <w:adjustRightInd w:val="0"/>
              <w:ind w:right="-8"/>
            </w:pPr>
            <w:r w:rsidRPr="007671C9">
              <w:t>182</w:t>
            </w:r>
          </w:p>
        </w:tc>
        <w:tc>
          <w:tcPr>
            <w:tcW w:w="1216" w:type="dxa"/>
          </w:tcPr>
          <w:p w:rsidR="002D15FC" w:rsidRPr="007671C9" w:rsidRDefault="002D15FC" w:rsidP="00AD68C3">
            <w:pPr>
              <w:widowControl w:val="0"/>
              <w:autoSpaceDE w:val="0"/>
              <w:autoSpaceDN w:val="0"/>
              <w:adjustRightInd w:val="0"/>
              <w:ind w:right="-8"/>
            </w:pPr>
            <w:r w:rsidRPr="007671C9">
              <w:t>7.06</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Doğal Gaz</w:t>
            </w:r>
          </w:p>
        </w:tc>
        <w:tc>
          <w:tcPr>
            <w:tcW w:w="1320" w:type="dxa"/>
          </w:tcPr>
          <w:p w:rsidR="002D15FC" w:rsidRPr="007671C9" w:rsidRDefault="002D15FC" w:rsidP="00AD68C3">
            <w:pPr>
              <w:widowControl w:val="0"/>
              <w:autoSpaceDE w:val="0"/>
              <w:autoSpaceDN w:val="0"/>
              <w:adjustRightInd w:val="0"/>
              <w:ind w:right="-8"/>
            </w:pPr>
            <w:r w:rsidRPr="007671C9">
              <w:t>56.1</w:t>
            </w:r>
          </w:p>
        </w:tc>
        <w:tc>
          <w:tcPr>
            <w:tcW w:w="1216" w:type="dxa"/>
          </w:tcPr>
          <w:p w:rsidR="002D15FC" w:rsidRPr="007671C9" w:rsidRDefault="002D15FC" w:rsidP="00AD68C3">
            <w:pPr>
              <w:widowControl w:val="0"/>
              <w:autoSpaceDE w:val="0"/>
              <w:autoSpaceDN w:val="0"/>
              <w:adjustRightInd w:val="0"/>
              <w:ind w:right="-8"/>
            </w:pPr>
            <w:r w:rsidRPr="007671C9">
              <w:t>48.0</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Sanayi Atıkları</w:t>
            </w:r>
          </w:p>
        </w:tc>
        <w:tc>
          <w:tcPr>
            <w:tcW w:w="1320" w:type="dxa"/>
          </w:tcPr>
          <w:p w:rsidR="002D15FC" w:rsidRPr="007671C9" w:rsidRDefault="002D15FC" w:rsidP="00AD68C3">
            <w:pPr>
              <w:widowControl w:val="0"/>
              <w:autoSpaceDE w:val="0"/>
              <w:autoSpaceDN w:val="0"/>
              <w:adjustRightInd w:val="0"/>
              <w:ind w:right="-8"/>
            </w:pPr>
            <w:r w:rsidRPr="007671C9">
              <w:t>143</w:t>
            </w:r>
          </w:p>
        </w:tc>
        <w:tc>
          <w:tcPr>
            <w:tcW w:w="1216" w:type="dxa"/>
          </w:tcPr>
          <w:p w:rsidR="002D15FC" w:rsidRPr="007671C9" w:rsidRDefault="002D15FC" w:rsidP="00AD68C3">
            <w:pPr>
              <w:widowControl w:val="0"/>
              <w:autoSpaceDE w:val="0"/>
              <w:autoSpaceDN w:val="0"/>
              <w:adjustRightInd w:val="0"/>
              <w:ind w:right="-8"/>
            </w:pPr>
            <w:r w:rsidRPr="007671C9">
              <w:t>n.a.</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Atık Yağlar</w:t>
            </w:r>
          </w:p>
        </w:tc>
        <w:tc>
          <w:tcPr>
            <w:tcW w:w="1320" w:type="dxa"/>
          </w:tcPr>
          <w:p w:rsidR="002D15FC" w:rsidRPr="007671C9" w:rsidRDefault="002D15FC" w:rsidP="00AD68C3">
            <w:pPr>
              <w:widowControl w:val="0"/>
              <w:autoSpaceDE w:val="0"/>
              <w:autoSpaceDN w:val="0"/>
              <w:adjustRightInd w:val="0"/>
              <w:ind w:right="-8"/>
            </w:pPr>
            <w:r w:rsidRPr="007671C9">
              <w:t>73.3</w:t>
            </w:r>
          </w:p>
        </w:tc>
        <w:tc>
          <w:tcPr>
            <w:tcW w:w="1216" w:type="dxa"/>
          </w:tcPr>
          <w:p w:rsidR="002D15FC" w:rsidRPr="007671C9" w:rsidRDefault="002D15FC" w:rsidP="00AD68C3">
            <w:pPr>
              <w:widowControl w:val="0"/>
              <w:autoSpaceDE w:val="0"/>
              <w:autoSpaceDN w:val="0"/>
              <w:adjustRightInd w:val="0"/>
              <w:ind w:right="-8"/>
            </w:pPr>
            <w:r w:rsidRPr="007671C9">
              <w:t>40.2</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Turba</w:t>
            </w:r>
          </w:p>
        </w:tc>
        <w:tc>
          <w:tcPr>
            <w:tcW w:w="1320" w:type="dxa"/>
          </w:tcPr>
          <w:p w:rsidR="002D15FC" w:rsidRPr="007671C9" w:rsidRDefault="002D15FC" w:rsidP="00AD68C3">
            <w:pPr>
              <w:widowControl w:val="0"/>
              <w:autoSpaceDE w:val="0"/>
              <w:autoSpaceDN w:val="0"/>
              <w:adjustRightInd w:val="0"/>
              <w:ind w:right="-8"/>
            </w:pPr>
            <w:r w:rsidRPr="007671C9">
              <w:t>106.0</w:t>
            </w:r>
          </w:p>
        </w:tc>
        <w:tc>
          <w:tcPr>
            <w:tcW w:w="1216" w:type="dxa"/>
          </w:tcPr>
          <w:p w:rsidR="002D15FC" w:rsidRPr="007671C9" w:rsidRDefault="002D15FC" w:rsidP="00AD68C3">
            <w:pPr>
              <w:widowControl w:val="0"/>
              <w:autoSpaceDE w:val="0"/>
              <w:autoSpaceDN w:val="0"/>
              <w:adjustRightInd w:val="0"/>
              <w:ind w:right="-8"/>
            </w:pPr>
            <w:r w:rsidRPr="007671C9">
              <w:t>9.76</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Odun/Odun Atığı</w:t>
            </w:r>
          </w:p>
        </w:tc>
        <w:tc>
          <w:tcPr>
            <w:tcW w:w="1320" w:type="dxa"/>
          </w:tcPr>
          <w:p w:rsidR="002D15FC" w:rsidRPr="007671C9" w:rsidRDefault="002D15FC" w:rsidP="00AD68C3">
            <w:pPr>
              <w:widowControl w:val="0"/>
              <w:autoSpaceDE w:val="0"/>
              <w:autoSpaceDN w:val="0"/>
              <w:adjustRightInd w:val="0"/>
              <w:ind w:right="-8"/>
            </w:pPr>
            <w:r w:rsidRPr="007671C9">
              <w:t>-</w:t>
            </w:r>
          </w:p>
        </w:tc>
        <w:tc>
          <w:tcPr>
            <w:tcW w:w="1216" w:type="dxa"/>
          </w:tcPr>
          <w:p w:rsidR="002D15FC" w:rsidRPr="007671C9" w:rsidRDefault="002D15FC" w:rsidP="00AD68C3">
            <w:pPr>
              <w:widowControl w:val="0"/>
              <w:autoSpaceDE w:val="0"/>
              <w:autoSpaceDN w:val="0"/>
              <w:adjustRightInd w:val="0"/>
              <w:ind w:right="-8"/>
            </w:pPr>
            <w:r w:rsidRPr="007671C9">
              <w:t>15.6</w:t>
            </w:r>
          </w:p>
        </w:tc>
        <w:tc>
          <w:tcPr>
            <w:tcW w:w="3814" w:type="dxa"/>
          </w:tcPr>
          <w:p w:rsidR="002D15FC" w:rsidRPr="007671C9" w:rsidRDefault="002D15FC" w:rsidP="00AD68C3">
            <w:r w:rsidRPr="007671C9">
              <w:t>IPCC 2006 Kılavuzu</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Diğer Birincil Katı Biyokütle</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11.6</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Odun Kömürü</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29.5</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108"/>
            </w:pPr>
            <w:r w:rsidRPr="007671C9">
              <w:rPr>
                <w:b/>
              </w:rPr>
              <w:t>Yakıt Tipi</w:t>
            </w:r>
          </w:p>
        </w:tc>
        <w:tc>
          <w:tcPr>
            <w:tcW w:w="1320" w:type="dxa"/>
          </w:tcPr>
          <w:p w:rsidR="002D15FC" w:rsidRPr="007671C9" w:rsidRDefault="002D15FC" w:rsidP="00AD68C3">
            <w:pPr>
              <w:widowControl w:val="0"/>
              <w:autoSpaceDE w:val="0"/>
              <w:autoSpaceDN w:val="0"/>
              <w:adjustRightInd w:val="0"/>
              <w:ind w:right="-108"/>
              <w:rPr>
                <w:b/>
              </w:rPr>
            </w:pPr>
            <w:r w:rsidRPr="007671C9">
              <w:rPr>
                <w:b/>
              </w:rPr>
              <w:t>Emisyon Faktörü</w:t>
            </w:r>
          </w:p>
          <w:p w:rsidR="002D15FC" w:rsidRPr="007671C9" w:rsidRDefault="002D15FC" w:rsidP="00AD68C3">
            <w:pPr>
              <w:widowControl w:val="0"/>
              <w:autoSpaceDE w:val="0"/>
              <w:autoSpaceDN w:val="0"/>
              <w:adjustRightInd w:val="0"/>
              <w:ind w:right="-108"/>
            </w:pPr>
            <w:r w:rsidRPr="007671C9">
              <w:rPr>
                <w:b/>
              </w:rPr>
              <w:t>(t CO</w:t>
            </w:r>
            <w:r w:rsidRPr="007671C9">
              <w:rPr>
                <w:b/>
                <w:vertAlign w:val="subscript"/>
              </w:rPr>
              <w:t>2</w:t>
            </w:r>
            <w:r w:rsidRPr="007671C9">
              <w:rPr>
                <w:b/>
              </w:rPr>
              <w:t>/TJ)</w:t>
            </w:r>
          </w:p>
        </w:tc>
        <w:tc>
          <w:tcPr>
            <w:tcW w:w="1216" w:type="dxa"/>
          </w:tcPr>
          <w:p w:rsidR="002D15FC" w:rsidRPr="007671C9" w:rsidRDefault="002D15FC" w:rsidP="00AD68C3">
            <w:pPr>
              <w:widowControl w:val="0"/>
              <w:autoSpaceDE w:val="0"/>
              <w:autoSpaceDN w:val="0"/>
              <w:adjustRightInd w:val="0"/>
              <w:ind w:right="-108"/>
            </w:pPr>
            <w:r w:rsidRPr="007671C9">
              <w:rPr>
                <w:b/>
              </w:rPr>
              <w:t>Net Kalorifik Değer  (TJ/Gg)</w:t>
            </w:r>
          </w:p>
        </w:tc>
        <w:tc>
          <w:tcPr>
            <w:tcW w:w="3814" w:type="dxa"/>
          </w:tcPr>
          <w:p w:rsidR="002D15FC" w:rsidRPr="007671C9" w:rsidRDefault="002D15FC" w:rsidP="00AD68C3">
            <w:pPr>
              <w:widowControl w:val="0"/>
              <w:autoSpaceDE w:val="0"/>
              <w:autoSpaceDN w:val="0"/>
              <w:adjustRightInd w:val="0"/>
              <w:ind w:right="-108"/>
            </w:pPr>
            <w:r w:rsidRPr="007671C9">
              <w:rPr>
                <w:b/>
              </w:rPr>
              <w:t>Kaynak</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Benzin (Etanol içeren)</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27.0</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Otobiyodizel ve Yakıt Biyodizel</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27.0</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Diğer Sıvı Biyoyakıtlar</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27.4</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Deponi Gazı</w:t>
            </w:r>
          </w:p>
        </w:tc>
        <w:tc>
          <w:tcPr>
            <w:tcW w:w="1320" w:type="dxa"/>
          </w:tcPr>
          <w:p w:rsidR="002D15FC" w:rsidRPr="007671C9" w:rsidRDefault="002D15FC" w:rsidP="00AD68C3">
            <w:r w:rsidRPr="007671C9">
              <w:t>-</w:t>
            </w:r>
          </w:p>
        </w:tc>
        <w:tc>
          <w:tcPr>
            <w:tcW w:w="1216" w:type="dxa"/>
          </w:tcPr>
          <w:p w:rsidR="002D15FC" w:rsidRPr="007671C9" w:rsidRDefault="002D15FC" w:rsidP="00AD68C3">
            <w:pPr>
              <w:widowControl w:val="0"/>
              <w:autoSpaceDE w:val="0"/>
              <w:autoSpaceDN w:val="0"/>
              <w:adjustRightInd w:val="0"/>
              <w:ind w:right="-8"/>
            </w:pPr>
            <w:r w:rsidRPr="007671C9">
              <w:t>50.4</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Arıtma Çamuru Gazı</w:t>
            </w:r>
          </w:p>
        </w:tc>
        <w:tc>
          <w:tcPr>
            <w:tcW w:w="1320" w:type="dxa"/>
          </w:tcPr>
          <w:p w:rsidR="002D15FC" w:rsidRPr="007671C9" w:rsidRDefault="002D15FC" w:rsidP="00AD68C3">
            <w:r w:rsidRPr="007671C9">
              <w:t>-</w:t>
            </w:r>
          </w:p>
        </w:tc>
        <w:tc>
          <w:tcPr>
            <w:tcW w:w="1216" w:type="dxa"/>
          </w:tcPr>
          <w:p w:rsidR="002D15FC" w:rsidRPr="007671C9" w:rsidRDefault="002D15FC" w:rsidP="00AD68C3">
            <w:r w:rsidRPr="007671C9">
              <w:t>50.4</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Diğer Biyogazlar</w:t>
            </w:r>
          </w:p>
        </w:tc>
        <w:tc>
          <w:tcPr>
            <w:tcW w:w="1320" w:type="dxa"/>
          </w:tcPr>
          <w:p w:rsidR="002D15FC" w:rsidRPr="007671C9" w:rsidRDefault="002D15FC" w:rsidP="00AD68C3">
            <w:r w:rsidRPr="007671C9">
              <w:t>-</w:t>
            </w:r>
          </w:p>
        </w:tc>
        <w:tc>
          <w:tcPr>
            <w:tcW w:w="1216" w:type="dxa"/>
          </w:tcPr>
          <w:p w:rsidR="002D15FC" w:rsidRPr="007671C9" w:rsidRDefault="002D15FC" w:rsidP="00AD68C3">
            <w:r w:rsidRPr="007671C9">
              <w:t>50.4</w:t>
            </w:r>
          </w:p>
        </w:tc>
        <w:tc>
          <w:tcPr>
            <w:tcW w:w="3814" w:type="dxa"/>
          </w:tcPr>
          <w:p w:rsidR="002D15FC" w:rsidRPr="007671C9" w:rsidRDefault="002D15FC" w:rsidP="00AD68C3">
            <w:r w:rsidRPr="007671C9">
              <w:t>IPCC 2006 Kılavuzu (sadece NKD)</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t>Atık Lastikler</w:t>
            </w:r>
          </w:p>
        </w:tc>
        <w:tc>
          <w:tcPr>
            <w:tcW w:w="1320" w:type="dxa"/>
          </w:tcPr>
          <w:p w:rsidR="002D15FC" w:rsidRPr="007671C9" w:rsidRDefault="002D15FC" w:rsidP="00AD68C3">
            <w:pPr>
              <w:widowControl w:val="0"/>
              <w:autoSpaceDE w:val="0"/>
              <w:autoSpaceDN w:val="0"/>
              <w:adjustRightInd w:val="0"/>
              <w:ind w:right="-8"/>
            </w:pPr>
            <w:r w:rsidRPr="007671C9">
              <w:t>85.0</w:t>
            </w:r>
          </w:p>
        </w:tc>
        <w:tc>
          <w:tcPr>
            <w:tcW w:w="1216" w:type="dxa"/>
          </w:tcPr>
          <w:p w:rsidR="002D15FC" w:rsidRPr="007671C9" w:rsidRDefault="002D15FC" w:rsidP="00AD68C3">
            <w:pPr>
              <w:widowControl w:val="0"/>
              <w:autoSpaceDE w:val="0"/>
              <w:autoSpaceDN w:val="0"/>
              <w:adjustRightInd w:val="0"/>
              <w:ind w:right="-8"/>
            </w:pPr>
            <w:r w:rsidRPr="007671C9">
              <w:t>n.a.</w:t>
            </w:r>
          </w:p>
        </w:tc>
        <w:tc>
          <w:tcPr>
            <w:tcW w:w="3814" w:type="dxa"/>
          </w:tcPr>
          <w:p w:rsidR="002D15FC" w:rsidRPr="007671C9" w:rsidRDefault="002D15FC" w:rsidP="00AD68C3">
            <w:r w:rsidRPr="007671C9">
              <w:t>İş Dünyası ve Sürdürülebilir Kalkınma Derneği – Çimento Sürdürülebilirlik Girişimi</w:t>
            </w:r>
          </w:p>
        </w:tc>
      </w:tr>
      <w:tr w:rsidR="007671C9" w:rsidRPr="007671C9" w:rsidTr="00AD68C3">
        <w:tc>
          <w:tcPr>
            <w:tcW w:w="3369" w:type="dxa"/>
          </w:tcPr>
          <w:p w:rsidR="002D15FC" w:rsidRPr="007671C9" w:rsidRDefault="002D15FC" w:rsidP="00AD68C3">
            <w:pPr>
              <w:widowControl w:val="0"/>
              <w:autoSpaceDE w:val="0"/>
              <w:autoSpaceDN w:val="0"/>
              <w:adjustRightInd w:val="0"/>
              <w:ind w:right="-8"/>
            </w:pPr>
            <w:r w:rsidRPr="007671C9">
              <w:rPr>
                <w:position w:val="-2"/>
              </w:rPr>
              <w:lastRenderedPageBreak/>
              <w:t>Karbonmonoksit</w:t>
            </w:r>
          </w:p>
        </w:tc>
        <w:tc>
          <w:tcPr>
            <w:tcW w:w="1320" w:type="dxa"/>
          </w:tcPr>
          <w:p w:rsidR="002D15FC" w:rsidRPr="007671C9" w:rsidRDefault="002D15FC" w:rsidP="00AD68C3">
            <w:pPr>
              <w:widowControl w:val="0"/>
              <w:autoSpaceDE w:val="0"/>
              <w:autoSpaceDN w:val="0"/>
              <w:adjustRightInd w:val="0"/>
              <w:ind w:right="-8"/>
            </w:pPr>
            <w:r w:rsidRPr="007671C9">
              <w:rPr>
                <w:position w:val="-2"/>
              </w:rPr>
              <w:t xml:space="preserve">155.2 </w:t>
            </w:r>
            <w:r w:rsidRPr="007671C9">
              <w:rPr>
                <w:position w:val="-2"/>
                <w:vertAlign w:val="superscript"/>
              </w:rPr>
              <w:t>1</w:t>
            </w:r>
          </w:p>
        </w:tc>
        <w:tc>
          <w:tcPr>
            <w:tcW w:w="1216" w:type="dxa"/>
          </w:tcPr>
          <w:p w:rsidR="002D15FC" w:rsidRPr="007671C9" w:rsidRDefault="002D15FC" w:rsidP="00AD68C3">
            <w:pPr>
              <w:widowControl w:val="0"/>
              <w:autoSpaceDE w:val="0"/>
              <w:autoSpaceDN w:val="0"/>
              <w:adjustRightInd w:val="0"/>
              <w:ind w:right="-8"/>
            </w:pPr>
            <w:r w:rsidRPr="007671C9">
              <w:rPr>
                <w:position w:val="-2"/>
              </w:rPr>
              <w:t>10.1</w:t>
            </w:r>
          </w:p>
        </w:tc>
        <w:tc>
          <w:tcPr>
            <w:tcW w:w="3814" w:type="dxa"/>
          </w:tcPr>
          <w:p w:rsidR="002D15FC" w:rsidRPr="007671C9" w:rsidRDefault="002D15FC" w:rsidP="00AD68C3">
            <w:r w:rsidRPr="007671C9">
              <w:t>J. Falbe ve M. Regitz, Römpp Chemie Lexikon, Stuttgart, 1995</w:t>
            </w:r>
          </w:p>
        </w:tc>
      </w:tr>
      <w:tr w:rsidR="007671C9" w:rsidRPr="007671C9" w:rsidTr="00AD68C3">
        <w:tc>
          <w:tcPr>
            <w:tcW w:w="3369" w:type="dxa"/>
          </w:tcPr>
          <w:p w:rsidR="002D15FC" w:rsidRPr="007671C9" w:rsidRDefault="002D15FC" w:rsidP="00AD68C3">
            <w:pPr>
              <w:widowControl w:val="0"/>
              <w:autoSpaceDE w:val="0"/>
              <w:autoSpaceDN w:val="0"/>
              <w:adjustRightInd w:val="0"/>
              <w:ind w:right="-8"/>
              <w:rPr>
                <w:position w:val="-2"/>
              </w:rPr>
            </w:pPr>
            <w:r w:rsidRPr="007671C9">
              <w:rPr>
                <w:position w:val="-2"/>
              </w:rPr>
              <w:t>Metan</w:t>
            </w:r>
          </w:p>
        </w:tc>
        <w:tc>
          <w:tcPr>
            <w:tcW w:w="1320" w:type="dxa"/>
          </w:tcPr>
          <w:p w:rsidR="002D15FC" w:rsidRPr="007671C9" w:rsidRDefault="002D15FC" w:rsidP="00AD68C3">
            <w:pPr>
              <w:widowControl w:val="0"/>
              <w:autoSpaceDE w:val="0"/>
              <w:autoSpaceDN w:val="0"/>
              <w:adjustRightInd w:val="0"/>
              <w:ind w:right="-8"/>
              <w:rPr>
                <w:position w:val="-2"/>
              </w:rPr>
            </w:pPr>
            <w:r w:rsidRPr="007671C9">
              <w:rPr>
                <w:position w:val="-2"/>
              </w:rPr>
              <w:t>54.9</w:t>
            </w:r>
            <w:r w:rsidRPr="007671C9">
              <w:rPr>
                <w:position w:val="-2"/>
                <w:vertAlign w:val="superscript"/>
              </w:rPr>
              <w:t xml:space="preserve"> 2</w:t>
            </w:r>
          </w:p>
        </w:tc>
        <w:tc>
          <w:tcPr>
            <w:tcW w:w="1216" w:type="dxa"/>
          </w:tcPr>
          <w:p w:rsidR="002D15FC" w:rsidRPr="007671C9" w:rsidRDefault="002D15FC" w:rsidP="00AD68C3">
            <w:pPr>
              <w:widowControl w:val="0"/>
              <w:autoSpaceDE w:val="0"/>
              <w:autoSpaceDN w:val="0"/>
              <w:adjustRightInd w:val="0"/>
              <w:ind w:right="-8"/>
              <w:rPr>
                <w:position w:val="-2"/>
              </w:rPr>
            </w:pPr>
            <w:r w:rsidRPr="007671C9">
              <w:rPr>
                <w:position w:val="-2"/>
              </w:rPr>
              <w:t>50.0</w:t>
            </w:r>
          </w:p>
        </w:tc>
        <w:tc>
          <w:tcPr>
            <w:tcW w:w="3814" w:type="dxa"/>
          </w:tcPr>
          <w:p w:rsidR="002D15FC" w:rsidRPr="007671C9" w:rsidRDefault="002D15FC" w:rsidP="00AD68C3">
            <w:r w:rsidRPr="007671C9">
              <w:t>J. Falbe ve M. Regitz, Römpp Chemie Lexikon, Stuttgart, 1995</w:t>
            </w:r>
          </w:p>
        </w:tc>
      </w:tr>
    </w:tbl>
    <w:p w:rsidR="002D15FC" w:rsidRPr="007671C9" w:rsidRDefault="002D15FC" w:rsidP="002D15FC">
      <w:pPr>
        <w:widowControl w:val="0"/>
        <w:tabs>
          <w:tab w:val="left" w:pos="6063"/>
          <w:tab w:val="left" w:pos="7786"/>
          <w:tab w:val="left" w:pos="9082"/>
          <w:tab w:val="left" w:pos="9577"/>
        </w:tabs>
        <w:autoSpaceDE w:val="0"/>
        <w:autoSpaceDN w:val="0"/>
        <w:adjustRightInd w:val="0"/>
        <w:ind w:right="-8"/>
        <w:rPr>
          <w:sz w:val="20"/>
        </w:rPr>
      </w:pPr>
      <w:r w:rsidRPr="007671C9">
        <w:rPr>
          <w:sz w:val="20"/>
          <w:vertAlign w:val="superscript"/>
        </w:rPr>
        <w:t>1</w:t>
      </w:r>
      <w:r w:rsidRPr="007671C9">
        <w:rPr>
          <w:sz w:val="20"/>
        </w:rPr>
        <w:t>10.12 TJ/t NKD değerine dayalıdır</w:t>
      </w:r>
    </w:p>
    <w:p w:rsidR="002D15FC" w:rsidRPr="007671C9" w:rsidRDefault="002D15FC" w:rsidP="002D15FC">
      <w:pPr>
        <w:widowControl w:val="0"/>
        <w:tabs>
          <w:tab w:val="left" w:pos="6063"/>
          <w:tab w:val="left" w:pos="7786"/>
          <w:tab w:val="left" w:pos="9082"/>
          <w:tab w:val="left" w:pos="9577"/>
        </w:tabs>
        <w:autoSpaceDE w:val="0"/>
        <w:autoSpaceDN w:val="0"/>
        <w:adjustRightInd w:val="0"/>
        <w:ind w:right="-8"/>
        <w:rPr>
          <w:sz w:val="20"/>
        </w:rPr>
      </w:pPr>
      <w:r w:rsidRPr="007671C9">
        <w:rPr>
          <w:sz w:val="20"/>
          <w:vertAlign w:val="superscript"/>
        </w:rPr>
        <w:t>2</w:t>
      </w:r>
      <w:r w:rsidRPr="007671C9">
        <w:rPr>
          <w:sz w:val="20"/>
        </w:rPr>
        <w:t xml:space="preserve"> 50.01 TJ/t NKD değerine dayalıdır</w:t>
      </w:r>
    </w:p>
    <w:p w:rsidR="002D15FC" w:rsidRPr="007671C9" w:rsidRDefault="002D15FC" w:rsidP="002D15FC">
      <w:pPr>
        <w:widowControl w:val="0"/>
        <w:autoSpaceDE w:val="0"/>
        <w:autoSpaceDN w:val="0"/>
        <w:adjustRightInd w:val="0"/>
        <w:ind w:right="-8"/>
        <w:rPr>
          <w:b/>
        </w:rPr>
      </w:pPr>
      <w:r w:rsidRPr="007671C9">
        <w:rPr>
          <w:b/>
        </w:rPr>
        <w:t>2.Proses Emisyonları ile İlgili Emisyon Faktörleri</w:t>
      </w:r>
    </w:p>
    <w:p w:rsidR="002D15FC" w:rsidRPr="007671C9" w:rsidRDefault="002D15FC" w:rsidP="002D15FC">
      <w:pPr>
        <w:widowControl w:val="0"/>
        <w:autoSpaceDE w:val="0"/>
        <w:autoSpaceDN w:val="0"/>
        <w:adjustRightInd w:val="0"/>
        <w:ind w:right="-8"/>
        <w:jc w:val="both"/>
        <w:rPr>
          <w:b/>
        </w:rPr>
      </w:pPr>
      <w:r w:rsidRPr="007671C9">
        <w:rPr>
          <w:b/>
        </w:rPr>
        <w:t>Tablo 5.2: Karbonat Ayrışmasından Doğan Proses Emisyonları İçin Stokiyometrik Emisyon Faktörleri (Yöntem 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520"/>
      </w:tblGrid>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b/>
                <w:sz w:val="20"/>
              </w:rPr>
              <w:t>Karbonat</w:t>
            </w:r>
          </w:p>
        </w:tc>
        <w:tc>
          <w:tcPr>
            <w:tcW w:w="6520" w:type="dxa"/>
          </w:tcPr>
          <w:p w:rsidR="002D15FC" w:rsidRPr="007671C9" w:rsidRDefault="002D15FC" w:rsidP="00AD68C3">
            <w:pPr>
              <w:widowControl w:val="0"/>
              <w:autoSpaceDE w:val="0"/>
              <w:autoSpaceDN w:val="0"/>
              <w:adjustRightInd w:val="0"/>
              <w:ind w:right="-8"/>
              <w:rPr>
                <w:sz w:val="20"/>
              </w:rPr>
            </w:pPr>
            <w:r w:rsidRPr="007671C9">
              <w:rPr>
                <w:b/>
                <w:sz w:val="20"/>
              </w:rPr>
              <w:t>Emisyon Faktörü [t CO</w:t>
            </w:r>
            <w:r w:rsidRPr="007671C9">
              <w:rPr>
                <w:b/>
                <w:sz w:val="20"/>
                <w:vertAlign w:val="subscript"/>
              </w:rPr>
              <w:t>2</w:t>
            </w:r>
            <w:r w:rsidRPr="007671C9">
              <w:rPr>
                <w:b/>
                <w:sz w:val="20"/>
              </w:rPr>
              <w:t>/ t Karbonat]</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CaCO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0.440</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MgCO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0.522</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Na</w:t>
            </w:r>
            <w:r w:rsidRPr="007671C9">
              <w:rPr>
                <w:sz w:val="20"/>
                <w:vertAlign w:val="subscript"/>
              </w:rPr>
              <w:t>2</w:t>
            </w:r>
            <w:r w:rsidRPr="007671C9">
              <w:rPr>
                <w:sz w:val="20"/>
              </w:rPr>
              <w:t>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0.415</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BaCO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0.223</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Li</w:t>
            </w:r>
            <w:r w:rsidRPr="007671C9">
              <w:rPr>
                <w:sz w:val="20"/>
                <w:vertAlign w:val="subscript"/>
              </w:rPr>
              <w:t>2</w:t>
            </w:r>
            <w:r w:rsidRPr="007671C9">
              <w:rPr>
                <w:sz w:val="20"/>
              </w:rPr>
              <w:t>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0.596</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K</w:t>
            </w:r>
            <w:r w:rsidRPr="007671C9">
              <w:rPr>
                <w:sz w:val="20"/>
                <w:vertAlign w:val="subscript"/>
              </w:rPr>
              <w:t>2</w:t>
            </w:r>
            <w:r w:rsidRPr="007671C9">
              <w:rPr>
                <w:sz w:val="20"/>
              </w:rPr>
              <w:t>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0.318</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SrCO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0.298</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NaHCO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0.524</w:t>
            </w:r>
          </w:p>
        </w:tc>
      </w:tr>
      <w:tr w:rsidR="007671C9"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FeCO</w:t>
            </w:r>
            <w:r w:rsidRPr="007671C9">
              <w:rPr>
                <w:sz w:val="20"/>
                <w:vertAlign w:val="subscript"/>
              </w:rPr>
              <w:t>3</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0.380</w:t>
            </w:r>
          </w:p>
        </w:tc>
      </w:tr>
      <w:tr w:rsidR="002D15FC" w:rsidRPr="007671C9" w:rsidTr="00AD68C3">
        <w:tc>
          <w:tcPr>
            <w:tcW w:w="1843" w:type="dxa"/>
          </w:tcPr>
          <w:p w:rsidR="002D15FC" w:rsidRPr="007671C9" w:rsidRDefault="002D15FC" w:rsidP="00AD68C3">
            <w:pPr>
              <w:widowControl w:val="0"/>
              <w:autoSpaceDE w:val="0"/>
              <w:autoSpaceDN w:val="0"/>
              <w:adjustRightInd w:val="0"/>
              <w:ind w:right="-8"/>
              <w:rPr>
                <w:sz w:val="20"/>
              </w:rPr>
            </w:pPr>
            <w:r w:rsidRPr="007671C9">
              <w:rPr>
                <w:sz w:val="20"/>
              </w:rPr>
              <w:t>Genel</w:t>
            </w:r>
          </w:p>
        </w:tc>
        <w:tc>
          <w:tcPr>
            <w:tcW w:w="6520" w:type="dxa"/>
          </w:tcPr>
          <w:p w:rsidR="002D15FC" w:rsidRPr="007671C9" w:rsidRDefault="002D15FC" w:rsidP="00AD68C3">
            <w:pPr>
              <w:widowControl w:val="0"/>
              <w:autoSpaceDE w:val="0"/>
              <w:autoSpaceDN w:val="0"/>
              <w:adjustRightInd w:val="0"/>
              <w:ind w:right="-8"/>
              <w:rPr>
                <w:sz w:val="20"/>
              </w:rPr>
            </w:pPr>
            <w:r w:rsidRPr="007671C9">
              <w:rPr>
                <w:sz w:val="20"/>
              </w:rPr>
              <w:t>Emisyon faktörü = [M(CO</w:t>
            </w:r>
            <w:r w:rsidRPr="007671C9">
              <w:rPr>
                <w:sz w:val="20"/>
                <w:vertAlign w:val="subscript"/>
              </w:rPr>
              <w:t>2</w:t>
            </w:r>
            <w:r w:rsidRPr="007671C9">
              <w:rPr>
                <w:sz w:val="20"/>
              </w:rPr>
              <w:t>)] / { Y * [M(x)] + Z * [M(CO</w:t>
            </w:r>
            <w:r w:rsidRPr="007671C9">
              <w:rPr>
                <w:sz w:val="20"/>
                <w:vertAlign w:val="subscript"/>
              </w:rPr>
              <w:t>32-</w:t>
            </w:r>
            <w:r w:rsidRPr="007671C9">
              <w:rPr>
                <w:sz w:val="20"/>
              </w:rPr>
              <w:t xml:space="preserve">)] } </w:t>
            </w:r>
          </w:p>
          <w:p w:rsidR="002D15FC" w:rsidRPr="007671C9" w:rsidRDefault="002D15FC" w:rsidP="00AD68C3">
            <w:pPr>
              <w:widowControl w:val="0"/>
              <w:autoSpaceDE w:val="0"/>
              <w:autoSpaceDN w:val="0"/>
              <w:adjustRightInd w:val="0"/>
              <w:ind w:right="-8"/>
              <w:rPr>
                <w:sz w:val="20"/>
              </w:rPr>
            </w:pPr>
            <w:r w:rsidRPr="007671C9">
              <w:rPr>
                <w:sz w:val="20"/>
              </w:rPr>
              <w:t>X = metal</w:t>
            </w:r>
          </w:p>
          <w:p w:rsidR="002D15FC" w:rsidRPr="007671C9" w:rsidRDefault="002D15FC" w:rsidP="00AD68C3">
            <w:pPr>
              <w:widowControl w:val="0"/>
              <w:autoSpaceDE w:val="0"/>
              <w:autoSpaceDN w:val="0"/>
              <w:adjustRightInd w:val="0"/>
              <w:ind w:right="-8"/>
              <w:rPr>
                <w:sz w:val="20"/>
              </w:rPr>
            </w:pPr>
            <w:r w:rsidRPr="007671C9">
              <w:rPr>
                <w:sz w:val="20"/>
              </w:rPr>
              <w:t>M(x) = X’in [g/mol] cinsinde moleküler ağırlığı</w:t>
            </w:r>
          </w:p>
          <w:p w:rsidR="002D15FC" w:rsidRPr="007671C9" w:rsidRDefault="002D15FC" w:rsidP="00AD68C3">
            <w:pPr>
              <w:widowControl w:val="0"/>
              <w:autoSpaceDE w:val="0"/>
              <w:autoSpaceDN w:val="0"/>
              <w:adjustRightInd w:val="0"/>
              <w:ind w:right="-8"/>
              <w:rPr>
                <w:sz w:val="20"/>
              </w:rPr>
            </w:pPr>
            <w:r w:rsidRPr="007671C9">
              <w:rPr>
                <w:sz w:val="20"/>
              </w:rPr>
              <w:t>M(CO</w:t>
            </w:r>
            <w:r w:rsidRPr="007671C9">
              <w:rPr>
                <w:sz w:val="20"/>
                <w:vertAlign w:val="subscript"/>
              </w:rPr>
              <w:t>2</w:t>
            </w:r>
            <w:r w:rsidRPr="007671C9">
              <w:rPr>
                <w:sz w:val="20"/>
              </w:rPr>
              <w:t>) = CO</w:t>
            </w:r>
            <w:r w:rsidRPr="007671C9">
              <w:rPr>
                <w:sz w:val="20"/>
                <w:vertAlign w:val="subscript"/>
              </w:rPr>
              <w:t>2</w:t>
            </w:r>
            <w:r w:rsidRPr="007671C9">
              <w:rPr>
                <w:sz w:val="20"/>
              </w:rPr>
              <w:t>’nin [g/mol] cinsinde moleküler ağırlığı</w:t>
            </w:r>
          </w:p>
          <w:p w:rsidR="002D15FC" w:rsidRPr="007671C9" w:rsidRDefault="002D15FC" w:rsidP="00AD68C3">
            <w:pPr>
              <w:widowControl w:val="0"/>
              <w:tabs>
                <w:tab w:val="left" w:pos="8820"/>
              </w:tabs>
              <w:autoSpaceDE w:val="0"/>
              <w:autoSpaceDN w:val="0"/>
              <w:adjustRightInd w:val="0"/>
              <w:ind w:right="-8"/>
              <w:jc w:val="both"/>
              <w:rPr>
                <w:sz w:val="20"/>
              </w:rPr>
            </w:pPr>
            <w:r w:rsidRPr="007671C9">
              <w:rPr>
                <w:sz w:val="20"/>
              </w:rPr>
              <w:t>M(CO</w:t>
            </w:r>
            <w:r w:rsidRPr="007671C9">
              <w:rPr>
                <w:sz w:val="20"/>
                <w:vertAlign w:val="subscript"/>
              </w:rPr>
              <w:t>3</w:t>
            </w:r>
            <w:r w:rsidRPr="007671C9">
              <w:rPr>
                <w:sz w:val="20"/>
                <w:vertAlign w:val="superscript"/>
              </w:rPr>
              <w:t>2-</w:t>
            </w:r>
            <w:r w:rsidRPr="007671C9">
              <w:rPr>
                <w:sz w:val="20"/>
              </w:rPr>
              <w:t>) = CO</w:t>
            </w:r>
            <w:r w:rsidRPr="007671C9">
              <w:rPr>
                <w:sz w:val="20"/>
                <w:vertAlign w:val="subscript"/>
              </w:rPr>
              <w:t>3</w:t>
            </w:r>
            <w:r w:rsidRPr="007671C9">
              <w:rPr>
                <w:sz w:val="20"/>
                <w:vertAlign w:val="superscript"/>
              </w:rPr>
              <w:t>2-</w:t>
            </w:r>
            <w:r w:rsidRPr="007671C9">
              <w:rPr>
                <w:sz w:val="20"/>
              </w:rPr>
              <w:t>’nin [g/mol] cinsinde moleküler ağırlığı</w:t>
            </w:r>
          </w:p>
          <w:p w:rsidR="002D15FC" w:rsidRPr="007671C9" w:rsidRDefault="002D15FC" w:rsidP="00AD68C3">
            <w:pPr>
              <w:widowControl w:val="0"/>
              <w:autoSpaceDE w:val="0"/>
              <w:autoSpaceDN w:val="0"/>
              <w:adjustRightInd w:val="0"/>
              <w:ind w:right="-8"/>
              <w:jc w:val="both"/>
              <w:rPr>
                <w:sz w:val="20"/>
              </w:rPr>
            </w:pPr>
            <w:r w:rsidRPr="007671C9">
              <w:rPr>
                <w:sz w:val="20"/>
              </w:rPr>
              <w:t xml:space="preserve">Y = X’in stokiyometrik sayısı </w:t>
            </w:r>
          </w:p>
          <w:p w:rsidR="002D15FC" w:rsidRPr="007671C9" w:rsidRDefault="002D15FC" w:rsidP="00AD68C3">
            <w:pPr>
              <w:widowControl w:val="0"/>
              <w:autoSpaceDE w:val="0"/>
              <w:autoSpaceDN w:val="0"/>
              <w:adjustRightInd w:val="0"/>
              <w:ind w:right="-8"/>
              <w:jc w:val="both"/>
              <w:rPr>
                <w:sz w:val="20"/>
              </w:rPr>
            </w:pPr>
            <w:r w:rsidRPr="007671C9">
              <w:rPr>
                <w:sz w:val="20"/>
              </w:rPr>
              <w:t>Z = CO</w:t>
            </w:r>
            <w:r w:rsidRPr="007671C9">
              <w:rPr>
                <w:sz w:val="20"/>
                <w:vertAlign w:val="subscript"/>
              </w:rPr>
              <w:t>3</w:t>
            </w:r>
            <w:r w:rsidRPr="007671C9">
              <w:rPr>
                <w:sz w:val="20"/>
                <w:vertAlign w:val="superscript"/>
              </w:rPr>
              <w:t>2-</w:t>
            </w:r>
            <w:r w:rsidRPr="007671C9">
              <w:rPr>
                <w:sz w:val="20"/>
              </w:rPr>
              <w:t>’nin stokiyometrik sayısı</w:t>
            </w:r>
          </w:p>
        </w:tc>
      </w:tr>
    </w:tbl>
    <w:p w:rsidR="002D15FC" w:rsidRPr="007671C9" w:rsidRDefault="002D15FC" w:rsidP="002D15FC">
      <w:pPr>
        <w:widowControl w:val="0"/>
        <w:tabs>
          <w:tab w:val="left" w:pos="6448"/>
        </w:tabs>
        <w:autoSpaceDE w:val="0"/>
        <w:autoSpaceDN w:val="0"/>
        <w:adjustRightInd w:val="0"/>
        <w:ind w:right="-8"/>
        <w:rPr>
          <w:vertAlign w:val="subscript"/>
        </w:rPr>
      </w:pPr>
    </w:p>
    <w:p w:rsidR="002D15FC" w:rsidRPr="007671C9" w:rsidRDefault="002D15FC" w:rsidP="002D15FC">
      <w:pPr>
        <w:widowControl w:val="0"/>
        <w:autoSpaceDE w:val="0"/>
        <w:autoSpaceDN w:val="0"/>
        <w:adjustRightInd w:val="0"/>
        <w:ind w:right="-8"/>
        <w:jc w:val="both"/>
        <w:rPr>
          <w:b/>
        </w:rPr>
      </w:pPr>
      <w:r w:rsidRPr="007671C9">
        <w:rPr>
          <w:b/>
        </w:rPr>
        <w:t xml:space="preserve">Tablo 5.3: Alkali Toprak Oksitlerine Dayanan Karbonat Ayrışmasından Doğan Proses Emisyonları için Stokiyometrik Emisyon Faktörleri (Yöntem 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5822"/>
      </w:tblGrid>
      <w:tr w:rsidR="007671C9" w:rsidRPr="007671C9" w:rsidTr="00AD68C3">
        <w:tc>
          <w:tcPr>
            <w:tcW w:w="3057" w:type="dxa"/>
          </w:tcPr>
          <w:p w:rsidR="002D15FC" w:rsidRPr="007671C9" w:rsidRDefault="002D15FC" w:rsidP="00AD68C3">
            <w:pPr>
              <w:widowControl w:val="0"/>
              <w:autoSpaceDE w:val="0"/>
              <w:autoSpaceDN w:val="0"/>
              <w:adjustRightInd w:val="0"/>
              <w:ind w:right="-8"/>
              <w:jc w:val="both"/>
              <w:rPr>
                <w:sz w:val="20"/>
              </w:rPr>
            </w:pPr>
            <w:r w:rsidRPr="007671C9">
              <w:rPr>
                <w:b/>
                <w:sz w:val="20"/>
              </w:rPr>
              <w:t>Oksit</w:t>
            </w:r>
          </w:p>
        </w:tc>
        <w:tc>
          <w:tcPr>
            <w:tcW w:w="5973" w:type="dxa"/>
          </w:tcPr>
          <w:p w:rsidR="002D15FC" w:rsidRPr="007671C9" w:rsidRDefault="002D15FC" w:rsidP="00AD68C3">
            <w:pPr>
              <w:widowControl w:val="0"/>
              <w:autoSpaceDE w:val="0"/>
              <w:autoSpaceDN w:val="0"/>
              <w:adjustRightInd w:val="0"/>
              <w:ind w:right="-8"/>
              <w:jc w:val="both"/>
              <w:rPr>
                <w:sz w:val="20"/>
              </w:rPr>
            </w:pPr>
            <w:r w:rsidRPr="007671C9">
              <w:rPr>
                <w:b/>
                <w:sz w:val="20"/>
              </w:rPr>
              <w:t>Emisyon Faktörü [t CO</w:t>
            </w:r>
            <w:r w:rsidRPr="007671C9">
              <w:rPr>
                <w:b/>
                <w:sz w:val="20"/>
                <w:vertAlign w:val="subscript"/>
              </w:rPr>
              <w:t>2</w:t>
            </w:r>
            <w:r w:rsidRPr="007671C9">
              <w:rPr>
                <w:b/>
                <w:sz w:val="20"/>
              </w:rPr>
              <w:t>/ t Oksit]</w:t>
            </w:r>
          </w:p>
        </w:tc>
      </w:tr>
      <w:tr w:rsidR="007671C9" w:rsidRPr="007671C9" w:rsidTr="00AD68C3">
        <w:tc>
          <w:tcPr>
            <w:tcW w:w="3057" w:type="dxa"/>
          </w:tcPr>
          <w:p w:rsidR="002D15FC" w:rsidRPr="007671C9" w:rsidRDefault="002D15FC" w:rsidP="00AD68C3">
            <w:pPr>
              <w:widowControl w:val="0"/>
              <w:autoSpaceDE w:val="0"/>
              <w:autoSpaceDN w:val="0"/>
              <w:adjustRightInd w:val="0"/>
              <w:ind w:right="-8"/>
              <w:jc w:val="both"/>
              <w:rPr>
                <w:sz w:val="20"/>
              </w:rPr>
            </w:pPr>
            <w:r w:rsidRPr="007671C9">
              <w:rPr>
                <w:sz w:val="20"/>
              </w:rPr>
              <w:t>CaO</w:t>
            </w:r>
          </w:p>
        </w:tc>
        <w:tc>
          <w:tcPr>
            <w:tcW w:w="5973" w:type="dxa"/>
          </w:tcPr>
          <w:p w:rsidR="002D15FC" w:rsidRPr="007671C9" w:rsidRDefault="002D15FC" w:rsidP="00AD68C3">
            <w:pPr>
              <w:widowControl w:val="0"/>
              <w:autoSpaceDE w:val="0"/>
              <w:autoSpaceDN w:val="0"/>
              <w:adjustRightInd w:val="0"/>
              <w:ind w:right="-8"/>
              <w:jc w:val="both"/>
              <w:rPr>
                <w:sz w:val="20"/>
              </w:rPr>
            </w:pPr>
            <w:r w:rsidRPr="007671C9">
              <w:rPr>
                <w:sz w:val="20"/>
              </w:rPr>
              <w:t>0.785</w:t>
            </w:r>
          </w:p>
        </w:tc>
      </w:tr>
      <w:tr w:rsidR="007671C9" w:rsidRPr="007671C9" w:rsidTr="00AD68C3">
        <w:tc>
          <w:tcPr>
            <w:tcW w:w="3057" w:type="dxa"/>
          </w:tcPr>
          <w:p w:rsidR="002D15FC" w:rsidRPr="007671C9" w:rsidRDefault="002D15FC" w:rsidP="00AD68C3">
            <w:pPr>
              <w:widowControl w:val="0"/>
              <w:autoSpaceDE w:val="0"/>
              <w:autoSpaceDN w:val="0"/>
              <w:adjustRightInd w:val="0"/>
              <w:ind w:right="-8"/>
              <w:jc w:val="both"/>
              <w:rPr>
                <w:sz w:val="20"/>
              </w:rPr>
            </w:pPr>
            <w:r w:rsidRPr="007671C9">
              <w:rPr>
                <w:sz w:val="20"/>
              </w:rPr>
              <w:t>MgO</w:t>
            </w:r>
          </w:p>
        </w:tc>
        <w:tc>
          <w:tcPr>
            <w:tcW w:w="5973" w:type="dxa"/>
          </w:tcPr>
          <w:p w:rsidR="002D15FC" w:rsidRPr="007671C9" w:rsidRDefault="002D15FC" w:rsidP="00AD68C3">
            <w:pPr>
              <w:widowControl w:val="0"/>
              <w:autoSpaceDE w:val="0"/>
              <w:autoSpaceDN w:val="0"/>
              <w:adjustRightInd w:val="0"/>
              <w:ind w:right="-8"/>
              <w:jc w:val="both"/>
              <w:rPr>
                <w:sz w:val="20"/>
              </w:rPr>
            </w:pPr>
            <w:r w:rsidRPr="007671C9">
              <w:rPr>
                <w:sz w:val="20"/>
              </w:rPr>
              <w:t>1.092</w:t>
            </w:r>
          </w:p>
        </w:tc>
      </w:tr>
      <w:tr w:rsidR="007671C9" w:rsidRPr="007671C9" w:rsidTr="00AD68C3">
        <w:tc>
          <w:tcPr>
            <w:tcW w:w="3057" w:type="dxa"/>
          </w:tcPr>
          <w:p w:rsidR="002D15FC" w:rsidRPr="007671C9" w:rsidRDefault="002D15FC" w:rsidP="00AD68C3">
            <w:pPr>
              <w:widowControl w:val="0"/>
              <w:autoSpaceDE w:val="0"/>
              <w:autoSpaceDN w:val="0"/>
              <w:adjustRightInd w:val="0"/>
              <w:ind w:right="-8"/>
              <w:jc w:val="both"/>
              <w:rPr>
                <w:sz w:val="20"/>
              </w:rPr>
            </w:pPr>
            <w:r w:rsidRPr="007671C9">
              <w:rPr>
                <w:sz w:val="20"/>
              </w:rPr>
              <w:t>BaO</w:t>
            </w:r>
          </w:p>
        </w:tc>
        <w:tc>
          <w:tcPr>
            <w:tcW w:w="5973" w:type="dxa"/>
          </w:tcPr>
          <w:p w:rsidR="002D15FC" w:rsidRPr="007671C9" w:rsidRDefault="002D15FC" w:rsidP="00AD68C3">
            <w:pPr>
              <w:widowControl w:val="0"/>
              <w:autoSpaceDE w:val="0"/>
              <w:autoSpaceDN w:val="0"/>
              <w:adjustRightInd w:val="0"/>
              <w:ind w:right="-8"/>
              <w:jc w:val="both"/>
              <w:rPr>
                <w:sz w:val="20"/>
              </w:rPr>
            </w:pPr>
            <w:r w:rsidRPr="007671C9">
              <w:rPr>
                <w:sz w:val="20"/>
              </w:rPr>
              <w:t>0.287</w:t>
            </w:r>
          </w:p>
        </w:tc>
      </w:tr>
      <w:tr w:rsidR="002D15FC" w:rsidRPr="007671C9" w:rsidTr="00AD68C3">
        <w:tc>
          <w:tcPr>
            <w:tcW w:w="3057" w:type="dxa"/>
          </w:tcPr>
          <w:p w:rsidR="002D15FC" w:rsidRPr="007671C9" w:rsidRDefault="002D15FC" w:rsidP="00AD68C3">
            <w:pPr>
              <w:widowControl w:val="0"/>
              <w:autoSpaceDE w:val="0"/>
              <w:autoSpaceDN w:val="0"/>
              <w:adjustRightInd w:val="0"/>
              <w:ind w:right="-8"/>
              <w:jc w:val="both"/>
              <w:rPr>
                <w:sz w:val="20"/>
              </w:rPr>
            </w:pPr>
            <w:r w:rsidRPr="007671C9">
              <w:rPr>
                <w:sz w:val="20"/>
              </w:rPr>
              <w:lastRenderedPageBreak/>
              <w:t>Genel: X</w:t>
            </w:r>
            <w:r w:rsidRPr="007671C9">
              <w:rPr>
                <w:sz w:val="20"/>
                <w:vertAlign w:val="subscript"/>
              </w:rPr>
              <w:t>Y</w:t>
            </w:r>
            <w:r w:rsidRPr="007671C9">
              <w:rPr>
                <w:sz w:val="20"/>
              </w:rPr>
              <w:t>O</w:t>
            </w:r>
            <w:r w:rsidRPr="007671C9">
              <w:rPr>
                <w:sz w:val="20"/>
                <w:vertAlign w:val="subscript"/>
              </w:rPr>
              <w:t>Z</w:t>
            </w:r>
          </w:p>
        </w:tc>
        <w:tc>
          <w:tcPr>
            <w:tcW w:w="5973" w:type="dxa"/>
          </w:tcPr>
          <w:p w:rsidR="002D15FC" w:rsidRPr="007671C9" w:rsidRDefault="002D15FC" w:rsidP="00AD68C3">
            <w:pPr>
              <w:widowControl w:val="0"/>
              <w:autoSpaceDE w:val="0"/>
              <w:autoSpaceDN w:val="0"/>
              <w:adjustRightInd w:val="0"/>
              <w:ind w:right="-8"/>
              <w:jc w:val="both"/>
              <w:rPr>
                <w:sz w:val="20"/>
              </w:rPr>
            </w:pPr>
            <w:r w:rsidRPr="007671C9">
              <w:rPr>
                <w:sz w:val="20"/>
              </w:rPr>
              <w:t>Emisyon faktörü =[M(CO</w:t>
            </w:r>
            <w:r w:rsidRPr="007671C9">
              <w:rPr>
                <w:sz w:val="20"/>
                <w:vertAlign w:val="subscript"/>
              </w:rPr>
              <w:t>2</w:t>
            </w:r>
            <w:r w:rsidRPr="007671C9">
              <w:rPr>
                <w:sz w:val="20"/>
              </w:rPr>
              <w:t>)] / { Y * [M(x)] + Z * [M(O)] }</w:t>
            </w:r>
          </w:p>
          <w:p w:rsidR="002D15FC" w:rsidRPr="007671C9" w:rsidRDefault="002D15FC" w:rsidP="00AD68C3">
            <w:pPr>
              <w:widowControl w:val="0"/>
              <w:autoSpaceDE w:val="0"/>
              <w:autoSpaceDN w:val="0"/>
              <w:adjustRightInd w:val="0"/>
              <w:ind w:right="-8"/>
              <w:rPr>
                <w:sz w:val="20"/>
              </w:rPr>
            </w:pPr>
            <w:r w:rsidRPr="007671C9">
              <w:rPr>
                <w:sz w:val="20"/>
              </w:rPr>
              <w:t xml:space="preserve">X = alkali toprak veya alkali maden </w:t>
            </w:r>
          </w:p>
          <w:p w:rsidR="002D15FC" w:rsidRPr="007671C9" w:rsidRDefault="002D15FC" w:rsidP="00AD68C3">
            <w:pPr>
              <w:widowControl w:val="0"/>
              <w:autoSpaceDE w:val="0"/>
              <w:autoSpaceDN w:val="0"/>
              <w:adjustRightInd w:val="0"/>
              <w:ind w:right="-8"/>
              <w:rPr>
                <w:sz w:val="20"/>
              </w:rPr>
            </w:pPr>
            <w:r w:rsidRPr="007671C9">
              <w:rPr>
                <w:sz w:val="20"/>
              </w:rPr>
              <w:t xml:space="preserve">M(x) = X’in [g/mol]  cinsinde moleküler ağırlığı </w:t>
            </w:r>
          </w:p>
          <w:p w:rsidR="002D15FC" w:rsidRPr="007671C9" w:rsidRDefault="002D15FC" w:rsidP="00AD68C3">
            <w:pPr>
              <w:widowControl w:val="0"/>
              <w:autoSpaceDE w:val="0"/>
              <w:autoSpaceDN w:val="0"/>
              <w:adjustRightInd w:val="0"/>
              <w:ind w:right="-8"/>
              <w:rPr>
                <w:sz w:val="20"/>
              </w:rPr>
            </w:pPr>
            <w:r w:rsidRPr="007671C9">
              <w:rPr>
                <w:sz w:val="20"/>
              </w:rPr>
              <w:t>M(CO</w:t>
            </w:r>
            <w:r w:rsidRPr="007671C9">
              <w:rPr>
                <w:sz w:val="20"/>
                <w:vertAlign w:val="subscript"/>
              </w:rPr>
              <w:t>2</w:t>
            </w:r>
            <w:r w:rsidRPr="007671C9">
              <w:rPr>
                <w:sz w:val="20"/>
              </w:rPr>
              <w:t>) = CO</w:t>
            </w:r>
            <w:r w:rsidRPr="007671C9">
              <w:rPr>
                <w:sz w:val="20"/>
                <w:vertAlign w:val="subscript"/>
              </w:rPr>
              <w:t>2</w:t>
            </w:r>
            <w:r w:rsidRPr="007671C9">
              <w:rPr>
                <w:sz w:val="20"/>
              </w:rPr>
              <w:t xml:space="preserve">’nin [g/mol] cinsinde moleküler ağırlığı </w:t>
            </w:r>
            <w:r w:rsidRPr="007671C9">
              <w:rPr>
                <w:sz w:val="20"/>
              </w:rPr>
              <w:br/>
              <w:t>M(O) = O’nun [g/mol] cinsinde moleküler ağırlığı</w:t>
            </w:r>
            <w:r w:rsidRPr="007671C9">
              <w:rPr>
                <w:sz w:val="20"/>
              </w:rPr>
              <w:br/>
              <w:t>Y = X’in stokiyometrik sayısı</w:t>
            </w:r>
            <w:r w:rsidRPr="007671C9">
              <w:rPr>
                <w:sz w:val="20"/>
              </w:rPr>
              <w:br/>
              <w:t xml:space="preserve">    = 1 (alkali toprak madenleri için) </w:t>
            </w:r>
            <w:r w:rsidRPr="007671C9">
              <w:rPr>
                <w:sz w:val="20"/>
              </w:rPr>
              <w:br/>
              <w:t xml:space="preserve">    = 2 ( alkali madenleri için) </w:t>
            </w:r>
          </w:p>
          <w:p w:rsidR="002D15FC" w:rsidRPr="007671C9" w:rsidRDefault="002D15FC" w:rsidP="00AD68C3">
            <w:pPr>
              <w:widowControl w:val="0"/>
              <w:autoSpaceDE w:val="0"/>
              <w:autoSpaceDN w:val="0"/>
              <w:adjustRightInd w:val="0"/>
              <w:ind w:right="-8"/>
              <w:rPr>
                <w:sz w:val="20"/>
              </w:rPr>
            </w:pPr>
            <w:r w:rsidRPr="007671C9">
              <w:rPr>
                <w:sz w:val="20"/>
              </w:rPr>
              <w:t xml:space="preserve">Z = O’nun stokiyometrik sayısı = 1 </w:t>
            </w:r>
          </w:p>
        </w:tc>
      </w:tr>
    </w:tbl>
    <w:p w:rsidR="002D15FC" w:rsidRPr="007671C9" w:rsidRDefault="002D15FC" w:rsidP="002D15FC">
      <w:pPr>
        <w:widowControl w:val="0"/>
        <w:tabs>
          <w:tab w:val="left" w:pos="6063"/>
          <w:tab w:val="left" w:pos="7786"/>
          <w:tab w:val="left" w:pos="9082"/>
          <w:tab w:val="left" w:pos="9577"/>
        </w:tabs>
        <w:autoSpaceDE w:val="0"/>
        <w:autoSpaceDN w:val="0"/>
        <w:adjustRightInd w:val="0"/>
        <w:ind w:right="-8"/>
      </w:pPr>
    </w:p>
    <w:p w:rsidR="002D15FC" w:rsidRPr="007671C9" w:rsidRDefault="002D15FC" w:rsidP="002D15FC">
      <w:pPr>
        <w:widowControl w:val="0"/>
        <w:autoSpaceDE w:val="0"/>
        <w:autoSpaceDN w:val="0"/>
        <w:adjustRightInd w:val="0"/>
        <w:ind w:right="-8"/>
        <w:rPr>
          <w:b/>
        </w:rPr>
      </w:pPr>
      <w:r w:rsidRPr="007671C9">
        <w:rPr>
          <w:b/>
        </w:rPr>
        <w:t xml:space="preserve">Tablo 5.4: Diğer İşlem Malzemelerinden İşlem Emisyonları için Stokiyometrik Emisyon Faktörleri (demir ve çelik üretimi ve demir içeren madenlerin işlenmesi) (IPCC 2006 Kılavuzu)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617"/>
        <w:gridCol w:w="3261"/>
      </w:tblGrid>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rPr>
                <w:b/>
              </w:rPr>
              <w:t>Giriş veya Çıkış Malzemesi</w:t>
            </w:r>
          </w:p>
        </w:tc>
        <w:tc>
          <w:tcPr>
            <w:tcW w:w="2617" w:type="dxa"/>
          </w:tcPr>
          <w:p w:rsidR="002D15FC" w:rsidRPr="007671C9" w:rsidRDefault="002D15FC" w:rsidP="00AD68C3">
            <w:pPr>
              <w:widowControl w:val="0"/>
              <w:autoSpaceDE w:val="0"/>
              <w:autoSpaceDN w:val="0"/>
              <w:adjustRightInd w:val="0"/>
              <w:ind w:right="-8"/>
            </w:pPr>
            <w:r w:rsidRPr="007671C9">
              <w:rPr>
                <w:b/>
              </w:rPr>
              <w:t>Karbon İçeriği (t C / t)</w:t>
            </w:r>
          </w:p>
        </w:tc>
        <w:tc>
          <w:tcPr>
            <w:tcW w:w="3261" w:type="dxa"/>
          </w:tcPr>
          <w:p w:rsidR="002D15FC" w:rsidRPr="007671C9" w:rsidRDefault="002D15FC" w:rsidP="00AD68C3">
            <w:pPr>
              <w:widowControl w:val="0"/>
              <w:autoSpaceDE w:val="0"/>
              <w:autoSpaceDN w:val="0"/>
              <w:adjustRightInd w:val="0"/>
              <w:ind w:right="-8"/>
            </w:pPr>
            <w:r w:rsidRPr="007671C9">
              <w:rPr>
                <w:b/>
              </w:rPr>
              <w:t>Emisyon Faktörü (t CO</w:t>
            </w:r>
            <w:r w:rsidRPr="007671C9">
              <w:rPr>
                <w:b/>
                <w:vertAlign w:val="subscript"/>
              </w:rPr>
              <w:t>2</w:t>
            </w:r>
            <w:r w:rsidRPr="007671C9">
              <w:rPr>
                <w:b/>
              </w:rPr>
              <w:t xml:space="preserve"> / t)</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Doğrudan Azaltılmış Demir</w:t>
            </w:r>
          </w:p>
        </w:tc>
        <w:tc>
          <w:tcPr>
            <w:tcW w:w="2617" w:type="dxa"/>
          </w:tcPr>
          <w:p w:rsidR="002D15FC" w:rsidRPr="007671C9" w:rsidRDefault="002D15FC" w:rsidP="00AD68C3">
            <w:pPr>
              <w:widowControl w:val="0"/>
              <w:autoSpaceDE w:val="0"/>
              <w:autoSpaceDN w:val="0"/>
              <w:adjustRightInd w:val="0"/>
              <w:ind w:right="-8"/>
            </w:pPr>
            <w:r w:rsidRPr="007671C9">
              <w:t>0.0191</w:t>
            </w:r>
          </w:p>
        </w:tc>
        <w:tc>
          <w:tcPr>
            <w:tcW w:w="3261" w:type="dxa"/>
          </w:tcPr>
          <w:p w:rsidR="002D15FC" w:rsidRPr="007671C9" w:rsidRDefault="002D15FC" w:rsidP="00AD68C3">
            <w:pPr>
              <w:widowControl w:val="0"/>
              <w:autoSpaceDE w:val="0"/>
              <w:autoSpaceDN w:val="0"/>
              <w:adjustRightInd w:val="0"/>
              <w:ind w:right="-8"/>
            </w:pPr>
            <w:r w:rsidRPr="007671C9">
              <w:t>0.07</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EAO Karbon Elektrotları</w:t>
            </w:r>
          </w:p>
        </w:tc>
        <w:tc>
          <w:tcPr>
            <w:tcW w:w="2617" w:type="dxa"/>
          </w:tcPr>
          <w:p w:rsidR="002D15FC" w:rsidRPr="007671C9" w:rsidRDefault="002D15FC" w:rsidP="00AD68C3">
            <w:pPr>
              <w:widowControl w:val="0"/>
              <w:autoSpaceDE w:val="0"/>
              <w:autoSpaceDN w:val="0"/>
              <w:adjustRightInd w:val="0"/>
              <w:ind w:right="-8"/>
            </w:pPr>
            <w:r w:rsidRPr="007671C9">
              <w:t>0.8188</w:t>
            </w:r>
          </w:p>
        </w:tc>
        <w:tc>
          <w:tcPr>
            <w:tcW w:w="3261" w:type="dxa"/>
          </w:tcPr>
          <w:p w:rsidR="002D15FC" w:rsidRPr="007671C9" w:rsidRDefault="002D15FC" w:rsidP="00AD68C3">
            <w:pPr>
              <w:widowControl w:val="0"/>
              <w:autoSpaceDE w:val="0"/>
              <w:autoSpaceDN w:val="0"/>
              <w:adjustRightInd w:val="0"/>
              <w:ind w:right="-8"/>
            </w:pPr>
            <w:r w:rsidRPr="007671C9">
              <w:t>3.00</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EAO Yüklü Karbon</w:t>
            </w:r>
          </w:p>
        </w:tc>
        <w:tc>
          <w:tcPr>
            <w:tcW w:w="2617" w:type="dxa"/>
          </w:tcPr>
          <w:p w:rsidR="002D15FC" w:rsidRPr="007671C9" w:rsidRDefault="002D15FC" w:rsidP="00AD68C3">
            <w:pPr>
              <w:widowControl w:val="0"/>
              <w:autoSpaceDE w:val="0"/>
              <w:autoSpaceDN w:val="0"/>
              <w:adjustRightInd w:val="0"/>
              <w:ind w:right="-8"/>
            </w:pPr>
            <w:r w:rsidRPr="007671C9">
              <w:t>0.8297</w:t>
            </w:r>
          </w:p>
        </w:tc>
        <w:tc>
          <w:tcPr>
            <w:tcW w:w="3261" w:type="dxa"/>
          </w:tcPr>
          <w:p w:rsidR="002D15FC" w:rsidRPr="007671C9" w:rsidRDefault="002D15FC" w:rsidP="00AD68C3">
            <w:pPr>
              <w:widowControl w:val="0"/>
              <w:autoSpaceDE w:val="0"/>
              <w:autoSpaceDN w:val="0"/>
              <w:adjustRightInd w:val="0"/>
              <w:ind w:right="-8"/>
            </w:pPr>
            <w:r w:rsidRPr="007671C9">
              <w:t>3.04</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Sıcak Briketlenmiş Demir</w:t>
            </w:r>
          </w:p>
        </w:tc>
        <w:tc>
          <w:tcPr>
            <w:tcW w:w="2617" w:type="dxa"/>
          </w:tcPr>
          <w:p w:rsidR="002D15FC" w:rsidRPr="007671C9" w:rsidRDefault="002D15FC" w:rsidP="00AD68C3">
            <w:pPr>
              <w:widowControl w:val="0"/>
              <w:autoSpaceDE w:val="0"/>
              <w:autoSpaceDN w:val="0"/>
              <w:adjustRightInd w:val="0"/>
              <w:ind w:right="-8"/>
            </w:pPr>
            <w:r w:rsidRPr="007671C9">
              <w:t>0.0191</w:t>
            </w:r>
          </w:p>
        </w:tc>
        <w:tc>
          <w:tcPr>
            <w:tcW w:w="3261" w:type="dxa"/>
          </w:tcPr>
          <w:p w:rsidR="002D15FC" w:rsidRPr="007671C9" w:rsidRDefault="002D15FC" w:rsidP="00AD68C3">
            <w:pPr>
              <w:widowControl w:val="0"/>
              <w:autoSpaceDE w:val="0"/>
              <w:autoSpaceDN w:val="0"/>
              <w:adjustRightInd w:val="0"/>
              <w:ind w:right="-8"/>
            </w:pPr>
            <w:r w:rsidRPr="007671C9">
              <w:t>0.07</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Oksijen Çelik Fırın Gazı</w:t>
            </w:r>
          </w:p>
        </w:tc>
        <w:tc>
          <w:tcPr>
            <w:tcW w:w="2617" w:type="dxa"/>
          </w:tcPr>
          <w:p w:rsidR="002D15FC" w:rsidRPr="007671C9" w:rsidRDefault="002D15FC" w:rsidP="00AD68C3">
            <w:pPr>
              <w:widowControl w:val="0"/>
              <w:autoSpaceDE w:val="0"/>
              <w:autoSpaceDN w:val="0"/>
              <w:adjustRightInd w:val="0"/>
              <w:ind w:right="-8"/>
            </w:pPr>
            <w:r w:rsidRPr="007671C9">
              <w:t>0.3493</w:t>
            </w:r>
          </w:p>
        </w:tc>
        <w:tc>
          <w:tcPr>
            <w:tcW w:w="3261" w:type="dxa"/>
          </w:tcPr>
          <w:p w:rsidR="002D15FC" w:rsidRPr="007671C9" w:rsidRDefault="002D15FC" w:rsidP="00AD68C3">
            <w:pPr>
              <w:widowControl w:val="0"/>
              <w:autoSpaceDE w:val="0"/>
              <w:autoSpaceDN w:val="0"/>
              <w:adjustRightInd w:val="0"/>
              <w:ind w:right="-8"/>
            </w:pPr>
            <w:r w:rsidRPr="007671C9">
              <w:t>1.28</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Petrol Koku</w:t>
            </w:r>
          </w:p>
        </w:tc>
        <w:tc>
          <w:tcPr>
            <w:tcW w:w="2617" w:type="dxa"/>
          </w:tcPr>
          <w:p w:rsidR="002D15FC" w:rsidRPr="007671C9" w:rsidRDefault="002D15FC" w:rsidP="00AD68C3">
            <w:pPr>
              <w:widowControl w:val="0"/>
              <w:autoSpaceDE w:val="0"/>
              <w:autoSpaceDN w:val="0"/>
              <w:adjustRightInd w:val="0"/>
              <w:ind w:right="-8"/>
            </w:pPr>
            <w:r w:rsidRPr="007671C9">
              <w:t>0.8706</w:t>
            </w:r>
          </w:p>
        </w:tc>
        <w:tc>
          <w:tcPr>
            <w:tcW w:w="3261" w:type="dxa"/>
          </w:tcPr>
          <w:p w:rsidR="002D15FC" w:rsidRPr="007671C9" w:rsidRDefault="002D15FC" w:rsidP="00AD68C3">
            <w:pPr>
              <w:widowControl w:val="0"/>
              <w:autoSpaceDE w:val="0"/>
              <w:autoSpaceDN w:val="0"/>
              <w:adjustRightInd w:val="0"/>
              <w:ind w:right="-8"/>
            </w:pPr>
            <w:r w:rsidRPr="007671C9">
              <w:t>3.19</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Satın Alınan Dökme Demir</w:t>
            </w:r>
          </w:p>
        </w:tc>
        <w:tc>
          <w:tcPr>
            <w:tcW w:w="2617" w:type="dxa"/>
          </w:tcPr>
          <w:p w:rsidR="002D15FC" w:rsidRPr="007671C9" w:rsidRDefault="002D15FC" w:rsidP="00AD68C3">
            <w:pPr>
              <w:widowControl w:val="0"/>
              <w:autoSpaceDE w:val="0"/>
              <w:autoSpaceDN w:val="0"/>
              <w:adjustRightInd w:val="0"/>
              <w:ind w:right="-8"/>
            </w:pPr>
            <w:r w:rsidRPr="007671C9">
              <w:t>0.0409</w:t>
            </w:r>
          </w:p>
        </w:tc>
        <w:tc>
          <w:tcPr>
            <w:tcW w:w="3261" w:type="dxa"/>
          </w:tcPr>
          <w:p w:rsidR="002D15FC" w:rsidRPr="007671C9" w:rsidRDefault="002D15FC" w:rsidP="00AD68C3">
            <w:pPr>
              <w:widowControl w:val="0"/>
              <w:autoSpaceDE w:val="0"/>
              <w:autoSpaceDN w:val="0"/>
              <w:adjustRightInd w:val="0"/>
              <w:ind w:right="-8"/>
            </w:pPr>
            <w:r w:rsidRPr="007671C9">
              <w:t>0.15</w:t>
            </w:r>
          </w:p>
        </w:tc>
      </w:tr>
      <w:tr w:rsidR="007671C9" w:rsidRPr="007671C9" w:rsidTr="00AD68C3">
        <w:tc>
          <w:tcPr>
            <w:tcW w:w="3161" w:type="dxa"/>
          </w:tcPr>
          <w:p w:rsidR="002D15FC" w:rsidRPr="007671C9" w:rsidRDefault="002D15FC" w:rsidP="00AD68C3">
            <w:pPr>
              <w:widowControl w:val="0"/>
              <w:autoSpaceDE w:val="0"/>
              <w:autoSpaceDN w:val="0"/>
              <w:adjustRightInd w:val="0"/>
              <w:ind w:right="-8"/>
            </w:pPr>
            <w:r w:rsidRPr="007671C9">
              <w:t>Hurda Demir</w:t>
            </w:r>
          </w:p>
        </w:tc>
        <w:tc>
          <w:tcPr>
            <w:tcW w:w="2617" w:type="dxa"/>
          </w:tcPr>
          <w:p w:rsidR="002D15FC" w:rsidRPr="007671C9" w:rsidRDefault="002D15FC" w:rsidP="00AD68C3">
            <w:pPr>
              <w:widowControl w:val="0"/>
              <w:autoSpaceDE w:val="0"/>
              <w:autoSpaceDN w:val="0"/>
              <w:adjustRightInd w:val="0"/>
              <w:ind w:right="-8"/>
            </w:pPr>
            <w:r w:rsidRPr="007671C9">
              <w:t>0.0409</w:t>
            </w:r>
          </w:p>
        </w:tc>
        <w:tc>
          <w:tcPr>
            <w:tcW w:w="3261" w:type="dxa"/>
          </w:tcPr>
          <w:p w:rsidR="002D15FC" w:rsidRPr="007671C9" w:rsidRDefault="002D15FC" w:rsidP="00AD68C3">
            <w:pPr>
              <w:widowControl w:val="0"/>
              <w:autoSpaceDE w:val="0"/>
              <w:autoSpaceDN w:val="0"/>
              <w:adjustRightInd w:val="0"/>
              <w:ind w:right="-8"/>
            </w:pPr>
            <w:r w:rsidRPr="007671C9">
              <w:t>0.15</w:t>
            </w:r>
          </w:p>
        </w:tc>
      </w:tr>
      <w:tr w:rsidR="002D15FC" w:rsidRPr="007671C9" w:rsidTr="00AD68C3">
        <w:tc>
          <w:tcPr>
            <w:tcW w:w="3161" w:type="dxa"/>
          </w:tcPr>
          <w:p w:rsidR="002D15FC" w:rsidRPr="007671C9" w:rsidRDefault="002D15FC" w:rsidP="00AD68C3">
            <w:pPr>
              <w:widowControl w:val="0"/>
              <w:autoSpaceDE w:val="0"/>
              <w:autoSpaceDN w:val="0"/>
              <w:adjustRightInd w:val="0"/>
              <w:ind w:right="-8"/>
            </w:pPr>
            <w:r w:rsidRPr="007671C9">
              <w:t>Çelik</w:t>
            </w:r>
          </w:p>
        </w:tc>
        <w:tc>
          <w:tcPr>
            <w:tcW w:w="2617" w:type="dxa"/>
          </w:tcPr>
          <w:p w:rsidR="002D15FC" w:rsidRPr="007671C9" w:rsidRDefault="002D15FC" w:rsidP="00AD68C3">
            <w:pPr>
              <w:widowControl w:val="0"/>
              <w:autoSpaceDE w:val="0"/>
              <w:autoSpaceDN w:val="0"/>
              <w:adjustRightInd w:val="0"/>
              <w:ind w:right="-8"/>
            </w:pPr>
            <w:r w:rsidRPr="007671C9">
              <w:t>0.0109</w:t>
            </w:r>
          </w:p>
        </w:tc>
        <w:tc>
          <w:tcPr>
            <w:tcW w:w="3261" w:type="dxa"/>
          </w:tcPr>
          <w:p w:rsidR="002D15FC" w:rsidRPr="007671C9" w:rsidRDefault="002D15FC" w:rsidP="00AD68C3">
            <w:pPr>
              <w:widowControl w:val="0"/>
              <w:autoSpaceDE w:val="0"/>
              <w:autoSpaceDN w:val="0"/>
              <w:adjustRightInd w:val="0"/>
              <w:ind w:right="-8"/>
            </w:pPr>
            <w:r w:rsidRPr="007671C9">
              <w:t>0.04</w:t>
            </w:r>
          </w:p>
        </w:tc>
      </w:tr>
    </w:tbl>
    <w:p w:rsidR="002D15FC" w:rsidRPr="007671C9" w:rsidRDefault="002D15FC" w:rsidP="002D15FC">
      <w:pPr>
        <w:widowControl w:val="0"/>
        <w:autoSpaceDE w:val="0"/>
        <w:autoSpaceDN w:val="0"/>
        <w:adjustRightInd w:val="0"/>
        <w:ind w:right="-8"/>
        <w:rPr>
          <w:b/>
        </w:rPr>
      </w:pPr>
    </w:p>
    <w:p w:rsidR="002D15FC" w:rsidRPr="007671C9" w:rsidRDefault="002D15FC" w:rsidP="002D15FC">
      <w:pPr>
        <w:widowControl w:val="0"/>
        <w:autoSpaceDE w:val="0"/>
        <w:autoSpaceDN w:val="0"/>
        <w:adjustRightInd w:val="0"/>
        <w:ind w:right="-8"/>
        <w:rPr>
          <w:b/>
        </w:rPr>
      </w:pPr>
      <w:r w:rsidRPr="007671C9">
        <w:rPr>
          <w:b/>
        </w:rPr>
        <w:t>Tablo 5.5: Diğer İşlem Malzemelerinden İşlem Emisyonları İçin Stokiyometrik Emisyon Faktörleri (Yığın Organik Kimyasallar) (IPCC 2006 Kılavuzu)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2632"/>
        <w:gridCol w:w="3261"/>
      </w:tblGrid>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rPr>
                <w:b/>
              </w:rPr>
              <w:t>Madde</w:t>
            </w:r>
          </w:p>
        </w:tc>
        <w:tc>
          <w:tcPr>
            <w:tcW w:w="2632" w:type="dxa"/>
          </w:tcPr>
          <w:p w:rsidR="002D15FC" w:rsidRPr="007671C9" w:rsidRDefault="002D15FC" w:rsidP="00AD68C3">
            <w:pPr>
              <w:widowControl w:val="0"/>
              <w:autoSpaceDE w:val="0"/>
              <w:autoSpaceDN w:val="0"/>
              <w:adjustRightInd w:val="0"/>
              <w:ind w:right="-8"/>
            </w:pPr>
            <w:r w:rsidRPr="007671C9">
              <w:rPr>
                <w:b/>
              </w:rPr>
              <w:t>Karbon İçeriği (t C/t)</w:t>
            </w:r>
          </w:p>
        </w:tc>
        <w:tc>
          <w:tcPr>
            <w:tcW w:w="3261" w:type="dxa"/>
          </w:tcPr>
          <w:p w:rsidR="002D15FC" w:rsidRPr="007671C9" w:rsidRDefault="002D15FC" w:rsidP="00AD68C3">
            <w:pPr>
              <w:widowControl w:val="0"/>
              <w:autoSpaceDE w:val="0"/>
              <w:autoSpaceDN w:val="0"/>
              <w:adjustRightInd w:val="0"/>
              <w:ind w:right="-8"/>
            </w:pPr>
            <w:r w:rsidRPr="007671C9">
              <w:rPr>
                <w:b/>
              </w:rPr>
              <w:t>Emisyon Faktörü (t CO</w:t>
            </w:r>
            <w:r w:rsidRPr="007671C9">
              <w:rPr>
                <w:b/>
                <w:vertAlign w:val="subscript"/>
              </w:rPr>
              <w:t>2</w:t>
            </w:r>
            <w:r w:rsidRPr="007671C9">
              <w:rPr>
                <w:b/>
              </w:rPr>
              <w:t xml:space="preserve"> / t)</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Asetonitril</w:t>
            </w:r>
          </w:p>
        </w:tc>
        <w:tc>
          <w:tcPr>
            <w:tcW w:w="2632" w:type="dxa"/>
          </w:tcPr>
          <w:p w:rsidR="002D15FC" w:rsidRPr="007671C9" w:rsidRDefault="002D15FC" w:rsidP="00AD68C3">
            <w:pPr>
              <w:widowControl w:val="0"/>
              <w:autoSpaceDE w:val="0"/>
              <w:autoSpaceDN w:val="0"/>
              <w:adjustRightInd w:val="0"/>
              <w:ind w:right="-8"/>
            </w:pPr>
            <w:r w:rsidRPr="007671C9">
              <w:t>0.5852</w:t>
            </w:r>
          </w:p>
        </w:tc>
        <w:tc>
          <w:tcPr>
            <w:tcW w:w="3261" w:type="dxa"/>
          </w:tcPr>
          <w:p w:rsidR="002D15FC" w:rsidRPr="007671C9" w:rsidRDefault="002D15FC" w:rsidP="00AD68C3">
            <w:pPr>
              <w:widowControl w:val="0"/>
              <w:autoSpaceDE w:val="0"/>
              <w:autoSpaceDN w:val="0"/>
              <w:adjustRightInd w:val="0"/>
              <w:ind w:right="-8"/>
            </w:pPr>
            <w:r w:rsidRPr="007671C9">
              <w:t>2.144</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Akrilonitril</w:t>
            </w:r>
          </w:p>
        </w:tc>
        <w:tc>
          <w:tcPr>
            <w:tcW w:w="2632" w:type="dxa"/>
          </w:tcPr>
          <w:p w:rsidR="002D15FC" w:rsidRPr="007671C9" w:rsidRDefault="002D15FC" w:rsidP="00AD68C3">
            <w:pPr>
              <w:widowControl w:val="0"/>
              <w:autoSpaceDE w:val="0"/>
              <w:autoSpaceDN w:val="0"/>
              <w:adjustRightInd w:val="0"/>
              <w:ind w:right="-8"/>
            </w:pPr>
            <w:r w:rsidRPr="007671C9">
              <w:t>0.6664</w:t>
            </w:r>
          </w:p>
        </w:tc>
        <w:tc>
          <w:tcPr>
            <w:tcW w:w="3261" w:type="dxa"/>
          </w:tcPr>
          <w:p w:rsidR="002D15FC" w:rsidRPr="007671C9" w:rsidRDefault="002D15FC" w:rsidP="00AD68C3">
            <w:pPr>
              <w:widowControl w:val="0"/>
              <w:autoSpaceDE w:val="0"/>
              <w:autoSpaceDN w:val="0"/>
              <w:adjustRightInd w:val="0"/>
              <w:ind w:right="-8"/>
            </w:pPr>
            <w:r w:rsidRPr="007671C9">
              <w:t>2.442</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Butadiyen</w:t>
            </w:r>
          </w:p>
        </w:tc>
        <w:tc>
          <w:tcPr>
            <w:tcW w:w="2632" w:type="dxa"/>
          </w:tcPr>
          <w:p w:rsidR="002D15FC" w:rsidRPr="007671C9" w:rsidRDefault="002D15FC" w:rsidP="00AD68C3">
            <w:pPr>
              <w:widowControl w:val="0"/>
              <w:autoSpaceDE w:val="0"/>
              <w:autoSpaceDN w:val="0"/>
              <w:adjustRightInd w:val="0"/>
              <w:ind w:right="-8"/>
            </w:pPr>
            <w:r w:rsidRPr="007671C9">
              <w:t>0.888</w:t>
            </w:r>
          </w:p>
        </w:tc>
        <w:tc>
          <w:tcPr>
            <w:tcW w:w="3261" w:type="dxa"/>
          </w:tcPr>
          <w:p w:rsidR="002D15FC" w:rsidRPr="007671C9" w:rsidRDefault="002D15FC" w:rsidP="00AD68C3">
            <w:pPr>
              <w:widowControl w:val="0"/>
              <w:autoSpaceDE w:val="0"/>
              <w:autoSpaceDN w:val="0"/>
              <w:adjustRightInd w:val="0"/>
              <w:ind w:right="-8"/>
            </w:pPr>
            <w:r w:rsidRPr="007671C9">
              <w:t>3.254</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Karbon Siyahı</w:t>
            </w:r>
          </w:p>
        </w:tc>
        <w:tc>
          <w:tcPr>
            <w:tcW w:w="2632" w:type="dxa"/>
          </w:tcPr>
          <w:p w:rsidR="002D15FC" w:rsidRPr="007671C9" w:rsidRDefault="002D15FC" w:rsidP="00AD68C3">
            <w:pPr>
              <w:widowControl w:val="0"/>
              <w:autoSpaceDE w:val="0"/>
              <w:autoSpaceDN w:val="0"/>
              <w:adjustRightInd w:val="0"/>
              <w:ind w:right="-8"/>
            </w:pPr>
            <w:r w:rsidRPr="007671C9">
              <w:t>0.97</w:t>
            </w:r>
          </w:p>
        </w:tc>
        <w:tc>
          <w:tcPr>
            <w:tcW w:w="3261" w:type="dxa"/>
          </w:tcPr>
          <w:p w:rsidR="002D15FC" w:rsidRPr="007671C9" w:rsidRDefault="002D15FC" w:rsidP="00AD68C3">
            <w:pPr>
              <w:widowControl w:val="0"/>
              <w:autoSpaceDE w:val="0"/>
              <w:autoSpaceDN w:val="0"/>
              <w:adjustRightInd w:val="0"/>
              <w:ind w:right="-8"/>
            </w:pPr>
            <w:r w:rsidRPr="007671C9">
              <w:t>3.554</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Etilen</w:t>
            </w:r>
          </w:p>
        </w:tc>
        <w:tc>
          <w:tcPr>
            <w:tcW w:w="2632" w:type="dxa"/>
          </w:tcPr>
          <w:p w:rsidR="002D15FC" w:rsidRPr="007671C9" w:rsidRDefault="002D15FC" w:rsidP="00AD68C3">
            <w:pPr>
              <w:widowControl w:val="0"/>
              <w:autoSpaceDE w:val="0"/>
              <w:autoSpaceDN w:val="0"/>
              <w:adjustRightInd w:val="0"/>
              <w:ind w:right="-8"/>
            </w:pPr>
            <w:r w:rsidRPr="007671C9">
              <w:t>0.856</w:t>
            </w:r>
          </w:p>
        </w:tc>
        <w:tc>
          <w:tcPr>
            <w:tcW w:w="3261" w:type="dxa"/>
          </w:tcPr>
          <w:p w:rsidR="002D15FC" w:rsidRPr="007671C9" w:rsidRDefault="002D15FC" w:rsidP="00AD68C3">
            <w:pPr>
              <w:widowControl w:val="0"/>
              <w:autoSpaceDE w:val="0"/>
              <w:autoSpaceDN w:val="0"/>
              <w:adjustRightInd w:val="0"/>
              <w:ind w:right="-8"/>
            </w:pPr>
            <w:r w:rsidRPr="007671C9">
              <w:t>3.136</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Etilen Diklorit</w:t>
            </w:r>
          </w:p>
        </w:tc>
        <w:tc>
          <w:tcPr>
            <w:tcW w:w="2632" w:type="dxa"/>
          </w:tcPr>
          <w:p w:rsidR="002D15FC" w:rsidRPr="007671C9" w:rsidRDefault="002D15FC" w:rsidP="00AD68C3">
            <w:pPr>
              <w:widowControl w:val="0"/>
              <w:autoSpaceDE w:val="0"/>
              <w:autoSpaceDN w:val="0"/>
              <w:adjustRightInd w:val="0"/>
              <w:ind w:right="-8"/>
            </w:pPr>
            <w:r w:rsidRPr="007671C9">
              <w:t>0.245</w:t>
            </w:r>
          </w:p>
        </w:tc>
        <w:tc>
          <w:tcPr>
            <w:tcW w:w="3261" w:type="dxa"/>
          </w:tcPr>
          <w:p w:rsidR="002D15FC" w:rsidRPr="007671C9" w:rsidRDefault="002D15FC" w:rsidP="00AD68C3">
            <w:pPr>
              <w:widowControl w:val="0"/>
              <w:autoSpaceDE w:val="0"/>
              <w:autoSpaceDN w:val="0"/>
              <w:adjustRightInd w:val="0"/>
              <w:ind w:right="-8"/>
            </w:pPr>
            <w:r w:rsidRPr="007671C9">
              <w:t>0.898</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Etilen Glikol</w:t>
            </w:r>
          </w:p>
        </w:tc>
        <w:tc>
          <w:tcPr>
            <w:tcW w:w="2632" w:type="dxa"/>
          </w:tcPr>
          <w:p w:rsidR="002D15FC" w:rsidRPr="007671C9" w:rsidRDefault="002D15FC" w:rsidP="00AD68C3">
            <w:pPr>
              <w:widowControl w:val="0"/>
              <w:autoSpaceDE w:val="0"/>
              <w:autoSpaceDN w:val="0"/>
              <w:adjustRightInd w:val="0"/>
              <w:ind w:right="-8"/>
            </w:pPr>
            <w:r w:rsidRPr="007671C9">
              <w:t>0.387</w:t>
            </w:r>
          </w:p>
        </w:tc>
        <w:tc>
          <w:tcPr>
            <w:tcW w:w="3261" w:type="dxa"/>
          </w:tcPr>
          <w:p w:rsidR="002D15FC" w:rsidRPr="007671C9" w:rsidRDefault="002D15FC" w:rsidP="00AD68C3">
            <w:pPr>
              <w:widowControl w:val="0"/>
              <w:autoSpaceDE w:val="0"/>
              <w:autoSpaceDN w:val="0"/>
              <w:adjustRightInd w:val="0"/>
              <w:ind w:right="-8"/>
            </w:pPr>
            <w:r w:rsidRPr="007671C9">
              <w:t>1.418</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lastRenderedPageBreak/>
              <w:t>Etilen Oksit</w:t>
            </w:r>
          </w:p>
        </w:tc>
        <w:tc>
          <w:tcPr>
            <w:tcW w:w="2632" w:type="dxa"/>
          </w:tcPr>
          <w:p w:rsidR="002D15FC" w:rsidRPr="007671C9" w:rsidRDefault="002D15FC" w:rsidP="00AD68C3">
            <w:pPr>
              <w:widowControl w:val="0"/>
              <w:autoSpaceDE w:val="0"/>
              <w:autoSpaceDN w:val="0"/>
              <w:adjustRightInd w:val="0"/>
              <w:ind w:right="-8"/>
            </w:pPr>
            <w:r w:rsidRPr="007671C9">
              <w:t>0.545</w:t>
            </w:r>
          </w:p>
        </w:tc>
        <w:tc>
          <w:tcPr>
            <w:tcW w:w="3261" w:type="dxa"/>
          </w:tcPr>
          <w:p w:rsidR="002D15FC" w:rsidRPr="007671C9" w:rsidRDefault="002D15FC" w:rsidP="00AD68C3">
            <w:pPr>
              <w:widowControl w:val="0"/>
              <w:autoSpaceDE w:val="0"/>
              <w:autoSpaceDN w:val="0"/>
              <w:adjustRightInd w:val="0"/>
              <w:ind w:right="-8"/>
            </w:pPr>
            <w:r w:rsidRPr="007671C9">
              <w:t>1.997</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Hidrojen Siyanür</w:t>
            </w:r>
          </w:p>
        </w:tc>
        <w:tc>
          <w:tcPr>
            <w:tcW w:w="2632" w:type="dxa"/>
          </w:tcPr>
          <w:p w:rsidR="002D15FC" w:rsidRPr="007671C9" w:rsidRDefault="002D15FC" w:rsidP="00AD68C3">
            <w:pPr>
              <w:widowControl w:val="0"/>
              <w:autoSpaceDE w:val="0"/>
              <w:autoSpaceDN w:val="0"/>
              <w:adjustRightInd w:val="0"/>
              <w:ind w:right="-8"/>
            </w:pPr>
            <w:r w:rsidRPr="007671C9">
              <w:t>0.4444</w:t>
            </w:r>
          </w:p>
        </w:tc>
        <w:tc>
          <w:tcPr>
            <w:tcW w:w="3261" w:type="dxa"/>
          </w:tcPr>
          <w:p w:rsidR="002D15FC" w:rsidRPr="007671C9" w:rsidRDefault="002D15FC" w:rsidP="00AD68C3">
            <w:pPr>
              <w:widowControl w:val="0"/>
              <w:autoSpaceDE w:val="0"/>
              <w:autoSpaceDN w:val="0"/>
              <w:adjustRightInd w:val="0"/>
              <w:ind w:right="-8"/>
            </w:pPr>
            <w:r w:rsidRPr="007671C9">
              <w:t>1.628</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Metanol</w:t>
            </w:r>
          </w:p>
        </w:tc>
        <w:tc>
          <w:tcPr>
            <w:tcW w:w="2632" w:type="dxa"/>
          </w:tcPr>
          <w:p w:rsidR="002D15FC" w:rsidRPr="007671C9" w:rsidRDefault="002D15FC" w:rsidP="00AD68C3">
            <w:pPr>
              <w:widowControl w:val="0"/>
              <w:autoSpaceDE w:val="0"/>
              <w:autoSpaceDN w:val="0"/>
              <w:adjustRightInd w:val="0"/>
              <w:ind w:right="-8"/>
            </w:pPr>
            <w:r w:rsidRPr="007671C9">
              <w:t>0.375</w:t>
            </w:r>
          </w:p>
        </w:tc>
        <w:tc>
          <w:tcPr>
            <w:tcW w:w="3261" w:type="dxa"/>
          </w:tcPr>
          <w:p w:rsidR="002D15FC" w:rsidRPr="007671C9" w:rsidRDefault="002D15FC" w:rsidP="00AD68C3">
            <w:pPr>
              <w:widowControl w:val="0"/>
              <w:autoSpaceDE w:val="0"/>
              <w:autoSpaceDN w:val="0"/>
              <w:adjustRightInd w:val="0"/>
              <w:ind w:right="-8"/>
            </w:pPr>
            <w:r w:rsidRPr="007671C9">
              <w:t>1.374</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Metan</w:t>
            </w:r>
          </w:p>
        </w:tc>
        <w:tc>
          <w:tcPr>
            <w:tcW w:w="2632" w:type="dxa"/>
          </w:tcPr>
          <w:p w:rsidR="002D15FC" w:rsidRPr="007671C9" w:rsidRDefault="002D15FC" w:rsidP="00AD68C3">
            <w:pPr>
              <w:widowControl w:val="0"/>
              <w:autoSpaceDE w:val="0"/>
              <w:autoSpaceDN w:val="0"/>
              <w:adjustRightInd w:val="0"/>
              <w:ind w:right="-8"/>
            </w:pPr>
            <w:r w:rsidRPr="007671C9">
              <w:t>0.749</w:t>
            </w:r>
          </w:p>
        </w:tc>
        <w:tc>
          <w:tcPr>
            <w:tcW w:w="3261" w:type="dxa"/>
          </w:tcPr>
          <w:p w:rsidR="002D15FC" w:rsidRPr="007671C9" w:rsidRDefault="002D15FC" w:rsidP="00AD68C3">
            <w:pPr>
              <w:widowControl w:val="0"/>
              <w:autoSpaceDE w:val="0"/>
              <w:autoSpaceDN w:val="0"/>
              <w:adjustRightInd w:val="0"/>
              <w:ind w:right="-8"/>
            </w:pPr>
            <w:r w:rsidRPr="007671C9">
              <w:t>2.744</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Propan</w:t>
            </w:r>
          </w:p>
        </w:tc>
        <w:tc>
          <w:tcPr>
            <w:tcW w:w="2632" w:type="dxa"/>
          </w:tcPr>
          <w:p w:rsidR="002D15FC" w:rsidRPr="007671C9" w:rsidRDefault="002D15FC" w:rsidP="00AD68C3">
            <w:pPr>
              <w:widowControl w:val="0"/>
              <w:autoSpaceDE w:val="0"/>
              <w:autoSpaceDN w:val="0"/>
              <w:adjustRightInd w:val="0"/>
              <w:ind w:right="-8"/>
            </w:pPr>
            <w:r w:rsidRPr="007671C9">
              <w:t>0.817</w:t>
            </w:r>
          </w:p>
        </w:tc>
        <w:tc>
          <w:tcPr>
            <w:tcW w:w="3261" w:type="dxa"/>
          </w:tcPr>
          <w:p w:rsidR="002D15FC" w:rsidRPr="007671C9" w:rsidRDefault="002D15FC" w:rsidP="00AD68C3">
            <w:pPr>
              <w:widowControl w:val="0"/>
              <w:autoSpaceDE w:val="0"/>
              <w:autoSpaceDN w:val="0"/>
              <w:adjustRightInd w:val="0"/>
              <w:ind w:right="-8"/>
            </w:pPr>
            <w:r w:rsidRPr="007671C9">
              <w:t>2.993</w:t>
            </w:r>
          </w:p>
        </w:tc>
      </w:tr>
      <w:tr w:rsidR="007671C9" w:rsidRPr="007671C9" w:rsidTr="00AD68C3">
        <w:tc>
          <w:tcPr>
            <w:tcW w:w="3146" w:type="dxa"/>
          </w:tcPr>
          <w:p w:rsidR="002D15FC" w:rsidRPr="007671C9" w:rsidRDefault="002D15FC" w:rsidP="00AD68C3">
            <w:pPr>
              <w:widowControl w:val="0"/>
              <w:autoSpaceDE w:val="0"/>
              <w:autoSpaceDN w:val="0"/>
              <w:adjustRightInd w:val="0"/>
              <w:ind w:right="-8"/>
            </w:pPr>
            <w:r w:rsidRPr="007671C9">
              <w:t>Propilen</w:t>
            </w:r>
          </w:p>
        </w:tc>
        <w:tc>
          <w:tcPr>
            <w:tcW w:w="2632" w:type="dxa"/>
          </w:tcPr>
          <w:p w:rsidR="002D15FC" w:rsidRPr="007671C9" w:rsidRDefault="002D15FC" w:rsidP="00AD68C3">
            <w:pPr>
              <w:widowControl w:val="0"/>
              <w:autoSpaceDE w:val="0"/>
              <w:autoSpaceDN w:val="0"/>
              <w:adjustRightInd w:val="0"/>
              <w:ind w:right="-8"/>
            </w:pPr>
            <w:r w:rsidRPr="007671C9">
              <w:t>0.8563</w:t>
            </w:r>
          </w:p>
        </w:tc>
        <w:tc>
          <w:tcPr>
            <w:tcW w:w="3261" w:type="dxa"/>
          </w:tcPr>
          <w:p w:rsidR="002D15FC" w:rsidRPr="007671C9" w:rsidRDefault="002D15FC" w:rsidP="00AD68C3">
            <w:pPr>
              <w:widowControl w:val="0"/>
              <w:autoSpaceDE w:val="0"/>
              <w:autoSpaceDN w:val="0"/>
              <w:adjustRightInd w:val="0"/>
              <w:ind w:right="-8"/>
            </w:pPr>
            <w:r w:rsidRPr="007671C9">
              <w:t>3.137</w:t>
            </w:r>
          </w:p>
        </w:tc>
      </w:tr>
      <w:tr w:rsidR="002D15FC" w:rsidRPr="007671C9" w:rsidTr="00AD68C3">
        <w:tc>
          <w:tcPr>
            <w:tcW w:w="3146" w:type="dxa"/>
          </w:tcPr>
          <w:p w:rsidR="002D15FC" w:rsidRPr="007671C9" w:rsidRDefault="002D15FC" w:rsidP="00AD68C3">
            <w:pPr>
              <w:widowControl w:val="0"/>
              <w:autoSpaceDE w:val="0"/>
              <w:autoSpaceDN w:val="0"/>
              <w:adjustRightInd w:val="0"/>
              <w:ind w:right="-8"/>
            </w:pPr>
            <w:r w:rsidRPr="007671C9">
              <w:t>Vinil Klorid Monomer</w:t>
            </w:r>
          </w:p>
        </w:tc>
        <w:tc>
          <w:tcPr>
            <w:tcW w:w="2632" w:type="dxa"/>
          </w:tcPr>
          <w:p w:rsidR="002D15FC" w:rsidRPr="007671C9" w:rsidRDefault="002D15FC" w:rsidP="00AD68C3">
            <w:pPr>
              <w:widowControl w:val="0"/>
              <w:autoSpaceDE w:val="0"/>
              <w:autoSpaceDN w:val="0"/>
              <w:adjustRightInd w:val="0"/>
              <w:ind w:right="-8"/>
            </w:pPr>
            <w:r w:rsidRPr="007671C9">
              <w:t>0.384</w:t>
            </w:r>
          </w:p>
        </w:tc>
        <w:tc>
          <w:tcPr>
            <w:tcW w:w="3261" w:type="dxa"/>
          </w:tcPr>
          <w:p w:rsidR="002D15FC" w:rsidRPr="007671C9" w:rsidRDefault="002D15FC" w:rsidP="00AD68C3">
            <w:pPr>
              <w:widowControl w:val="0"/>
              <w:autoSpaceDE w:val="0"/>
              <w:autoSpaceDN w:val="0"/>
              <w:adjustRightInd w:val="0"/>
              <w:ind w:right="-8"/>
            </w:pPr>
            <w:r w:rsidRPr="007671C9">
              <w:t>1.407</w:t>
            </w:r>
          </w:p>
        </w:tc>
      </w:tr>
    </w:tbl>
    <w:p w:rsidR="002D15FC" w:rsidRPr="007671C9" w:rsidRDefault="002D15FC" w:rsidP="002D15FC">
      <w:pPr>
        <w:widowControl w:val="0"/>
        <w:tabs>
          <w:tab w:val="left" w:pos="6063"/>
          <w:tab w:val="left" w:pos="7786"/>
          <w:tab w:val="left" w:pos="9082"/>
          <w:tab w:val="left" w:pos="9577"/>
        </w:tabs>
        <w:autoSpaceDE w:val="0"/>
        <w:autoSpaceDN w:val="0"/>
        <w:adjustRightInd w:val="0"/>
        <w:ind w:right="-8"/>
      </w:pPr>
    </w:p>
    <w:p w:rsidR="002D15FC" w:rsidRPr="007671C9" w:rsidRDefault="002D15FC" w:rsidP="002D15FC">
      <w:pPr>
        <w:widowControl w:val="0"/>
        <w:tabs>
          <w:tab w:val="left" w:pos="2267"/>
        </w:tabs>
        <w:autoSpaceDE w:val="0"/>
        <w:autoSpaceDN w:val="0"/>
        <w:adjustRightInd w:val="0"/>
        <w:ind w:right="-8"/>
        <w:rPr>
          <w:b/>
        </w:rPr>
      </w:pPr>
      <w:r w:rsidRPr="007671C9">
        <w:rPr>
          <w:b/>
        </w:rPr>
        <w:t>3. CO</w:t>
      </w:r>
      <w:r w:rsidRPr="007671C9">
        <w:rPr>
          <w:b/>
          <w:vertAlign w:val="subscript"/>
        </w:rPr>
        <w:t>2</w:t>
      </w:r>
      <w:r w:rsidRPr="007671C9">
        <w:rPr>
          <w:b/>
        </w:rPr>
        <w:t xml:space="preserve"> Harici Sera Gazları İçin Küresel Isınma Potansiyelleri</w:t>
      </w:r>
    </w:p>
    <w:p w:rsidR="002D15FC" w:rsidRPr="007671C9" w:rsidRDefault="002D15FC" w:rsidP="002D15FC">
      <w:pPr>
        <w:widowControl w:val="0"/>
        <w:autoSpaceDE w:val="0"/>
        <w:autoSpaceDN w:val="0"/>
        <w:adjustRightInd w:val="0"/>
        <w:ind w:right="-8"/>
        <w:rPr>
          <w:b/>
        </w:rPr>
      </w:pPr>
      <w:r w:rsidRPr="007671C9">
        <w:rPr>
          <w:b/>
        </w:rPr>
        <w:t>Tablo 5.6: Küresel Isınma Potansiyelleri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422"/>
      </w:tblGrid>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rPr>
                <w:b/>
              </w:rPr>
              <w:t>Gaz</w:t>
            </w:r>
          </w:p>
        </w:tc>
        <w:tc>
          <w:tcPr>
            <w:tcW w:w="5107" w:type="dxa"/>
          </w:tcPr>
          <w:p w:rsidR="002D15FC" w:rsidRPr="007671C9" w:rsidRDefault="002D15FC" w:rsidP="00AD68C3">
            <w:pPr>
              <w:widowControl w:val="0"/>
              <w:autoSpaceDE w:val="0"/>
              <w:autoSpaceDN w:val="0"/>
              <w:adjustRightInd w:val="0"/>
              <w:ind w:right="-8"/>
            </w:pPr>
            <w:r w:rsidRPr="007671C9">
              <w:rPr>
                <w:b/>
              </w:rPr>
              <w:t>Küresel Isınma Potansiyeli</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CH</w:t>
            </w:r>
            <w:r w:rsidRPr="007671C9">
              <w:rPr>
                <w:vertAlign w:val="subscript"/>
              </w:rPr>
              <w:t>4</w:t>
            </w:r>
          </w:p>
        </w:tc>
        <w:tc>
          <w:tcPr>
            <w:tcW w:w="5107" w:type="dxa"/>
          </w:tcPr>
          <w:p w:rsidR="002D15FC" w:rsidRPr="007671C9" w:rsidRDefault="002D15FC" w:rsidP="00AD68C3">
            <w:pPr>
              <w:widowControl w:val="0"/>
              <w:autoSpaceDE w:val="0"/>
              <w:autoSpaceDN w:val="0"/>
              <w:adjustRightInd w:val="0"/>
              <w:ind w:right="-8"/>
              <w:rPr>
                <w:b/>
              </w:rPr>
            </w:pPr>
            <w:r w:rsidRPr="007671C9">
              <w:t>21 tCO</w:t>
            </w:r>
            <w:r w:rsidRPr="007671C9">
              <w:rPr>
                <w:vertAlign w:val="subscript"/>
              </w:rPr>
              <w:t xml:space="preserve">2(eşd) </w:t>
            </w:r>
            <w:r w:rsidRPr="007671C9">
              <w:t>/ t CH</w:t>
            </w:r>
            <w:r w:rsidRPr="007671C9">
              <w:rPr>
                <w:vertAlign w:val="subscript"/>
              </w:rPr>
              <w:t>4</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N</w:t>
            </w:r>
            <w:r w:rsidRPr="007671C9">
              <w:rPr>
                <w:vertAlign w:val="subscript"/>
              </w:rPr>
              <w:t>2</w:t>
            </w:r>
            <w:r w:rsidRPr="007671C9">
              <w:t>O</w:t>
            </w:r>
          </w:p>
        </w:tc>
        <w:tc>
          <w:tcPr>
            <w:tcW w:w="5107" w:type="dxa"/>
          </w:tcPr>
          <w:p w:rsidR="002D15FC" w:rsidRPr="007671C9" w:rsidRDefault="002D15FC" w:rsidP="00AD68C3">
            <w:pPr>
              <w:widowControl w:val="0"/>
              <w:autoSpaceDE w:val="0"/>
              <w:autoSpaceDN w:val="0"/>
              <w:adjustRightInd w:val="0"/>
              <w:ind w:right="-8"/>
            </w:pPr>
            <w:r w:rsidRPr="007671C9">
              <w:t>298 t CO</w:t>
            </w:r>
            <w:r w:rsidRPr="007671C9">
              <w:rPr>
                <w:vertAlign w:val="subscript"/>
              </w:rPr>
              <w:t xml:space="preserve">2(eşd) </w:t>
            </w:r>
            <w:r w:rsidRPr="007671C9">
              <w:t>/ t N</w:t>
            </w:r>
            <w:r w:rsidRPr="007671C9">
              <w:rPr>
                <w:vertAlign w:val="subscript"/>
              </w:rPr>
              <w:t>2</w:t>
            </w:r>
            <w:r w:rsidRPr="007671C9">
              <w:t>O</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CF</w:t>
            </w:r>
            <w:r w:rsidRPr="007671C9">
              <w:rPr>
                <w:vertAlign w:val="subscript"/>
              </w:rPr>
              <w:t>4</w:t>
            </w:r>
          </w:p>
        </w:tc>
        <w:tc>
          <w:tcPr>
            <w:tcW w:w="5107" w:type="dxa"/>
          </w:tcPr>
          <w:p w:rsidR="002D15FC" w:rsidRPr="007671C9" w:rsidRDefault="002D15FC" w:rsidP="00AD68C3">
            <w:pPr>
              <w:widowControl w:val="0"/>
              <w:autoSpaceDE w:val="0"/>
              <w:autoSpaceDN w:val="0"/>
              <w:adjustRightInd w:val="0"/>
              <w:ind w:right="-8"/>
            </w:pPr>
            <w:r w:rsidRPr="007671C9">
              <w:t>7390 t CO</w:t>
            </w:r>
            <w:r w:rsidRPr="007671C9">
              <w:rPr>
                <w:vertAlign w:val="subscript"/>
              </w:rPr>
              <w:t>2(eşd)</w:t>
            </w:r>
            <w:r w:rsidRPr="007671C9">
              <w:t xml:space="preserve"> / t CF</w:t>
            </w:r>
            <w:r w:rsidRPr="007671C9">
              <w:rPr>
                <w:vertAlign w:val="subscript"/>
              </w:rPr>
              <w:t>4</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C</w:t>
            </w:r>
            <w:r w:rsidRPr="007671C9">
              <w:rPr>
                <w:vertAlign w:val="subscript"/>
              </w:rPr>
              <w:t>2</w:t>
            </w:r>
            <w:r w:rsidRPr="007671C9">
              <w:t>F</w:t>
            </w:r>
            <w:r w:rsidRPr="007671C9">
              <w:rPr>
                <w:vertAlign w:val="subscript"/>
              </w:rPr>
              <w:t>6</w:t>
            </w:r>
          </w:p>
        </w:tc>
        <w:tc>
          <w:tcPr>
            <w:tcW w:w="5107" w:type="dxa"/>
          </w:tcPr>
          <w:p w:rsidR="002D15FC" w:rsidRPr="007671C9" w:rsidRDefault="002D15FC" w:rsidP="00AD68C3">
            <w:pPr>
              <w:widowControl w:val="0"/>
              <w:autoSpaceDE w:val="0"/>
              <w:autoSpaceDN w:val="0"/>
              <w:adjustRightInd w:val="0"/>
              <w:ind w:right="-8"/>
            </w:pPr>
            <w:r w:rsidRPr="007671C9">
              <w:t>12200 t CO</w:t>
            </w:r>
            <w:r w:rsidRPr="007671C9">
              <w:rPr>
                <w:vertAlign w:val="subscript"/>
              </w:rPr>
              <w:t>2(eşd)</w:t>
            </w:r>
            <w:r w:rsidRPr="007671C9">
              <w:t xml:space="preserve"> / t C</w:t>
            </w:r>
            <w:r w:rsidRPr="007671C9">
              <w:rPr>
                <w:vertAlign w:val="subscript"/>
              </w:rPr>
              <w:t>2</w:t>
            </w:r>
            <w:r w:rsidRPr="007671C9">
              <w:t>F</w:t>
            </w:r>
            <w:r w:rsidRPr="007671C9">
              <w:rPr>
                <w:vertAlign w:val="subscript"/>
              </w:rPr>
              <w:t>6</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HFC’ler (Hidroflokarbonlar)</w:t>
            </w:r>
          </w:p>
        </w:tc>
        <w:tc>
          <w:tcPr>
            <w:tcW w:w="5107" w:type="dxa"/>
            <w:vMerge w:val="restart"/>
          </w:tcPr>
          <w:p w:rsidR="002D15FC" w:rsidRPr="007671C9" w:rsidRDefault="002D15FC" w:rsidP="00AD68C3">
            <w:pPr>
              <w:widowControl w:val="0"/>
              <w:autoSpaceDE w:val="0"/>
              <w:autoSpaceDN w:val="0"/>
              <w:adjustRightInd w:val="0"/>
              <w:ind w:right="-8"/>
            </w:pPr>
            <w:r w:rsidRPr="007671C9">
              <w:t>140-11700 t CO</w:t>
            </w:r>
            <w:r w:rsidRPr="007671C9">
              <w:rPr>
                <w:vertAlign w:val="subscript"/>
              </w:rPr>
              <w:t>2(eşd)</w:t>
            </w:r>
            <w:r w:rsidRPr="007671C9">
              <w:t xml:space="preserve"> / t HFC veya PFC</w:t>
            </w:r>
          </w:p>
        </w:tc>
      </w:tr>
      <w:tr w:rsidR="007671C9" w:rsidRPr="007671C9" w:rsidTr="00AD68C3">
        <w:tc>
          <w:tcPr>
            <w:tcW w:w="5207" w:type="dxa"/>
          </w:tcPr>
          <w:p w:rsidR="002D15FC" w:rsidRPr="007671C9" w:rsidRDefault="002D15FC" w:rsidP="00AD68C3">
            <w:pPr>
              <w:widowControl w:val="0"/>
              <w:autoSpaceDE w:val="0"/>
              <w:autoSpaceDN w:val="0"/>
              <w:adjustRightInd w:val="0"/>
              <w:ind w:right="-8"/>
            </w:pPr>
            <w:r w:rsidRPr="007671C9">
              <w:t>PFC’ler (Perflorokarbonlar)</w:t>
            </w:r>
          </w:p>
        </w:tc>
        <w:tc>
          <w:tcPr>
            <w:tcW w:w="5107" w:type="dxa"/>
            <w:vMerge/>
          </w:tcPr>
          <w:p w:rsidR="002D15FC" w:rsidRPr="007671C9" w:rsidRDefault="002D15FC" w:rsidP="00AD68C3">
            <w:pPr>
              <w:widowControl w:val="0"/>
              <w:autoSpaceDE w:val="0"/>
              <w:autoSpaceDN w:val="0"/>
              <w:adjustRightInd w:val="0"/>
              <w:ind w:right="-8"/>
            </w:pPr>
          </w:p>
        </w:tc>
      </w:tr>
      <w:tr w:rsidR="002D15FC" w:rsidRPr="007671C9" w:rsidTr="00AD68C3">
        <w:tc>
          <w:tcPr>
            <w:tcW w:w="5207" w:type="dxa"/>
          </w:tcPr>
          <w:p w:rsidR="002D15FC" w:rsidRPr="007671C9" w:rsidRDefault="002D15FC" w:rsidP="00AD68C3">
            <w:pPr>
              <w:widowControl w:val="0"/>
              <w:autoSpaceDE w:val="0"/>
              <w:autoSpaceDN w:val="0"/>
              <w:adjustRightInd w:val="0"/>
              <w:ind w:right="-8"/>
            </w:pPr>
            <w:r w:rsidRPr="007671C9">
              <w:t>SF</w:t>
            </w:r>
            <w:r w:rsidRPr="007671C9">
              <w:rPr>
                <w:vertAlign w:val="subscript"/>
              </w:rPr>
              <w:t xml:space="preserve">6  </w:t>
            </w:r>
            <w:r w:rsidRPr="007671C9">
              <w:t>(Sülfür Hegzaflorid)</w:t>
            </w:r>
          </w:p>
        </w:tc>
        <w:tc>
          <w:tcPr>
            <w:tcW w:w="5107" w:type="dxa"/>
          </w:tcPr>
          <w:p w:rsidR="002D15FC" w:rsidRPr="007671C9" w:rsidRDefault="002D15FC" w:rsidP="00AD68C3">
            <w:pPr>
              <w:widowControl w:val="0"/>
              <w:autoSpaceDE w:val="0"/>
              <w:autoSpaceDN w:val="0"/>
              <w:adjustRightInd w:val="0"/>
              <w:ind w:right="-8"/>
            </w:pPr>
            <w:r w:rsidRPr="007671C9">
              <w:t>23900 t CO</w:t>
            </w:r>
            <w:r w:rsidRPr="007671C9">
              <w:rPr>
                <w:vertAlign w:val="subscript"/>
              </w:rPr>
              <w:t>2(eşd)</w:t>
            </w:r>
            <w:r w:rsidRPr="007671C9">
              <w:t xml:space="preserve"> / t SF</w:t>
            </w:r>
            <w:r w:rsidRPr="007671C9">
              <w:rPr>
                <w:vertAlign w:val="subscript"/>
              </w:rPr>
              <w:t>6</w:t>
            </w:r>
          </w:p>
        </w:tc>
      </w:tr>
    </w:tbl>
    <w:p w:rsidR="002D15FC" w:rsidRPr="007671C9" w:rsidRDefault="002D15FC" w:rsidP="002D15FC">
      <w:pPr>
        <w:widowControl w:val="0"/>
        <w:tabs>
          <w:tab w:val="left" w:pos="6063"/>
          <w:tab w:val="left" w:pos="7786"/>
          <w:tab w:val="left" w:pos="9082"/>
          <w:tab w:val="left" w:pos="9577"/>
        </w:tabs>
        <w:autoSpaceDE w:val="0"/>
        <w:autoSpaceDN w:val="0"/>
        <w:adjustRightInd w:val="0"/>
        <w:ind w:right="-8"/>
      </w:pPr>
    </w:p>
    <w:p w:rsidR="002D15FC" w:rsidRPr="007671C9" w:rsidRDefault="002D15FC" w:rsidP="002D15FC">
      <w:pPr>
        <w:widowControl w:val="0"/>
        <w:tabs>
          <w:tab w:val="left" w:pos="6063"/>
          <w:tab w:val="left" w:pos="7786"/>
          <w:tab w:val="left" w:pos="9082"/>
          <w:tab w:val="left" w:pos="9577"/>
        </w:tabs>
        <w:autoSpaceDE w:val="0"/>
        <w:autoSpaceDN w:val="0"/>
        <w:adjustRightInd w:val="0"/>
        <w:ind w:right="-8"/>
        <w:sectPr w:rsidR="002D15FC" w:rsidRPr="007671C9" w:rsidSect="00AD68C3">
          <w:pgSz w:w="11900" w:h="16840"/>
          <w:pgMar w:top="1418" w:right="1418" w:bottom="1418" w:left="1418" w:header="708" w:footer="708" w:gutter="0"/>
          <w:cols w:space="708"/>
          <w:noEndnote/>
          <w:docGrid w:linePitch="326"/>
        </w:sectPr>
      </w:pPr>
    </w:p>
    <w:p w:rsidR="002D15FC" w:rsidRPr="007671C9" w:rsidRDefault="002D15FC" w:rsidP="002D15FC">
      <w:pPr>
        <w:widowControl w:val="0"/>
        <w:autoSpaceDE w:val="0"/>
        <w:autoSpaceDN w:val="0"/>
        <w:adjustRightInd w:val="0"/>
        <w:ind w:right="-8"/>
        <w:sectPr w:rsidR="002D15FC" w:rsidRPr="007671C9" w:rsidSect="00AD68C3">
          <w:type w:val="continuous"/>
          <w:pgSz w:w="11900" w:h="16840"/>
          <w:pgMar w:top="1418" w:right="851" w:bottom="1134" w:left="851" w:header="708" w:footer="708" w:gutter="0"/>
          <w:cols w:num="3" w:space="708" w:equalWidth="0">
            <w:col w:w="1127" w:space="160"/>
            <w:col w:w="3485" w:space="160"/>
            <w:col w:w="5136"/>
          </w:cols>
          <w:noEndnote/>
        </w:sectPr>
      </w:pPr>
    </w:p>
    <w:p w:rsidR="002D15FC" w:rsidRPr="007671C9" w:rsidRDefault="002D15FC" w:rsidP="002D15FC">
      <w:pPr>
        <w:widowControl w:val="0"/>
        <w:autoSpaceDE w:val="0"/>
        <w:autoSpaceDN w:val="0"/>
        <w:adjustRightInd w:val="0"/>
        <w:ind w:right="-8"/>
        <w:jc w:val="center"/>
        <w:rPr>
          <w:b/>
        </w:rPr>
      </w:pPr>
      <w:bookmarkStart w:id="1" w:name="Pg108"/>
      <w:bookmarkStart w:id="2" w:name="Pg109"/>
      <w:bookmarkStart w:id="3" w:name="Pg110"/>
      <w:bookmarkEnd w:id="1"/>
      <w:bookmarkEnd w:id="2"/>
      <w:bookmarkEnd w:id="3"/>
      <w:r w:rsidRPr="007671C9">
        <w:rPr>
          <w:b/>
        </w:rPr>
        <w:lastRenderedPageBreak/>
        <w:t>EK</w:t>
      </w:r>
      <w:r w:rsidRPr="007671C9">
        <w:t>-</w:t>
      </w:r>
      <w:r w:rsidRPr="007671C9">
        <w:rPr>
          <w:b/>
        </w:rPr>
        <w:t>6</w:t>
      </w:r>
    </w:p>
    <w:p w:rsidR="002D15FC" w:rsidRPr="007671C9" w:rsidRDefault="002D15FC" w:rsidP="002D15FC">
      <w:pPr>
        <w:widowControl w:val="0"/>
        <w:tabs>
          <w:tab w:val="left" w:pos="5370"/>
        </w:tabs>
        <w:autoSpaceDE w:val="0"/>
        <w:autoSpaceDN w:val="0"/>
        <w:adjustRightInd w:val="0"/>
        <w:ind w:right="-8"/>
        <w:jc w:val="center"/>
        <w:rPr>
          <w:b/>
          <w:w w:val="102"/>
        </w:rPr>
      </w:pPr>
      <w:r w:rsidRPr="007671C9">
        <w:rPr>
          <w:b/>
          <w:w w:val="102"/>
        </w:rPr>
        <w:t>ANALİZLERİN ASGARİ FREKANSLARI</w:t>
      </w:r>
    </w:p>
    <w:p w:rsidR="002D15FC" w:rsidRPr="007671C9" w:rsidRDefault="002D15FC" w:rsidP="002D15FC">
      <w:pPr>
        <w:widowControl w:val="0"/>
        <w:tabs>
          <w:tab w:val="left" w:pos="5370"/>
        </w:tabs>
        <w:autoSpaceDE w:val="0"/>
        <w:autoSpaceDN w:val="0"/>
        <w:adjustRightInd w:val="0"/>
        <w:ind w:right="-8"/>
        <w:rPr>
          <w:b/>
          <w:w w:val="10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5"/>
        <w:gridCol w:w="4347"/>
      </w:tblGrid>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rPr>
                <w:b/>
                <w:w w:val="101"/>
              </w:rPr>
            </w:pPr>
            <w:r w:rsidRPr="007671C9">
              <w:rPr>
                <w:b/>
                <w:w w:val="101"/>
              </w:rPr>
              <w:t>Yakıt/malzeme</w:t>
            </w:r>
          </w:p>
        </w:tc>
        <w:tc>
          <w:tcPr>
            <w:tcW w:w="4948" w:type="dxa"/>
          </w:tcPr>
          <w:p w:rsidR="002D15FC" w:rsidRPr="007671C9" w:rsidRDefault="002D15FC" w:rsidP="00AD68C3">
            <w:pPr>
              <w:widowControl w:val="0"/>
              <w:tabs>
                <w:tab w:val="left" w:pos="5370"/>
              </w:tabs>
              <w:autoSpaceDE w:val="0"/>
              <w:autoSpaceDN w:val="0"/>
              <w:adjustRightInd w:val="0"/>
              <w:ind w:right="-8"/>
              <w:rPr>
                <w:b/>
                <w:w w:val="101"/>
              </w:rPr>
            </w:pPr>
            <w:r w:rsidRPr="007671C9">
              <w:rPr>
                <w:b/>
                <w:w w:val="101"/>
              </w:rPr>
              <w:t>Analizlerin Asgari Frekansı</w:t>
            </w:r>
          </w:p>
        </w:tc>
      </w:tr>
      <w:tr w:rsidR="007671C9" w:rsidRPr="007671C9" w:rsidTr="00AD68C3">
        <w:trPr>
          <w:trHeight w:val="312"/>
        </w:trPr>
        <w:tc>
          <w:tcPr>
            <w:tcW w:w="5353"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Doğal gaz</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En az haftalık</w:t>
            </w:r>
          </w:p>
        </w:tc>
      </w:tr>
      <w:tr w:rsidR="007671C9" w:rsidRPr="007671C9" w:rsidTr="00AD68C3">
        <w:trPr>
          <w:trHeight w:val="634"/>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Proses gazı (rafine karışık gaz, kok fırın gazı, yüksek fırın gazı ve bazik oksijen fırını –BOF- gazı)</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En az günlük – günün farklı kısımlarında uygun prosedürleri kullanarak</w:t>
            </w:r>
          </w:p>
        </w:tc>
      </w:tr>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Akaryakıt</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Her 20.000 tonda ve en az yılda altı defa</w:t>
            </w:r>
          </w:p>
        </w:tc>
      </w:tr>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Kömür, kok kömürü, petrol koku</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Her 20.000 tonda ve en az yılda altı defa</w:t>
            </w:r>
          </w:p>
        </w:tc>
      </w:tr>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Katı atık (saf fosil veya karışık biyokütle fosil)</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Her 5.000 tonda ve en az yılda dört defa</w:t>
            </w:r>
          </w:p>
        </w:tc>
      </w:tr>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Sıvı atık</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Her 10.000 tonda ve en az yılda dört defa</w:t>
            </w:r>
          </w:p>
        </w:tc>
      </w:tr>
      <w:tr w:rsidR="007671C9" w:rsidRPr="007671C9" w:rsidTr="00AD68C3">
        <w:trPr>
          <w:trHeight w:val="376"/>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Karbonat mineralleri (kireç taşı ve dolomit dâhil)</w:t>
            </w:r>
          </w:p>
        </w:tc>
        <w:tc>
          <w:tcPr>
            <w:tcW w:w="4948" w:type="dxa"/>
          </w:tcPr>
          <w:p w:rsidR="002D15FC" w:rsidRPr="007671C9" w:rsidRDefault="002D15FC" w:rsidP="00AD68C3">
            <w:pPr>
              <w:widowControl w:val="0"/>
              <w:tabs>
                <w:tab w:val="left" w:pos="6048"/>
              </w:tabs>
              <w:autoSpaceDE w:val="0"/>
              <w:autoSpaceDN w:val="0"/>
              <w:adjustRightInd w:val="0"/>
              <w:ind w:right="-8"/>
              <w:jc w:val="both"/>
              <w:rPr>
                <w:w w:val="101"/>
              </w:rPr>
            </w:pPr>
            <w:r w:rsidRPr="007671C9">
              <w:rPr>
                <w:w w:val="101"/>
              </w:rPr>
              <w:t>Her 50.000 tonda ve en az yılda dört defa</w:t>
            </w:r>
          </w:p>
        </w:tc>
      </w:tr>
      <w:tr w:rsidR="007671C9" w:rsidRPr="007671C9" w:rsidTr="00AD68C3">
        <w:trPr>
          <w:trHeight w:val="581"/>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Kil ve şist</w:t>
            </w:r>
          </w:p>
        </w:tc>
        <w:tc>
          <w:tcPr>
            <w:tcW w:w="4948" w:type="dxa"/>
          </w:tcPr>
          <w:p w:rsidR="002D15FC" w:rsidRPr="007671C9" w:rsidRDefault="002D15FC" w:rsidP="00AD68C3">
            <w:pPr>
              <w:widowControl w:val="0"/>
              <w:autoSpaceDE w:val="0"/>
              <w:autoSpaceDN w:val="0"/>
              <w:adjustRightInd w:val="0"/>
              <w:ind w:right="-8"/>
              <w:jc w:val="both"/>
              <w:rPr>
                <w:w w:val="101"/>
              </w:rPr>
            </w:pPr>
            <w:r w:rsidRPr="007671C9">
              <w:rPr>
                <w:w w:val="101"/>
              </w:rPr>
              <w:t>50.000 ton CO</w:t>
            </w:r>
            <w:r w:rsidRPr="007671C9">
              <w:rPr>
                <w:w w:val="101"/>
                <w:vertAlign w:val="subscript"/>
              </w:rPr>
              <w:t>2</w:t>
            </w:r>
            <w:r w:rsidRPr="007671C9">
              <w:rPr>
                <w:w w:val="101"/>
              </w:rPr>
              <w:t>’ye tekabül eden malzeme miktarlarında ve en az yılda dört defa</w:t>
            </w:r>
          </w:p>
        </w:tc>
      </w:tr>
      <w:tr w:rsidR="007671C9" w:rsidRPr="007671C9" w:rsidTr="00AD68C3">
        <w:trPr>
          <w:trHeight w:val="473"/>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Kütle dengesindeki diğer girdiler ve çıktılar (yakıtlar veya indirgenme ajanları için uygulanamaz)</w:t>
            </w:r>
          </w:p>
        </w:tc>
        <w:tc>
          <w:tcPr>
            <w:tcW w:w="4948" w:type="dxa"/>
          </w:tcPr>
          <w:p w:rsidR="002D15FC" w:rsidRPr="007671C9" w:rsidRDefault="002D15FC" w:rsidP="00AD68C3">
            <w:pPr>
              <w:widowControl w:val="0"/>
              <w:tabs>
                <w:tab w:val="left" w:pos="5370"/>
              </w:tabs>
              <w:autoSpaceDE w:val="0"/>
              <w:autoSpaceDN w:val="0"/>
              <w:adjustRightInd w:val="0"/>
              <w:ind w:right="-8"/>
              <w:jc w:val="both"/>
              <w:rPr>
                <w:b/>
                <w:w w:val="101"/>
              </w:rPr>
            </w:pPr>
            <w:r w:rsidRPr="007671C9">
              <w:rPr>
                <w:w w:val="101"/>
              </w:rPr>
              <w:t>Her 20.000 tonda ve en az ayda bir</w:t>
            </w:r>
          </w:p>
        </w:tc>
      </w:tr>
      <w:tr w:rsidR="007671C9" w:rsidRPr="007671C9" w:rsidTr="00AD68C3">
        <w:trPr>
          <w:trHeight w:val="777"/>
        </w:trPr>
        <w:tc>
          <w:tcPr>
            <w:tcW w:w="5353" w:type="dxa"/>
          </w:tcPr>
          <w:p w:rsidR="002D15FC" w:rsidRPr="007671C9" w:rsidRDefault="002D15FC" w:rsidP="00AD68C3">
            <w:pPr>
              <w:widowControl w:val="0"/>
              <w:tabs>
                <w:tab w:val="left" w:pos="5370"/>
              </w:tabs>
              <w:autoSpaceDE w:val="0"/>
              <w:autoSpaceDN w:val="0"/>
              <w:adjustRightInd w:val="0"/>
              <w:ind w:right="-8"/>
              <w:jc w:val="both"/>
              <w:rPr>
                <w:w w:val="101"/>
              </w:rPr>
            </w:pPr>
            <w:r w:rsidRPr="007671C9">
              <w:rPr>
                <w:w w:val="101"/>
              </w:rPr>
              <w:t>Diğer malzemeler</w:t>
            </w:r>
          </w:p>
        </w:tc>
        <w:tc>
          <w:tcPr>
            <w:tcW w:w="4948" w:type="dxa"/>
          </w:tcPr>
          <w:p w:rsidR="002D15FC" w:rsidRPr="007671C9" w:rsidRDefault="002D15FC" w:rsidP="00AD68C3">
            <w:pPr>
              <w:widowControl w:val="0"/>
              <w:autoSpaceDE w:val="0"/>
              <w:autoSpaceDN w:val="0"/>
              <w:adjustRightInd w:val="0"/>
              <w:ind w:right="-8"/>
              <w:jc w:val="both"/>
              <w:rPr>
                <w:w w:val="101"/>
              </w:rPr>
            </w:pPr>
            <w:r w:rsidRPr="007671C9">
              <w:rPr>
                <w:w w:val="101"/>
              </w:rPr>
              <w:t>Malzemenin tipine ve çeşidine bağlı olarak 50.000 ton CO</w:t>
            </w:r>
            <w:r w:rsidRPr="007671C9">
              <w:rPr>
                <w:w w:val="101"/>
                <w:vertAlign w:val="subscript"/>
              </w:rPr>
              <w:t>2</w:t>
            </w:r>
            <w:r w:rsidRPr="007671C9">
              <w:rPr>
                <w:w w:val="101"/>
              </w:rPr>
              <w:t>’ye tekabül eden malzeme miktarlarında ve en az yılda dört defa</w:t>
            </w:r>
          </w:p>
        </w:tc>
      </w:tr>
    </w:tbl>
    <w:p w:rsidR="002D15FC" w:rsidRPr="007671C9" w:rsidRDefault="002D15FC" w:rsidP="002D15FC">
      <w:pPr>
        <w:widowControl w:val="0"/>
        <w:tabs>
          <w:tab w:val="left" w:pos="6048"/>
        </w:tabs>
        <w:autoSpaceDE w:val="0"/>
        <w:autoSpaceDN w:val="0"/>
        <w:adjustRightInd w:val="0"/>
        <w:ind w:right="-8"/>
        <w:rPr>
          <w:w w:val="101"/>
        </w:rPr>
      </w:pPr>
      <w:r w:rsidRPr="007671C9">
        <w:rPr>
          <w:w w:val="101"/>
        </w:rPr>
        <w:tab/>
      </w:r>
    </w:p>
    <w:p w:rsidR="002D15FC" w:rsidRPr="007671C9" w:rsidRDefault="002D15FC" w:rsidP="002D15FC">
      <w:pPr>
        <w:widowControl w:val="0"/>
        <w:tabs>
          <w:tab w:val="left" w:pos="6049"/>
          <w:tab w:val="left" w:pos="10167"/>
        </w:tabs>
        <w:autoSpaceDE w:val="0"/>
        <w:autoSpaceDN w:val="0"/>
        <w:adjustRightInd w:val="0"/>
        <w:ind w:right="-8"/>
        <w:rPr>
          <w:w w:val="101"/>
        </w:rPr>
      </w:pPr>
      <w:r w:rsidRPr="007671C9">
        <w:rPr>
          <w:w w:val="101"/>
        </w:rPr>
        <w:tab/>
        <w:t xml:space="preserve"> </w:t>
      </w:r>
    </w:p>
    <w:p w:rsidR="002D15FC" w:rsidRPr="007671C9" w:rsidRDefault="002D15FC" w:rsidP="002D15FC">
      <w:pPr>
        <w:widowControl w:val="0"/>
        <w:tabs>
          <w:tab w:val="left" w:pos="6048"/>
          <w:tab w:val="left" w:pos="6773"/>
        </w:tabs>
        <w:autoSpaceDE w:val="0"/>
        <w:autoSpaceDN w:val="0"/>
        <w:adjustRightInd w:val="0"/>
        <w:ind w:right="-8"/>
        <w:jc w:val="both"/>
        <w:rPr>
          <w:w w:val="101"/>
        </w:rPr>
      </w:pPr>
      <w:r w:rsidRPr="007671C9">
        <w:rPr>
          <w:w w:val="101"/>
        </w:rPr>
        <w:t>Not: Yukarıda yer alan yakıt veya malzemelere ilişkin tek bir sevkiyatın tabloda belirtilen miktarlarının üzerinde olması durumunda, bahse konu lot için alınacak örneklem sayısının temsil edici olması koşuluyla tek bir analiz yapılması yeterlidir.</w:t>
      </w:r>
    </w:p>
    <w:p w:rsidR="002D15FC" w:rsidRPr="007671C9" w:rsidRDefault="002D15FC" w:rsidP="002D15FC">
      <w:pPr>
        <w:widowControl w:val="0"/>
        <w:tabs>
          <w:tab w:val="left" w:pos="6047"/>
        </w:tabs>
        <w:autoSpaceDE w:val="0"/>
        <w:autoSpaceDN w:val="0"/>
        <w:adjustRightInd w:val="0"/>
        <w:ind w:right="-8"/>
        <w:rPr>
          <w:w w:val="101"/>
        </w:rPr>
      </w:pPr>
      <w:r w:rsidRPr="007671C9">
        <w:rPr>
          <w:w w:val="101"/>
        </w:rPr>
        <w:tab/>
      </w:r>
    </w:p>
    <w:p w:rsidR="002D15FC" w:rsidRPr="007671C9" w:rsidRDefault="002D15FC" w:rsidP="002D15FC">
      <w:pPr>
        <w:widowControl w:val="0"/>
        <w:autoSpaceDE w:val="0"/>
        <w:autoSpaceDN w:val="0"/>
        <w:adjustRightInd w:val="0"/>
        <w:ind w:right="-8"/>
        <w:rPr>
          <w:w w:val="101"/>
        </w:rPr>
      </w:pPr>
    </w:p>
    <w:p w:rsidR="002D15FC" w:rsidRPr="007671C9" w:rsidRDefault="002D15FC" w:rsidP="002D15FC">
      <w:pPr>
        <w:widowControl w:val="0"/>
        <w:autoSpaceDE w:val="0"/>
        <w:autoSpaceDN w:val="0"/>
        <w:adjustRightInd w:val="0"/>
        <w:ind w:right="-8"/>
        <w:rPr>
          <w:w w:val="101"/>
        </w:rPr>
      </w:pPr>
      <w:bookmarkStart w:id="4" w:name="Pg112"/>
      <w:bookmarkEnd w:id="4"/>
    </w:p>
    <w:p w:rsidR="002D15FC" w:rsidRPr="007671C9" w:rsidRDefault="002D15FC" w:rsidP="002D15FC">
      <w:pPr>
        <w:widowControl w:val="0"/>
        <w:autoSpaceDE w:val="0"/>
        <w:autoSpaceDN w:val="0"/>
        <w:adjustRightInd w:val="0"/>
        <w:ind w:right="-8"/>
        <w:rPr>
          <w:w w:val="101"/>
        </w:rPr>
      </w:pPr>
    </w:p>
    <w:p w:rsidR="002D15FC" w:rsidRPr="007671C9" w:rsidRDefault="002D15FC" w:rsidP="002D15FC">
      <w:pPr>
        <w:widowControl w:val="0"/>
        <w:autoSpaceDE w:val="0"/>
        <w:autoSpaceDN w:val="0"/>
        <w:adjustRightInd w:val="0"/>
        <w:ind w:right="-8"/>
        <w:rPr>
          <w:w w:val="101"/>
        </w:rPr>
      </w:pPr>
    </w:p>
    <w:p w:rsidR="002D15FC" w:rsidRPr="007671C9" w:rsidRDefault="002D15FC" w:rsidP="002D15FC">
      <w:pPr>
        <w:widowControl w:val="0"/>
        <w:autoSpaceDE w:val="0"/>
        <w:autoSpaceDN w:val="0"/>
        <w:adjustRightInd w:val="0"/>
        <w:ind w:right="-8"/>
        <w:rPr>
          <w:w w:val="101"/>
        </w:rPr>
      </w:pPr>
    </w:p>
    <w:p w:rsidR="002D15FC" w:rsidRPr="007671C9" w:rsidRDefault="002D15FC" w:rsidP="002D15FC">
      <w:pPr>
        <w:widowControl w:val="0"/>
        <w:autoSpaceDE w:val="0"/>
        <w:autoSpaceDN w:val="0"/>
        <w:adjustRightInd w:val="0"/>
        <w:ind w:right="-8"/>
        <w:rPr>
          <w:w w:val="101"/>
        </w:rPr>
      </w:pPr>
    </w:p>
    <w:p w:rsidR="002D15FC" w:rsidRPr="007671C9" w:rsidRDefault="002D15FC" w:rsidP="002D15FC">
      <w:pPr>
        <w:widowControl w:val="0"/>
        <w:autoSpaceDE w:val="0"/>
        <w:autoSpaceDN w:val="0"/>
        <w:adjustRightInd w:val="0"/>
        <w:ind w:right="-8"/>
        <w:jc w:val="center"/>
        <w:rPr>
          <w:b/>
          <w:w w:val="101"/>
        </w:rPr>
      </w:pPr>
      <w:r w:rsidRPr="007671C9">
        <w:rPr>
          <w:b/>
          <w:w w:val="101"/>
        </w:rPr>
        <w:br w:type="page"/>
      </w:r>
      <w:r w:rsidRPr="007671C9">
        <w:rPr>
          <w:b/>
          <w:w w:val="101"/>
        </w:rPr>
        <w:lastRenderedPageBreak/>
        <w:t>EK</w:t>
      </w:r>
      <w:r w:rsidRPr="007671C9">
        <w:rPr>
          <w:w w:val="101"/>
        </w:rPr>
        <w:t>-</w:t>
      </w:r>
      <w:r w:rsidRPr="007671C9">
        <w:rPr>
          <w:b/>
          <w:w w:val="101"/>
        </w:rPr>
        <w:t>7</w:t>
      </w:r>
    </w:p>
    <w:p w:rsidR="002D15FC" w:rsidRPr="007671C9" w:rsidRDefault="002D15FC" w:rsidP="002D15FC">
      <w:pPr>
        <w:widowControl w:val="0"/>
        <w:tabs>
          <w:tab w:val="left" w:pos="5370"/>
        </w:tabs>
        <w:autoSpaceDE w:val="0"/>
        <w:autoSpaceDN w:val="0"/>
        <w:adjustRightInd w:val="0"/>
        <w:ind w:right="-8"/>
        <w:jc w:val="center"/>
        <w:rPr>
          <w:b/>
          <w:w w:val="102"/>
        </w:rPr>
      </w:pPr>
      <w:r w:rsidRPr="007671C9">
        <w:rPr>
          <w:b/>
          <w:w w:val="102"/>
        </w:rPr>
        <w:t xml:space="preserve">ÖLÇÜM BAZLI YÖNTEMLER </w:t>
      </w:r>
    </w:p>
    <w:p w:rsidR="002D15FC" w:rsidRPr="007671C9" w:rsidRDefault="002D15FC" w:rsidP="002D15FC">
      <w:pPr>
        <w:widowControl w:val="0"/>
        <w:tabs>
          <w:tab w:val="left" w:pos="5370"/>
        </w:tabs>
        <w:autoSpaceDE w:val="0"/>
        <w:autoSpaceDN w:val="0"/>
        <w:adjustRightInd w:val="0"/>
        <w:ind w:right="-8"/>
        <w:rPr>
          <w:b/>
          <w:w w:val="102"/>
        </w:rPr>
      </w:pPr>
    </w:p>
    <w:p w:rsidR="002D15FC" w:rsidRPr="007671C9" w:rsidRDefault="002D15FC" w:rsidP="002D15FC">
      <w:pPr>
        <w:widowControl w:val="0"/>
        <w:tabs>
          <w:tab w:val="left" w:pos="2267"/>
        </w:tabs>
        <w:autoSpaceDE w:val="0"/>
        <w:autoSpaceDN w:val="0"/>
        <w:adjustRightInd w:val="0"/>
        <w:ind w:right="-8"/>
        <w:jc w:val="both"/>
        <w:rPr>
          <w:b/>
          <w:w w:val="103"/>
        </w:rPr>
      </w:pPr>
      <w:r w:rsidRPr="007671C9">
        <w:rPr>
          <w:b/>
        </w:rPr>
        <w:t>1. Ölçüm</w:t>
      </w:r>
      <w:r w:rsidRPr="007671C9">
        <w:rPr>
          <w:b/>
          <w:w w:val="103"/>
        </w:rPr>
        <w:t xml:space="preserve"> Temelli Yöntemler İçin Kademe Tanımları </w:t>
      </w:r>
    </w:p>
    <w:p w:rsidR="002D15FC" w:rsidRPr="007671C9" w:rsidRDefault="002D15FC" w:rsidP="002D15FC">
      <w:pPr>
        <w:widowControl w:val="0"/>
        <w:autoSpaceDE w:val="0"/>
        <w:autoSpaceDN w:val="0"/>
        <w:adjustRightInd w:val="0"/>
        <w:ind w:right="-8"/>
        <w:jc w:val="both"/>
      </w:pPr>
      <w:r w:rsidRPr="007671C9">
        <w:rPr>
          <w:w w:val="107"/>
        </w:rPr>
        <w:t>Ölçüm temelli yöntemlerin, bu Ekin 3 üncü bölümünde belirtilen denklem 2 kapsamında hesaplanan yıllık ortalama saatlik emisyonlar için aşağıda yer alan azami izin verilebilir belirsizlikler ile kademeler kapsamında onaylanması şarttır</w:t>
      </w:r>
      <w:r w:rsidRPr="007671C9">
        <w:t xml:space="preserve">. </w:t>
      </w:r>
    </w:p>
    <w:p w:rsidR="002D15FC" w:rsidRPr="007671C9" w:rsidRDefault="002D15FC" w:rsidP="002D15FC">
      <w:pPr>
        <w:widowControl w:val="0"/>
        <w:autoSpaceDE w:val="0"/>
        <w:autoSpaceDN w:val="0"/>
        <w:adjustRightInd w:val="0"/>
        <w:ind w:right="-8"/>
        <w:jc w:val="both"/>
        <w:rPr>
          <w:b/>
          <w:w w:val="105"/>
        </w:rPr>
      </w:pPr>
      <w:r w:rsidRPr="007671C9">
        <w:rPr>
          <w:b/>
        </w:rPr>
        <w:t xml:space="preserve">Tablo 7.1: SEÖS İçin Kademeler (her bir kademe için azami izin verilebilir belirsizlik) </w:t>
      </w:r>
      <w:r w:rsidRPr="007671C9">
        <w:rPr>
          <w:b/>
          <w:w w:val="105"/>
        </w:rPr>
        <w:t>(‘n.a’, ‘uygulanamaz/geçerli değil’ anlamına gelir)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634"/>
        <w:gridCol w:w="1635"/>
        <w:gridCol w:w="1744"/>
        <w:gridCol w:w="1634"/>
      </w:tblGrid>
      <w:tr w:rsidR="007671C9" w:rsidRPr="007671C9" w:rsidTr="00AD68C3">
        <w:tc>
          <w:tcPr>
            <w:tcW w:w="2802" w:type="dxa"/>
          </w:tcPr>
          <w:p w:rsidR="002D15FC" w:rsidRPr="007671C9" w:rsidRDefault="002D15FC" w:rsidP="00AD68C3">
            <w:pPr>
              <w:widowControl w:val="0"/>
              <w:autoSpaceDE w:val="0"/>
              <w:autoSpaceDN w:val="0"/>
              <w:adjustRightInd w:val="0"/>
              <w:ind w:right="-8"/>
            </w:pPr>
          </w:p>
        </w:tc>
        <w:tc>
          <w:tcPr>
            <w:tcW w:w="1842" w:type="dxa"/>
          </w:tcPr>
          <w:p w:rsidR="002D15FC" w:rsidRPr="007671C9" w:rsidRDefault="002D15FC" w:rsidP="00AD68C3">
            <w:pPr>
              <w:widowControl w:val="0"/>
              <w:autoSpaceDE w:val="0"/>
              <w:autoSpaceDN w:val="0"/>
              <w:adjustRightInd w:val="0"/>
              <w:ind w:right="-8"/>
            </w:pPr>
            <w:r w:rsidRPr="007671C9">
              <w:t>Kademe 1</w:t>
            </w:r>
          </w:p>
        </w:tc>
        <w:tc>
          <w:tcPr>
            <w:tcW w:w="1843" w:type="dxa"/>
          </w:tcPr>
          <w:p w:rsidR="002D15FC" w:rsidRPr="007671C9" w:rsidRDefault="002D15FC" w:rsidP="00AD68C3">
            <w:pPr>
              <w:widowControl w:val="0"/>
              <w:autoSpaceDE w:val="0"/>
              <w:autoSpaceDN w:val="0"/>
              <w:adjustRightInd w:val="0"/>
              <w:ind w:right="-8"/>
            </w:pPr>
            <w:r w:rsidRPr="007671C9">
              <w:t>Kademe 2</w:t>
            </w:r>
          </w:p>
        </w:tc>
        <w:tc>
          <w:tcPr>
            <w:tcW w:w="1985" w:type="dxa"/>
          </w:tcPr>
          <w:p w:rsidR="002D15FC" w:rsidRPr="007671C9" w:rsidRDefault="002D15FC" w:rsidP="00AD68C3">
            <w:pPr>
              <w:widowControl w:val="0"/>
              <w:autoSpaceDE w:val="0"/>
              <w:autoSpaceDN w:val="0"/>
              <w:adjustRightInd w:val="0"/>
              <w:ind w:right="-8"/>
            </w:pPr>
            <w:r w:rsidRPr="007671C9">
              <w:t>Kademe 3</w:t>
            </w:r>
          </w:p>
        </w:tc>
        <w:tc>
          <w:tcPr>
            <w:tcW w:w="1842" w:type="dxa"/>
          </w:tcPr>
          <w:p w:rsidR="002D15FC" w:rsidRPr="007671C9" w:rsidRDefault="002D15FC" w:rsidP="00AD68C3">
            <w:pPr>
              <w:widowControl w:val="0"/>
              <w:autoSpaceDE w:val="0"/>
              <w:autoSpaceDN w:val="0"/>
              <w:adjustRightInd w:val="0"/>
              <w:ind w:right="-8"/>
            </w:pPr>
            <w:r w:rsidRPr="007671C9">
              <w:t>Kademe 4</w:t>
            </w:r>
          </w:p>
        </w:tc>
      </w:tr>
      <w:tr w:rsidR="007671C9" w:rsidRPr="007671C9" w:rsidTr="00AD68C3">
        <w:tc>
          <w:tcPr>
            <w:tcW w:w="2802" w:type="dxa"/>
          </w:tcPr>
          <w:p w:rsidR="002D15FC" w:rsidRPr="007671C9" w:rsidRDefault="002D15FC" w:rsidP="00AD68C3">
            <w:pPr>
              <w:widowControl w:val="0"/>
              <w:autoSpaceDE w:val="0"/>
              <w:autoSpaceDN w:val="0"/>
              <w:adjustRightInd w:val="0"/>
              <w:ind w:right="-8"/>
            </w:pPr>
            <w:r w:rsidRPr="007671C9">
              <w:t>CO</w:t>
            </w:r>
            <w:r w:rsidRPr="007671C9">
              <w:rPr>
                <w:vertAlign w:val="subscript"/>
              </w:rPr>
              <w:t>2</w:t>
            </w:r>
            <w:r w:rsidRPr="007671C9">
              <w:t xml:space="preserve"> Emisyon Kaynakları</w:t>
            </w:r>
          </w:p>
        </w:tc>
        <w:tc>
          <w:tcPr>
            <w:tcW w:w="1842" w:type="dxa"/>
          </w:tcPr>
          <w:p w:rsidR="002D15FC" w:rsidRPr="007671C9" w:rsidRDefault="002D15FC" w:rsidP="00AD68C3">
            <w:r w:rsidRPr="007671C9">
              <w:t>± 10%</w:t>
            </w:r>
          </w:p>
        </w:tc>
        <w:tc>
          <w:tcPr>
            <w:tcW w:w="1843" w:type="dxa"/>
          </w:tcPr>
          <w:p w:rsidR="002D15FC" w:rsidRPr="007671C9" w:rsidRDefault="002D15FC" w:rsidP="00AD68C3">
            <w:r w:rsidRPr="007671C9">
              <w:t>± 7.5%</w:t>
            </w:r>
          </w:p>
        </w:tc>
        <w:tc>
          <w:tcPr>
            <w:tcW w:w="1985" w:type="dxa"/>
          </w:tcPr>
          <w:p w:rsidR="002D15FC" w:rsidRPr="007671C9" w:rsidRDefault="002D15FC" w:rsidP="00AD68C3">
            <w:r w:rsidRPr="007671C9">
              <w:t>± 5%</w:t>
            </w:r>
          </w:p>
        </w:tc>
        <w:tc>
          <w:tcPr>
            <w:tcW w:w="1842" w:type="dxa"/>
          </w:tcPr>
          <w:p w:rsidR="002D15FC" w:rsidRPr="007671C9" w:rsidRDefault="002D15FC" w:rsidP="00AD68C3">
            <w:pPr>
              <w:widowControl w:val="0"/>
              <w:autoSpaceDE w:val="0"/>
              <w:autoSpaceDN w:val="0"/>
              <w:adjustRightInd w:val="0"/>
              <w:ind w:right="-8"/>
            </w:pPr>
            <w:r w:rsidRPr="007671C9">
              <w:t>± 2.5%</w:t>
            </w:r>
          </w:p>
        </w:tc>
      </w:tr>
      <w:tr w:rsidR="007671C9" w:rsidRPr="007671C9" w:rsidTr="00AD68C3">
        <w:tc>
          <w:tcPr>
            <w:tcW w:w="2802" w:type="dxa"/>
          </w:tcPr>
          <w:p w:rsidR="002D15FC" w:rsidRPr="007671C9" w:rsidRDefault="002D15FC" w:rsidP="00AD68C3">
            <w:pPr>
              <w:widowControl w:val="0"/>
              <w:autoSpaceDE w:val="0"/>
              <w:autoSpaceDN w:val="0"/>
              <w:adjustRightInd w:val="0"/>
              <w:ind w:right="-8"/>
            </w:pPr>
            <w:r w:rsidRPr="007671C9">
              <w:t>N</w:t>
            </w:r>
            <w:r w:rsidRPr="007671C9">
              <w:rPr>
                <w:vertAlign w:val="subscript"/>
              </w:rPr>
              <w:t>2</w:t>
            </w:r>
            <w:r w:rsidRPr="007671C9">
              <w:t>O Emisyon Kaynakları</w:t>
            </w:r>
          </w:p>
        </w:tc>
        <w:tc>
          <w:tcPr>
            <w:tcW w:w="1842" w:type="dxa"/>
          </w:tcPr>
          <w:p w:rsidR="002D15FC" w:rsidRPr="007671C9" w:rsidRDefault="002D15FC" w:rsidP="00AD68C3">
            <w:r w:rsidRPr="007671C9">
              <w:t>± 10%</w:t>
            </w:r>
          </w:p>
        </w:tc>
        <w:tc>
          <w:tcPr>
            <w:tcW w:w="1843" w:type="dxa"/>
          </w:tcPr>
          <w:p w:rsidR="002D15FC" w:rsidRPr="007671C9" w:rsidRDefault="002D15FC" w:rsidP="00AD68C3">
            <w:r w:rsidRPr="007671C9">
              <w:t>± 7.5%</w:t>
            </w:r>
          </w:p>
        </w:tc>
        <w:tc>
          <w:tcPr>
            <w:tcW w:w="1985" w:type="dxa"/>
          </w:tcPr>
          <w:p w:rsidR="002D15FC" w:rsidRPr="007671C9" w:rsidRDefault="002D15FC" w:rsidP="00AD68C3">
            <w:r w:rsidRPr="007671C9">
              <w:t>± 5%</w:t>
            </w:r>
          </w:p>
        </w:tc>
        <w:tc>
          <w:tcPr>
            <w:tcW w:w="1842" w:type="dxa"/>
          </w:tcPr>
          <w:p w:rsidR="002D15FC" w:rsidRPr="007671C9" w:rsidRDefault="002D15FC" w:rsidP="00AD68C3">
            <w:pPr>
              <w:widowControl w:val="0"/>
              <w:autoSpaceDE w:val="0"/>
              <w:autoSpaceDN w:val="0"/>
              <w:adjustRightInd w:val="0"/>
              <w:ind w:right="-8"/>
            </w:pPr>
            <w:r w:rsidRPr="007671C9">
              <w:t>n.a.</w:t>
            </w:r>
          </w:p>
        </w:tc>
      </w:tr>
      <w:tr w:rsidR="002D15FC" w:rsidRPr="007671C9" w:rsidTr="00AD68C3">
        <w:tc>
          <w:tcPr>
            <w:tcW w:w="2802" w:type="dxa"/>
          </w:tcPr>
          <w:p w:rsidR="002D15FC" w:rsidRPr="007671C9" w:rsidRDefault="002D15FC" w:rsidP="00AD68C3">
            <w:pPr>
              <w:widowControl w:val="0"/>
              <w:autoSpaceDE w:val="0"/>
              <w:autoSpaceDN w:val="0"/>
              <w:adjustRightInd w:val="0"/>
              <w:ind w:right="-8"/>
            </w:pPr>
            <w:r w:rsidRPr="007671C9">
              <w:t>CO</w:t>
            </w:r>
            <w:r w:rsidRPr="007671C9">
              <w:rPr>
                <w:vertAlign w:val="subscript"/>
              </w:rPr>
              <w:t>2</w:t>
            </w:r>
            <w:r w:rsidRPr="007671C9">
              <w:t xml:space="preserve"> Transferi</w:t>
            </w:r>
          </w:p>
        </w:tc>
        <w:tc>
          <w:tcPr>
            <w:tcW w:w="1842" w:type="dxa"/>
          </w:tcPr>
          <w:p w:rsidR="002D15FC" w:rsidRPr="007671C9" w:rsidRDefault="002D15FC" w:rsidP="00AD68C3">
            <w:r w:rsidRPr="007671C9">
              <w:t>± 10%</w:t>
            </w:r>
          </w:p>
        </w:tc>
        <w:tc>
          <w:tcPr>
            <w:tcW w:w="1843" w:type="dxa"/>
          </w:tcPr>
          <w:p w:rsidR="002D15FC" w:rsidRPr="007671C9" w:rsidRDefault="002D15FC" w:rsidP="00AD68C3">
            <w:r w:rsidRPr="007671C9">
              <w:t>± 7.5%</w:t>
            </w:r>
          </w:p>
        </w:tc>
        <w:tc>
          <w:tcPr>
            <w:tcW w:w="1985" w:type="dxa"/>
          </w:tcPr>
          <w:p w:rsidR="002D15FC" w:rsidRPr="007671C9" w:rsidRDefault="002D15FC" w:rsidP="00AD68C3">
            <w:r w:rsidRPr="007671C9">
              <w:t>± 5%</w:t>
            </w:r>
          </w:p>
        </w:tc>
        <w:tc>
          <w:tcPr>
            <w:tcW w:w="1842" w:type="dxa"/>
          </w:tcPr>
          <w:p w:rsidR="002D15FC" w:rsidRPr="007671C9" w:rsidRDefault="002D15FC" w:rsidP="00AD68C3">
            <w:pPr>
              <w:widowControl w:val="0"/>
              <w:autoSpaceDE w:val="0"/>
              <w:autoSpaceDN w:val="0"/>
              <w:adjustRightInd w:val="0"/>
              <w:ind w:right="-8"/>
            </w:pPr>
            <w:r w:rsidRPr="007671C9">
              <w:t>± 2.5%</w:t>
            </w:r>
          </w:p>
        </w:tc>
      </w:tr>
    </w:tbl>
    <w:p w:rsidR="002D15FC" w:rsidRPr="007671C9" w:rsidRDefault="002D15FC" w:rsidP="002D15FC">
      <w:pPr>
        <w:widowControl w:val="0"/>
        <w:autoSpaceDE w:val="0"/>
        <w:autoSpaceDN w:val="0"/>
        <w:adjustRightInd w:val="0"/>
        <w:ind w:right="-8"/>
      </w:pPr>
    </w:p>
    <w:p w:rsidR="002D15FC" w:rsidRPr="007671C9" w:rsidRDefault="002D15FC" w:rsidP="002D15FC">
      <w:pPr>
        <w:widowControl w:val="0"/>
        <w:tabs>
          <w:tab w:val="left" w:pos="2267"/>
        </w:tabs>
        <w:autoSpaceDE w:val="0"/>
        <w:autoSpaceDN w:val="0"/>
        <w:adjustRightInd w:val="0"/>
        <w:ind w:right="-8"/>
        <w:jc w:val="both"/>
        <w:rPr>
          <w:b/>
        </w:rPr>
      </w:pPr>
      <w:r w:rsidRPr="007671C9">
        <w:rPr>
          <w:b/>
        </w:rPr>
        <w:t>2. Asgari Gereksinimler</w:t>
      </w:r>
    </w:p>
    <w:p w:rsidR="002D15FC" w:rsidRPr="007671C9" w:rsidRDefault="002D15FC" w:rsidP="002D15FC">
      <w:pPr>
        <w:widowControl w:val="0"/>
        <w:autoSpaceDE w:val="0"/>
        <w:autoSpaceDN w:val="0"/>
        <w:adjustRightInd w:val="0"/>
        <w:ind w:right="-8"/>
        <w:rPr>
          <w:b/>
        </w:rPr>
      </w:pPr>
      <w:r w:rsidRPr="007671C9">
        <w:rPr>
          <w:b/>
        </w:rPr>
        <w:t>Tablo 7.2: Ölçüm Temelli Yöntemler İçin Asgari Kademe Gereksinimleri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2302"/>
        <w:gridCol w:w="2303"/>
        <w:gridCol w:w="2221"/>
      </w:tblGrid>
      <w:tr w:rsidR="007671C9" w:rsidRPr="007671C9" w:rsidTr="00AD68C3">
        <w:tc>
          <w:tcPr>
            <w:tcW w:w="2603" w:type="dxa"/>
          </w:tcPr>
          <w:p w:rsidR="002D15FC" w:rsidRPr="007671C9" w:rsidRDefault="002D15FC" w:rsidP="00AD68C3">
            <w:pPr>
              <w:widowControl w:val="0"/>
              <w:autoSpaceDE w:val="0"/>
              <w:autoSpaceDN w:val="0"/>
              <w:adjustRightInd w:val="0"/>
              <w:ind w:right="-8"/>
            </w:pPr>
            <w:r w:rsidRPr="007671C9">
              <w:t>Sera Gazı</w:t>
            </w:r>
          </w:p>
        </w:tc>
        <w:tc>
          <w:tcPr>
            <w:tcW w:w="2603" w:type="dxa"/>
          </w:tcPr>
          <w:p w:rsidR="002D15FC" w:rsidRPr="007671C9" w:rsidRDefault="002D15FC" w:rsidP="00AD68C3">
            <w:pPr>
              <w:widowControl w:val="0"/>
              <w:autoSpaceDE w:val="0"/>
              <w:autoSpaceDN w:val="0"/>
              <w:adjustRightInd w:val="0"/>
              <w:ind w:right="-8"/>
            </w:pPr>
            <w:r w:rsidRPr="007671C9">
              <w:t>Kategori A</w:t>
            </w:r>
          </w:p>
        </w:tc>
        <w:tc>
          <w:tcPr>
            <w:tcW w:w="2604" w:type="dxa"/>
          </w:tcPr>
          <w:p w:rsidR="002D15FC" w:rsidRPr="007671C9" w:rsidRDefault="002D15FC" w:rsidP="00AD68C3">
            <w:pPr>
              <w:widowControl w:val="0"/>
              <w:autoSpaceDE w:val="0"/>
              <w:autoSpaceDN w:val="0"/>
              <w:adjustRightInd w:val="0"/>
              <w:ind w:right="-8"/>
            </w:pPr>
            <w:r w:rsidRPr="007671C9">
              <w:t>Kategori B</w:t>
            </w:r>
          </w:p>
        </w:tc>
        <w:tc>
          <w:tcPr>
            <w:tcW w:w="2504" w:type="dxa"/>
          </w:tcPr>
          <w:p w:rsidR="002D15FC" w:rsidRPr="007671C9" w:rsidRDefault="002D15FC" w:rsidP="00AD68C3">
            <w:pPr>
              <w:widowControl w:val="0"/>
              <w:autoSpaceDE w:val="0"/>
              <w:autoSpaceDN w:val="0"/>
              <w:adjustRightInd w:val="0"/>
              <w:ind w:right="-8"/>
            </w:pPr>
            <w:r w:rsidRPr="007671C9">
              <w:t>Kategori C</w:t>
            </w:r>
          </w:p>
        </w:tc>
      </w:tr>
      <w:tr w:rsidR="007671C9" w:rsidRPr="007671C9" w:rsidTr="00AD68C3">
        <w:tc>
          <w:tcPr>
            <w:tcW w:w="2603" w:type="dxa"/>
          </w:tcPr>
          <w:p w:rsidR="002D15FC" w:rsidRPr="007671C9" w:rsidRDefault="002D15FC" w:rsidP="00AD68C3">
            <w:pPr>
              <w:widowControl w:val="0"/>
              <w:autoSpaceDE w:val="0"/>
              <w:autoSpaceDN w:val="0"/>
              <w:adjustRightInd w:val="0"/>
              <w:ind w:right="-8"/>
            </w:pPr>
            <w:r w:rsidRPr="007671C9">
              <w:t>CO</w:t>
            </w:r>
            <w:r w:rsidRPr="007671C9">
              <w:rPr>
                <w:vertAlign w:val="subscript"/>
              </w:rPr>
              <w:t>2</w:t>
            </w:r>
          </w:p>
        </w:tc>
        <w:tc>
          <w:tcPr>
            <w:tcW w:w="2603" w:type="dxa"/>
          </w:tcPr>
          <w:p w:rsidR="002D15FC" w:rsidRPr="007671C9" w:rsidRDefault="002D15FC" w:rsidP="00AD68C3">
            <w:pPr>
              <w:widowControl w:val="0"/>
              <w:autoSpaceDE w:val="0"/>
              <w:autoSpaceDN w:val="0"/>
              <w:adjustRightInd w:val="0"/>
              <w:ind w:right="-8"/>
            </w:pPr>
            <w:r w:rsidRPr="007671C9">
              <w:t>2</w:t>
            </w:r>
          </w:p>
        </w:tc>
        <w:tc>
          <w:tcPr>
            <w:tcW w:w="2604" w:type="dxa"/>
          </w:tcPr>
          <w:p w:rsidR="002D15FC" w:rsidRPr="007671C9" w:rsidRDefault="002D15FC" w:rsidP="00AD68C3">
            <w:pPr>
              <w:widowControl w:val="0"/>
              <w:autoSpaceDE w:val="0"/>
              <w:autoSpaceDN w:val="0"/>
              <w:adjustRightInd w:val="0"/>
              <w:ind w:right="-8"/>
            </w:pPr>
            <w:r w:rsidRPr="007671C9">
              <w:t>2</w:t>
            </w:r>
          </w:p>
        </w:tc>
        <w:tc>
          <w:tcPr>
            <w:tcW w:w="2504" w:type="dxa"/>
          </w:tcPr>
          <w:p w:rsidR="002D15FC" w:rsidRPr="007671C9" w:rsidRDefault="002D15FC" w:rsidP="00AD68C3">
            <w:pPr>
              <w:widowControl w:val="0"/>
              <w:autoSpaceDE w:val="0"/>
              <w:autoSpaceDN w:val="0"/>
              <w:adjustRightInd w:val="0"/>
              <w:ind w:right="-8"/>
            </w:pPr>
            <w:r w:rsidRPr="007671C9">
              <w:t>3</w:t>
            </w:r>
          </w:p>
        </w:tc>
      </w:tr>
      <w:tr w:rsidR="002D15FC" w:rsidRPr="007671C9" w:rsidTr="00AD68C3">
        <w:tc>
          <w:tcPr>
            <w:tcW w:w="2603" w:type="dxa"/>
          </w:tcPr>
          <w:p w:rsidR="002D15FC" w:rsidRPr="007671C9" w:rsidRDefault="002D15FC" w:rsidP="00AD68C3">
            <w:pPr>
              <w:widowControl w:val="0"/>
              <w:autoSpaceDE w:val="0"/>
              <w:autoSpaceDN w:val="0"/>
              <w:adjustRightInd w:val="0"/>
              <w:ind w:right="-8"/>
            </w:pPr>
            <w:r w:rsidRPr="007671C9">
              <w:t>N</w:t>
            </w:r>
            <w:r w:rsidRPr="007671C9">
              <w:rPr>
                <w:vertAlign w:val="subscript"/>
              </w:rPr>
              <w:t>2</w:t>
            </w:r>
            <w:r w:rsidRPr="007671C9">
              <w:t>O</w:t>
            </w:r>
          </w:p>
        </w:tc>
        <w:tc>
          <w:tcPr>
            <w:tcW w:w="2603" w:type="dxa"/>
          </w:tcPr>
          <w:p w:rsidR="002D15FC" w:rsidRPr="007671C9" w:rsidRDefault="002D15FC" w:rsidP="00AD68C3">
            <w:pPr>
              <w:widowControl w:val="0"/>
              <w:autoSpaceDE w:val="0"/>
              <w:autoSpaceDN w:val="0"/>
              <w:adjustRightInd w:val="0"/>
              <w:ind w:right="-8"/>
            </w:pPr>
            <w:r w:rsidRPr="007671C9">
              <w:t>2</w:t>
            </w:r>
          </w:p>
        </w:tc>
        <w:tc>
          <w:tcPr>
            <w:tcW w:w="2604" w:type="dxa"/>
          </w:tcPr>
          <w:p w:rsidR="002D15FC" w:rsidRPr="007671C9" w:rsidRDefault="002D15FC" w:rsidP="00AD68C3">
            <w:pPr>
              <w:widowControl w:val="0"/>
              <w:autoSpaceDE w:val="0"/>
              <w:autoSpaceDN w:val="0"/>
              <w:adjustRightInd w:val="0"/>
              <w:ind w:right="-8"/>
            </w:pPr>
            <w:r w:rsidRPr="007671C9">
              <w:t>2</w:t>
            </w:r>
          </w:p>
        </w:tc>
        <w:tc>
          <w:tcPr>
            <w:tcW w:w="2504" w:type="dxa"/>
          </w:tcPr>
          <w:p w:rsidR="002D15FC" w:rsidRPr="007671C9" w:rsidRDefault="002D15FC" w:rsidP="00AD68C3">
            <w:pPr>
              <w:widowControl w:val="0"/>
              <w:autoSpaceDE w:val="0"/>
              <w:autoSpaceDN w:val="0"/>
              <w:adjustRightInd w:val="0"/>
              <w:ind w:right="-8"/>
            </w:pPr>
            <w:r w:rsidRPr="007671C9">
              <w:t>3</w:t>
            </w:r>
          </w:p>
        </w:tc>
      </w:tr>
    </w:tbl>
    <w:p w:rsidR="002D15FC" w:rsidRPr="007671C9" w:rsidRDefault="002D15FC" w:rsidP="002D15FC">
      <w:pPr>
        <w:widowControl w:val="0"/>
        <w:autoSpaceDE w:val="0"/>
        <w:autoSpaceDN w:val="0"/>
        <w:adjustRightInd w:val="0"/>
        <w:ind w:right="-8"/>
      </w:pPr>
    </w:p>
    <w:p w:rsidR="002D15FC" w:rsidRPr="007671C9" w:rsidRDefault="002D15FC" w:rsidP="002D15FC">
      <w:pPr>
        <w:widowControl w:val="0"/>
        <w:tabs>
          <w:tab w:val="left" w:pos="2267"/>
        </w:tabs>
        <w:autoSpaceDE w:val="0"/>
        <w:autoSpaceDN w:val="0"/>
        <w:adjustRightInd w:val="0"/>
        <w:ind w:right="-8"/>
        <w:rPr>
          <w:b/>
        </w:rPr>
      </w:pPr>
      <w:r w:rsidRPr="007671C9">
        <w:rPr>
          <w:b/>
        </w:rPr>
        <w:t>3. Ölçüm</w:t>
      </w:r>
      <w:r w:rsidRPr="007671C9">
        <w:rPr>
          <w:b/>
          <w:w w:val="103"/>
        </w:rPr>
        <w:t xml:space="preserve"> Bazlı Yöntemler Kullanarak Emisyonların Belirlenmesi</w:t>
      </w:r>
    </w:p>
    <w:p w:rsidR="002D15FC" w:rsidRPr="007671C9" w:rsidRDefault="002D15FC" w:rsidP="002D15FC">
      <w:pPr>
        <w:widowControl w:val="0"/>
        <w:autoSpaceDE w:val="0"/>
        <w:autoSpaceDN w:val="0"/>
        <w:adjustRightInd w:val="0"/>
        <w:ind w:right="-8"/>
      </w:pPr>
      <w:r w:rsidRPr="007671C9">
        <w:t>Denklem 1: Yıllık Emisyonların Hesaplanması</w:t>
      </w:r>
    </w:p>
    <w:p w:rsidR="002D15FC" w:rsidRPr="007671C9" w:rsidRDefault="002C1666" w:rsidP="002D15FC">
      <w:pPr>
        <w:widowControl w:val="0"/>
        <w:autoSpaceDE w:val="0"/>
        <w:autoSpaceDN w:val="0"/>
        <w:adjustRightInd w:val="0"/>
        <w:ind w:left="567" w:right="-8"/>
      </w:pPr>
      <m:oMathPara>
        <m:oMath>
          <m:sSub>
            <m:sSubPr>
              <m:ctrlPr>
                <w:rPr>
                  <w:rFonts w:ascii="Cambria Math" w:hAnsi="Cambria Math"/>
                  <w:i/>
                </w:rPr>
              </m:ctrlPr>
            </m:sSubPr>
            <m:e>
              <m:r>
                <w:rPr>
                  <w:rFonts w:ascii="Cambria Math" w:hAnsi="Cambria Math"/>
                </w:rPr>
                <m:t>SGE</m:t>
              </m:r>
            </m:e>
            <m:sub>
              <m:r>
                <w:rPr>
                  <w:rFonts w:ascii="Cambria Math" w:hAnsi="Cambria Math"/>
                </w:rPr>
                <m:t>yıllık toplam</m:t>
              </m:r>
            </m:sub>
          </m:sSub>
          <m:d>
            <m:dPr>
              <m:begChr m:val="["/>
              <m:endChr m:val="]"/>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m:rPr>
                  <m:sty m:val="p"/>
                </m:rPr>
                <w:rPr>
                  <w:rFonts w:ascii="Cambria Math" w:hAnsi="Cambria Math"/>
                  <w:sz w:val="20"/>
                  <w:szCs w:val="20"/>
                </w:rPr>
                <m:t xml:space="preserve">i </m:t>
              </m:r>
              <m:r>
                <m:rPr>
                  <m:sty m:val="p"/>
                </m:rPr>
                <w:rPr>
                  <w:rFonts w:ascii="Cambria Math" w:hAnsi="Cambria Math"/>
                  <w:w w:val="82"/>
                  <w:sz w:val="20"/>
                  <w:szCs w:val="20"/>
                </w:rPr>
                <m:t>= 1</m:t>
              </m:r>
            </m:sub>
            <m:sup>
              <m:r>
                <m:rPr>
                  <m:sty m:val="p"/>
                </m:rPr>
                <w:rPr>
                  <w:rFonts w:ascii="Cambria Math" w:hAnsi="Cambria Math"/>
                  <w:sz w:val="18"/>
                  <w:szCs w:val="18"/>
                </w:rPr>
                <m:t xml:space="preserve">yıllık işletim saatleri </m:t>
              </m:r>
            </m:sup>
            <m:e>
              <m:sSub>
                <m:sSubPr>
                  <m:ctrlPr>
                    <w:rPr>
                      <w:rFonts w:ascii="Cambria Math" w:hAnsi="Cambria Math"/>
                      <w:i/>
                    </w:rPr>
                  </m:ctrlPr>
                </m:sSubPr>
                <m:e>
                  <m:r>
                    <w:rPr>
                      <w:rFonts w:ascii="Cambria Math" w:hAnsi="Cambria Math"/>
                    </w:rPr>
                    <m:t>SGE konsantrasyonu</m:t>
                  </m:r>
                </m:e>
                <m:sub>
                  <m:r>
                    <w:rPr>
                      <w:rFonts w:ascii="Cambria Math" w:hAnsi="Cambria Math"/>
                    </w:rPr>
                    <m:t>saatlik i</m:t>
                  </m:r>
                </m:sub>
              </m:sSub>
            </m:e>
          </m:nary>
          <m:r>
            <w:rPr>
              <w:rFonts w:ascii="Cambria Math" w:hAnsi="Cambria Math"/>
            </w:rPr>
            <m:t xml:space="preserve">* </m:t>
          </m:r>
          <m:sSub>
            <m:sSubPr>
              <m:ctrlPr>
                <w:rPr>
                  <w:rFonts w:ascii="Cambria Math" w:hAnsi="Cambria Math"/>
                  <w:i/>
                </w:rPr>
              </m:ctrlPr>
            </m:sSubPr>
            <m:e>
              <m:r>
                <w:rPr>
                  <w:rFonts w:ascii="Cambria Math" w:hAnsi="Cambria Math"/>
                </w:rPr>
                <m:t>baca gazı akımı</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[t/g]</m:t>
          </m:r>
        </m:oMath>
      </m:oMathPara>
    </w:p>
    <w:p w:rsidR="002D15FC" w:rsidRPr="007671C9" w:rsidRDefault="002D15FC" w:rsidP="002D15FC">
      <w:pPr>
        <w:widowControl w:val="0"/>
        <w:autoSpaceDE w:val="0"/>
        <w:autoSpaceDN w:val="0"/>
        <w:adjustRightInd w:val="0"/>
        <w:ind w:left="567" w:right="-8"/>
      </w:pPr>
      <w:r w:rsidRPr="007671C9">
        <w:t>Burada;</w:t>
      </w:r>
    </w:p>
    <w:p w:rsidR="002D15FC" w:rsidRPr="007671C9" w:rsidRDefault="002D15FC" w:rsidP="002D15FC">
      <w:pPr>
        <w:widowControl w:val="0"/>
        <w:autoSpaceDE w:val="0"/>
        <w:autoSpaceDN w:val="0"/>
        <w:adjustRightInd w:val="0"/>
        <w:ind w:left="567" w:right="-8"/>
      </w:pPr>
      <w:r w:rsidRPr="007671C9">
        <w:t>SGE konsantrasyonu</w:t>
      </w:r>
      <w:r w:rsidRPr="007671C9">
        <w:rPr>
          <w:vertAlign w:val="subscript"/>
        </w:rPr>
        <w:t xml:space="preserve"> saatlik</w:t>
      </w:r>
      <w:r w:rsidRPr="007671C9">
        <w:t xml:space="preserve"> = işletim esnasında ölçülen baca gazı akışında g/Nm</w:t>
      </w:r>
      <w:r w:rsidRPr="007671C9">
        <w:rPr>
          <w:szCs w:val="23"/>
          <w:vertAlign w:val="superscript"/>
        </w:rPr>
        <w:t xml:space="preserve">3 </w:t>
      </w:r>
      <w:r w:rsidRPr="007671C9">
        <w:rPr>
          <w:szCs w:val="23"/>
        </w:rPr>
        <w:t>cinsinde emisyonların saatlik konsantrasyonlarını</w:t>
      </w:r>
      <w:r w:rsidRPr="007671C9">
        <w:t>,</w:t>
      </w:r>
    </w:p>
    <w:p w:rsidR="002D15FC" w:rsidRPr="007671C9" w:rsidRDefault="002D15FC" w:rsidP="002D15FC">
      <w:pPr>
        <w:widowControl w:val="0"/>
        <w:autoSpaceDE w:val="0"/>
        <w:autoSpaceDN w:val="0"/>
        <w:adjustRightInd w:val="0"/>
        <w:ind w:left="567" w:right="-8"/>
      </w:pPr>
      <w:r w:rsidRPr="007671C9">
        <w:t>Baca gazı akışı = her saat için Nm</w:t>
      </w:r>
      <w:r w:rsidRPr="007671C9">
        <w:rPr>
          <w:szCs w:val="23"/>
          <w:vertAlign w:val="superscript"/>
        </w:rPr>
        <w:t>3</w:t>
      </w:r>
      <w:r w:rsidRPr="007671C9">
        <w:t xml:space="preserve"> cinsinde baca gazı akışını</w:t>
      </w:r>
    </w:p>
    <w:p w:rsidR="002D15FC" w:rsidRPr="007671C9" w:rsidRDefault="002D15FC" w:rsidP="002D15FC">
      <w:pPr>
        <w:widowControl w:val="0"/>
        <w:autoSpaceDE w:val="0"/>
        <w:autoSpaceDN w:val="0"/>
        <w:adjustRightInd w:val="0"/>
        <w:ind w:left="567" w:right="-8"/>
      </w:pPr>
      <w:r w:rsidRPr="007671C9">
        <w:t>ifade eder.</w:t>
      </w:r>
    </w:p>
    <w:p w:rsidR="002D15FC" w:rsidRPr="007671C9" w:rsidRDefault="002D15FC" w:rsidP="002D15FC">
      <w:pPr>
        <w:widowControl w:val="0"/>
        <w:autoSpaceDE w:val="0"/>
        <w:autoSpaceDN w:val="0"/>
        <w:adjustRightInd w:val="0"/>
        <w:ind w:right="-8"/>
      </w:pPr>
      <w:bookmarkStart w:id="5" w:name="Pg113"/>
      <w:bookmarkEnd w:id="5"/>
      <w:r w:rsidRPr="007671C9">
        <w:t xml:space="preserve">Denklem 2: Ortalama Saatlik Konsantrasyonların Belirlenmesi </w:t>
      </w:r>
    </w:p>
    <w:p w:rsidR="002D15FC" w:rsidRPr="007671C9" w:rsidRDefault="002C1666" w:rsidP="002D15FC">
      <w:pPr>
        <w:widowControl w:val="0"/>
        <w:autoSpaceDE w:val="0"/>
        <w:autoSpaceDN w:val="0"/>
        <w:adjustRightInd w:val="0"/>
        <w:ind w:left="567" w:right="-8"/>
      </w:pPr>
      <m:oMathPara>
        <m:oMath>
          <m:sSub>
            <m:sSubPr>
              <m:ctrlPr>
                <w:rPr>
                  <w:rFonts w:ascii="Cambria Math" w:hAnsi="Cambria Math"/>
                  <w:i/>
                </w:rPr>
              </m:ctrlPr>
            </m:sSubPr>
            <m:e>
              <m:r>
                <w:rPr>
                  <w:rFonts w:ascii="Cambria Math" w:hAnsi="Cambria Math"/>
                </w:rPr>
                <m:t>SGE</m:t>
              </m:r>
            </m:e>
            <m:sub>
              <m:r>
                <w:rPr>
                  <w:rFonts w:ascii="Cambria Math" w:hAnsi="Cambria Math"/>
                </w:rPr>
                <m:t>ort.  saatlik</m:t>
              </m:r>
            </m:sub>
          </m:sSub>
          <m:r>
            <w:rPr>
              <w:rFonts w:ascii="Cambria Math" w:hAnsi="Cambria Math"/>
            </w:rPr>
            <m:t>[kg/sa]=</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SGE konsantrasyonu</m:t>
                      </m:r>
                    </m:e>
                    <m:sub>
                      <m:r>
                        <w:rPr>
                          <w:rFonts w:ascii="Cambria Math" w:hAnsi="Cambria Math"/>
                        </w:rPr>
                        <m:t>saatlik</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N</m:t>
                          </m:r>
                          <m:sSup>
                            <m:sSupPr>
                              <m:ctrlPr>
                                <w:rPr>
                                  <w:rFonts w:ascii="Cambria Math" w:hAnsi="Cambria Math"/>
                                  <w:i/>
                                </w:rPr>
                              </m:ctrlPr>
                            </m:sSupPr>
                            <m:e>
                              <m:r>
                                <w:rPr>
                                  <w:rFonts w:ascii="Cambria Math" w:hAnsi="Cambria Math"/>
                                </w:rPr>
                                <m:t>m</m:t>
                              </m:r>
                            </m:e>
                            <m:sup>
                              <m:r>
                                <w:rPr>
                                  <w:rFonts w:ascii="Cambria Math" w:hAnsi="Cambria Math"/>
                                </w:rPr>
                                <m:t>3</m:t>
                              </m:r>
                            </m:sup>
                          </m:sSup>
                        </m:den>
                      </m:f>
                    </m:e>
                  </m:d>
                  <m:r>
                    <w:rPr>
                      <w:rFonts w:ascii="Cambria Math" w:hAnsi="Cambria Math"/>
                    </w:rPr>
                    <m:t>*baca gazı akışı [N</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/sa]</m:t>
                  </m:r>
                </m:e>
              </m:nary>
            </m:num>
            <m:den>
              <m:r>
                <w:rPr>
                  <w:rFonts w:ascii="Cambria Math" w:hAnsi="Cambria Math"/>
                </w:rPr>
                <m:t>işletim süresi [sa]*1000</m:t>
              </m:r>
            </m:den>
          </m:f>
        </m:oMath>
      </m:oMathPara>
    </w:p>
    <w:p w:rsidR="002D15FC" w:rsidRPr="007671C9" w:rsidRDefault="002D15FC" w:rsidP="002D15FC">
      <w:pPr>
        <w:widowControl w:val="0"/>
        <w:autoSpaceDE w:val="0"/>
        <w:autoSpaceDN w:val="0"/>
        <w:adjustRightInd w:val="0"/>
        <w:ind w:left="567" w:right="-8"/>
      </w:pPr>
      <w:r w:rsidRPr="007671C9">
        <w:t>Burada;</w:t>
      </w:r>
    </w:p>
    <w:p w:rsidR="002D15FC" w:rsidRPr="007671C9" w:rsidRDefault="002D15FC" w:rsidP="002D15FC">
      <w:pPr>
        <w:widowControl w:val="0"/>
        <w:autoSpaceDE w:val="0"/>
        <w:autoSpaceDN w:val="0"/>
        <w:adjustRightInd w:val="0"/>
        <w:ind w:left="567" w:right="-8"/>
      </w:pPr>
      <w:r w:rsidRPr="007671C9">
        <w:t xml:space="preserve">SGE </w:t>
      </w:r>
      <w:r w:rsidRPr="007671C9">
        <w:rPr>
          <w:vertAlign w:val="subscript"/>
        </w:rPr>
        <w:t>ort saatlik</w:t>
      </w:r>
      <w:r w:rsidRPr="007671C9">
        <w:t xml:space="preserve"> = Kaynaktaki kg/sa cinsinde yıllık ortalama saatlik emisyonları, </w:t>
      </w:r>
    </w:p>
    <w:p w:rsidR="002D15FC" w:rsidRPr="007671C9" w:rsidRDefault="002D15FC" w:rsidP="002D15FC">
      <w:pPr>
        <w:widowControl w:val="0"/>
        <w:autoSpaceDE w:val="0"/>
        <w:autoSpaceDN w:val="0"/>
        <w:adjustRightInd w:val="0"/>
        <w:ind w:left="567" w:right="-8"/>
        <w:jc w:val="both"/>
      </w:pPr>
      <w:r w:rsidRPr="007671C9">
        <w:t>SGE konsantrasyonu</w:t>
      </w:r>
      <w:r w:rsidRPr="007671C9">
        <w:rPr>
          <w:vertAlign w:val="subscript"/>
        </w:rPr>
        <w:t xml:space="preserve"> saatlik</w:t>
      </w:r>
      <w:r w:rsidRPr="007671C9">
        <w:t xml:space="preserve"> = İşletim sırasında ölçülen akış gazındaki g/Nm</w:t>
      </w:r>
      <w:r w:rsidRPr="007671C9">
        <w:rPr>
          <w:szCs w:val="23"/>
          <w:vertAlign w:val="superscript"/>
        </w:rPr>
        <w:t xml:space="preserve">3 </w:t>
      </w:r>
      <w:r w:rsidRPr="007671C9">
        <w:rPr>
          <w:szCs w:val="23"/>
        </w:rPr>
        <w:t>cinsinde emisyonların saatlik konsantrasyonlarını</w:t>
      </w:r>
      <w:r w:rsidRPr="007671C9">
        <w:t xml:space="preserve">, </w:t>
      </w:r>
    </w:p>
    <w:p w:rsidR="002D15FC" w:rsidRPr="007671C9" w:rsidRDefault="002D15FC" w:rsidP="002D15FC">
      <w:pPr>
        <w:widowControl w:val="0"/>
        <w:autoSpaceDE w:val="0"/>
        <w:autoSpaceDN w:val="0"/>
        <w:adjustRightInd w:val="0"/>
        <w:ind w:left="567" w:right="-8"/>
        <w:jc w:val="both"/>
      </w:pPr>
      <w:r w:rsidRPr="007671C9">
        <w:t>Baca gazı akışı = Her saat için Nm</w:t>
      </w:r>
      <w:r w:rsidRPr="007671C9">
        <w:rPr>
          <w:szCs w:val="23"/>
          <w:vertAlign w:val="superscript"/>
        </w:rPr>
        <w:t>3</w:t>
      </w:r>
      <w:r w:rsidRPr="007671C9">
        <w:t xml:space="preserve"> cinsinde baca gazı akışını</w:t>
      </w:r>
    </w:p>
    <w:p w:rsidR="002D15FC" w:rsidRPr="007671C9" w:rsidRDefault="002D15FC" w:rsidP="002D15FC">
      <w:pPr>
        <w:widowControl w:val="0"/>
        <w:autoSpaceDE w:val="0"/>
        <w:autoSpaceDN w:val="0"/>
        <w:adjustRightInd w:val="0"/>
        <w:ind w:left="567" w:right="-8"/>
        <w:jc w:val="both"/>
      </w:pPr>
      <w:r w:rsidRPr="007671C9">
        <w:t xml:space="preserve">ifade eder. </w:t>
      </w:r>
    </w:p>
    <w:p w:rsidR="002D15FC" w:rsidRPr="007671C9" w:rsidRDefault="002D15FC" w:rsidP="002D15FC">
      <w:pPr>
        <w:widowControl w:val="0"/>
        <w:autoSpaceDE w:val="0"/>
        <w:autoSpaceDN w:val="0"/>
        <w:adjustRightInd w:val="0"/>
        <w:ind w:left="567" w:right="-8"/>
        <w:jc w:val="both"/>
      </w:pPr>
    </w:p>
    <w:p w:rsidR="002D15FC" w:rsidRPr="007671C9" w:rsidRDefault="002D15FC" w:rsidP="002D15FC">
      <w:pPr>
        <w:widowControl w:val="0"/>
        <w:tabs>
          <w:tab w:val="left" w:pos="2267"/>
        </w:tabs>
        <w:autoSpaceDE w:val="0"/>
        <w:autoSpaceDN w:val="0"/>
        <w:adjustRightInd w:val="0"/>
        <w:ind w:right="-8"/>
        <w:jc w:val="both"/>
        <w:rPr>
          <w:b/>
        </w:rPr>
      </w:pPr>
      <w:r w:rsidRPr="007671C9">
        <w:rPr>
          <w:b/>
        </w:rPr>
        <w:t>4. Dolaylı Konsantrasyon Ölçüm Yöntemi Kullanılarak Konsantrasyon Hesaplanması</w:t>
      </w:r>
    </w:p>
    <w:p w:rsidR="002D15FC" w:rsidRPr="007671C9" w:rsidRDefault="002D15FC" w:rsidP="002D15FC">
      <w:pPr>
        <w:widowControl w:val="0"/>
        <w:autoSpaceDE w:val="0"/>
        <w:autoSpaceDN w:val="0"/>
        <w:adjustRightInd w:val="0"/>
        <w:ind w:right="-8"/>
        <w:jc w:val="both"/>
        <w:rPr>
          <w:w w:val="109"/>
          <w:sz w:val="18"/>
          <w:szCs w:val="19"/>
        </w:rPr>
      </w:pPr>
    </w:p>
    <w:p w:rsidR="002D15FC" w:rsidRPr="007671C9" w:rsidRDefault="002D15FC" w:rsidP="002D15FC">
      <w:pPr>
        <w:widowControl w:val="0"/>
        <w:autoSpaceDE w:val="0"/>
        <w:autoSpaceDN w:val="0"/>
        <w:adjustRightInd w:val="0"/>
        <w:ind w:right="-8"/>
        <w:jc w:val="both"/>
      </w:pPr>
      <w:r w:rsidRPr="007671C9">
        <w:t xml:space="preserve">Denklem 3: Konsantrasyon Hesaplanması </w:t>
      </w:r>
    </w:p>
    <w:p w:rsidR="002D15FC" w:rsidRPr="007671C9" w:rsidRDefault="002D15FC" w:rsidP="002D15FC">
      <w:pPr>
        <w:widowControl w:val="0"/>
        <w:autoSpaceDE w:val="0"/>
        <w:autoSpaceDN w:val="0"/>
        <w:adjustRightInd w:val="0"/>
        <w:ind w:left="602" w:right="-8"/>
      </w:pPr>
      <m:oMathPara>
        <m:oMath>
          <m:r>
            <w:rPr>
              <w:rFonts w:ascii="Cambria Math" w:hAnsi="Cambria Math"/>
            </w:rPr>
            <m:t xml:space="preserve">SGE konsantrasyonu </m:t>
          </m:r>
          <m:d>
            <m:dPr>
              <m:begChr m:val="["/>
              <m:endChr m:val="]"/>
              <m:ctrlPr>
                <w:rPr>
                  <w:rFonts w:ascii="Cambria Math" w:hAnsi="Cambria Math"/>
                  <w:i/>
                </w:rPr>
              </m:ctrlPr>
            </m:dPr>
            <m:e>
              <m:r>
                <w:rPr>
                  <w:rFonts w:ascii="Cambria Math" w:hAnsi="Cambria Math"/>
                </w:rPr>
                <m:t>%</m:t>
              </m:r>
            </m:e>
          </m:d>
          <m:r>
            <w:rPr>
              <w:rFonts w:ascii="Cambria Math" w:hAnsi="Cambria Math"/>
            </w:rPr>
            <m:t>=100%-</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Bileşen konsantrasyonu</m:t>
                  </m:r>
                </m:e>
                <m:sub>
                  <m:r>
                    <w:rPr>
                      <w:rFonts w:ascii="Cambria Math" w:hAnsi="Cambria Math"/>
                    </w:rPr>
                    <m:t>i</m:t>
                  </m:r>
                </m:sub>
              </m:sSub>
              <m:r>
                <w:rPr>
                  <w:rFonts w:ascii="Cambria Math" w:hAnsi="Cambria Math"/>
                </w:rPr>
                <m:t>[%]</m:t>
              </m:r>
            </m:e>
          </m:nary>
        </m:oMath>
      </m:oMathPara>
    </w:p>
    <w:p w:rsidR="002D15FC" w:rsidRPr="007671C9" w:rsidRDefault="002D15FC" w:rsidP="002D15FC">
      <w:pPr>
        <w:widowControl w:val="0"/>
        <w:tabs>
          <w:tab w:val="left" w:pos="2267"/>
        </w:tabs>
        <w:autoSpaceDE w:val="0"/>
        <w:autoSpaceDN w:val="0"/>
        <w:adjustRightInd w:val="0"/>
        <w:ind w:right="-8"/>
        <w:jc w:val="both"/>
        <w:rPr>
          <w:b/>
        </w:rPr>
      </w:pPr>
    </w:p>
    <w:p w:rsidR="002D15FC" w:rsidRPr="007671C9" w:rsidRDefault="002D15FC" w:rsidP="002D15FC">
      <w:pPr>
        <w:widowControl w:val="0"/>
        <w:tabs>
          <w:tab w:val="left" w:pos="2267"/>
        </w:tabs>
        <w:autoSpaceDE w:val="0"/>
        <w:autoSpaceDN w:val="0"/>
        <w:adjustRightInd w:val="0"/>
        <w:ind w:right="-8"/>
        <w:jc w:val="both"/>
        <w:rPr>
          <w:b/>
        </w:rPr>
      </w:pPr>
      <w:r w:rsidRPr="007671C9">
        <w:rPr>
          <w:b/>
        </w:rPr>
        <w:t>5. Ölçüm Bazlı Yöntembilimleri İçin Kayıp Konsantrasyon Verisini İkame Etmek</w:t>
      </w:r>
    </w:p>
    <w:p w:rsidR="002D15FC" w:rsidRPr="007671C9" w:rsidRDefault="002D15FC" w:rsidP="002D15FC">
      <w:pPr>
        <w:widowControl w:val="0"/>
        <w:autoSpaceDE w:val="0"/>
        <w:autoSpaceDN w:val="0"/>
        <w:adjustRightInd w:val="0"/>
        <w:ind w:right="-8"/>
        <w:jc w:val="both"/>
      </w:pPr>
      <w:r w:rsidRPr="007671C9">
        <w:t xml:space="preserve">Denklem 4: Ölçüm Bazlı Yöntemler İçin Kayıp Veri İkame Edilmesi </w:t>
      </w:r>
    </w:p>
    <w:p w:rsidR="002D15FC" w:rsidRPr="007671C9" w:rsidRDefault="002D15FC" w:rsidP="002D15FC">
      <w:pPr>
        <w:widowControl w:val="0"/>
        <w:autoSpaceDE w:val="0"/>
        <w:autoSpaceDN w:val="0"/>
        <w:adjustRightInd w:val="0"/>
        <w:ind w:right="-8"/>
      </w:pPr>
    </w:p>
    <w:p w:rsidR="002D15FC" w:rsidRPr="007671C9" w:rsidRDefault="002C1666" w:rsidP="002D15FC">
      <w:pPr>
        <w:widowControl w:val="0"/>
        <w:autoSpaceDE w:val="0"/>
        <w:autoSpaceDN w:val="0"/>
        <w:adjustRightInd w:val="0"/>
        <w:ind w:left="602" w:right="-8"/>
      </w:pPr>
      <m:oMathPara>
        <m:oMath>
          <m:sSubSup>
            <m:sSubSupPr>
              <m:ctrlPr>
                <w:rPr>
                  <w:rFonts w:ascii="Cambria Math" w:hAnsi="Cambria Math"/>
                  <w:i/>
                </w:rPr>
              </m:ctrlPr>
            </m:sSubSupPr>
            <m:e>
              <m:r>
                <w:rPr>
                  <w:rFonts w:ascii="Cambria Math" w:hAnsi="Cambria Math"/>
                </w:rPr>
                <m:t>C</m:t>
              </m:r>
            </m:e>
            <m:sub>
              <m:r>
                <w:rPr>
                  <w:rFonts w:ascii="Cambria Math" w:hAnsi="Cambria Math"/>
                </w:rPr>
                <m:t>subst</m:t>
              </m:r>
            </m:sub>
            <m:sup>
              <m:r>
                <w:rPr>
                  <w:rFonts w:ascii="Cambria Math" w:hAnsi="Cambria Math"/>
                </w:rPr>
                <m:t>*</m:t>
              </m:r>
            </m:sup>
          </m:sSubSup>
          <m:r>
            <w:rPr>
              <w:rFonts w:ascii="Cambria Math" w:hAnsi="Cambria Math"/>
            </w:rPr>
            <m:t>=</m:t>
          </m:r>
          <m:acc>
            <m:accPr>
              <m:chr m:val="̅"/>
              <m:ctrlPr>
                <w:rPr>
                  <w:rFonts w:ascii="Cambria Math" w:hAnsi="Cambria Math"/>
                  <w:i/>
                </w:rPr>
              </m:ctrlPr>
            </m:accPr>
            <m:e>
              <m:r>
                <w:rPr>
                  <w:rFonts w:ascii="Cambria Math" w:hAnsi="Cambria Math"/>
                </w:rPr>
                <m:t>C</m:t>
              </m:r>
            </m:e>
          </m:acc>
          <m:r>
            <w:rPr>
              <w:rFonts w:ascii="Cambria Math" w:hAnsi="Cambria Math"/>
            </w:rPr>
            <m:t>+2σc_</m:t>
          </m:r>
        </m:oMath>
      </m:oMathPara>
    </w:p>
    <w:p w:rsidR="002D15FC" w:rsidRPr="007671C9" w:rsidRDefault="002D15FC" w:rsidP="002D15FC">
      <w:pPr>
        <w:widowControl w:val="0"/>
        <w:autoSpaceDE w:val="0"/>
        <w:autoSpaceDN w:val="0"/>
        <w:adjustRightInd w:val="0"/>
        <w:ind w:left="567" w:right="-8"/>
        <w:jc w:val="both"/>
        <w:rPr>
          <w:w w:val="104"/>
        </w:rPr>
      </w:pPr>
      <w:r w:rsidRPr="007671C9">
        <w:rPr>
          <w:w w:val="104"/>
        </w:rPr>
        <w:t>Burada;</w:t>
      </w:r>
    </w:p>
    <w:p w:rsidR="002D15FC" w:rsidRPr="007671C9" w:rsidRDefault="002D15FC" w:rsidP="002D15FC">
      <w:pPr>
        <w:widowControl w:val="0"/>
        <w:autoSpaceDE w:val="0"/>
        <w:autoSpaceDN w:val="0"/>
        <w:adjustRightInd w:val="0"/>
        <w:ind w:left="567" w:right="-8"/>
        <w:jc w:val="both"/>
      </w:pPr>
      <w:r w:rsidRPr="007671C9">
        <w:rPr>
          <w:w w:val="104"/>
        </w:rPr>
        <w:t>C = Bütün raporlama döneminde veya veri kaybının gerçekleştiği durumlarda uygulanan özel koşulları yansıtan uygun bir dönem boyunca, ilgili parametrenin konsantrasyonunun aritmetik ortalaması</w:t>
      </w:r>
      <w:r w:rsidRPr="007671C9">
        <w:t xml:space="preserve">nı, </w:t>
      </w:r>
    </w:p>
    <w:p w:rsidR="002D15FC" w:rsidRPr="007671C9" w:rsidRDefault="002D15FC" w:rsidP="002D15FC">
      <w:pPr>
        <w:widowControl w:val="0"/>
        <w:autoSpaceDE w:val="0"/>
        <w:autoSpaceDN w:val="0"/>
        <w:adjustRightInd w:val="0"/>
        <w:ind w:left="567" w:right="-8"/>
        <w:jc w:val="both"/>
      </w:pPr>
      <w:r w:rsidRPr="007671C9">
        <w:t>σ</w:t>
      </w:r>
      <w:r w:rsidRPr="007671C9">
        <w:rPr>
          <w:vertAlign w:val="subscript"/>
        </w:rPr>
        <w:t>C_</w:t>
      </w:r>
      <w:r w:rsidRPr="007671C9">
        <w:t xml:space="preserve"> = </w:t>
      </w:r>
      <w:r w:rsidRPr="007671C9">
        <w:rPr>
          <w:w w:val="104"/>
        </w:rPr>
        <w:t>Bütün raporlama döneminde veya veri kaybının gerçekleştiği durumlarda uygulanan özel koşulları yansıtan uygun bir dönem boyunca, ilgili parametrenin konsantrasyonunun standart sapmasının en iyi tahminini</w:t>
      </w:r>
    </w:p>
    <w:p w:rsidR="002D15FC" w:rsidRPr="007671C9" w:rsidRDefault="002D15FC" w:rsidP="002D15FC">
      <w:pPr>
        <w:widowControl w:val="0"/>
        <w:autoSpaceDE w:val="0"/>
        <w:autoSpaceDN w:val="0"/>
        <w:adjustRightInd w:val="0"/>
        <w:ind w:left="567" w:right="-8"/>
        <w:jc w:val="both"/>
      </w:pPr>
      <w:r w:rsidRPr="007671C9">
        <w:t xml:space="preserve">ifade eder. </w:t>
      </w:r>
    </w:p>
    <w:p w:rsidR="002D15FC" w:rsidRPr="007671C9" w:rsidRDefault="002D15FC"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915C54">
      <w:pPr>
        <w:widowControl w:val="0"/>
        <w:autoSpaceDE w:val="0"/>
        <w:autoSpaceDN w:val="0"/>
        <w:adjustRightInd w:val="0"/>
        <w:ind w:right="-8"/>
        <w:jc w:val="center"/>
        <w:rPr>
          <w:rFonts w:cs="Times New Roman"/>
          <w:b/>
        </w:rPr>
      </w:pPr>
      <w:r w:rsidRPr="007671C9">
        <w:rPr>
          <w:rFonts w:cs="Times New Roman"/>
          <w:b/>
        </w:rPr>
        <w:lastRenderedPageBreak/>
        <w:t>EK</w:t>
      </w:r>
      <w:r w:rsidRPr="007671C9">
        <w:rPr>
          <w:rFonts w:cs="Times New Roman"/>
        </w:rPr>
        <w:t>-</w:t>
      </w:r>
      <w:r w:rsidRPr="007671C9">
        <w:rPr>
          <w:rFonts w:cs="Times New Roman"/>
          <w:b/>
        </w:rPr>
        <w:t>8</w:t>
      </w:r>
    </w:p>
    <w:p w:rsidR="00915C54" w:rsidRPr="007671C9" w:rsidRDefault="00915C54" w:rsidP="00915C54">
      <w:pPr>
        <w:widowControl w:val="0"/>
        <w:autoSpaceDE w:val="0"/>
        <w:autoSpaceDN w:val="0"/>
        <w:adjustRightInd w:val="0"/>
        <w:ind w:right="-8"/>
        <w:jc w:val="center"/>
        <w:rPr>
          <w:rFonts w:cs="Times New Roman"/>
          <w:b/>
          <w:w w:val="105"/>
        </w:rPr>
      </w:pPr>
      <w:r w:rsidRPr="007671C9">
        <w:rPr>
          <w:rFonts w:cs="Times New Roman"/>
          <w:b/>
          <w:w w:val="105"/>
        </w:rPr>
        <w:t>57 İNCİ MADDENİN BİRİNCİ FIKRASI UYARINCA SAKLANACAK ASGARİ VERİ VE BİLGİ</w:t>
      </w:r>
    </w:p>
    <w:p w:rsidR="00915C54" w:rsidRPr="007671C9" w:rsidRDefault="00915C54" w:rsidP="00915C54">
      <w:pPr>
        <w:widowControl w:val="0"/>
        <w:autoSpaceDE w:val="0"/>
        <w:autoSpaceDN w:val="0"/>
        <w:adjustRightInd w:val="0"/>
        <w:ind w:right="-8"/>
        <w:jc w:val="both"/>
        <w:rPr>
          <w:rFonts w:cs="Times New Roman"/>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tr-TR"/>
        </w:rPr>
      </w:pPr>
      <w:r w:rsidRPr="007671C9">
        <w:rPr>
          <w:rFonts w:asciiTheme="minorHAnsi" w:hAnsiTheme="minorHAnsi"/>
          <w:lang w:val="tr-TR"/>
        </w:rPr>
        <w:t>Bakanlık tarafından onaylanan doğrulanmış izleme planı,</w:t>
      </w:r>
    </w:p>
    <w:p w:rsidR="00915C54" w:rsidRPr="007671C9" w:rsidRDefault="00915C54" w:rsidP="00915C54">
      <w:pPr>
        <w:pStyle w:val="ListeParagraf"/>
        <w:tabs>
          <w:tab w:val="left" w:pos="426"/>
          <w:tab w:val="left" w:pos="851"/>
        </w:tabs>
        <w:adjustRightInd w:val="0"/>
        <w:ind w:left="0" w:right="-8"/>
        <w:rPr>
          <w:rFonts w:asciiTheme="minorHAnsi" w:hAnsiTheme="minorHAnsi"/>
          <w:lang w:val="tr-TR"/>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tr-TR"/>
        </w:rPr>
      </w:pPr>
      <w:r w:rsidRPr="007671C9">
        <w:rPr>
          <w:rFonts w:asciiTheme="minorHAnsi" w:hAnsiTheme="minorHAnsi"/>
          <w:lang w:val="tr-TR"/>
        </w:rPr>
        <w:t>İzleme yöntemi seçimini ve Bakanlıkça onaylanmış izleme yönteminde ve kademelerde varsa geçici veya geçici olmayan değişiklikleri gerekçelendiren dokümanlar,</w:t>
      </w:r>
    </w:p>
    <w:p w:rsidR="00915C54" w:rsidRPr="007671C9" w:rsidRDefault="00915C54" w:rsidP="00915C54">
      <w:pPr>
        <w:pStyle w:val="ListeParagraf"/>
        <w:tabs>
          <w:tab w:val="left" w:pos="426"/>
          <w:tab w:val="left" w:pos="851"/>
        </w:tabs>
        <w:adjustRightInd w:val="0"/>
        <w:ind w:left="0" w:right="-8"/>
        <w:rPr>
          <w:rFonts w:asciiTheme="minorHAnsi" w:hAnsiTheme="minorHAnsi"/>
          <w:lang w:val="tr-TR"/>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tr-TR"/>
        </w:rPr>
      </w:pPr>
      <w:r w:rsidRPr="007671C9">
        <w:rPr>
          <w:rFonts w:asciiTheme="minorHAnsi" w:hAnsiTheme="minorHAnsi"/>
          <w:lang w:val="tr-TR"/>
        </w:rPr>
        <w:t>14 üncü madde uyarınca Bakanlığa sunulan izleme planı değişiklikleri ve Bakanlığın cevapları,</w:t>
      </w:r>
    </w:p>
    <w:p w:rsidR="00915C54" w:rsidRPr="007671C9" w:rsidRDefault="00915C54" w:rsidP="00915C54">
      <w:pPr>
        <w:pStyle w:val="ListeParagraf"/>
        <w:rPr>
          <w:rFonts w:asciiTheme="minorHAnsi" w:hAnsiTheme="minorHAnsi"/>
          <w:lang w:val="tr-TR"/>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tr-TR"/>
        </w:rPr>
      </w:pPr>
      <w:r w:rsidRPr="007671C9">
        <w:rPr>
          <w:rFonts w:asciiTheme="minorHAnsi" w:hAnsiTheme="minorHAnsi"/>
          <w:lang w:val="tr-TR"/>
        </w:rPr>
        <w:t>İzleme planında atıfta bulunulan bütün yazılı prosedürler, varsa örnekleme planı, veri akış faaliyetleri için prosedürler ve kontrol faaliyetleri için prosedürler,</w:t>
      </w:r>
    </w:p>
    <w:p w:rsidR="00915C54" w:rsidRPr="007671C9" w:rsidRDefault="00915C54" w:rsidP="00915C54">
      <w:pPr>
        <w:pStyle w:val="ListeParagraf"/>
        <w:rPr>
          <w:rFonts w:asciiTheme="minorHAnsi" w:hAnsiTheme="minorHAnsi"/>
          <w:lang w:val="tr-TR"/>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de-DE"/>
        </w:rPr>
      </w:pPr>
      <w:r w:rsidRPr="007671C9">
        <w:rPr>
          <w:rFonts w:asciiTheme="minorHAnsi" w:hAnsiTheme="minorHAnsi"/>
          <w:lang w:val="de-DE"/>
        </w:rPr>
        <w:t>İzleme planının ve prosedürlerin kullanılan bütün sürümlerinin listesi,</w:t>
      </w:r>
    </w:p>
    <w:p w:rsidR="00915C54" w:rsidRPr="007671C9" w:rsidRDefault="00915C54" w:rsidP="00915C54">
      <w:pPr>
        <w:pStyle w:val="ListeParagraf"/>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de-DE"/>
        </w:rPr>
      </w:pPr>
      <w:r w:rsidRPr="007671C9">
        <w:rPr>
          <w:rFonts w:asciiTheme="minorHAnsi" w:hAnsiTheme="minorHAnsi"/>
          <w:lang w:val="de-DE"/>
        </w:rPr>
        <w:t>İzleme ve raporlama ile bağlantılı sorumlulukların dokümantasyonu,</w:t>
      </w:r>
    </w:p>
    <w:p w:rsidR="00915C54" w:rsidRPr="007671C9" w:rsidRDefault="00915C54" w:rsidP="00915C54">
      <w:pPr>
        <w:pStyle w:val="ListeParagraf"/>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de-DE"/>
        </w:rPr>
      </w:pPr>
      <w:r w:rsidRPr="007671C9">
        <w:rPr>
          <w:rFonts w:asciiTheme="minorHAnsi" w:hAnsiTheme="minorHAnsi"/>
          <w:lang w:val="de-DE"/>
        </w:rPr>
        <w:t>Varsa, işletme tarafından yürütülen risk değerlendirmeleri,</w:t>
      </w:r>
    </w:p>
    <w:p w:rsidR="00915C54" w:rsidRPr="007671C9" w:rsidRDefault="00915C54" w:rsidP="00915C54">
      <w:pPr>
        <w:pStyle w:val="ListeParagraf"/>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de-DE"/>
        </w:rPr>
      </w:pPr>
      <w:r w:rsidRPr="007671C9">
        <w:rPr>
          <w:rFonts w:asciiTheme="minorHAnsi" w:hAnsiTheme="minorHAnsi"/>
          <w:lang w:val="de-DE"/>
        </w:rPr>
        <w:t>59 uncu madde uyarınca hazırlanan iyileştirme raporları,</w:t>
      </w:r>
    </w:p>
    <w:p w:rsidR="00915C54" w:rsidRPr="007671C9" w:rsidRDefault="00915C54" w:rsidP="00915C54">
      <w:pPr>
        <w:pStyle w:val="ListeParagraf"/>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Doğrulanmış yıllık emisyon raporu,</w:t>
      </w:r>
    </w:p>
    <w:p w:rsidR="00915C54" w:rsidRPr="007671C9" w:rsidRDefault="00915C54" w:rsidP="00915C54">
      <w:pPr>
        <w:pStyle w:val="ListeParagraf"/>
        <w:rPr>
          <w:rFonts w:asciiTheme="minorHAnsi" w:hAnsiTheme="minorHAnsi"/>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Doğrulama raporları,</w:t>
      </w:r>
    </w:p>
    <w:p w:rsidR="00915C54" w:rsidRPr="007671C9" w:rsidRDefault="00915C54" w:rsidP="00915C54">
      <w:pPr>
        <w:pStyle w:val="ListeParagraf"/>
        <w:rPr>
          <w:rFonts w:asciiTheme="minorHAnsi" w:hAnsiTheme="minorHAnsi"/>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İzleme planının ve yıllık emisyon raporunun doğrulanması için gerekli diğer bilgiler,</w:t>
      </w:r>
    </w:p>
    <w:p w:rsidR="00915C54" w:rsidRPr="007671C9" w:rsidRDefault="00915C54" w:rsidP="00915C54">
      <w:pPr>
        <w:pStyle w:val="ListeParagraf"/>
        <w:rPr>
          <w:rFonts w:asciiTheme="minorHAnsi" w:hAnsiTheme="minorHAnsi"/>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w w:val="101"/>
        </w:rPr>
      </w:pPr>
      <w:r w:rsidRPr="007671C9">
        <w:rPr>
          <w:rFonts w:asciiTheme="minorHAnsi" w:hAnsiTheme="minorHAnsi"/>
        </w:rPr>
        <w:t>Varsa, belirsizlik değerlendirmeleri,</w:t>
      </w:r>
    </w:p>
    <w:p w:rsidR="00915C54" w:rsidRPr="007671C9" w:rsidRDefault="00915C54" w:rsidP="00915C54">
      <w:pPr>
        <w:pStyle w:val="ListeParagraf"/>
        <w:rPr>
          <w:rFonts w:asciiTheme="minorHAnsi" w:hAnsiTheme="minorHAnsi"/>
          <w:w w:val="101"/>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Tesislerde uygulanan hesaplama temelli yöntemler için:</w:t>
      </w:r>
    </w:p>
    <w:p w:rsidR="00915C54" w:rsidRPr="007671C9" w:rsidRDefault="00915C54" w:rsidP="00915C54">
      <w:pPr>
        <w:pStyle w:val="ListeParagraf"/>
        <w:numPr>
          <w:ilvl w:val="0"/>
          <w:numId w:val="40"/>
        </w:numPr>
        <w:tabs>
          <w:tab w:val="left" w:pos="567"/>
        </w:tabs>
        <w:adjustRightInd w:val="0"/>
        <w:ind w:left="737" w:right="-8" w:hanging="312"/>
        <w:contextualSpacing/>
        <w:rPr>
          <w:rFonts w:asciiTheme="minorHAnsi" w:hAnsiTheme="minorHAnsi"/>
        </w:rPr>
      </w:pPr>
      <w:r w:rsidRPr="007671C9">
        <w:rPr>
          <w:rFonts w:asciiTheme="minorHAnsi" w:hAnsiTheme="minorHAnsi"/>
        </w:rPr>
        <w:t>Proses, yakıt veya malzeme tipine göre kategorize edilmiş şekilde, her bir kaynak akışı için emisyon hesaplanmasında kullanılan faaliyet verileri,</w:t>
      </w:r>
    </w:p>
    <w:p w:rsidR="00915C54" w:rsidRPr="007671C9" w:rsidRDefault="00915C54" w:rsidP="00915C54">
      <w:pPr>
        <w:pStyle w:val="ListeParagraf"/>
        <w:numPr>
          <w:ilvl w:val="0"/>
          <w:numId w:val="40"/>
        </w:numPr>
        <w:tabs>
          <w:tab w:val="left" w:pos="567"/>
        </w:tabs>
        <w:adjustRightInd w:val="0"/>
        <w:ind w:left="737" w:right="-8" w:hanging="312"/>
        <w:contextualSpacing/>
        <w:rPr>
          <w:rFonts w:asciiTheme="minorHAnsi" w:hAnsiTheme="minorHAnsi"/>
        </w:rPr>
      </w:pPr>
      <w:r w:rsidRPr="007671C9">
        <w:rPr>
          <w:rFonts w:asciiTheme="minorHAnsi" w:hAnsiTheme="minorHAnsi"/>
        </w:rPr>
        <w:t>Varsa, hesaplama faktörü olarak kullanılan varsayılan değerlerin listesi</w:t>
      </w:r>
      <w:bookmarkStart w:id="6" w:name="Pg115"/>
      <w:bookmarkEnd w:id="6"/>
      <w:r w:rsidRPr="007671C9">
        <w:rPr>
          <w:rFonts w:asciiTheme="minorHAnsi" w:hAnsiTheme="minorHAnsi"/>
        </w:rPr>
        <w:t>,</w:t>
      </w:r>
    </w:p>
    <w:p w:rsidR="00915C54" w:rsidRPr="007671C9" w:rsidRDefault="00915C54" w:rsidP="00915C54">
      <w:pPr>
        <w:pStyle w:val="ListeParagraf"/>
        <w:numPr>
          <w:ilvl w:val="0"/>
          <w:numId w:val="40"/>
        </w:numPr>
        <w:tabs>
          <w:tab w:val="left" w:pos="567"/>
        </w:tabs>
        <w:adjustRightInd w:val="0"/>
        <w:ind w:left="737" w:right="-8" w:hanging="312"/>
        <w:contextualSpacing/>
        <w:rPr>
          <w:rFonts w:asciiTheme="minorHAnsi" w:hAnsiTheme="minorHAnsi"/>
        </w:rPr>
      </w:pPr>
      <w:r w:rsidRPr="007671C9">
        <w:rPr>
          <w:rFonts w:asciiTheme="minorHAnsi" w:hAnsiTheme="minorHAnsi"/>
          <w:w w:val="108"/>
        </w:rPr>
        <w:t>Hesaplama faktörlerinin belirlenmesi için örnekleme ve analiz sonuçlarının tamamı,</w:t>
      </w:r>
    </w:p>
    <w:p w:rsidR="00915C54" w:rsidRPr="007671C9" w:rsidRDefault="00915C54" w:rsidP="00915C54">
      <w:pPr>
        <w:widowControl w:val="0"/>
        <w:tabs>
          <w:tab w:val="left" w:pos="567"/>
          <w:tab w:val="left" w:pos="3402"/>
        </w:tabs>
        <w:autoSpaceDE w:val="0"/>
        <w:autoSpaceDN w:val="0"/>
        <w:adjustRightInd w:val="0"/>
        <w:ind w:left="425" w:right="-8"/>
        <w:jc w:val="both"/>
        <w:rPr>
          <w:rFonts w:cs="Times New Roman"/>
          <w:w w:val="102"/>
        </w:rPr>
      </w:pPr>
      <w:r w:rsidRPr="007671C9">
        <w:rPr>
          <w:rFonts w:cs="Times New Roman"/>
          <w:w w:val="102"/>
        </w:rPr>
        <w:t>(ç) 54 üncü madde uyarınca düzeltilen etkisiz prosedürlere ve alınan önlemlere ilişkin belgeler</w:t>
      </w:r>
    </w:p>
    <w:p w:rsidR="00915C54" w:rsidRPr="007671C9" w:rsidRDefault="00915C54" w:rsidP="00915C54">
      <w:pPr>
        <w:pStyle w:val="ListeParagraf"/>
        <w:numPr>
          <w:ilvl w:val="0"/>
          <w:numId w:val="40"/>
        </w:numPr>
        <w:tabs>
          <w:tab w:val="left" w:pos="567"/>
        </w:tabs>
        <w:adjustRightInd w:val="0"/>
        <w:ind w:left="737" w:right="-8" w:hanging="312"/>
        <w:contextualSpacing/>
        <w:rPr>
          <w:rFonts w:asciiTheme="minorHAnsi" w:hAnsiTheme="minorHAnsi"/>
          <w:lang w:val="tr-TR"/>
        </w:rPr>
      </w:pPr>
      <w:r w:rsidRPr="007671C9">
        <w:rPr>
          <w:rFonts w:asciiTheme="minorHAnsi" w:hAnsiTheme="minorHAnsi"/>
          <w:lang w:val="tr-TR"/>
        </w:rPr>
        <w:t>Ölçüm cihazlarının kalibrasyon ve bakımı ile ilgili sonuçlar,</w:t>
      </w:r>
    </w:p>
    <w:p w:rsidR="00915C54" w:rsidRPr="007671C9" w:rsidRDefault="00915C54" w:rsidP="00915C54">
      <w:pPr>
        <w:pStyle w:val="ListeParagraf"/>
        <w:tabs>
          <w:tab w:val="left" w:pos="567"/>
        </w:tabs>
        <w:adjustRightInd w:val="0"/>
        <w:ind w:right="-8"/>
        <w:rPr>
          <w:rFonts w:asciiTheme="minorHAnsi" w:hAnsiTheme="minorHAnsi"/>
          <w:lang w:val="tr-TR"/>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tr-TR"/>
        </w:rPr>
      </w:pPr>
      <w:r w:rsidRPr="007671C9">
        <w:rPr>
          <w:rFonts w:asciiTheme="minorHAnsi" w:hAnsiTheme="minorHAnsi"/>
          <w:lang w:val="tr-TR"/>
        </w:rPr>
        <w:t>Tesislerde uygulanan</w:t>
      </w:r>
      <w:r w:rsidRPr="007671C9">
        <w:rPr>
          <w:rFonts w:asciiTheme="minorHAnsi" w:hAnsiTheme="minorHAnsi"/>
          <w:w w:val="107"/>
          <w:lang w:val="tr-TR"/>
        </w:rPr>
        <w:t xml:space="preserve"> ölçüm temelli </w:t>
      </w:r>
      <w:r w:rsidRPr="007671C9">
        <w:rPr>
          <w:rFonts w:asciiTheme="minorHAnsi" w:hAnsiTheme="minorHAnsi"/>
          <w:w w:val="101"/>
          <w:lang w:val="tr-TR"/>
        </w:rPr>
        <w:t>yöntemler</w:t>
      </w:r>
      <w:r w:rsidRPr="007671C9">
        <w:rPr>
          <w:rFonts w:asciiTheme="minorHAnsi" w:hAnsiTheme="minorHAnsi"/>
          <w:w w:val="107"/>
          <w:lang w:val="tr-TR"/>
        </w:rPr>
        <w:t xml:space="preserve"> için:</w:t>
      </w:r>
    </w:p>
    <w:p w:rsidR="00915C54" w:rsidRPr="007671C9" w:rsidRDefault="00915C54" w:rsidP="00915C54">
      <w:pPr>
        <w:pStyle w:val="ListeParagraf"/>
        <w:numPr>
          <w:ilvl w:val="0"/>
          <w:numId w:val="41"/>
        </w:numPr>
        <w:tabs>
          <w:tab w:val="left" w:pos="567"/>
        </w:tabs>
        <w:adjustRightInd w:val="0"/>
        <w:ind w:left="845" w:right="-8"/>
        <w:contextualSpacing/>
        <w:rPr>
          <w:rFonts w:asciiTheme="minorHAnsi" w:hAnsiTheme="minorHAnsi"/>
          <w:lang w:val="de-DE"/>
        </w:rPr>
      </w:pPr>
      <w:r w:rsidRPr="007671C9">
        <w:rPr>
          <w:rFonts w:asciiTheme="minorHAnsi" w:hAnsiTheme="minorHAnsi"/>
          <w:lang w:val="de-DE"/>
        </w:rPr>
        <w:t>Ölçüm temelli yöntemin seçimini gerekçelendiren dokümantasyon,</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Prosese göre kategorize edilmiş şekilde, her bir emisyon kaynağında emisyonların belirsizlik analizi için kullanılan veriler,</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 xml:space="preserve"> Hesaplamaların teyitleri için kullanılan veriler ve hesaplamaların sonuçları,</w:t>
      </w:r>
    </w:p>
    <w:p w:rsidR="00915C54" w:rsidRPr="007671C9" w:rsidRDefault="00915C54" w:rsidP="00915C54">
      <w:pPr>
        <w:pStyle w:val="ListeParagraf"/>
        <w:tabs>
          <w:tab w:val="left" w:pos="567"/>
        </w:tabs>
        <w:adjustRightInd w:val="0"/>
        <w:ind w:left="425" w:right="-8"/>
        <w:rPr>
          <w:rFonts w:asciiTheme="minorHAnsi" w:hAnsiTheme="minorHAnsi"/>
          <w:lang w:val="de-DE"/>
        </w:rPr>
      </w:pPr>
      <w:r w:rsidRPr="007671C9">
        <w:rPr>
          <w:rFonts w:asciiTheme="minorHAnsi" w:hAnsiTheme="minorHAnsi"/>
          <w:lang w:val="de-DE"/>
        </w:rPr>
        <w:t>(ç) Bakanlığın onay belgelendirmesini de içeren, sürekli ölçüm sisteminin detaylı teknik tarifi,</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Sürekli ölçüm sisteminden gelen ham ve toplanan veriler, zaman içindeki değişiklikler, testlere ilişkin kayıt defteri, arıza zamanları, kalibrasyonlar, servis ve bakıma ilişkin dokümantasyon,</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 xml:space="preserve"> Sürekli ölçüm sistemine ilişkin değişikliklerin dokümantasyonu,</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 xml:space="preserve"> Ölçüm cihazlarının kalibrasyon ve bakımı ile ilgili sonuçlar,</w:t>
      </w:r>
    </w:p>
    <w:p w:rsidR="00915C54" w:rsidRPr="007671C9" w:rsidRDefault="00915C54" w:rsidP="00915C54">
      <w:pPr>
        <w:pStyle w:val="ListeParagraf"/>
        <w:numPr>
          <w:ilvl w:val="0"/>
          <w:numId w:val="41"/>
        </w:numPr>
        <w:tabs>
          <w:tab w:val="left" w:pos="567"/>
        </w:tabs>
        <w:adjustRightInd w:val="0"/>
        <w:ind w:left="737" w:right="-8" w:hanging="312"/>
        <w:contextualSpacing/>
        <w:rPr>
          <w:rFonts w:asciiTheme="minorHAnsi" w:hAnsiTheme="minorHAnsi"/>
          <w:lang w:val="de-DE"/>
        </w:rPr>
      </w:pPr>
      <w:r w:rsidRPr="007671C9">
        <w:rPr>
          <w:rFonts w:asciiTheme="minorHAnsi" w:hAnsiTheme="minorHAnsi"/>
          <w:lang w:val="de-DE"/>
        </w:rPr>
        <w:t>Varsa, 43 üncü maddenin dördüncü fıkrası kapsamındaki ikame veriyi ve varsayımları belirlemek için kullanılan kütle veya enerji dengesi modeli,</w:t>
      </w:r>
    </w:p>
    <w:p w:rsidR="00915C54" w:rsidRPr="007671C9" w:rsidRDefault="00915C54" w:rsidP="00915C54">
      <w:pPr>
        <w:pStyle w:val="ListeParagraf"/>
        <w:tabs>
          <w:tab w:val="left" w:pos="567"/>
        </w:tabs>
        <w:adjustRightInd w:val="0"/>
        <w:ind w:left="0" w:right="-8"/>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lang w:val="de-DE"/>
        </w:rPr>
      </w:pPr>
      <w:r w:rsidRPr="007671C9">
        <w:rPr>
          <w:rFonts w:asciiTheme="minorHAnsi" w:hAnsiTheme="minorHAnsi"/>
          <w:lang w:val="de-DE"/>
        </w:rPr>
        <w:t>20 nci maddede atıfta bulunulan kademelere dayanmayan yöntem uygulandığında, kaynak akışları ve emisyon kaynakları için emisyonların belirlenmesine yönelik gerekli veriler ile birlikte, kademe yöntemi kullanılarak raporlanacak olan faaliyet verisi için ikame veriler, hesaplama faktörleri ve diğer parametreler,</w:t>
      </w:r>
    </w:p>
    <w:p w:rsidR="00915C54" w:rsidRPr="007671C9" w:rsidRDefault="00915C54" w:rsidP="00915C54">
      <w:pPr>
        <w:pStyle w:val="ListeParagraf"/>
        <w:tabs>
          <w:tab w:val="left" w:pos="426"/>
          <w:tab w:val="left" w:pos="851"/>
        </w:tabs>
        <w:adjustRightInd w:val="0"/>
        <w:ind w:right="-8"/>
        <w:rPr>
          <w:rFonts w:asciiTheme="minorHAnsi" w:hAnsiTheme="minorHAnsi"/>
          <w:lang w:val="de-DE"/>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Birincil alüminyum üretimi için:</w:t>
      </w:r>
    </w:p>
    <w:p w:rsidR="00915C54" w:rsidRPr="007671C9" w:rsidRDefault="00915C54" w:rsidP="00915C54">
      <w:pPr>
        <w:pStyle w:val="ListeParagraf"/>
        <w:numPr>
          <w:ilvl w:val="0"/>
          <w:numId w:val="42"/>
        </w:numPr>
        <w:tabs>
          <w:tab w:val="left" w:pos="567"/>
        </w:tabs>
        <w:adjustRightInd w:val="0"/>
        <w:ind w:left="567" w:right="-8" w:hanging="312"/>
        <w:contextualSpacing/>
        <w:rPr>
          <w:rFonts w:asciiTheme="minorHAnsi" w:hAnsiTheme="minorHAnsi"/>
        </w:rPr>
      </w:pPr>
      <w:r w:rsidRPr="007671C9">
        <w:rPr>
          <w:rFonts w:asciiTheme="minorHAnsi" w:hAnsiTheme="minorHAnsi"/>
        </w:rPr>
        <w:t>CF</w:t>
      </w:r>
      <w:r w:rsidRPr="007671C9">
        <w:rPr>
          <w:rFonts w:asciiTheme="minorHAnsi" w:hAnsiTheme="minorHAnsi"/>
          <w:vertAlign w:val="subscript"/>
        </w:rPr>
        <w:t>4</w:t>
      </w:r>
      <w:r w:rsidRPr="007671C9">
        <w:rPr>
          <w:rFonts w:asciiTheme="minorHAnsi" w:hAnsiTheme="minorHAnsi"/>
        </w:rPr>
        <w:t xml:space="preserve"> ve C</w:t>
      </w:r>
      <w:r w:rsidRPr="007671C9">
        <w:rPr>
          <w:rFonts w:asciiTheme="minorHAnsi" w:hAnsiTheme="minorHAnsi"/>
          <w:vertAlign w:val="subscript"/>
        </w:rPr>
        <w:t>2</w:t>
      </w:r>
      <w:r w:rsidRPr="007671C9">
        <w:rPr>
          <w:rFonts w:asciiTheme="minorHAnsi" w:hAnsiTheme="minorHAnsi"/>
        </w:rPr>
        <w:t>F</w:t>
      </w:r>
      <w:r w:rsidRPr="007671C9">
        <w:rPr>
          <w:rFonts w:asciiTheme="minorHAnsi" w:hAnsiTheme="minorHAnsi"/>
          <w:vertAlign w:val="subscript"/>
        </w:rPr>
        <w:t>6</w:t>
      </w:r>
      <w:r w:rsidRPr="007671C9">
        <w:rPr>
          <w:rFonts w:asciiTheme="minorHAnsi" w:hAnsiTheme="minorHAnsi"/>
        </w:rPr>
        <w:t xml:space="preserve"> için tesise özgü emisyon faktörlerinin belirlenmesine yönelik ölçüm serilerinden çıkan sonuçların dokümantasyonu,</w:t>
      </w:r>
    </w:p>
    <w:p w:rsidR="00915C54" w:rsidRPr="007671C9" w:rsidRDefault="00915C54" w:rsidP="00915C54">
      <w:pPr>
        <w:pStyle w:val="ListeParagraf"/>
        <w:numPr>
          <w:ilvl w:val="0"/>
          <w:numId w:val="42"/>
        </w:numPr>
        <w:tabs>
          <w:tab w:val="left" w:pos="567"/>
        </w:tabs>
        <w:adjustRightInd w:val="0"/>
        <w:ind w:left="567" w:right="-8" w:hanging="312"/>
        <w:contextualSpacing/>
        <w:rPr>
          <w:rFonts w:asciiTheme="minorHAnsi" w:hAnsiTheme="minorHAnsi"/>
        </w:rPr>
      </w:pPr>
      <w:r w:rsidRPr="007671C9">
        <w:rPr>
          <w:rFonts w:asciiTheme="minorHAnsi" w:hAnsiTheme="minorHAnsi"/>
        </w:rPr>
        <w:t>Kaçak emisyonlar için toplam verimliliğin belirlenmesine yönelik sonuçların dokümantasyonu,</w:t>
      </w:r>
    </w:p>
    <w:p w:rsidR="00915C54" w:rsidRPr="007671C9" w:rsidRDefault="00915C54" w:rsidP="00915C54">
      <w:pPr>
        <w:pStyle w:val="ListeParagraf"/>
        <w:numPr>
          <w:ilvl w:val="0"/>
          <w:numId w:val="42"/>
        </w:numPr>
        <w:tabs>
          <w:tab w:val="left" w:pos="567"/>
        </w:tabs>
        <w:adjustRightInd w:val="0"/>
        <w:ind w:left="567" w:right="-8" w:hanging="312"/>
        <w:contextualSpacing/>
        <w:rPr>
          <w:rFonts w:asciiTheme="minorHAnsi" w:hAnsiTheme="minorHAnsi"/>
        </w:rPr>
      </w:pPr>
      <w:bookmarkStart w:id="7" w:name="Pg116"/>
      <w:bookmarkEnd w:id="7"/>
      <w:r w:rsidRPr="007671C9">
        <w:rPr>
          <w:rFonts w:asciiTheme="minorHAnsi" w:hAnsiTheme="minorHAnsi"/>
        </w:rPr>
        <w:t>Üretimi hakkında ilgili bütün veriler, anot etkisi sıklığı ve süresi veya aşırı gerilim verisi,</w:t>
      </w:r>
    </w:p>
    <w:p w:rsidR="00915C54" w:rsidRPr="007671C9" w:rsidRDefault="00915C54" w:rsidP="00915C54">
      <w:pPr>
        <w:pStyle w:val="ListeParagraf"/>
        <w:tabs>
          <w:tab w:val="left" w:pos="567"/>
        </w:tabs>
        <w:adjustRightInd w:val="0"/>
        <w:ind w:right="-8"/>
        <w:rPr>
          <w:rFonts w:asciiTheme="minorHAnsi" w:hAnsiTheme="minorHAnsi"/>
        </w:rPr>
      </w:pPr>
    </w:p>
    <w:p w:rsidR="00915C54" w:rsidRPr="007671C9" w:rsidRDefault="00915C54" w:rsidP="00915C54">
      <w:pPr>
        <w:pStyle w:val="ListeParagraf"/>
        <w:numPr>
          <w:ilvl w:val="0"/>
          <w:numId w:val="39"/>
        </w:numPr>
        <w:tabs>
          <w:tab w:val="left" w:pos="426"/>
          <w:tab w:val="left" w:pos="851"/>
        </w:tabs>
        <w:adjustRightInd w:val="0"/>
        <w:ind w:left="0" w:right="-8" w:firstLine="0"/>
        <w:contextualSpacing/>
        <w:rPr>
          <w:rFonts w:asciiTheme="minorHAnsi" w:hAnsiTheme="minorHAnsi"/>
        </w:rPr>
      </w:pPr>
      <w:r w:rsidRPr="007671C9">
        <w:rPr>
          <w:rFonts w:asciiTheme="minorHAnsi" w:hAnsiTheme="minorHAnsi"/>
        </w:rPr>
        <w:t>CO</w:t>
      </w:r>
      <w:r w:rsidRPr="007671C9">
        <w:rPr>
          <w:rFonts w:asciiTheme="minorHAnsi" w:hAnsiTheme="minorHAnsi"/>
          <w:vertAlign w:val="subscript"/>
        </w:rPr>
        <w:t>2</w:t>
      </w:r>
      <w:r w:rsidRPr="007671C9">
        <w:rPr>
          <w:rFonts w:asciiTheme="minorHAnsi" w:hAnsiTheme="minorHAnsi"/>
        </w:rPr>
        <w:t xml:space="preserve"> transferi için:</w:t>
      </w:r>
    </w:p>
    <w:p w:rsidR="00915C54" w:rsidRPr="007671C9" w:rsidRDefault="00915C54" w:rsidP="00915C54">
      <w:pPr>
        <w:pStyle w:val="ListeParagraf"/>
        <w:numPr>
          <w:ilvl w:val="0"/>
          <w:numId w:val="43"/>
        </w:numPr>
        <w:tabs>
          <w:tab w:val="left" w:pos="567"/>
        </w:tabs>
        <w:adjustRightInd w:val="0"/>
        <w:ind w:right="-8"/>
        <w:contextualSpacing/>
        <w:rPr>
          <w:rFonts w:asciiTheme="minorHAnsi" w:hAnsiTheme="minorHAnsi"/>
        </w:rPr>
      </w:pPr>
      <w:r w:rsidRPr="007671C9">
        <w:rPr>
          <w:rFonts w:asciiTheme="minorHAnsi" w:hAnsiTheme="minorHAnsi"/>
        </w:rPr>
        <w:t>Taşıma ağına ilişkin basınç ve ısı verisi,</w:t>
      </w:r>
    </w:p>
    <w:p w:rsidR="00915C54" w:rsidRPr="007671C9" w:rsidRDefault="00915C54" w:rsidP="00915C54">
      <w:pPr>
        <w:pStyle w:val="ListeParagraf"/>
        <w:numPr>
          <w:ilvl w:val="0"/>
          <w:numId w:val="43"/>
        </w:numPr>
        <w:tabs>
          <w:tab w:val="left" w:pos="567"/>
        </w:tabs>
        <w:adjustRightInd w:val="0"/>
        <w:ind w:right="-8"/>
        <w:contextualSpacing/>
      </w:pPr>
      <w:r w:rsidRPr="007671C9">
        <w:rPr>
          <w:rFonts w:asciiTheme="minorHAnsi" w:hAnsiTheme="minorHAnsi"/>
        </w:rPr>
        <w:t>47 nci madde uyarınca</w:t>
      </w:r>
      <w:r w:rsidRPr="007671C9">
        <w:rPr>
          <w:rFonts w:asciiTheme="minorHAnsi" w:hAnsiTheme="minorHAnsi"/>
          <w:w w:val="104"/>
        </w:rPr>
        <w:t xml:space="preserve"> gerekli bilgi ve veriler ile ilgili dokümantasyon</w:t>
      </w:r>
      <w:r w:rsidRPr="007671C9">
        <w:rPr>
          <w:w w:val="104"/>
        </w:rPr>
        <w:t>.</w:t>
      </w: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4D2E85">
      <w:pPr>
        <w:jc w:val="both"/>
        <w:rPr>
          <w:rFonts w:ascii="Times New Roman" w:hAnsi="Times New Roman" w:cs="Times New Roman"/>
          <w:b/>
          <w:sz w:val="24"/>
          <w:szCs w:val="24"/>
        </w:rPr>
      </w:pPr>
    </w:p>
    <w:p w:rsidR="00915C54" w:rsidRPr="007671C9" w:rsidRDefault="00915C54" w:rsidP="00915C54">
      <w:pPr>
        <w:widowControl w:val="0"/>
        <w:autoSpaceDE w:val="0"/>
        <w:autoSpaceDN w:val="0"/>
        <w:adjustRightInd w:val="0"/>
        <w:ind w:right="-8"/>
        <w:jc w:val="center"/>
        <w:rPr>
          <w:rFonts w:cs="Times New Roman"/>
          <w:b/>
        </w:rPr>
      </w:pPr>
      <w:r w:rsidRPr="007671C9">
        <w:rPr>
          <w:rFonts w:cs="Times New Roman"/>
          <w:b/>
        </w:rPr>
        <w:lastRenderedPageBreak/>
        <w:t>EK</w:t>
      </w:r>
      <w:r w:rsidRPr="007671C9">
        <w:rPr>
          <w:rFonts w:cs="Times New Roman"/>
        </w:rPr>
        <w:t>-</w:t>
      </w:r>
      <w:r w:rsidRPr="007671C9">
        <w:rPr>
          <w:rFonts w:cs="Times New Roman"/>
          <w:b/>
        </w:rPr>
        <w:t>9</w:t>
      </w:r>
    </w:p>
    <w:p w:rsidR="00915C54" w:rsidRPr="007671C9" w:rsidRDefault="00915C54" w:rsidP="00915C54">
      <w:pPr>
        <w:widowControl w:val="0"/>
        <w:autoSpaceDE w:val="0"/>
        <w:autoSpaceDN w:val="0"/>
        <w:adjustRightInd w:val="0"/>
        <w:ind w:right="-8"/>
        <w:jc w:val="center"/>
        <w:rPr>
          <w:rFonts w:cs="Times New Roman"/>
          <w:b/>
        </w:rPr>
      </w:pPr>
      <w:r w:rsidRPr="007671C9">
        <w:rPr>
          <w:rFonts w:cs="Times New Roman"/>
          <w:b/>
          <w:w w:val="105"/>
        </w:rPr>
        <w:t xml:space="preserve">57 İNCİ MADDENİN İKİNCİ FIKRASI UYARINCA </w:t>
      </w:r>
      <w:r w:rsidRPr="007671C9">
        <w:rPr>
          <w:rFonts w:cs="Times New Roman"/>
          <w:b/>
          <w:w w:val="104"/>
        </w:rPr>
        <w:t>YILLIK RAPORLARIN ASGARİ İÇERİĞİ</w:t>
      </w:r>
    </w:p>
    <w:p w:rsidR="00915C54" w:rsidRPr="007671C9" w:rsidRDefault="00915C54" w:rsidP="00915C54">
      <w:pPr>
        <w:widowControl w:val="0"/>
        <w:autoSpaceDE w:val="0"/>
        <w:autoSpaceDN w:val="0"/>
        <w:adjustRightInd w:val="0"/>
        <w:ind w:right="-8"/>
        <w:jc w:val="both"/>
        <w:rPr>
          <w:rFonts w:cs="Times New Roman"/>
        </w:rPr>
      </w:pPr>
    </w:p>
    <w:p w:rsidR="00915C54" w:rsidRPr="007671C9" w:rsidRDefault="00915C54" w:rsidP="00915C54">
      <w:pPr>
        <w:widowControl w:val="0"/>
        <w:tabs>
          <w:tab w:val="left" w:pos="426"/>
        </w:tabs>
        <w:autoSpaceDE w:val="0"/>
        <w:autoSpaceDN w:val="0"/>
        <w:adjustRightInd w:val="0"/>
        <w:ind w:right="-8"/>
        <w:jc w:val="both"/>
        <w:rPr>
          <w:rFonts w:cs="Times New Roman"/>
        </w:rPr>
      </w:pPr>
      <w:r w:rsidRPr="007671C9">
        <w:rPr>
          <w:rFonts w:cs="Times New Roman"/>
        </w:rPr>
        <w:t xml:space="preserve">Bir tesisin yıllık emisyon raporu asgari aşağıdakileri içerir: </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(1) Tesisi tanımlamaya yönelik:</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ab/>
        <w:t>(a) Tesisin adı ve tam yazışma adresi,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 xml:space="preserve"> </w:t>
      </w:r>
      <w:r w:rsidRPr="007671C9">
        <w:rPr>
          <w:rFonts w:cs="Times New Roman"/>
        </w:rPr>
        <w:tab/>
        <w:t>(b) Tesiste yürütülen ve Yönetmeliğin ek</w:t>
      </w:r>
      <w:r w:rsidRPr="007671C9">
        <w:rPr>
          <w:rFonts w:cs="Times New Roman"/>
          <w:b/>
        </w:rPr>
        <w:t>-</w:t>
      </w:r>
      <w:r w:rsidRPr="007671C9">
        <w:rPr>
          <w:rFonts w:cs="Times New Roman"/>
        </w:rPr>
        <w:t>1’inde yer alan faaliyetlerin tipleri ve sayıları,</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ab/>
        <w:t>(c) Belirlenen temas kişisine ilişkin adres, telefon, faks ve e-posta bilgileri,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ab/>
        <w:t>(ç) Tesisin ve/veya ana firmanın sahibinin adı,</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ab/>
        <w:t>(d) Tesisin koordinatları,</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(2)</w:t>
      </w:r>
      <w:r w:rsidRPr="007671C9">
        <w:rPr>
          <w:rFonts w:cs="Times New Roman"/>
        </w:rPr>
        <w:tab/>
        <w:t>Raporu doğrulayan kuruluşun adı ve adresi,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(3)</w:t>
      </w:r>
      <w:r w:rsidRPr="007671C9">
        <w:rPr>
          <w:rFonts w:cs="Times New Roman"/>
        </w:rPr>
        <w:tab/>
        <w:t>Raporlama yılı,</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(4)</w:t>
      </w:r>
      <w:r w:rsidRPr="007671C9">
        <w:rPr>
          <w:rFonts w:cs="Times New Roman"/>
        </w:rPr>
        <w:tab/>
        <w:t>İlgili onaylanmış ve doğrulanmış izleme planına referans ve planın sürüm sayısı,</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(5)</w:t>
      </w:r>
      <w:r w:rsidRPr="007671C9">
        <w:rPr>
          <w:rFonts w:cs="Times New Roman"/>
        </w:rPr>
        <w:tab/>
        <w:t>Tesis işletimindeki değişiklikler, Bakanlıkça onaylanmış izleme planında raporlama döneminde gerçekleşen değişiklikler ve geçici sapmalar, geçici ve kalıcı kademe değişiklikleri, bu değişikliklerin nedenleri, geçici değişikliklerin başlangıç ve bitiş tarihleri ile kalıcı değişikliklerin başlangıç tarihleri,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(6)</w:t>
      </w:r>
      <w:r w:rsidRPr="007671C9">
        <w:rPr>
          <w:rFonts w:cs="Times New Roman"/>
        </w:rPr>
        <w:tab/>
        <w:t>Tüm emisyon kaynakları ve kaynak akışlarına ilişkin:</w:t>
      </w:r>
    </w:p>
    <w:p w:rsidR="00915C54" w:rsidRPr="007671C9" w:rsidRDefault="00915C54" w:rsidP="00915C54">
      <w:pPr>
        <w:widowControl w:val="0"/>
        <w:autoSpaceDE w:val="0"/>
        <w:autoSpaceDN w:val="0"/>
        <w:adjustRightInd w:val="0"/>
        <w:ind w:left="850" w:right="-6" w:hanging="425"/>
        <w:jc w:val="both"/>
        <w:rPr>
          <w:rFonts w:cs="Times New Roman"/>
        </w:rPr>
      </w:pPr>
      <w:r w:rsidRPr="007671C9">
        <w:rPr>
          <w:rFonts w:cs="Times New Roman"/>
        </w:rPr>
        <w:t>(a) t CO</w:t>
      </w:r>
      <w:r w:rsidRPr="007671C9">
        <w:rPr>
          <w:rFonts w:cs="Times New Roman"/>
          <w:vertAlign w:val="subscript"/>
        </w:rPr>
        <w:t xml:space="preserve">2(eşd) </w:t>
      </w:r>
      <w:r w:rsidRPr="007671C9">
        <w:rPr>
          <w:rFonts w:cs="Times New Roman"/>
        </w:rPr>
        <w:t>olarak ifade edilen toplam emisyonlar,</w:t>
      </w:r>
    </w:p>
    <w:p w:rsidR="00915C54" w:rsidRPr="007671C9" w:rsidRDefault="00915C54" w:rsidP="00915C54">
      <w:pPr>
        <w:widowControl w:val="0"/>
        <w:autoSpaceDE w:val="0"/>
        <w:autoSpaceDN w:val="0"/>
        <w:adjustRightInd w:val="0"/>
        <w:ind w:left="850" w:right="-6" w:hanging="425"/>
        <w:jc w:val="both"/>
        <w:rPr>
          <w:rFonts w:cs="Times New Roman"/>
        </w:rPr>
      </w:pPr>
      <w:r w:rsidRPr="007671C9">
        <w:rPr>
          <w:rFonts w:cs="Times New Roman"/>
          <w:w w:val="110"/>
        </w:rPr>
        <w:t>(b) CO</w:t>
      </w:r>
      <w:r w:rsidRPr="007671C9">
        <w:rPr>
          <w:rFonts w:cs="Times New Roman"/>
          <w:w w:val="110"/>
          <w:vertAlign w:val="subscript"/>
        </w:rPr>
        <w:t xml:space="preserve">2 </w:t>
      </w:r>
      <w:r w:rsidRPr="007671C9">
        <w:rPr>
          <w:rFonts w:cs="Times New Roman"/>
          <w:w w:val="110"/>
        </w:rPr>
        <w:t>haricindeki sera gazları için “ton” olarak ifade edilen toplam emisyonlar,</w:t>
      </w:r>
    </w:p>
    <w:p w:rsidR="00915C54" w:rsidRPr="007671C9" w:rsidRDefault="00915C54" w:rsidP="00915C54">
      <w:pPr>
        <w:widowControl w:val="0"/>
        <w:tabs>
          <w:tab w:val="left" w:pos="2835"/>
        </w:tabs>
        <w:autoSpaceDE w:val="0"/>
        <w:autoSpaceDN w:val="0"/>
        <w:adjustRightInd w:val="0"/>
        <w:ind w:left="850" w:right="-6" w:hanging="425"/>
        <w:jc w:val="both"/>
        <w:rPr>
          <w:rFonts w:cs="Times New Roman"/>
        </w:rPr>
      </w:pPr>
      <w:r w:rsidRPr="007671C9">
        <w:rPr>
          <w:rFonts w:cs="Times New Roman"/>
        </w:rPr>
        <w:t>(c) 19 uncu madde uyarınca hangi izleme yönteminin (ölçme/hesaplama) kullanıldığına dair bilgi,</w:t>
      </w:r>
    </w:p>
    <w:p w:rsidR="00915C54" w:rsidRPr="007671C9" w:rsidRDefault="00915C54" w:rsidP="00915C54">
      <w:pPr>
        <w:widowControl w:val="0"/>
        <w:autoSpaceDE w:val="0"/>
        <w:autoSpaceDN w:val="0"/>
        <w:adjustRightInd w:val="0"/>
        <w:ind w:left="850" w:right="-6" w:hanging="425"/>
        <w:jc w:val="both"/>
        <w:rPr>
          <w:rFonts w:cs="Times New Roman"/>
          <w:w w:val="102"/>
        </w:rPr>
      </w:pPr>
      <w:r w:rsidRPr="007671C9">
        <w:rPr>
          <w:rFonts w:cs="Times New Roman"/>
          <w:w w:val="102"/>
        </w:rPr>
        <w:t>(ç) Uygulanan kademeler,</w:t>
      </w:r>
    </w:p>
    <w:p w:rsidR="00915C54" w:rsidRPr="007671C9" w:rsidRDefault="00915C54" w:rsidP="00915C54">
      <w:pPr>
        <w:widowControl w:val="0"/>
        <w:autoSpaceDE w:val="0"/>
        <w:autoSpaceDN w:val="0"/>
        <w:adjustRightInd w:val="0"/>
        <w:ind w:left="850" w:right="-6" w:hanging="425"/>
        <w:jc w:val="both"/>
        <w:rPr>
          <w:rFonts w:cs="Times New Roman"/>
          <w:w w:val="104"/>
        </w:rPr>
      </w:pPr>
      <w:r w:rsidRPr="007671C9">
        <w:rPr>
          <w:rFonts w:cs="Times New Roman"/>
          <w:w w:val="104"/>
        </w:rPr>
        <w:t>(d) Faaliyet verisi:</w:t>
      </w:r>
    </w:p>
    <w:p w:rsidR="00915C54" w:rsidRPr="007671C9" w:rsidRDefault="00915C54" w:rsidP="00915C54">
      <w:pPr>
        <w:widowControl w:val="0"/>
        <w:tabs>
          <w:tab w:val="left" w:pos="851"/>
        </w:tabs>
        <w:autoSpaceDE w:val="0"/>
        <w:autoSpaceDN w:val="0"/>
        <w:adjustRightInd w:val="0"/>
        <w:ind w:left="850" w:right="-6" w:hanging="425"/>
        <w:jc w:val="both"/>
        <w:rPr>
          <w:rFonts w:cs="Times New Roman"/>
        </w:rPr>
      </w:pPr>
      <w:r w:rsidRPr="007671C9">
        <w:rPr>
          <w:rFonts w:cs="Times New Roman"/>
        </w:rPr>
        <w:tab/>
        <w:t>(i)</w:t>
      </w:r>
      <w:r w:rsidRPr="007671C9">
        <w:rPr>
          <w:rFonts w:cs="Times New Roman"/>
        </w:rPr>
        <w:tab/>
        <w:t>Yakıtlar için, yakıt miktarı (ton veya Nm</w:t>
      </w:r>
      <w:r w:rsidRPr="007671C9">
        <w:rPr>
          <w:rFonts w:cs="Times New Roman"/>
          <w:vertAlign w:val="superscript"/>
        </w:rPr>
        <w:t>3</w:t>
      </w:r>
      <w:r w:rsidRPr="007671C9">
        <w:rPr>
          <w:rFonts w:cs="Times New Roman"/>
        </w:rPr>
        <w:t xml:space="preserve"> olarak) ve NKD (GJ/t veya GJ/ Nm</w:t>
      </w:r>
      <w:r w:rsidRPr="007671C9">
        <w:rPr>
          <w:rFonts w:cs="Times New Roman"/>
          <w:vertAlign w:val="superscript"/>
        </w:rPr>
        <w:t xml:space="preserve">3 </w:t>
      </w:r>
      <w:r w:rsidRPr="007671C9">
        <w:rPr>
          <w:rFonts w:cs="Times New Roman"/>
        </w:rPr>
        <w:t>olarak) verisi,</w:t>
      </w:r>
    </w:p>
    <w:p w:rsidR="00915C54" w:rsidRPr="007671C9" w:rsidRDefault="00915C54" w:rsidP="00915C54">
      <w:pPr>
        <w:widowControl w:val="0"/>
        <w:tabs>
          <w:tab w:val="left" w:pos="851"/>
        </w:tabs>
        <w:autoSpaceDE w:val="0"/>
        <w:autoSpaceDN w:val="0"/>
        <w:adjustRightInd w:val="0"/>
        <w:ind w:left="850" w:right="-6" w:hanging="425"/>
        <w:jc w:val="both"/>
        <w:rPr>
          <w:rFonts w:cs="Times New Roman"/>
        </w:rPr>
      </w:pPr>
      <w:r w:rsidRPr="007671C9">
        <w:rPr>
          <w:rFonts w:cs="Times New Roman"/>
        </w:rPr>
        <w:tab/>
        <w:t>(ii)</w:t>
      </w:r>
      <w:r w:rsidRPr="007671C9">
        <w:rPr>
          <w:rFonts w:cs="Times New Roman"/>
        </w:rPr>
        <w:tab/>
        <w:t>Bütün diğer kaynak akımları için miktar (ton veya Nm</w:t>
      </w:r>
      <w:r w:rsidRPr="007671C9">
        <w:rPr>
          <w:rFonts w:cs="Times New Roman"/>
          <w:vertAlign w:val="superscript"/>
        </w:rPr>
        <w:t>3</w:t>
      </w:r>
      <w:r w:rsidRPr="007671C9">
        <w:rPr>
          <w:rFonts w:cs="Times New Roman"/>
        </w:rPr>
        <w:t xml:space="preserve"> olarak),</w:t>
      </w:r>
    </w:p>
    <w:p w:rsidR="00915C54" w:rsidRPr="007671C9" w:rsidRDefault="00915C54" w:rsidP="00915C54">
      <w:pPr>
        <w:widowControl w:val="0"/>
        <w:tabs>
          <w:tab w:val="left" w:pos="426"/>
          <w:tab w:val="left" w:pos="2835"/>
        </w:tabs>
        <w:autoSpaceDE w:val="0"/>
        <w:autoSpaceDN w:val="0"/>
        <w:adjustRightInd w:val="0"/>
        <w:ind w:left="850" w:right="-6" w:hanging="425"/>
        <w:jc w:val="both"/>
        <w:rPr>
          <w:rFonts w:cs="Times New Roman"/>
        </w:rPr>
      </w:pPr>
      <w:r w:rsidRPr="007671C9">
        <w:rPr>
          <w:rFonts w:cs="Times New Roman"/>
        </w:rPr>
        <w:t>(e) 33 üncü maddenin ikinci fıkrasında belirtilen şartlara göre ifade edilen emisyon faktörleri, birimsiz oran olarak ifade edilen biyokütle oranı, yükseltgenme ve dönüşüm faktörleri,</w:t>
      </w:r>
    </w:p>
    <w:p w:rsidR="00915C54" w:rsidRPr="007671C9" w:rsidRDefault="00915C54" w:rsidP="00915C54">
      <w:pPr>
        <w:widowControl w:val="0"/>
        <w:tabs>
          <w:tab w:val="left" w:pos="426"/>
          <w:tab w:val="left" w:pos="2835"/>
        </w:tabs>
        <w:autoSpaceDE w:val="0"/>
        <w:autoSpaceDN w:val="0"/>
        <w:adjustRightInd w:val="0"/>
        <w:ind w:left="850" w:right="-6" w:hanging="425"/>
        <w:jc w:val="both"/>
        <w:rPr>
          <w:rFonts w:cs="Times New Roman"/>
        </w:rPr>
      </w:pPr>
      <w:bookmarkStart w:id="8" w:name="Pg118"/>
      <w:bookmarkEnd w:id="8"/>
      <w:r w:rsidRPr="007671C9">
        <w:rPr>
          <w:rFonts w:cs="Times New Roman"/>
          <w:w w:val="104"/>
        </w:rPr>
        <w:t>(f) Yakıtlar için emisyon faktörleri enerji yerine kütle ile ilgili olduğunda, ilgili kaynak akışının NKD için ikame verisi.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 xml:space="preserve">(7) </w:t>
      </w:r>
      <w:r w:rsidRPr="007671C9">
        <w:rPr>
          <w:rFonts w:cs="Times New Roman"/>
        </w:rPr>
        <w:tab/>
        <w:t>Kütle dengesi yönteminin uygulandığı durumlarda, kütle akımı, tesisten içeri ve dışarı her bir kaynak akışı için karbon içeriği, varsa biyokütle oranı ve net kalorifik değeri,</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 xml:space="preserve">(8) </w:t>
      </w:r>
      <w:r w:rsidRPr="007671C9">
        <w:rPr>
          <w:rFonts w:cs="Times New Roman"/>
        </w:rPr>
        <w:tab/>
        <w:t xml:space="preserve">Raporlanacak diğer bilgiler: </w:t>
      </w:r>
    </w:p>
    <w:p w:rsidR="00915C54" w:rsidRPr="007671C9" w:rsidRDefault="00915C54" w:rsidP="00915C54">
      <w:pPr>
        <w:widowControl w:val="0"/>
        <w:tabs>
          <w:tab w:val="left" w:pos="426"/>
          <w:tab w:val="left" w:pos="2835"/>
        </w:tabs>
        <w:autoSpaceDE w:val="0"/>
        <w:autoSpaceDN w:val="0"/>
        <w:adjustRightInd w:val="0"/>
        <w:ind w:left="426" w:right="-8"/>
        <w:jc w:val="both"/>
        <w:rPr>
          <w:rFonts w:cs="Times New Roman"/>
        </w:rPr>
      </w:pPr>
      <w:r w:rsidRPr="007671C9">
        <w:rPr>
          <w:rFonts w:cs="Times New Roman"/>
          <w:w w:val="105"/>
        </w:rPr>
        <w:t xml:space="preserve">(a) TJ olarak ifade edilen veya prosese giriyorsa </w:t>
      </w:r>
      <w:r w:rsidRPr="007671C9">
        <w:rPr>
          <w:rFonts w:cs="Times New Roman"/>
        </w:rPr>
        <w:t>t veya Nm</w:t>
      </w:r>
      <w:r w:rsidRPr="007671C9">
        <w:rPr>
          <w:rFonts w:cs="Times New Roman"/>
          <w:vertAlign w:val="superscript"/>
        </w:rPr>
        <w:t>3</w:t>
      </w:r>
      <w:r w:rsidRPr="007671C9">
        <w:rPr>
          <w:rFonts w:cs="Times New Roman"/>
        </w:rPr>
        <w:t xml:space="preserve"> olarak ifade edilen</w:t>
      </w:r>
      <w:r w:rsidRPr="007671C9">
        <w:rPr>
          <w:rFonts w:cs="Times New Roman"/>
          <w:w w:val="105"/>
        </w:rPr>
        <w:t xml:space="preserve"> yanmış biyokütle miktarları,</w:t>
      </w:r>
    </w:p>
    <w:p w:rsidR="00915C54" w:rsidRPr="007671C9" w:rsidRDefault="00915C54" w:rsidP="00915C54">
      <w:pPr>
        <w:widowControl w:val="0"/>
        <w:tabs>
          <w:tab w:val="left" w:pos="2835"/>
        </w:tabs>
        <w:autoSpaceDE w:val="0"/>
        <w:autoSpaceDN w:val="0"/>
        <w:adjustRightInd w:val="0"/>
        <w:ind w:left="426" w:right="-8"/>
        <w:jc w:val="both"/>
        <w:rPr>
          <w:rFonts w:cs="Times New Roman"/>
        </w:rPr>
      </w:pPr>
      <w:r w:rsidRPr="007671C9">
        <w:rPr>
          <w:rFonts w:cs="Times New Roman"/>
          <w:w w:val="103"/>
        </w:rPr>
        <w:lastRenderedPageBreak/>
        <w:t>(b) Emisyonları belirlemek için ölçüm temelli yöntem kullanıldığında, t CO</w:t>
      </w:r>
      <w:r w:rsidRPr="007671C9">
        <w:rPr>
          <w:rFonts w:cs="Times New Roman"/>
          <w:w w:val="103"/>
          <w:vertAlign w:val="subscript"/>
        </w:rPr>
        <w:t>2</w:t>
      </w:r>
      <w:r w:rsidRPr="007671C9">
        <w:rPr>
          <w:rFonts w:cs="Times New Roman"/>
          <w:w w:val="103"/>
        </w:rPr>
        <w:t xml:space="preserve"> olarak ifade edilen, biyokütle kaynaklı CO</w:t>
      </w:r>
      <w:r w:rsidRPr="007671C9">
        <w:rPr>
          <w:rFonts w:cs="Times New Roman"/>
          <w:w w:val="103"/>
          <w:vertAlign w:val="subscript"/>
        </w:rPr>
        <w:t>2</w:t>
      </w:r>
      <w:r w:rsidRPr="007671C9">
        <w:rPr>
          <w:rFonts w:cs="Times New Roman"/>
          <w:w w:val="103"/>
        </w:rPr>
        <w:t xml:space="preserve"> emisyonlar</w:t>
      </w:r>
      <w:r w:rsidRPr="007671C9">
        <w:rPr>
          <w:rFonts w:cs="Times New Roman"/>
        </w:rPr>
        <w:t>ı,</w:t>
      </w:r>
    </w:p>
    <w:p w:rsidR="00915C54" w:rsidRPr="007671C9" w:rsidRDefault="00915C54" w:rsidP="00915C54">
      <w:pPr>
        <w:widowControl w:val="0"/>
        <w:tabs>
          <w:tab w:val="left" w:pos="2835"/>
        </w:tabs>
        <w:autoSpaceDE w:val="0"/>
        <w:autoSpaceDN w:val="0"/>
        <w:adjustRightInd w:val="0"/>
        <w:ind w:left="426" w:right="-8"/>
        <w:jc w:val="both"/>
        <w:rPr>
          <w:rFonts w:cs="Times New Roman"/>
        </w:rPr>
      </w:pPr>
      <w:r w:rsidRPr="007671C9">
        <w:rPr>
          <w:rFonts w:cs="Times New Roman"/>
          <w:w w:val="103"/>
        </w:rPr>
        <w:t>(c) Varsa, yakıt olarak kullanılan biyokütle kaynak akışlarının net kalorifik değeri için ikamesi,</w:t>
      </w:r>
    </w:p>
    <w:p w:rsidR="00915C54" w:rsidRPr="007671C9" w:rsidRDefault="00915C54" w:rsidP="00915C54">
      <w:pPr>
        <w:widowControl w:val="0"/>
        <w:tabs>
          <w:tab w:val="left" w:pos="2835"/>
        </w:tabs>
        <w:autoSpaceDE w:val="0"/>
        <w:autoSpaceDN w:val="0"/>
        <w:adjustRightInd w:val="0"/>
        <w:ind w:left="426" w:right="-8"/>
        <w:jc w:val="both"/>
        <w:rPr>
          <w:rFonts w:cs="Times New Roman"/>
        </w:rPr>
      </w:pPr>
      <w:r w:rsidRPr="007671C9">
        <w:rPr>
          <w:rFonts w:cs="Times New Roman"/>
        </w:rPr>
        <w:t xml:space="preserve">(ç)  t ve TJ olarak ifade edilen, yanmış biyosıvılar ve biyoyakıtların miktarları ve enerji içerikleri, </w:t>
      </w:r>
    </w:p>
    <w:p w:rsidR="00915C54" w:rsidRPr="007671C9" w:rsidRDefault="00915C54" w:rsidP="00915C54">
      <w:pPr>
        <w:widowControl w:val="0"/>
        <w:tabs>
          <w:tab w:val="left" w:pos="2835"/>
        </w:tabs>
        <w:autoSpaceDE w:val="0"/>
        <w:autoSpaceDN w:val="0"/>
        <w:adjustRightInd w:val="0"/>
        <w:ind w:left="426" w:right="-8"/>
        <w:jc w:val="both"/>
        <w:rPr>
          <w:rFonts w:cs="Times New Roman"/>
        </w:rPr>
      </w:pPr>
      <w:r w:rsidRPr="007671C9">
        <w:rPr>
          <w:rFonts w:cs="Times New Roman"/>
          <w:w w:val="109"/>
        </w:rPr>
        <w:t xml:space="preserve">(d) 47 nci madde uyarınca, </w:t>
      </w:r>
      <w:r w:rsidRPr="007671C9">
        <w:rPr>
          <w:rFonts w:cs="Times New Roman"/>
        </w:rPr>
        <w:t>t CO</w:t>
      </w:r>
      <w:r w:rsidRPr="007671C9">
        <w:rPr>
          <w:rFonts w:cs="Times New Roman"/>
          <w:vertAlign w:val="subscript"/>
        </w:rPr>
        <w:t>2</w:t>
      </w:r>
      <w:r w:rsidRPr="007671C9">
        <w:rPr>
          <w:rFonts w:cs="Times New Roman"/>
        </w:rPr>
        <w:t xml:space="preserve"> olarak ifade edilen, bir tesise transfer edilen veya bir tesisten transfer edilen CO</w:t>
      </w:r>
      <w:r w:rsidRPr="007671C9">
        <w:rPr>
          <w:rFonts w:cs="Times New Roman"/>
          <w:vertAlign w:val="subscript"/>
        </w:rPr>
        <w:t>2</w:t>
      </w:r>
      <w:r w:rsidRPr="007671C9">
        <w:rPr>
          <w:rFonts w:cs="Times New Roman"/>
        </w:rPr>
        <w:t>,</w:t>
      </w:r>
    </w:p>
    <w:p w:rsidR="00915C54" w:rsidRPr="007671C9" w:rsidRDefault="00915C54" w:rsidP="00915C54">
      <w:pPr>
        <w:widowControl w:val="0"/>
        <w:tabs>
          <w:tab w:val="left" w:pos="426"/>
        </w:tabs>
        <w:autoSpaceDE w:val="0"/>
        <w:autoSpaceDN w:val="0"/>
        <w:adjustRightInd w:val="0"/>
        <w:ind w:left="426" w:right="-8"/>
        <w:jc w:val="both"/>
        <w:rPr>
          <w:rFonts w:cs="Times New Roman"/>
        </w:rPr>
      </w:pPr>
      <w:r w:rsidRPr="007671C9">
        <w:rPr>
          <w:rFonts w:cs="Times New Roman"/>
        </w:rPr>
        <w:t>(e)</w:t>
      </w:r>
      <w:r w:rsidRPr="007671C9">
        <w:rPr>
          <w:rFonts w:cs="Times New Roman"/>
          <w:w w:val="109"/>
        </w:rPr>
        <w:t xml:space="preserve"> 46 ncı madde uyarınca, </w:t>
      </w:r>
      <w:r w:rsidRPr="007671C9">
        <w:rPr>
          <w:rFonts w:cs="Times New Roman"/>
        </w:rPr>
        <w:t>t CO</w:t>
      </w:r>
      <w:r w:rsidRPr="007671C9">
        <w:rPr>
          <w:rFonts w:cs="Times New Roman"/>
          <w:vertAlign w:val="subscript"/>
        </w:rPr>
        <w:t>2</w:t>
      </w:r>
      <w:r w:rsidRPr="007671C9">
        <w:rPr>
          <w:rFonts w:cs="Times New Roman"/>
        </w:rPr>
        <w:t xml:space="preserve"> olarak ifade edilen, bir tesise transfer edilen veya bir tesisten transfer edilen dahili CO</w:t>
      </w:r>
      <w:r w:rsidRPr="007671C9">
        <w:rPr>
          <w:rFonts w:cs="Times New Roman"/>
          <w:vertAlign w:val="subscript"/>
        </w:rPr>
        <w:t>2</w:t>
      </w:r>
      <w:r w:rsidRPr="007671C9">
        <w:rPr>
          <w:rFonts w:cs="Times New Roman"/>
        </w:rPr>
        <w:t>,</w:t>
      </w:r>
    </w:p>
    <w:p w:rsidR="00915C54" w:rsidRPr="007671C9" w:rsidRDefault="00915C54" w:rsidP="00915C54">
      <w:pPr>
        <w:widowControl w:val="0"/>
        <w:tabs>
          <w:tab w:val="left" w:pos="426"/>
        </w:tabs>
        <w:autoSpaceDE w:val="0"/>
        <w:autoSpaceDN w:val="0"/>
        <w:adjustRightInd w:val="0"/>
        <w:ind w:left="426" w:right="-8"/>
        <w:jc w:val="both"/>
        <w:rPr>
          <w:rFonts w:cs="Times New Roman"/>
        </w:rPr>
      </w:pPr>
      <w:r w:rsidRPr="007671C9">
        <w:rPr>
          <w:rFonts w:cs="Times New Roman"/>
          <w:w w:val="106"/>
        </w:rPr>
        <w:t>(f) CO</w:t>
      </w:r>
      <w:r w:rsidRPr="007671C9">
        <w:rPr>
          <w:rFonts w:cs="Times New Roman"/>
          <w:w w:val="106"/>
          <w:vertAlign w:val="subscript"/>
        </w:rPr>
        <w:t>2</w:t>
      </w:r>
      <w:r w:rsidRPr="007671C9">
        <w:rPr>
          <w:rFonts w:cs="Times New Roman"/>
          <w:w w:val="106"/>
        </w:rPr>
        <w:t xml:space="preserve"> transferi olduğu durumlarda, transfer eden ve edilen tesislere ilişkin </w:t>
      </w:r>
      <w:r w:rsidRPr="007671C9">
        <w:rPr>
          <w:rFonts w:cs="Times New Roman"/>
        </w:rPr>
        <w:t xml:space="preserve">kimlik bilgileri, </w:t>
      </w:r>
    </w:p>
    <w:p w:rsidR="00915C54" w:rsidRPr="007671C9" w:rsidRDefault="00915C54" w:rsidP="00915C54">
      <w:pPr>
        <w:widowControl w:val="0"/>
        <w:tabs>
          <w:tab w:val="left" w:pos="426"/>
        </w:tabs>
        <w:autoSpaceDE w:val="0"/>
        <w:autoSpaceDN w:val="0"/>
        <w:adjustRightInd w:val="0"/>
        <w:ind w:left="426" w:right="-8"/>
        <w:jc w:val="both"/>
        <w:rPr>
          <w:rFonts w:cs="Times New Roman"/>
        </w:rPr>
      </w:pPr>
      <w:r w:rsidRPr="007671C9">
        <w:rPr>
          <w:rFonts w:cs="Times New Roman"/>
        </w:rPr>
        <w:t>(g) t CO</w:t>
      </w:r>
      <w:r w:rsidRPr="007671C9">
        <w:rPr>
          <w:rFonts w:cs="Times New Roman"/>
          <w:vertAlign w:val="subscript"/>
        </w:rPr>
        <w:t xml:space="preserve">2 </w:t>
      </w:r>
      <w:r w:rsidRPr="007671C9">
        <w:rPr>
          <w:rFonts w:cs="Times New Roman"/>
        </w:rPr>
        <w:t>olarak ifade edilen, transfer edilen biyokütle kaynaklı CO</w:t>
      </w:r>
      <w:r w:rsidRPr="007671C9">
        <w:rPr>
          <w:rFonts w:cs="Times New Roman"/>
          <w:vertAlign w:val="subscript"/>
        </w:rPr>
        <w:t>2</w:t>
      </w:r>
      <w:r w:rsidRPr="007671C9">
        <w:rPr>
          <w:rFonts w:cs="Times New Roman"/>
        </w:rPr>
        <w:t>,</w:t>
      </w:r>
    </w:p>
    <w:p w:rsidR="00915C54" w:rsidRPr="007671C9" w:rsidRDefault="00915C54" w:rsidP="00915C54">
      <w:pPr>
        <w:widowControl w:val="0"/>
        <w:tabs>
          <w:tab w:val="left" w:pos="426"/>
          <w:tab w:val="left" w:pos="2267"/>
        </w:tabs>
        <w:autoSpaceDE w:val="0"/>
        <w:autoSpaceDN w:val="0"/>
        <w:adjustRightInd w:val="0"/>
        <w:ind w:right="-8"/>
        <w:jc w:val="both"/>
        <w:rPr>
          <w:rFonts w:cs="Times New Roman"/>
        </w:rPr>
      </w:pPr>
      <w:r w:rsidRPr="007671C9">
        <w:rPr>
          <w:rFonts w:cs="Times New Roman"/>
        </w:rPr>
        <w:t>(9) Bir ölçüm yönteminin (SEÖS) uygulandığı durumlarda:</w:t>
      </w:r>
    </w:p>
    <w:p w:rsidR="00915C54" w:rsidRPr="007671C9" w:rsidRDefault="00915C54" w:rsidP="00915C54">
      <w:pPr>
        <w:widowControl w:val="0"/>
        <w:tabs>
          <w:tab w:val="left" w:pos="2790"/>
          <w:tab w:val="left" w:pos="2835"/>
        </w:tabs>
        <w:autoSpaceDE w:val="0"/>
        <w:autoSpaceDN w:val="0"/>
        <w:adjustRightInd w:val="0"/>
        <w:ind w:left="426" w:right="-8"/>
        <w:jc w:val="both"/>
        <w:rPr>
          <w:rFonts w:cs="Times New Roman"/>
        </w:rPr>
      </w:pPr>
      <w:r w:rsidRPr="007671C9">
        <w:rPr>
          <w:rFonts w:cs="Times New Roman"/>
          <w:w w:val="107"/>
        </w:rPr>
        <w:t>(a) CO</w:t>
      </w:r>
      <w:r w:rsidRPr="007671C9">
        <w:rPr>
          <w:rFonts w:cs="Times New Roman"/>
          <w:w w:val="107"/>
          <w:vertAlign w:val="subscript"/>
        </w:rPr>
        <w:t>2</w:t>
      </w:r>
      <w:r w:rsidRPr="007671C9">
        <w:rPr>
          <w:rFonts w:cs="Times New Roman"/>
          <w:w w:val="107"/>
        </w:rPr>
        <w:t>’nin, yıllık fosil CO</w:t>
      </w:r>
      <w:r w:rsidRPr="007671C9">
        <w:rPr>
          <w:rFonts w:cs="Times New Roman"/>
          <w:w w:val="107"/>
          <w:vertAlign w:val="subscript"/>
        </w:rPr>
        <w:t>2</w:t>
      </w:r>
      <w:r w:rsidRPr="007671C9">
        <w:rPr>
          <w:rFonts w:cs="Times New Roman"/>
          <w:w w:val="107"/>
        </w:rPr>
        <w:t xml:space="preserve"> emisyonları ve biyokütle kullanımı kaynaklı yıllık CO</w:t>
      </w:r>
      <w:r w:rsidRPr="007671C9">
        <w:rPr>
          <w:rFonts w:cs="Times New Roman"/>
          <w:w w:val="107"/>
          <w:vertAlign w:val="subscript"/>
        </w:rPr>
        <w:t>2</w:t>
      </w:r>
      <w:r w:rsidRPr="007671C9">
        <w:rPr>
          <w:rFonts w:cs="Times New Roman"/>
          <w:w w:val="107"/>
        </w:rPr>
        <w:t xml:space="preserve"> emisyonları olarak ölçüldüğü yer,</w:t>
      </w:r>
    </w:p>
    <w:p w:rsidR="00915C54" w:rsidRPr="007671C9" w:rsidRDefault="00915C54" w:rsidP="00915C54">
      <w:pPr>
        <w:widowControl w:val="0"/>
        <w:tabs>
          <w:tab w:val="left" w:pos="2790"/>
          <w:tab w:val="left" w:pos="2835"/>
        </w:tabs>
        <w:autoSpaceDE w:val="0"/>
        <w:autoSpaceDN w:val="0"/>
        <w:adjustRightInd w:val="0"/>
        <w:ind w:left="426" w:right="-8"/>
        <w:jc w:val="both"/>
        <w:rPr>
          <w:rFonts w:cs="Times New Roman"/>
        </w:rPr>
      </w:pPr>
      <w:r w:rsidRPr="007671C9">
        <w:rPr>
          <w:rFonts w:cs="Times New Roman"/>
        </w:rPr>
        <w:t>(b) Yıllık saatlik ortalama ve yıllık toplam değer olarak ifade edilen, sera gazı konsantrasyonları ve baca gaz akışı ölçümleri,</w:t>
      </w:r>
    </w:p>
    <w:p w:rsidR="00915C54" w:rsidRPr="007671C9" w:rsidRDefault="00915C54" w:rsidP="00915C54">
      <w:pPr>
        <w:widowControl w:val="0"/>
        <w:tabs>
          <w:tab w:val="left" w:pos="426"/>
        </w:tabs>
        <w:autoSpaceDE w:val="0"/>
        <w:autoSpaceDN w:val="0"/>
        <w:adjustRightInd w:val="0"/>
        <w:ind w:right="-8"/>
        <w:jc w:val="both"/>
        <w:rPr>
          <w:rFonts w:cs="Times New Roman"/>
        </w:rPr>
      </w:pPr>
      <w:r w:rsidRPr="007671C9">
        <w:rPr>
          <w:rFonts w:cs="Times New Roman"/>
        </w:rPr>
        <w:t>(10)</w:t>
      </w:r>
      <w:r w:rsidRPr="007671C9">
        <w:rPr>
          <w:rFonts w:cs="Times New Roman"/>
        </w:rPr>
        <w:tab/>
        <w:t>20 nci madde kapsamında kademelere dayanmayan</w:t>
      </w:r>
      <w:r w:rsidR="005C3B30" w:rsidRPr="007671C9">
        <w:rPr>
          <w:rFonts w:cs="Times New Roman"/>
        </w:rPr>
        <w:t xml:space="preserve"> </w:t>
      </w:r>
      <w:r w:rsidRPr="007671C9">
        <w:rPr>
          <w:rFonts w:cs="Times New Roman"/>
        </w:rPr>
        <w:t>yöntem uygulandığında, yöntemin uygulandığı emisyon kaynakları ve kaynak akımları için emisyonları belirlemeye yönelik gerekli tüm veri ile birlikte, faaliyet verisi için ikame veri, hesaplama faktörü ve bir kademe yöntemi altında raporlanacak olan diğer parametreler,</w:t>
      </w:r>
    </w:p>
    <w:p w:rsidR="00915C54" w:rsidRPr="007671C9" w:rsidRDefault="00915C54" w:rsidP="00915C54">
      <w:pPr>
        <w:widowControl w:val="0"/>
        <w:tabs>
          <w:tab w:val="left" w:pos="426"/>
        </w:tabs>
        <w:autoSpaceDE w:val="0"/>
        <w:autoSpaceDN w:val="0"/>
        <w:adjustRightInd w:val="0"/>
        <w:ind w:right="-8"/>
        <w:jc w:val="both"/>
        <w:rPr>
          <w:rFonts w:cs="Times New Roman"/>
        </w:rPr>
      </w:pPr>
      <w:bookmarkStart w:id="9" w:name="Pg119"/>
      <w:bookmarkEnd w:id="9"/>
      <w:r w:rsidRPr="007671C9">
        <w:rPr>
          <w:rFonts w:cs="Times New Roman"/>
        </w:rPr>
        <w:t>(11)</w:t>
      </w:r>
      <w:r w:rsidRPr="007671C9">
        <w:rPr>
          <w:rFonts w:cs="Times New Roman"/>
        </w:rPr>
        <w:tab/>
        <w:t xml:space="preserve">Veri boşluklarının oluştuğu ve 56 ncı maddenin birinci fıkrası uyarınca ikame veri ile kapatıldığı durumlarda:  </w:t>
      </w:r>
    </w:p>
    <w:p w:rsidR="00915C54" w:rsidRPr="007671C9" w:rsidRDefault="00915C54" w:rsidP="00915C54">
      <w:pPr>
        <w:widowControl w:val="0"/>
        <w:autoSpaceDE w:val="0"/>
        <w:autoSpaceDN w:val="0"/>
        <w:adjustRightInd w:val="0"/>
        <w:ind w:left="426" w:right="-8"/>
        <w:jc w:val="both"/>
        <w:rPr>
          <w:rFonts w:cs="Times New Roman"/>
        </w:rPr>
      </w:pPr>
      <w:r w:rsidRPr="007671C9">
        <w:rPr>
          <w:rFonts w:cs="Times New Roman"/>
        </w:rPr>
        <w:t>(a) Her bir veri boşluğunun oluştuğu kaynak akışı veya emisyon kaynağı,</w:t>
      </w:r>
    </w:p>
    <w:p w:rsidR="00915C54" w:rsidRPr="007671C9" w:rsidRDefault="00915C54" w:rsidP="00915C54">
      <w:pPr>
        <w:widowControl w:val="0"/>
        <w:autoSpaceDE w:val="0"/>
        <w:autoSpaceDN w:val="0"/>
        <w:adjustRightInd w:val="0"/>
        <w:ind w:left="426" w:right="-8"/>
        <w:jc w:val="both"/>
        <w:rPr>
          <w:rFonts w:cs="Times New Roman"/>
        </w:rPr>
      </w:pPr>
      <w:r w:rsidRPr="007671C9">
        <w:rPr>
          <w:rFonts w:cs="Times New Roman"/>
        </w:rPr>
        <w:t>(b) Her bir veri boşluğunun nedenleri,</w:t>
      </w:r>
    </w:p>
    <w:p w:rsidR="00915C54" w:rsidRPr="007671C9" w:rsidRDefault="00915C54" w:rsidP="00915C54">
      <w:pPr>
        <w:widowControl w:val="0"/>
        <w:autoSpaceDE w:val="0"/>
        <w:autoSpaceDN w:val="0"/>
        <w:adjustRightInd w:val="0"/>
        <w:ind w:left="426" w:right="-8"/>
        <w:jc w:val="both"/>
        <w:rPr>
          <w:rFonts w:cs="Times New Roman"/>
        </w:rPr>
      </w:pPr>
      <w:r w:rsidRPr="007671C9">
        <w:rPr>
          <w:rFonts w:cs="Times New Roman"/>
        </w:rPr>
        <w:t>(c) Her bir veri boşluğunun başlangıç ve bitiş tarihi ile saatleri,</w:t>
      </w:r>
    </w:p>
    <w:p w:rsidR="00915C54" w:rsidRPr="007671C9" w:rsidRDefault="00915C54" w:rsidP="00915C54">
      <w:pPr>
        <w:widowControl w:val="0"/>
        <w:autoSpaceDE w:val="0"/>
        <w:autoSpaceDN w:val="0"/>
        <w:adjustRightInd w:val="0"/>
        <w:ind w:left="426" w:right="-8"/>
        <w:jc w:val="both"/>
        <w:rPr>
          <w:rFonts w:cs="Times New Roman"/>
        </w:rPr>
      </w:pPr>
      <w:r w:rsidRPr="007671C9">
        <w:rPr>
          <w:rFonts w:cs="Times New Roman"/>
        </w:rPr>
        <w:t>(ç) İkame veriye dayanarak hesaplanan emisyonlar,</w:t>
      </w:r>
    </w:p>
    <w:p w:rsidR="00915C54" w:rsidRPr="007671C9" w:rsidRDefault="00915C54" w:rsidP="00915C54">
      <w:pPr>
        <w:widowControl w:val="0"/>
        <w:tabs>
          <w:tab w:val="left" w:pos="2835"/>
        </w:tabs>
        <w:autoSpaceDE w:val="0"/>
        <w:autoSpaceDN w:val="0"/>
        <w:adjustRightInd w:val="0"/>
        <w:ind w:left="426" w:right="-8"/>
        <w:jc w:val="both"/>
        <w:rPr>
          <w:rFonts w:cs="Times New Roman"/>
        </w:rPr>
      </w:pPr>
      <w:r w:rsidRPr="007671C9">
        <w:rPr>
          <w:rFonts w:cs="Times New Roman"/>
        </w:rPr>
        <w:t>(d) İkame veri için tahmin yönteminin izleme planında yer almadığı hallerde, kullanılan yöntemin ilgili zaman süreci içinde emisyonların eksik tahminine yol açmayacağına dair belgeleri de içerecek şekilde tahmin yönteminin detaylı tarifi,</w:t>
      </w:r>
    </w:p>
    <w:p w:rsidR="00915C54" w:rsidRPr="007671C9" w:rsidRDefault="00915C54" w:rsidP="00915C54">
      <w:pPr>
        <w:widowControl w:val="0"/>
        <w:tabs>
          <w:tab w:val="left" w:pos="426"/>
        </w:tabs>
        <w:autoSpaceDE w:val="0"/>
        <w:autoSpaceDN w:val="0"/>
        <w:adjustRightInd w:val="0"/>
        <w:ind w:right="-8"/>
        <w:jc w:val="both"/>
        <w:rPr>
          <w:rFonts w:cs="Times New Roman"/>
        </w:rPr>
      </w:pPr>
      <w:r w:rsidRPr="007671C9">
        <w:rPr>
          <w:rFonts w:cs="Times New Roman"/>
        </w:rPr>
        <w:t xml:space="preserve">(12) </w:t>
      </w:r>
      <w:r w:rsidRPr="007671C9">
        <w:rPr>
          <w:rFonts w:cs="Times New Roman"/>
        </w:rPr>
        <w:tab/>
        <w:t>Raporlama yılı süresince tesisin sera gazı emisyonları ile ilgili, raporlama dönemi boyunca tesiste olan diğer değişiklikler,</w:t>
      </w:r>
    </w:p>
    <w:p w:rsidR="00915C54" w:rsidRPr="007671C9" w:rsidRDefault="00915C54" w:rsidP="00915C54">
      <w:pPr>
        <w:widowControl w:val="0"/>
        <w:tabs>
          <w:tab w:val="left" w:pos="426"/>
        </w:tabs>
        <w:autoSpaceDE w:val="0"/>
        <w:autoSpaceDN w:val="0"/>
        <w:adjustRightInd w:val="0"/>
        <w:ind w:right="-8"/>
        <w:jc w:val="both"/>
        <w:rPr>
          <w:rFonts w:cs="Times New Roman"/>
          <w:w w:val="106"/>
        </w:rPr>
      </w:pPr>
      <w:r w:rsidRPr="007671C9">
        <w:rPr>
          <w:rFonts w:cs="Times New Roman"/>
        </w:rPr>
        <w:t xml:space="preserve">(13) </w:t>
      </w:r>
      <w:r w:rsidRPr="007671C9">
        <w:rPr>
          <w:rFonts w:cs="Times New Roman"/>
        </w:rPr>
        <w:tab/>
        <w:t>Varsa, birincil alüminyumun üretim seviyesi, raporlama dönemi süresince anot etkisinin sıklığı ve ortalama süresi veya raporlama dönemi süresince anot etkisi aşırı gerilim verisi, ek</w:t>
      </w:r>
      <w:r w:rsidRPr="007671C9">
        <w:rPr>
          <w:rFonts w:cs="Times New Roman"/>
          <w:b/>
        </w:rPr>
        <w:t>-</w:t>
      </w:r>
      <w:r w:rsidRPr="007671C9">
        <w:rPr>
          <w:rFonts w:cs="Times New Roman"/>
        </w:rPr>
        <w:t xml:space="preserve">3 kapsamında </w:t>
      </w:r>
      <w:r w:rsidRPr="007671C9">
        <w:rPr>
          <w:rFonts w:cs="Times New Roman"/>
          <w:w w:val="106"/>
        </w:rPr>
        <w:t>CF</w:t>
      </w:r>
      <w:r w:rsidRPr="007671C9">
        <w:rPr>
          <w:rFonts w:cs="Times New Roman"/>
          <w:w w:val="106"/>
          <w:vertAlign w:val="subscript"/>
        </w:rPr>
        <w:t>4</w:t>
      </w:r>
      <w:r w:rsidRPr="007671C9">
        <w:rPr>
          <w:rFonts w:cs="Times New Roman"/>
          <w:w w:val="106"/>
        </w:rPr>
        <w:t xml:space="preserve"> ve C</w:t>
      </w:r>
      <w:r w:rsidRPr="007671C9">
        <w:rPr>
          <w:rFonts w:cs="Times New Roman"/>
          <w:w w:val="106"/>
          <w:vertAlign w:val="subscript"/>
        </w:rPr>
        <w:t>2</w:t>
      </w:r>
      <w:r w:rsidRPr="007671C9">
        <w:rPr>
          <w:rFonts w:cs="Times New Roman"/>
          <w:w w:val="106"/>
        </w:rPr>
        <w:t>F</w:t>
      </w:r>
      <w:r w:rsidRPr="007671C9">
        <w:rPr>
          <w:rFonts w:cs="Times New Roman"/>
          <w:w w:val="106"/>
          <w:vertAlign w:val="subscript"/>
        </w:rPr>
        <w:t xml:space="preserve">6 </w:t>
      </w:r>
      <w:r w:rsidRPr="007671C9">
        <w:rPr>
          <w:rFonts w:cs="Times New Roman"/>
          <w:w w:val="106"/>
        </w:rPr>
        <w:t>için tesise özgü emisyon faktörlerinin en güncel tespitinin sonuçları</w:t>
      </w:r>
      <w:r w:rsidRPr="007671C9">
        <w:rPr>
          <w:rFonts w:cs="Times New Roman"/>
        </w:rPr>
        <w:t xml:space="preserve"> ve kanalların toplama verimliliğinin en güncel tespitinin</w:t>
      </w:r>
      <w:r w:rsidRPr="007671C9">
        <w:rPr>
          <w:rFonts w:cs="Times New Roman"/>
          <w:w w:val="106"/>
        </w:rPr>
        <w:t xml:space="preserve"> sonuçları,</w:t>
      </w:r>
    </w:p>
    <w:p w:rsidR="00915C54" w:rsidRPr="007671C9" w:rsidRDefault="00915C54" w:rsidP="00915C54">
      <w:pPr>
        <w:widowControl w:val="0"/>
        <w:tabs>
          <w:tab w:val="left" w:pos="426"/>
        </w:tabs>
        <w:autoSpaceDE w:val="0"/>
        <w:autoSpaceDN w:val="0"/>
        <w:adjustRightInd w:val="0"/>
        <w:ind w:right="-8"/>
        <w:jc w:val="both"/>
        <w:rPr>
          <w:rFonts w:cs="Times New Roman"/>
          <w:w w:val="106"/>
        </w:rPr>
      </w:pPr>
      <w:r w:rsidRPr="007671C9">
        <w:rPr>
          <w:rFonts w:cs="Times New Roman"/>
          <w:spacing w:val="-3"/>
        </w:rPr>
        <w:t xml:space="preserve">(14) Tesis için kullanılan atık tipleri, yakıt veya girdi olarak kullanımlarından kaynaklanan emisyonlar, ilgili atık mevzuatında </w:t>
      </w:r>
      <w:r w:rsidRPr="007671C9">
        <w:rPr>
          <w:rFonts w:cs="Times New Roman"/>
          <w:spacing w:val="-2"/>
        </w:rPr>
        <w:t>belirtilen sınıflandırma kullanılarak raporlanır. Bu amaç ile ilgili altı haneli kod tesiste kullanılan ilgili atık tiplerinin isimleri ile birlikte belirtilir.</w:t>
      </w:r>
    </w:p>
    <w:p w:rsidR="00915C54" w:rsidRPr="007671C9" w:rsidRDefault="00915C54" w:rsidP="00915C54">
      <w:pPr>
        <w:widowControl w:val="0"/>
        <w:autoSpaceDE w:val="0"/>
        <w:autoSpaceDN w:val="0"/>
        <w:adjustRightInd w:val="0"/>
        <w:ind w:right="-8"/>
        <w:jc w:val="both"/>
        <w:rPr>
          <w:rFonts w:cs="Times New Roman"/>
        </w:rPr>
      </w:pPr>
      <w:r w:rsidRPr="007671C9">
        <w:rPr>
          <w:rFonts w:cs="Times New Roman"/>
        </w:rPr>
        <w:lastRenderedPageBreak/>
        <w:t>Farklı emisyon kaynaklarından veya aynı tip faaliyete ait her bir tesisin aynı tip kaynak akımlarından kaynaklanan emisyonlar, bahse konu faaliyet tipi için kümelenerek raporlanabilir.</w:t>
      </w:r>
    </w:p>
    <w:p w:rsidR="00915C54" w:rsidRPr="007671C9" w:rsidRDefault="00AD68C3" w:rsidP="00915C54">
      <w:pPr>
        <w:widowControl w:val="0"/>
        <w:autoSpaceDE w:val="0"/>
        <w:autoSpaceDN w:val="0"/>
        <w:adjustRightInd w:val="0"/>
        <w:ind w:right="-8"/>
        <w:jc w:val="both"/>
        <w:rPr>
          <w:rFonts w:cs="Times New Roman"/>
          <w:w w:val="97"/>
        </w:rPr>
      </w:pPr>
      <w:r w:rsidRPr="007671C9">
        <w:rPr>
          <w:rFonts w:cs="Times New Roman"/>
          <w:w w:val="102"/>
        </w:rPr>
        <w:t>L</w:t>
      </w:r>
      <w:r w:rsidR="00915C54" w:rsidRPr="007671C9">
        <w:rPr>
          <w:rFonts w:cs="Times New Roman"/>
          <w:w w:val="102"/>
        </w:rPr>
        <w:t>Bir raporlama dönemi içinde kademeler değiştiğinde, işletme emisyonları hesaplayacak ve raporlama döneminin ilgili bölümleri için yıllık raporda ayrı bölümler olarak raporlayacaktır.</w:t>
      </w:r>
      <w:bookmarkStart w:id="10" w:name="Pg120"/>
      <w:bookmarkEnd w:id="10"/>
    </w:p>
    <w:p w:rsidR="00915C54" w:rsidRPr="007671C9" w:rsidRDefault="00915C54" w:rsidP="004D2E85">
      <w:pPr>
        <w:jc w:val="both"/>
        <w:rPr>
          <w:rFonts w:ascii="Times New Roman" w:hAnsi="Times New Roman" w:cs="Times New Roman"/>
          <w:b/>
          <w:sz w:val="24"/>
          <w:szCs w:val="24"/>
        </w:rPr>
      </w:pPr>
    </w:p>
    <w:sectPr w:rsidR="00915C54" w:rsidRPr="00767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66" w:rsidRDefault="002C1666">
      <w:pPr>
        <w:spacing w:after="0" w:line="240" w:lineRule="auto"/>
      </w:pPr>
      <w:r>
        <w:separator/>
      </w:r>
    </w:p>
  </w:endnote>
  <w:endnote w:type="continuationSeparator" w:id="0">
    <w:p w:rsidR="002C1666" w:rsidRDefault="002C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sidR="00EF44E9">
      <w:rPr>
        <w:noProof/>
        <w:sz w:val="20"/>
        <w:szCs w:val="20"/>
      </w:rPr>
      <w:t>1</w:t>
    </w:r>
    <w:r w:rsidRPr="00712D24">
      <w:rPr>
        <w:sz w:val="20"/>
        <w:szCs w:val="20"/>
      </w:rPr>
      <w:fldChar w:fldCharType="end"/>
    </w:r>
  </w:p>
  <w:p w:rsidR="00C97A1A" w:rsidRDefault="00C97A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sidR="00EF44E9">
      <w:rPr>
        <w:noProof/>
        <w:sz w:val="20"/>
        <w:szCs w:val="20"/>
      </w:rPr>
      <w:t>69</w:t>
    </w:r>
    <w:r w:rsidRPr="00712D24">
      <w:rPr>
        <w:sz w:val="20"/>
        <w:szCs w:val="20"/>
      </w:rPr>
      <w:fldChar w:fldCharType="end"/>
    </w:r>
  </w:p>
  <w:p w:rsidR="00C97A1A" w:rsidRDefault="00C97A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66" w:rsidRDefault="002C1666">
      <w:pPr>
        <w:spacing w:after="0" w:line="240" w:lineRule="auto"/>
      </w:pPr>
      <w:r>
        <w:separator/>
      </w:r>
    </w:p>
  </w:footnote>
  <w:footnote w:type="continuationSeparator" w:id="0">
    <w:p w:rsidR="002C1666" w:rsidRDefault="002C1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D5D"/>
    <w:multiLevelType w:val="hybridMultilevel"/>
    <w:tmpl w:val="3B2EDCE2"/>
    <w:lvl w:ilvl="0" w:tplc="69463588">
      <w:start w:val="1"/>
      <w:numFmt w:val="decimal"/>
      <w:lvlText w:val="(%1)"/>
      <w:lvlJc w:val="left"/>
      <w:pPr>
        <w:ind w:left="1271" w:hanging="42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08071970"/>
    <w:multiLevelType w:val="hybridMultilevel"/>
    <w:tmpl w:val="51103B6C"/>
    <w:lvl w:ilvl="0" w:tplc="D084D166">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09E556F7"/>
    <w:multiLevelType w:val="hybridMultilevel"/>
    <w:tmpl w:val="637AB76C"/>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0DC6"/>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9D245A0"/>
    <w:multiLevelType w:val="hybridMultilevel"/>
    <w:tmpl w:val="A8740F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20C13FCA"/>
    <w:multiLevelType w:val="hybridMultilevel"/>
    <w:tmpl w:val="428A276E"/>
    <w:lvl w:ilvl="0" w:tplc="0A50DE5A">
      <w:start w:val="1"/>
      <w:numFmt w:val="lowerLetter"/>
      <w:lvlText w:val="(%1)"/>
      <w:lvlJc w:val="left"/>
      <w:pPr>
        <w:ind w:left="855" w:hanging="495"/>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4FC9"/>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26CA5A96"/>
    <w:multiLevelType w:val="hybridMultilevel"/>
    <w:tmpl w:val="0E7AD37A"/>
    <w:lvl w:ilvl="0" w:tplc="041F001B">
      <w:start w:val="1"/>
      <w:numFmt w:val="lowerRoman"/>
      <w:lvlText w:val="%1."/>
      <w:lvlJc w:val="righ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279E1A94"/>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9" w15:restartNumberingAfterBreak="0">
    <w:nsid w:val="2CA6082D"/>
    <w:multiLevelType w:val="hybridMultilevel"/>
    <w:tmpl w:val="070CD9E2"/>
    <w:lvl w:ilvl="0" w:tplc="69463588">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CFA2B1C"/>
    <w:multiLevelType w:val="hybridMultilevel"/>
    <w:tmpl w:val="37901928"/>
    <w:lvl w:ilvl="0" w:tplc="8348008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2669D"/>
    <w:multiLevelType w:val="hybridMultilevel"/>
    <w:tmpl w:val="FB6278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372833D8"/>
    <w:multiLevelType w:val="hybridMultilevel"/>
    <w:tmpl w:val="54AA784A"/>
    <w:lvl w:ilvl="0" w:tplc="B0FA0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72164"/>
    <w:multiLevelType w:val="hybridMultilevel"/>
    <w:tmpl w:val="A8740F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391D56D4"/>
    <w:multiLevelType w:val="hybridMultilevel"/>
    <w:tmpl w:val="51103B6C"/>
    <w:lvl w:ilvl="0" w:tplc="D084D166">
      <w:start w:val="1"/>
      <w:numFmt w:val="lowerRoman"/>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40466F83"/>
    <w:multiLevelType w:val="multilevel"/>
    <w:tmpl w:val="276EFEAC"/>
    <w:lvl w:ilvl="0">
      <w:start w:val="1"/>
      <w:numFmt w:val="lowerLetter"/>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714DDB"/>
    <w:multiLevelType w:val="hybridMultilevel"/>
    <w:tmpl w:val="3F9A52BA"/>
    <w:lvl w:ilvl="0" w:tplc="329AC270">
      <w:start w:val="1"/>
      <w:numFmt w:val="lowerLetter"/>
      <w:lvlText w:val="%1)"/>
      <w:lvlJc w:val="left"/>
      <w:pPr>
        <w:ind w:left="855" w:hanging="495"/>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17CB0"/>
    <w:multiLevelType w:val="hybridMultilevel"/>
    <w:tmpl w:val="87B0E35E"/>
    <w:lvl w:ilvl="0" w:tplc="C71E75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F655BB"/>
    <w:multiLevelType w:val="hybridMultilevel"/>
    <w:tmpl w:val="0292F3E2"/>
    <w:lvl w:ilvl="0" w:tplc="041F001B">
      <w:start w:val="1"/>
      <w:numFmt w:val="lowerRoman"/>
      <w:lvlText w:val="%1."/>
      <w:lvlJc w:val="right"/>
      <w:pPr>
        <w:ind w:left="780" w:hanging="360"/>
      </w:pPr>
      <w:rPr>
        <w:rFonts w:cs="Times New Roman"/>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19" w15:restartNumberingAfterBreak="0">
    <w:nsid w:val="49D12227"/>
    <w:multiLevelType w:val="hybridMultilevel"/>
    <w:tmpl w:val="F19803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201B7"/>
    <w:multiLevelType w:val="hybridMultilevel"/>
    <w:tmpl w:val="D25E1DE6"/>
    <w:lvl w:ilvl="0" w:tplc="CC9293E8">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C2A3B9C"/>
    <w:multiLevelType w:val="hybridMultilevel"/>
    <w:tmpl w:val="FB62783E"/>
    <w:lvl w:ilvl="0" w:tplc="15FCB6A8">
      <w:start w:val="1"/>
      <w:numFmt w:val="lowerLetter"/>
      <w:lvlText w:val="(%1)"/>
      <w:lvlJc w:val="left"/>
      <w:pPr>
        <w:ind w:left="1353"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15:restartNumberingAfterBreak="0">
    <w:nsid w:val="57B6234B"/>
    <w:multiLevelType w:val="hybridMultilevel"/>
    <w:tmpl w:val="8E14FE32"/>
    <w:lvl w:ilvl="0" w:tplc="7CBA7FD6">
      <w:start w:val="1"/>
      <w:numFmt w:val="lowerRoman"/>
      <w:lvlText w:val="(%1)"/>
      <w:lvlJc w:val="left"/>
      <w:pPr>
        <w:ind w:left="1636" w:hanging="360"/>
      </w:pPr>
      <w:rPr>
        <w:rFonts w:ascii="Times New Roman" w:eastAsiaTheme="minorEastAsia" w:hAnsi="Times New Roman" w:cs="Times New Roman"/>
      </w:rPr>
    </w:lvl>
    <w:lvl w:ilvl="1" w:tplc="041F0019">
      <w:start w:val="1"/>
      <w:numFmt w:val="lowerLetter"/>
      <w:lvlText w:val="%2."/>
      <w:lvlJc w:val="left"/>
      <w:pPr>
        <w:ind w:left="2356" w:hanging="360"/>
      </w:pPr>
      <w:rPr>
        <w:rFonts w:cs="Times New Roman"/>
      </w:rPr>
    </w:lvl>
    <w:lvl w:ilvl="2" w:tplc="041F001B">
      <w:start w:val="1"/>
      <w:numFmt w:val="lowerRoman"/>
      <w:lvlText w:val="%3."/>
      <w:lvlJc w:val="right"/>
      <w:pPr>
        <w:ind w:left="3076" w:hanging="180"/>
      </w:pPr>
      <w:rPr>
        <w:rFonts w:cs="Times New Roman"/>
      </w:rPr>
    </w:lvl>
    <w:lvl w:ilvl="3" w:tplc="041F000F">
      <w:start w:val="1"/>
      <w:numFmt w:val="decimal"/>
      <w:lvlText w:val="%4."/>
      <w:lvlJc w:val="left"/>
      <w:pPr>
        <w:ind w:left="3796" w:hanging="360"/>
      </w:pPr>
      <w:rPr>
        <w:rFonts w:cs="Times New Roman"/>
      </w:rPr>
    </w:lvl>
    <w:lvl w:ilvl="4" w:tplc="041F0019">
      <w:start w:val="1"/>
      <w:numFmt w:val="lowerLetter"/>
      <w:lvlText w:val="%5."/>
      <w:lvlJc w:val="left"/>
      <w:pPr>
        <w:ind w:left="4516" w:hanging="360"/>
      </w:pPr>
      <w:rPr>
        <w:rFonts w:cs="Times New Roman"/>
      </w:rPr>
    </w:lvl>
    <w:lvl w:ilvl="5" w:tplc="041F001B">
      <w:start w:val="1"/>
      <w:numFmt w:val="lowerRoman"/>
      <w:lvlText w:val="%6."/>
      <w:lvlJc w:val="right"/>
      <w:pPr>
        <w:ind w:left="5236" w:hanging="180"/>
      </w:pPr>
      <w:rPr>
        <w:rFonts w:cs="Times New Roman"/>
      </w:rPr>
    </w:lvl>
    <w:lvl w:ilvl="6" w:tplc="041F000F">
      <w:start w:val="1"/>
      <w:numFmt w:val="decimal"/>
      <w:lvlText w:val="%7."/>
      <w:lvlJc w:val="left"/>
      <w:pPr>
        <w:ind w:left="5956" w:hanging="360"/>
      </w:pPr>
      <w:rPr>
        <w:rFonts w:cs="Times New Roman"/>
      </w:rPr>
    </w:lvl>
    <w:lvl w:ilvl="7" w:tplc="041F0019">
      <w:start w:val="1"/>
      <w:numFmt w:val="lowerLetter"/>
      <w:lvlText w:val="%8."/>
      <w:lvlJc w:val="left"/>
      <w:pPr>
        <w:ind w:left="6676" w:hanging="360"/>
      </w:pPr>
      <w:rPr>
        <w:rFonts w:cs="Times New Roman"/>
      </w:rPr>
    </w:lvl>
    <w:lvl w:ilvl="8" w:tplc="041F001B">
      <w:start w:val="1"/>
      <w:numFmt w:val="lowerRoman"/>
      <w:lvlText w:val="%9."/>
      <w:lvlJc w:val="right"/>
      <w:pPr>
        <w:ind w:left="7396" w:hanging="180"/>
      </w:pPr>
      <w:rPr>
        <w:rFonts w:cs="Times New Roman"/>
      </w:rPr>
    </w:lvl>
  </w:abstractNum>
  <w:abstractNum w:abstractNumId="23" w15:restartNumberingAfterBreak="0">
    <w:nsid w:val="5EE00F5E"/>
    <w:multiLevelType w:val="hybridMultilevel"/>
    <w:tmpl w:val="90D0F060"/>
    <w:lvl w:ilvl="0" w:tplc="9E6E4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00A65"/>
    <w:multiLevelType w:val="hybridMultilevel"/>
    <w:tmpl w:val="F86CE720"/>
    <w:lvl w:ilvl="0" w:tplc="6D8AD48A">
      <w:start w:val="1"/>
      <w:numFmt w:val="decimal"/>
      <w:lvlText w:val="(%1)"/>
      <w:lvlJc w:val="left"/>
      <w:pPr>
        <w:ind w:left="332" w:hanging="226"/>
      </w:pPr>
      <w:rPr>
        <w:rFonts w:ascii="Times New Roman" w:eastAsia="Times New Roman" w:hAnsi="Times New Roman" w:cs="Times New Roman" w:hint="default"/>
        <w:spacing w:val="-1"/>
        <w:w w:val="78"/>
        <w:sz w:val="17"/>
        <w:szCs w:val="17"/>
        <w:lang w:val="en-US" w:eastAsia="en-US" w:bidi="en-US"/>
      </w:rPr>
    </w:lvl>
    <w:lvl w:ilvl="1" w:tplc="5694D26A">
      <w:start w:val="1"/>
      <w:numFmt w:val="decimal"/>
      <w:lvlText w:val="(%2)"/>
      <w:lvlJc w:val="left"/>
      <w:pPr>
        <w:ind w:left="510" w:hanging="300"/>
        <w:jc w:val="right"/>
      </w:pPr>
      <w:rPr>
        <w:rFonts w:ascii="Times New Roman" w:eastAsia="Times New Roman" w:hAnsi="Times New Roman" w:cs="Times New Roman" w:hint="default"/>
        <w:w w:val="91"/>
        <w:sz w:val="19"/>
        <w:szCs w:val="19"/>
        <w:lang w:val="en-US" w:eastAsia="en-US" w:bidi="en-US"/>
      </w:rPr>
    </w:lvl>
    <w:lvl w:ilvl="2" w:tplc="E416D200">
      <w:start w:val="1"/>
      <w:numFmt w:val="lowerLetter"/>
      <w:lvlText w:val="(%3)"/>
      <w:lvlJc w:val="left"/>
      <w:pPr>
        <w:ind w:left="805" w:hanging="295"/>
      </w:pPr>
      <w:rPr>
        <w:rFonts w:ascii="Times New Roman" w:eastAsia="Times New Roman" w:hAnsi="Times New Roman" w:cs="Times New Roman" w:hint="default"/>
        <w:w w:val="86"/>
        <w:sz w:val="19"/>
        <w:szCs w:val="19"/>
        <w:lang w:val="en-US" w:eastAsia="en-US" w:bidi="en-US"/>
      </w:rPr>
    </w:lvl>
    <w:lvl w:ilvl="3" w:tplc="08AAAB72">
      <w:numFmt w:val="bullet"/>
      <w:lvlText w:val="•"/>
      <w:lvlJc w:val="left"/>
      <w:pPr>
        <w:ind w:left="1880" w:hanging="295"/>
      </w:pPr>
      <w:rPr>
        <w:rFonts w:hint="default"/>
        <w:lang w:val="en-US" w:eastAsia="en-US" w:bidi="en-US"/>
      </w:rPr>
    </w:lvl>
    <w:lvl w:ilvl="4" w:tplc="CC405A0A">
      <w:numFmt w:val="bullet"/>
      <w:lvlText w:val="•"/>
      <w:lvlJc w:val="left"/>
      <w:pPr>
        <w:ind w:left="2961" w:hanging="295"/>
      </w:pPr>
      <w:rPr>
        <w:rFonts w:hint="default"/>
        <w:lang w:val="en-US" w:eastAsia="en-US" w:bidi="en-US"/>
      </w:rPr>
    </w:lvl>
    <w:lvl w:ilvl="5" w:tplc="BE262A50">
      <w:numFmt w:val="bullet"/>
      <w:lvlText w:val="•"/>
      <w:lvlJc w:val="left"/>
      <w:pPr>
        <w:ind w:left="4042" w:hanging="295"/>
      </w:pPr>
      <w:rPr>
        <w:rFonts w:hint="default"/>
        <w:lang w:val="en-US" w:eastAsia="en-US" w:bidi="en-US"/>
      </w:rPr>
    </w:lvl>
    <w:lvl w:ilvl="6" w:tplc="C3645C74">
      <w:numFmt w:val="bullet"/>
      <w:lvlText w:val="•"/>
      <w:lvlJc w:val="left"/>
      <w:pPr>
        <w:ind w:left="5122" w:hanging="295"/>
      </w:pPr>
      <w:rPr>
        <w:rFonts w:hint="default"/>
        <w:lang w:val="en-US" w:eastAsia="en-US" w:bidi="en-US"/>
      </w:rPr>
    </w:lvl>
    <w:lvl w:ilvl="7" w:tplc="58F06CA8">
      <w:numFmt w:val="bullet"/>
      <w:lvlText w:val="•"/>
      <w:lvlJc w:val="left"/>
      <w:pPr>
        <w:ind w:left="6203" w:hanging="295"/>
      </w:pPr>
      <w:rPr>
        <w:rFonts w:hint="default"/>
        <w:lang w:val="en-US" w:eastAsia="en-US" w:bidi="en-US"/>
      </w:rPr>
    </w:lvl>
    <w:lvl w:ilvl="8" w:tplc="EB3E30D4">
      <w:numFmt w:val="bullet"/>
      <w:lvlText w:val="•"/>
      <w:lvlJc w:val="left"/>
      <w:pPr>
        <w:ind w:left="7284" w:hanging="295"/>
      </w:pPr>
      <w:rPr>
        <w:rFonts w:hint="default"/>
        <w:lang w:val="en-US" w:eastAsia="en-US" w:bidi="en-US"/>
      </w:rPr>
    </w:lvl>
  </w:abstractNum>
  <w:abstractNum w:abstractNumId="25" w15:restartNumberingAfterBreak="0">
    <w:nsid w:val="6784121A"/>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26" w15:restartNumberingAfterBreak="0">
    <w:nsid w:val="694D023E"/>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27" w15:restartNumberingAfterBreak="0">
    <w:nsid w:val="6DEE09CE"/>
    <w:multiLevelType w:val="hybridMultilevel"/>
    <w:tmpl w:val="A8740F3E"/>
    <w:lvl w:ilvl="0" w:tplc="15FCB6A8">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15:restartNumberingAfterBreak="0">
    <w:nsid w:val="746E7595"/>
    <w:multiLevelType w:val="hybridMultilevel"/>
    <w:tmpl w:val="DDA0F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F18E5"/>
    <w:multiLevelType w:val="hybridMultilevel"/>
    <w:tmpl w:val="AFAE54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9E351E"/>
    <w:multiLevelType w:val="hybridMultilevel"/>
    <w:tmpl w:val="882C97F2"/>
    <w:lvl w:ilvl="0" w:tplc="30442ECC">
      <w:start w:val="1"/>
      <w:numFmt w:val="lowerLetter"/>
      <w:lvlText w:val="(%1)"/>
      <w:lvlJc w:val="left"/>
      <w:pPr>
        <w:ind w:left="675" w:hanging="420"/>
      </w:pPr>
      <w:rPr>
        <w:rFonts w:cs="Times New Roman"/>
      </w:rPr>
    </w:lvl>
    <w:lvl w:ilvl="1" w:tplc="041F0019">
      <w:start w:val="1"/>
      <w:numFmt w:val="lowerLetter"/>
      <w:lvlText w:val="%2."/>
      <w:lvlJc w:val="left"/>
      <w:pPr>
        <w:ind w:left="844" w:hanging="360"/>
      </w:pPr>
      <w:rPr>
        <w:rFonts w:cs="Times New Roman"/>
      </w:rPr>
    </w:lvl>
    <w:lvl w:ilvl="2" w:tplc="041F001B">
      <w:start w:val="1"/>
      <w:numFmt w:val="lowerRoman"/>
      <w:lvlText w:val="%3."/>
      <w:lvlJc w:val="right"/>
      <w:pPr>
        <w:ind w:left="1564" w:hanging="180"/>
      </w:pPr>
      <w:rPr>
        <w:rFonts w:cs="Times New Roman"/>
      </w:rPr>
    </w:lvl>
    <w:lvl w:ilvl="3" w:tplc="041F000F">
      <w:start w:val="1"/>
      <w:numFmt w:val="decimal"/>
      <w:lvlText w:val="%4."/>
      <w:lvlJc w:val="left"/>
      <w:pPr>
        <w:ind w:left="2284" w:hanging="360"/>
      </w:pPr>
      <w:rPr>
        <w:rFonts w:cs="Times New Roman"/>
      </w:rPr>
    </w:lvl>
    <w:lvl w:ilvl="4" w:tplc="041F0019">
      <w:start w:val="1"/>
      <w:numFmt w:val="lowerLetter"/>
      <w:lvlText w:val="%5."/>
      <w:lvlJc w:val="left"/>
      <w:pPr>
        <w:ind w:left="3004" w:hanging="360"/>
      </w:pPr>
      <w:rPr>
        <w:rFonts w:cs="Times New Roman"/>
      </w:rPr>
    </w:lvl>
    <w:lvl w:ilvl="5" w:tplc="041F001B">
      <w:start w:val="1"/>
      <w:numFmt w:val="lowerRoman"/>
      <w:lvlText w:val="%6."/>
      <w:lvlJc w:val="right"/>
      <w:pPr>
        <w:ind w:left="3724" w:hanging="180"/>
      </w:pPr>
      <w:rPr>
        <w:rFonts w:cs="Times New Roman"/>
      </w:rPr>
    </w:lvl>
    <w:lvl w:ilvl="6" w:tplc="041F000F">
      <w:start w:val="1"/>
      <w:numFmt w:val="decimal"/>
      <w:lvlText w:val="%7."/>
      <w:lvlJc w:val="left"/>
      <w:pPr>
        <w:ind w:left="4444" w:hanging="360"/>
      </w:pPr>
      <w:rPr>
        <w:rFonts w:cs="Times New Roman"/>
      </w:rPr>
    </w:lvl>
    <w:lvl w:ilvl="7" w:tplc="041F0019">
      <w:start w:val="1"/>
      <w:numFmt w:val="lowerLetter"/>
      <w:lvlText w:val="%8."/>
      <w:lvlJc w:val="left"/>
      <w:pPr>
        <w:ind w:left="5164" w:hanging="360"/>
      </w:pPr>
      <w:rPr>
        <w:rFonts w:cs="Times New Roman"/>
      </w:rPr>
    </w:lvl>
    <w:lvl w:ilvl="8" w:tplc="041F001B">
      <w:start w:val="1"/>
      <w:numFmt w:val="lowerRoman"/>
      <w:lvlText w:val="%9."/>
      <w:lvlJc w:val="right"/>
      <w:pPr>
        <w:ind w:left="5884" w:hanging="180"/>
      </w:pPr>
      <w:rPr>
        <w:rFonts w:cs="Times New Roman"/>
      </w:rPr>
    </w:lvl>
  </w:abstractNum>
  <w:abstractNum w:abstractNumId="31" w15:restartNumberingAfterBreak="0">
    <w:nsid w:val="7C9F21C1"/>
    <w:multiLevelType w:val="hybridMultilevel"/>
    <w:tmpl w:val="440E2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F2617"/>
    <w:multiLevelType w:val="hybridMultilevel"/>
    <w:tmpl w:val="9DD6A9A8"/>
    <w:lvl w:ilvl="0" w:tplc="1EE0E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num>
  <w:num w:numId="14">
    <w:abstractNumId w:val="18"/>
  </w:num>
  <w:num w:numId="15">
    <w:abstractNumId w:val="7"/>
  </w:num>
  <w:num w:numId="16">
    <w:abstractNumId w:val="9"/>
  </w:num>
  <w:num w:numId="17">
    <w:abstractNumId w:val="27"/>
  </w:num>
  <w:num w:numId="18">
    <w:abstractNumId w:val="22"/>
  </w:num>
  <w:num w:numId="19">
    <w:abstractNumId w:val="1"/>
  </w:num>
  <w:num w:numId="20">
    <w:abstractNumId w:val="13"/>
  </w:num>
  <w:num w:numId="21">
    <w:abstractNumId w:val="6"/>
  </w:num>
  <w:num w:numId="22">
    <w:abstractNumId w:val="14"/>
  </w:num>
  <w:num w:numId="23">
    <w:abstractNumId w:val="21"/>
  </w:num>
  <w:num w:numId="24">
    <w:abstractNumId w:val="11"/>
  </w:num>
  <w:num w:numId="25">
    <w:abstractNumId w:val="8"/>
  </w:num>
  <w:num w:numId="26">
    <w:abstractNumId w:val="26"/>
  </w:num>
  <w:num w:numId="27">
    <w:abstractNumId w:val="30"/>
  </w:num>
  <w:num w:numId="28">
    <w:abstractNumId w:val="25"/>
  </w:num>
  <w:num w:numId="29">
    <w:abstractNumId w:val="10"/>
  </w:num>
  <w:num w:numId="30">
    <w:abstractNumId w:val="32"/>
  </w:num>
  <w:num w:numId="31">
    <w:abstractNumId w:val="5"/>
  </w:num>
  <w:num w:numId="32">
    <w:abstractNumId w:val="24"/>
  </w:num>
  <w:num w:numId="33">
    <w:abstractNumId w:val="20"/>
  </w:num>
  <w:num w:numId="34">
    <w:abstractNumId w:val="31"/>
  </w:num>
  <w:num w:numId="35">
    <w:abstractNumId w:val="19"/>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 w:numId="46">
    <w:abstractNumId w:val="2"/>
  </w:num>
  <w:num w:numId="47">
    <w:abstractNumId w:val="15"/>
  </w:num>
  <w:num w:numId="48">
    <w:abstractNumId w:val="17"/>
  </w:num>
  <w:num w:numId="49">
    <w:abstractNumId w:val="1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AC"/>
    <w:rsid w:val="0000621A"/>
    <w:rsid w:val="00156925"/>
    <w:rsid w:val="00165DCC"/>
    <w:rsid w:val="00193D59"/>
    <w:rsid w:val="002053C6"/>
    <w:rsid w:val="00205961"/>
    <w:rsid w:val="00237B1B"/>
    <w:rsid w:val="00237B9B"/>
    <w:rsid w:val="00275037"/>
    <w:rsid w:val="002C1666"/>
    <w:rsid w:val="002D15FC"/>
    <w:rsid w:val="0030011F"/>
    <w:rsid w:val="0031733D"/>
    <w:rsid w:val="003F6354"/>
    <w:rsid w:val="0040225F"/>
    <w:rsid w:val="004231AC"/>
    <w:rsid w:val="004328E4"/>
    <w:rsid w:val="00445F29"/>
    <w:rsid w:val="004A7544"/>
    <w:rsid w:val="004B4482"/>
    <w:rsid w:val="004B7C34"/>
    <w:rsid w:val="004D2E85"/>
    <w:rsid w:val="00531296"/>
    <w:rsid w:val="00534F6F"/>
    <w:rsid w:val="005C3B30"/>
    <w:rsid w:val="005C4CC6"/>
    <w:rsid w:val="005F1C2C"/>
    <w:rsid w:val="00660ED3"/>
    <w:rsid w:val="007671C9"/>
    <w:rsid w:val="00784AD0"/>
    <w:rsid w:val="007C34E5"/>
    <w:rsid w:val="0084727D"/>
    <w:rsid w:val="008B2D2F"/>
    <w:rsid w:val="008E1DC8"/>
    <w:rsid w:val="00915C54"/>
    <w:rsid w:val="0097642D"/>
    <w:rsid w:val="009856C2"/>
    <w:rsid w:val="00A87A59"/>
    <w:rsid w:val="00AD68C3"/>
    <w:rsid w:val="00B90FC5"/>
    <w:rsid w:val="00B917E4"/>
    <w:rsid w:val="00BF6527"/>
    <w:rsid w:val="00C602B1"/>
    <w:rsid w:val="00C72317"/>
    <w:rsid w:val="00C83A78"/>
    <w:rsid w:val="00C962E7"/>
    <w:rsid w:val="00C97A1A"/>
    <w:rsid w:val="00DD659C"/>
    <w:rsid w:val="00E76E09"/>
    <w:rsid w:val="00EE7FEE"/>
    <w:rsid w:val="00EF44E9"/>
    <w:rsid w:val="00F12BB4"/>
    <w:rsid w:val="00F57B4C"/>
    <w:rsid w:val="00F92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279E-B80E-4D53-9906-2B3C9914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D15FC"/>
    <w:pPr>
      <w:widowControl w:val="0"/>
      <w:autoSpaceDE w:val="0"/>
      <w:autoSpaceDN w:val="0"/>
      <w:spacing w:after="0" w:line="240" w:lineRule="auto"/>
      <w:ind w:left="771" w:right="788"/>
      <w:jc w:val="center"/>
      <w:outlineLvl w:val="0"/>
    </w:pPr>
    <w:rPr>
      <w:rFonts w:ascii="Times New Roman" w:eastAsia="Times New Roman" w:hAnsi="Times New Roman" w:cs="Times New Roman"/>
      <w:b/>
      <w:bCs/>
      <w:sz w:val="19"/>
      <w:szCs w:val="19"/>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15FC"/>
    <w:rPr>
      <w:rFonts w:ascii="Times New Roman" w:eastAsia="Times New Roman" w:hAnsi="Times New Roman" w:cs="Times New Roman"/>
      <w:b/>
      <w:bCs/>
      <w:sz w:val="19"/>
      <w:szCs w:val="19"/>
      <w:lang w:val="en-US" w:bidi="en-US"/>
    </w:rPr>
  </w:style>
  <w:style w:type="paragraph" w:styleId="ListeParagraf">
    <w:name w:val="List Paragraph"/>
    <w:basedOn w:val="Normal"/>
    <w:uiPriority w:val="99"/>
    <w:qFormat/>
    <w:rsid w:val="00156925"/>
    <w:pPr>
      <w:widowControl w:val="0"/>
      <w:autoSpaceDE w:val="0"/>
      <w:autoSpaceDN w:val="0"/>
      <w:spacing w:after="0" w:line="240" w:lineRule="auto"/>
      <w:ind w:left="401" w:right="124" w:hanging="294"/>
      <w:jc w:val="both"/>
    </w:pPr>
    <w:rPr>
      <w:rFonts w:ascii="Times New Roman" w:eastAsia="Times New Roman" w:hAnsi="Times New Roman" w:cs="Times New Roman"/>
      <w:lang w:val="en-US" w:bidi="en-US"/>
    </w:rPr>
  </w:style>
  <w:style w:type="table" w:styleId="TabloKlavuzu">
    <w:name w:val="Table Grid"/>
    <w:basedOn w:val="NormalTablo"/>
    <w:uiPriority w:val="99"/>
    <w:rsid w:val="002D15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2D15FC"/>
    <w:pPr>
      <w:autoSpaceDE w:val="0"/>
      <w:autoSpaceDN w:val="0"/>
      <w:adjustRightInd w:val="0"/>
      <w:spacing w:after="0" w:line="240" w:lineRule="auto"/>
    </w:pPr>
    <w:rPr>
      <w:rFonts w:ascii="EUAlbertina" w:eastAsiaTheme="minorEastAsia" w:hAnsi="EUAlbertina"/>
      <w:sz w:val="24"/>
      <w:szCs w:val="24"/>
    </w:rPr>
  </w:style>
  <w:style w:type="paragraph" w:customStyle="1" w:styleId="CM3">
    <w:name w:val="CM3"/>
    <w:basedOn w:val="Normal"/>
    <w:next w:val="Normal"/>
    <w:uiPriority w:val="99"/>
    <w:rsid w:val="002D15FC"/>
    <w:pPr>
      <w:autoSpaceDE w:val="0"/>
      <w:autoSpaceDN w:val="0"/>
      <w:adjustRightInd w:val="0"/>
      <w:spacing w:after="0" w:line="240" w:lineRule="auto"/>
    </w:pPr>
    <w:rPr>
      <w:rFonts w:ascii="EUAlbertina" w:eastAsiaTheme="minorEastAsia" w:hAnsi="EUAlbertina"/>
      <w:sz w:val="24"/>
      <w:szCs w:val="24"/>
    </w:rPr>
  </w:style>
  <w:style w:type="paragraph" w:customStyle="1" w:styleId="CM4">
    <w:name w:val="CM4"/>
    <w:basedOn w:val="Normal"/>
    <w:next w:val="Normal"/>
    <w:uiPriority w:val="99"/>
    <w:rsid w:val="002D15FC"/>
    <w:pPr>
      <w:autoSpaceDE w:val="0"/>
      <w:autoSpaceDN w:val="0"/>
      <w:adjustRightInd w:val="0"/>
      <w:spacing w:after="0" w:line="240" w:lineRule="auto"/>
    </w:pPr>
    <w:rPr>
      <w:rFonts w:ascii="EUAlbertina" w:eastAsiaTheme="minorEastAsia" w:hAnsi="EUAlbertina"/>
      <w:sz w:val="24"/>
      <w:szCs w:val="24"/>
    </w:rPr>
  </w:style>
  <w:style w:type="paragraph" w:styleId="GvdeMetni">
    <w:name w:val="Body Text"/>
    <w:basedOn w:val="Normal"/>
    <w:link w:val="GvdeMetniChar"/>
    <w:uiPriority w:val="1"/>
    <w:qFormat/>
    <w:rsid w:val="002D15FC"/>
    <w:pPr>
      <w:widowControl w:val="0"/>
      <w:autoSpaceDE w:val="0"/>
      <w:autoSpaceDN w:val="0"/>
      <w:spacing w:after="0" w:line="240" w:lineRule="auto"/>
    </w:pPr>
    <w:rPr>
      <w:rFonts w:ascii="Times New Roman" w:eastAsia="Times New Roman" w:hAnsi="Times New Roman" w:cs="Times New Roman"/>
      <w:sz w:val="19"/>
      <w:szCs w:val="19"/>
      <w:lang w:val="en-US" w:bidi="en-US"/>
    </w:rPr>
  </w:style>
  <w:style w:type="character" w:customStyle="1" w:styleId="GvdeMetniChar">
    <w:name w:val="Gövde Metni Char"/>
    <w:basedOn w:val="VarsaylanParagrafYazTipi"/>
    <w:link w:val="GvdeMetni"/>
    <w:uiPriority w:val="1"/>
    <w:rsid w:val="002D15FC"/>
    <w:rPr>
      <w:rFonts w:ascii="Times New Roman" w:eastAsia="Times New Roman" w:hAnsi="Times New Roman" w:cs="Times New Roman"/>
      <w:sz w:val="19"/>
      <w:szCs w:val="19"/>
      <w:lang w:val="en-US" w:bidi="en-US"/>
    </w:rPr>
  </w:style>
  <w:style w:type="paragraph" w:styleId="BalonMetni">
    <w:name w:val="Balloon Text"/>
    <w:basedOn w:val="Normal"/>
    <w:link w:val="BalonMetniChar"/>
    <w:uiPriority w:val="99"/>
    <w:unhideWhenUsed/>
    <w:rsid w:val="002D15FC"/>
    <w:pPr>
      <w:spacing w:after="0" w:line="240" w:lineRule="auto"/>
    </w:pPr>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rsid w:val="002D15FC"/>
    <w:rPr>
      <w:rFonts w:ascii="Segoe UI" w:eastAsiaTheme="minorEastAsia" w:hAnsi="Segoe UI" w:cs="Segoe UI"/>
      <w:sz w:val="18"/>
      <w:szCs w:val="18"/>
    </w:rPr>
  </w:style>
  <w:style w:type="character" w:styleId="AklamaBavurusu">
    <w:name w:val="annotation reference"/>
    <w:basedOn w:val="VarsaylanParagrafYazTipi"/>
    <w:uiPriority w:val="99"/>
    <w:unhideWhenUsed/>
    <w:rsid w:val="002D15FC"/>
    <w:rPr>
      <w:sz w:val="16"/>
      <w:szCs w:val="16"/>
    </w:rPr>
  </w:style>
  <w:style w:type="paragraph" w:styleId="AklamaMetni">
    <w:name w:val="annotation text"/>
    <w:basedOn w:val="Normal"/>
    <w:link w:val="AklamaMetniChar"/>
    <w:uiPriority w:val="99"/>
    <w:unhideWhenUsed/>
    <w:rsid w:val="002D15FC"/>
    <w:pPr>
      <w:spacing w:after="0" w:line="240" w:lineRule="auto"/>
    </w:pPr>
    <w:rPr>
      <w:rFonts w:eastAsiaTheme="minorEastAsia"/>
      <w:sz w:val="20"/>
      <w:szCs w:val="20"/>
    </w:rPr>
  </w:style>
  <w:style w:type="character" w:customStyle="1" w:styleId="AklamaMetniChar">
    <w:name w:val="Açıklama Metni Char"/>
    <w:basedOn w:val="VarsaylanParagrafYazTipi"/>
    <w:link w:val="AklamaMetni"/>
    <w:uiPriority w:val="99"/>
    <w:rsid w:val="002D15FC"/>
    <w:rPr>
      <w:rFonts w:eastAsiaTheme="minorEastAsia"/>
      <w:sz w:val="20"/>
      <w:szCs w:val="20"/>
    </w:rPr>
  </w:style>
  <w:style w:type="paragraph" w:styleId="AklamaKonusu">
    <w:name w:val="annotation subject"/>
    <w:basedOn w:val="AklamaMetni"/>
    <w:next w:val="AklamaMetni"/>
    <w:link w:val="AklamaKonusuChar"/>
    <w:uiPriority w:val="99"/>
    <w:unhideWhenUsed/>
    <w:rsid w:val="002D15FC"/>
    <w:rPr>
      <w:b/>
      <w:bCs/>
    </w:rPr>
  </w:style>
  <w:style w:type="character" w:customStyle="1" w:styleId="AklamaKonusuChar">
    <w:name w:val="Açıklama Konusu Char"/>
    <w:basedOn w:val="AklamaMetniChar"/>
    <w:link w:val="AklamaKonusu"/>
    <w:uiPriority w:val="99"/>
    <w:rsid w:val="002D15FC"/>
    <w:rPr>
      <w:rFonts w:eastAsiaTheme="minorEastAsia"/>
      <w:b/>
      <w:bCs/>
      <w:sz w:val="20"/>
      <w:szCs w:val="20"/>
    </w:rPr>
  </w:style>
  <w:style w:type="paragraph" w:customStyle="1" w:styleId="Default">
    <w:name w:val="Default"/>
    <w:uiPriority w:val="99"/>
    <w:rsid w:val="002D15FC"/>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VarsaylanParagrafYazTipi"/>
    <w:rsid w:val="002D15FC"/>
  </w:style>
  <w:style w:type="character" w:styleId="Kpr">
    <w:name w:val="Hyperlink"/>
    <w:basedOn w:val="VarsaylanParagrafYazTipi"/>
    <w:uiPriority w:val="99"/>
    <w:unhideWhenUsed/>
    <w:rsid w:val="002D15FC"/>
    <w:rPr>
      <w:rFonts w:ascii="Times New Roman" w:hAnsi="Times New Roman" w:cs="Times New Roman" w:hint="default"/>
      <w:color w:val="0000FF"/>
      <w:u w:val="single"/>
    </w:rPr>
  </w:style>
  <w:style w:type="character" w:customStyle="1" w:styleId="DipnotMetniChar">
    <w:name w:val="Dipnot Metni Char"/>
    <w:basedOn w:val="VarsaylanParagrafYazTipi"/>
    <w:link w:val="DipnotMetni"/>
    <w:uiPriority w:val="99"/>
    <w:rsid w:val="002D15FC"/>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unhideWhenUsed/>
    <w:rsid w:val="002D15FC"/>
    <w:pPr>
      <w:spacing w:after="0" w:line="240" w:lineRule="auto"/>
    </w:pPr>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uiPriority w:val="99"/>
    <w:semiHidden/>
    <w:rsid w:val="002D15FC"/>
    <w:rPr>
      <w:sz w:val="20"/>
      <w:szCs w:val="20"/>
    </w:rPr>
  </w:style>
  <w:style w:type="paragraph" w:styleId="stBilgi">
    <w:name w:val="header"/>
    <w:basedOn w:val="Normal"/>
    <w:link w:val="stBilgiChar"/>
    <w:uiPriority w:val="99"/>
    <w:unhideWhenUsed/>
    <w:rsid w:val="002D15F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2D15FC"/>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2D15FC"/>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2D15FC"/>
    <w:pPr>
      <w:tabs>
        <w:tab w:val="center" w:pos="4536"/>
        <w:tab w:val="right" w:pos="9072"/>
      </w:tabs>
      <w:spacing w:after="0" w:line="240" w:lineRule="auto"/>
    </w:pPr>
    <w:rPr>
      <w:rFonts w:ascii="Times New Roman" w:eastAsia="Times New Roman" w:hAnsi="Times New Roman" w:cs="Times New Roman"/>
      <w:lang w:eastAsia="tr-TR"/>
    </w:rPr>
  </w:style>
  <w:style w:type="character" w:customStyle="1" w:styleId="AltBilgiChar1">
    <w:name w:val="Alt Bilgi Char1"/>
    <w:basedOn w:val="VarsaylanParagrafYazTipi"/>
    <w:uiPriority w:val="99"/>
    <w:semiHidden/>
    <w:rsid w:val="002D15FC"/>
  </w:style>
  <w:style w:type="character" w:styleId="DipnotBavurusu">
    <w:name w:val="footnote reference"/>
    <w:basedOn w:val="VarsaylanParagrafYazTipi"/>
    <w:uiPriority w:val="99"/>
    <w:unhideWhenUsed/>
    <w:rsid w:val="002D15FC"/>
    <w:rPr>
      <w:rFonts w:ascii="Times New Roman" w:hAnsi="Times New Roman" w:cs="Times New Roman" w:hint="default"/>
      <w:vertAlign w:val="superscript"/>
    </w:rPr>
  </w:style>
  <w:style w:type="paragraph" w:styleId="T2">
    <w:name w:val="toc 2"/>
    <w:basedOn w:val="Normal"/>
    <w:next w:val="Normal"/>
    <w:autoRedefine/>
    <w:uiPriority w:val="39"/>
    <w:unhideWhenUsed/>
    <w:rsid w:val="002D15FC"/>
    <w:pPr>
      <w:tabs>
        <w:tab w:val="left" w:pos="567"/>
        <w:tab w:val="right" w:leader="dot" w:pos="9062"/>
      </w:tabs>
      <w:spacing w:after="100" w:line="300" w:lineRule="exact"/>
      <w:ind w:left="113"/>
      <w:contextualSpacing/>
      <w:jc w:val="both"/>
    </w:pPr>
    <w:rPr>
      <w:rFonts w:ascii="Arial" w:hAnsi="Arial"/>
      <w:noProof/>
    </w:rPr>
  </w:style>
  <w:style w:type="paragraph" w:customStyle="1" w:styleId="3-normalyaz">
    <w:name w:val="3-normalyaz"/>
    <w:basedOn w:val="Normal"/>
    <w:rsid w:val="002D15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25205</Words>
  <Characters>143671</Characters>
  <Application>Microsoft Office Word</Application>
  <DocSecurity>0</DocSecurity>
  <Lines>1197</Lines>
  <Paragraphs>337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Codal</dc:creator>
  <cp:keywords/>
  <dc:description/>
  <cp:lastModifiedBy>Sezin Sönmez Erbaş</cp:lastModifiedBy>
  <cp:revision>2</cp:revision>
  <dcterms:created xsi:type="dcterms:W3CDTF">2020-08-10T12:54:00Z</dcterms:created>
  <dcterms:modified xsi:type="dcterms:W3CDTF">2020-08-10T12:54:00Z</dcterms:modified>
</cp:coreProperties>
</file>